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2040" w:lineRule="exact"/>
        <w:jc w:val="center"/>
        <w:rPr>
          <w:rFonts w:hint="default" w:ascii="Times New Roman" w:hAnsi="Times New Roman" w:eastAsia="方正楷体_GBK" w:cs="Times New Roman"/>
          <w:sz w:val="28"/>
          <w:szCs w:val="28"/>
        </w:rPr>
      </w:pPr>
      <w:bookmarkStart w:id="0" w:name="_GoBack"/>
      <w:r>
        <w:rPr>
          <w:rFonts w:hint="default" w:ascii="Times New Roman" w:hAnsi="Times New Roman" w:eastAsia="华文行楷" w:cs="Times New Roman"/>
          <w:color w:val="FF0000"/>
          <w:spacing w:val="40"/>
          <w:sz w:val="130"/>
          <w:szCs w:val="130"/>
        </w:rPr>
        <w:t>靖州统计分析</w:t>
      </w:r>
    </w:p>
    <w:bookmarkEnd w:id="0"/>
    <w:p>
      <w:pPr>
        <w:spacing w:line="500" w:lineRule="exact"/>
        <w:rPr>
          <w:rFonts w:hint="default" w:ascii="Times New Roman" w:hAnsi="Times New Roman" w:eastAsia="楷体_GB2312" w:cs="Times New Roman"/>
          <w:sz w:val="28"/>
          <w:szCs w:val="28"/>
        </w:rPr>
      </w:pPr>
      <w:r>
        <w:rPr>
          <w:rFonts w:hint="default" w:ascii="Times New Roman" w:hAnsi="Times New Roman" w:cs="Times New Roman"/>
        </w:rPr>
        <w:pict>
          <v:line id="直接连接符 2" o:spid="_x0000_s2050" o:spt="20" style="position:absolute;left:0pt;margin-left:0pt;margin-top:7.6pt;height:0pt;width:453.55pt;z-index:251659264;mso-width-relative:page;mso-height-relative:page;" filled="f" stroked="t" coordsize="21600,21600" o:gfxdata="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i4UG0wAAAAYBAAAPAAAAAAAAAAEAIAAAACIAAABkcnMvZG93bnJldi54bWxQ&#10;SwECFAAUAAAACACHTuJAhAwwu/wBAADzAwAADgAAAAAAAAABACAAAAAiAQAAZHJzL2Uyb0RvYy54&#10;bWxQSwUGAAAAAAYABgBZAQAAkAUAAAAA&#10;">
            <v:path arrowok="t"/>
            <v:fill on="f" focussize="0,0"/>
            <v:stroke weight="2pt" color="#FF0000" joinstyle="round"/>
            <v:imagedata o:title=""/>
            <o:lock v:ext="edit" aspectratio="f"/>
          </v:line>
        </w:pict>
      </w:r>
    </w:p>
    <w:p>
      <w:pPr>
        <w:spacing w:line="640" w:lineRule="exact"/>
        <w:jc w:val="center"/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  <w:t>靖州苗族侗族自治县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</w:pPr>
      <w:r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  <w:t>202</w:t>
      </w:r>
      <w:r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大标宋_GBK" w:cs="Times New Roman"/>
          <w:color w:val="000000" w:themeColor="text1"/>
          <w:sz w:val="44"/>
          <w:szCs w:val="44"/>
        </w:rPr>
        <w:t>年国民经济和社会发展统计公报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2023年全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</w:rPr>
        <w:t>上下坚持以习近平新时代中国特色社会主义思想为指导，深入贯彻党的二十大和二十届二中全会精神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</w:rPr>
        <w:t>锚定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  <w:t>“三高四新”美好蓝图，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</w:rPr>
        <w:t>深入实施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  <w:t>“五新四城”战略，努力打造新时代农业产业化“靖州现象”，奋力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</w:rPr>
        <w:t>实现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  <w:t>“五区”建设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</w:rPr>
        <w:t>目标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 w:eastAsia="zh-CN"/>
        </w:rPr>
        <w:t>全县</w:t>
      </w:r>
      <w:r>
        <w:rPr>
          <w:rFonts w:hint="default" w:ascii="Times New Roman" w:hAnsi="Times New Roman" w:eastAsia="仿宋_GB2312" w:cs="Times New Roman"/>
          <w:color w:val="000000" w:themeColor="text1"/>
          <w:spacing w:val="0"/>
          <w:sz w:val="32"/>
          <w:szCs w:val="32"/>
        </w:rPr>
        <w:t>经济回升向好，高质量发展扎实推进。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一、综合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16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初步核算，全年地区生产总值（GDP）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108.7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%。其中，第一产业增加值19.2亿元，增长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%；第二产业增加值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27.6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亿元，增长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%；第三产业增加值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61.9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亿元，增长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7.1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%。第一产业增加值占地区生产总值比重为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17.65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%，第二产业增加值比重为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25.41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%，第三产业增加值比重为5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6.94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%。全年人均地区生产总值4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7116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元，增长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9.2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年末全县总户数8.8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万户，总人口27.3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万人。全年出生人口1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0人，出生率为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5.92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‰；死亡人口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1469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人，死亡率为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5.37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‰；自然增长率为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0.55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‰。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常住人口22.94万人，城镇化率53.4%。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全年城镇新增就业2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038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失业人员再就业人数930人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二、农业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全年农林牧渔业总产值完成3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55716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万元。全年粮食种植面积20733公顷。其中，中稻种植面积17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332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公顷；糖料种植面积16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公顷；油料种植面积7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691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公顷；烟叶种植面积1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公顷；蔬菜种植面积4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858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公顷。全年粮食产量13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6018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增长1.4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%。其中，油料产量1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吨，增产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%；烟叶产量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651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吨，增产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%，蔬菜产量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96922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增长1.3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全年猪牛羊禽肉产量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4.02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17.9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%。其中，猪肉产量3.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%；禽蛋产量0.2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万吨。年末生猪存栏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26.65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万头；全年生猪出栏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46.04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万头，比上年增长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8.97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三、工业和建筑业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全年全部工业增加值22.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%。分门类看，采矿业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下降4.4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%，制造业增长6.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%，电力、热力、燃气及水生产和供应业增长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%。规模以上工业增加值增长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16.4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全年全社会建筑业增加值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%。全县房屋建筑施工面积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26.2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万平方米，比上年下降1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%；房屋建筑竣工面积1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万平方米，比上年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增长21.9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四、服务业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全年批发和零售业增加值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增长10.2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%；交通运输、仓储和邮政业增加值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%；住宿和餐饮业增加值3.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%；金融业增加值4.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%；房地产业增加值5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2.3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%；信息传输、软件和信息技术服务业增加值2.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%；租赁和商务服务业增加值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3.8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17.1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五、国内贸易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全年社会消费品零售总额3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%。按经营地统计，城镇消费品零售额2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9.7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%；乡村消费品零售额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表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：202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年社会消费品零售总额及其增长速度</w:t>
      </w:r>
    </w:p>
    <w:tbl>
      <w:tblPr>
        <w:tblStyle w:val="5"/>
        <w:tblpPr w:leftFromText="180" w:rightFromText="180" w:vertAnchor="text" w:horzAnchor="page" w:tblpX="1544" w:tblpY="250"/>
        <w:tblOverlap w:val="never"/>
        <w:tblW w:w="92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92"/>
        <w:gridCol w:w="1414"/>
        <w:gridCol w:w="2118"/>
        <w:gridCol w:w="19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计量单位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绝对数（现价）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 w:themeColor="text1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社会消费品零售总额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375237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按销售单位所在地分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#城镇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298759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9.7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乡村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76478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10.6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限额以上法人批发零售企业商品零售额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#粮油、食品类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9176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35.3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饮料、烟酒类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1349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服装、鞋帽、针纺织品类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129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-0.4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日用品类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175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文化办公用品类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758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石油及制品类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6133</w:t>
            </w: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  <w:lang w:val="en-US" w:eastAsia="zh-CN"/>
              </w:rPr>
              <w:t>8.4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六、固定资产投资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全年全社会固定资产投资比上年增长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11.9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%。其中，民间投资增长6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高新技术产业投资增长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51.8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工业投资增长72.6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全年房地产开发投资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增长11.5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%。其中年末商品房销售面积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8.57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万平方米，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七、财政金融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全年地方一般公共预算收入5.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%。其中税收收入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3.9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%。地方一般公共预算支出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33.5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  <w:t>末全部金融机构各项存款余额1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1.1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  <w:t>亿元，比上年末增长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7.1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  <w:t>%。全部金融机构各项贷款余额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8.2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  <w:t>亿元，比上年末增长</w:t>
      </w:r>
      <w:r>
        <w:rPr>
          <w:rFonts w:hint="eastAsia" w:ascii="Times New Roman" w:hAnsi="Times New Roman" w:eastAsia="仿宋_GB2312" w:cs="Times New Roman"/>
          <w:color w:val="000000" w:themeColor="text1"/>
          <w:spacing w:val="11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 w:themeColor="text1"/>
          <w:spacing w:val="11"/>
          <w:sz w:val="32"/>
          <w:szCs w:val="32"/>
        </w:rPr>
        <w:t>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表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：202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年地方一般公共预算收入及其增长速度</w:t>
      </w:r>
    </w:p>
    <w:tbl>
      <w:tblPr>
        <w:tblStyle w:val="5"/>
        <w:tblW w:w="928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1727"/>
        <w:gridCol w:w="2306"/>
        <w:gridCol w:w="22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称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计量单位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绝对数（现价）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一般公共预算收入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77823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14.2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#地方收入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55928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#税收收入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39977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非税收入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15951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-0.6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上划中央“两税”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13851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上划中央所得税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3607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一般公共预算支出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334737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#一般公共服务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20966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-21.1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教育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57732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科学技术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5553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文化体育与传媒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5302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39.1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社会保障和就业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40020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医疗卫生与计划生育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35206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28.4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节能环保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4682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43.3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城乡社区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67504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125.1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农林水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59445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住房保障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7154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58.9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3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#民生支出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万元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284930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  <w:lang w:val="en-US" w:eastAsia="zh-CN"/>
              </w:rPr>
              <w:t>21.4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八、居民收入消费和社会保障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全年全县居民人均可支配收入2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2008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%。按常住地分，城镇居民人均可支配收入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29874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%。农村居民人均可支配收入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15354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全年全县居民人均消费支出1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6130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%。按常住地分，城镇居民人均消费支出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20045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6.8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%；农村居民人均消费支出12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818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元，比上年增长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表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:202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shd w:val="clear" w:color="auto" w:fill="FFFFFF"/>
        </w:rPr>
        <w:t>年城乡居民人均收支情况表</w:t>
      </w:r>
    </w:p>
    <w:tbl>
      <w:tblPr>
        <w:tblStyle w:val="5"/>
        <w:tblW w:w="91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7"/>
        <w:gridCol w:w="1433"/>
        <w:gridCol w:w="1873"/>
        <w:gridCol w:w="2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标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计量单位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绝对数（现价）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hint="default" w:ascii="黑体" w:hAnsi="黑体" w:eastAsia="黑体" w:cs="黑体"/>
                <w:b w:val="0"/>
                <w:bCs/>
                <w:color w:val="000000" w:themeColor="text1"/>
                <w:kern w:val="0"/>
                <w:sz w:val="26"/>
                <w:szCs w:val="26"/>
              </w:rPr>
              <w:t>比上年增长（%）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全体居民人均可支配收入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22008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城镇居民人均可支配收入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29874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按类别分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#工资性收入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13658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5.0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经营净收入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8877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转移净收入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937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财产净收入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6401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全体居民人均消费支出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16130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城镇居民人均消费支出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20045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#食品烟酒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6745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衣着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1621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居住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3628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生活用品及服务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1286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10.8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交通通信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1570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教育文化娱乐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3506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医疗保健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1315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-15.5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其他用品和服务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373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城镇居民家庭恩格尔系数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%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 w:eastAsia="zh-CN"/>
              </w:rPr>
              <w:t>33.6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 w:eastAsia="zh-CN"/>
              </w:rPr>
              <w:t>-0.2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农村居民人均可支配收入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15354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按类别分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#工资性收入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7644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经营净收入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3331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转移净收入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312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财产净收入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4067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8.4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农村居民人均消费支出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12818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#食品烟酒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4433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10.0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衣着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684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9.3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居住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3089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生活用品及服务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791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交通通信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1553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教育文化娱乐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1326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医疗保健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744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-16.4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其他用品和服务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元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198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2"/>
                <w:sz w:val="26"/>
                <w:szCs w:val="2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6"/>
                <w:szCs w:val="26"/>
                <w:u w:val="none"/>
                <w:lang w:val="en-US" w:eastAsia="zh-CN" w:bidi="ar"/>
              </w:rPr>
              <w:t>3.7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6"/>
                <w:szCs w:val="26"/>
              </w:rPr>
              <w:t>农村居民家庭恩格尔系数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6"/>
                <w:szCs w:val="26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6"/>
                <w:szCs w:val="26"/>
              </w:rPr>
              <w:t>%</w:t>
            </w:r>
          </w:p>
        </w:tc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 w:eastAsia="zh-CN"/>
              </w:rPr>
              <w:t>34.6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 w:themeColor="text1"/>
                <w:sz w:val="26"/>
                <w:szCs w:val="26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6"/>
                <w:szCs w:val="26"/>
                <w:lang w:val="en-US" w:eastAsia="zh-CN"/>
              </w:rPr>
              <w:t>1.4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年末全县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参加城乡居民基本养老保险人数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165946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人。参加城乡居民基本医疗保险人数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211351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人。参加失业保险职工人数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14304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人。年末全县领取失业保险金职工人数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159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人。参加工伤保险职工人数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23640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人。年末全县共有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2292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人享受城市居民最低生活保障，4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704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人享受农村居民最低生活保障。发放城镇居民最低生活保障经费1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233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万元，农村居民最低生活保障经费1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  <w:lang w:val="en-US" w:eastAsia="zh-CN"/>
        </w:rPr>
        <w:t>579</w:t>
      </w:r>
      <w:r>
        <w:rPr>
          <w:rFonts w:hint="default" w:ascii="Times New Roman" w:hAnsi="Times New Roman" w:eastAsia="仿宋_GB2312" w:cs="Times New Roman"/>
          <w:color w:val="000000" w:themeColor="text1"/>
          <w:spacing w:val="-4"/>
          <w:sz w:val="32"/>
          <w:szCs w:val="32"/>
        </w:rPr>
        <w:t>万元。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年末提供住宿民政机构床位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张。其中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养老机构床位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390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张，养老机构服务人数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。城镇各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社区服务机构和设施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个。全年销售社会福利彩票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3739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筹集福彩公益金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万元。全年增加公办幼儿园学位2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0个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九、科学技术和教育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年末全县检验检测机构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家，特种设备数量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785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授权专利33件，发明专利29件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全年普通高中招生13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人，在校生3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981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人。初中招生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2560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人，在校生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10256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人。普通小学招生2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115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人，在校生19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244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人。学前教育在园幼儿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6872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人。小学适龄儿童入学率为100%，高中阶段毛入学率为96%。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十、文化旅游、卫生健康、体育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年末全县文化系统共有博物、纪念馆1个，公共图书馆1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个，文化馆1个。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全年县内游客2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99.5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万人次；县内旅游收入2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7.6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年末全县共有医疗卫生机构22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个，其中医院8个，乡镇卫生院15个，诊所、卫生所、医务室5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个，村卫生室1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48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个；疾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病预防控制中心1个，卫生监督所（中心）1个，妇幼保健机构1个。年末卫生技术人员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1532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人，其中执业医师和执业助理医师5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人，注册护士6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71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人。医院床位数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901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张，乡镇卫生院床位数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  <w:lang w:val="en-US" w:eastAsia="zh-CN"/>
        </w:rPr>
        <w:t>258</w:t>
      </w:r>
      <w:r>
        <w:rPr>
          <w:rFonts w:hint="default" w:ascii="Times New Roman" w:hAnsi="Times New Roman" w:eastAsia="仿宋_GB2312" w:cs="Times New Roman"/>
          <w:color w:val="000000" w:themeColor="text1"/>
          <w:spacing w:val="-6"/>
          <w:sz w:val="32"/>
          <w:szCs w:val="32"/>
        </w:rPr>
        <w:t>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596" w:firstLineChars="200"/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全县经常参加体育锻炼人数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万人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开展全民健身项目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</w:rPr>
        <w:t>44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项次。体育场地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</w:rPr>
        <w:t>553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个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其中，体育馆1座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运动场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个，游泳池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</w:rPr>
        <w:t>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</w:rPr>
        <w:t>十一、资源、环境和应急管理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根据第三次全国国土调查资料显示:全县土地面积2207.97平方公里。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耕地面积18936公顷，基本农田16789公顷。已发现矿种21种。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　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全年森林覆盖率76.04%，全县活立木蓄积1572.7万立方米，完成造林面积419公顷。全县自然保护区2个，自然保护区面积12320公顷。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全年全社会用电量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51464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万千瓦时，比上年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增长6.1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全年发生各类生产经营性安全事故2起，生产经营性安全事故死亡人数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人。亿元地区生产总值事故死亡人数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人。</w:t>
      </w:r>
    </w:p>
    <w:p>
      <w:pPr>
        <w:spacing w:line="440" w:lineRule="exact"/>
        <w:ind w:firstLine="42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说明：1．本公报部分数据为初步统计数据，最终以统计年鉴数据为准。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77" w:leftChars="535" w:hanging="354" w:hangingChars="147"/>
        <w:textAlignment w:val="auto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2．生产总值、各产业增加值绝对值按现价计算，比上年增长速度按可比价计算。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477" w:leftChars="535" w:hanging="354" w:hangingChars="147"/>
        <w:textAlignment w:val="auto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3．部门数据来源于财政、公安、卫生、教育、自然资源、环保、民政、人社、应急、住建、文旅、融媒体、宣传、县绩效办、县人行、商科工信、农业农村、交通运管等相关部门，以及国家统计局怀化调查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072" w:firstLineChars="445"/>
        <w:textAlignment w:val="auto"/>
        <w:rPr>
          <w:rFonts w:hint="default" w:ascii="Times New Roman" w:hAnsi="Times New Roman" w:eastAsia="仿宋_GB2312" w:cs="Times New Roman"/>
          <w:b/>
          <w:sz w:val="24"/>
        </w:rPr>
      </w:pPr>
      <w:r>
        <w:rPr>
          <w:rFonts w:hint="default" w:ascii="Times New Roman" w:hAnsi="Times New Roman" w:eastAsia="仿宋_GB2312" w:cs="Times New Roman"/>
          <w:b/>
          <w:sz w:val="24"/>
        </w:rPr>
        <w:t>4．部分相关数据由于统计口径的不同，可能与部门的数据存在差异。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p>
      <w:pPr>
        <w:rPr>
          <w:rFonts w:hint="default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Bdr>
          <w:top w:val="single" w:color="auto" w:sz="4" w:space="1"/>
        </w:pBdr>
        <w:spacing w:line="590" w:lineRule="exact"/>
        <w:ind w:left="0" w:leftChars="0" w:firstLine="117" w:firstLineChars="42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核稿：姜雪峰         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楷体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         执笔：李振华</w:t>
      </w:r>
    </w:p>
    <w:sectPr>
      <w:footerReference r:id="rId3" w:type="default"/>
      <w:pgSz w:w="11906" w:h="16838"/>
      <w:pgMar w:top="1871" w:right="1304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8311B33-2C45-40DA-A27A-59A754EFFF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DE621FB-1DF8-41C4-897A-C68A17D3F73F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AE78E3B1-EEB5-47B3-B75E-D380C36EBA0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67F13EA-71D4-48E9-B3F9-170A4DC1C95F}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EC25C0F-750F-4F5F-A63D-FDFD14F3E1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4FA0108-CE1A-47E5-B2AC-F27E5CF1D8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FC9AEECF-BA65-41EB-9142-ABF4B83A6FA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IyNmVlNTBjNzgxZWYxMGE3MmUwZWJkZjU3NmVjYTAifQ=="/>
    <w:docVar w:name="KSO_WPS_MARK_KEY" w:val="9aea0e2b-627a-415c-8d82-397f3cf6e0e4"/>
  </w:docVars>
  <w:rsids>
    <w:rsidRoot w:val="0F36688C"/>
    <w:rsid w:val="000D3259"/>
    <w:rsid w:val="002304D5"/>
    <w:rsid w:val="002661F2"/>
    <w:rsid w:val="05DC48C0"/>
    <w:rsid w:val="099E08CB"/>
    <w:rsid w:val="0BA52B2B"/>
    <w:rsid w:val="0C6236CC"/>
    <w:rsid w:val="0D2B61B4"/>
    <w:rsid w:val="0EAF35B4"/>
    <w:rsid w:val="0F36688C"/>
    <w:rsid w:val="11B85B3D"/>
    <w:rsid w:val="12AC62F8"/>
    <w:rsid w:val="13E40118"/>
    <w:rsid w:val="14EC3978"/>
    <w:rsid w:val="15033573"/>
    <w:rsid w:val="191C5271"/>
    <w:rsid w:val="1D0165EA"/>
    <w:rsid w:val="1E114F52"/>
    <w:rsid w:val="206757F2"/>
    <w:rsid w:val="22B67E76"/>
    <w:rsid w:val="242E0528"/>
    <w:rsid w:val="26FE4C42"/>
    <w:rsid w:val="291678C1"/>
    <w:rsid w:val="2B4C581C"/>
    <w:rsid w:val="300D36E3"/>
    <w:rsid w:val="301B3A0F"/>
    <w:rsid w:val="30405223"/>
    <w:rsid w:val="341C1268"/>
    <w:rsid w:val="34433534"/>
    <w:rsid w:val="346534AA"/>
    <w:rsid w:val="38696D59"/>
    <w:rsid w:val="387243E8"/>
    <w:rsid w:val="39E45A6C"/>
    <w:rsid w:val="3B8406BA"/>
    <w:rsid w:val="3CD9570E"/>
    <w:rsid w:val="3FEA0B43"/>
    <w:rsid w:val="40CB42D3"/>
    <w:rsid w:val="422F03F7"/>
    <w:rsid w:val="42AA5B46"/>
    <w:rsid w:val="42B70AD9"/>
    <w:rsid w:val="432D1637"/>
    <w:rsid w:val="43EA577A"/>
    <w:rsid w:val="453413AE"/>
    <w:rsid w:val="4BE34D82"/>
    <w:rsid w:val="4D8207D1"/>
    <w:rsid w:val="503D4B48"/>
    <w:rsid w:val="52FB2BA9"/>
    <w:rsid w:val="53AE2320"/>
    <w:rsid w:val="53DE1AF9"/>
    <w:rsid w:val="55717AA9"/>
    <w:rsid w:val="5B1909C7"/>
    <w:rsid w:val="5B4C460E"/>
    <w:rsid w:val="5DF02F39"/>
    <w:rsid w:val="607B0838"/>
    <w:rsid w:val="626A7D5A"/>
    <w:rsid w:val="62E55633"/>
    <w:rsid w:val="66DD4B51"/>
    <w:rsid w:val="6B9876E6"/>
    <w:rsid w:val="6DE85FD7"/>
    <w:rsid w:val="6F574CF5"/>
    <w:rsid w:val="6F7915DC"/>
    <w:rsid w:val="707B50A7"/>
    <w:rsid w:val="71B11502"/>
    <w:rsid w:val="7278296F"/>
    <w:rsid w:val="74FC724E"/>
    <w:rsid w:val="76CF2455"/>
    <w:rsid w:val="779D6084"/>
    <w:rsid w:val="788A134B"/>
    <w:rsid w:val="79647002"/>
    <w:rsid w:val="79C57453"/>
    <w:rsid w:val="7DE430FB"/>
    <w:rsid w:val="7F7D6E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</w:pPr>
    <w:rPr>
      <w:rFonts w:hAnsi="Times New Roman"/>
      <w:sz w:val="18"/>
      <w:szCs w:val="18"/>
    </w:rPr>
  </w:style>
  <w:style w:type="paragraph" w:styleId="3">
    <w:name w:val="index 5"/>
    <w:basedOn w:val="1"/>
    <w:next w:val="1"/>
    <w:semiHidden/>
    <w:qFormat/>
    <w:uiPriority w:val="99"/>
    <w:pPr>
      <w:ind w:left="800" w:leftChars="80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3071</Words>
  <Characters>3924</Characters>
  <Lines>37</Lines>
  <Paragraphs>10</Paragraphs>
  <TotalTime>16</TotalTime>
  <ScaleCrop>false</ScaleCrop>
  <LinksUpToDate>false</LinksUpToDate>
  <CharactersWithSpaces>3979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2023-03-27T05:50:00Z</dcterms:created>
  <dc:creator>华华</dc:creator>
  <cp:lastModifiedBy>神啊</cp:lastModifiedBy>
  <cp:lastPrinted>2024-04-08T09:19:19Z</cp:lastPrinted>
  <dcterms:modified xsi:type="dcterms:W3CDTF">2024-04-08T09:19:34Z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D6351D0D8D254928A52B536F1C741317</vt:lpwstr>
  </property>
</Properties>
</file>