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Cs/>
          <w:kern w:val="4"/>
          <w:sz w:val="44"/>
          <w:szCs w:val="44"/>
        </w:rPr>
      </w:pPr>
      <w:r>
        <w:rPr>
          <w:rFonts w:hint="eastAsia" w:ascii="黑体" w:hAnsi="黑体" w:eastAsia="黑体"/>
          <w:bCs/>
          <w:kern w:val="4"/>
          <w:sz w:val="44"/>
          <w:szCs w:val="44"/>
        </w:rPr>
        <w:t>上半年经济运行情况汇报</w:t>
      </w:r>
    </w:p>
    <w:p>
      <w:pPr>
        <w:spacing w:line="600" w:lineRule="exact"/>
        <w:jc w:val="center"/>
        <w:rPr>
          <w:rFonts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县统计局</w:t>
      </w:r>
    </w:p>
    <w:p>
      <w:pPr>
        <w:spacing w:line="600" w:lineRule="exact"/>
        <w:jc w:val="center"/>
        <w:rPr>
          <w:rFonts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（202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年7月24日）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上半年，全县上下认真贯彻落实党中央、国务院，省委、省政府、市委、市政府各项决策部署，以打好发展“六仗”为工作抓手，努力开创经济社会新局面，全县经济呈现出稳中有进、进中提质的良好态势。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地区生产总值统一核算结果，上半年全县实现地区生产总值（GDP）48.8亿元，按可比价格计算，同比增长3.8%，全市排名第4。从三次产业看，第一产业增加值6.54亿元，增长3.1%；第二产业增加值14.78亿元，增长3%；第三产业增加值27.48亿元，增长4.5%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2"/>
          <w:sz w:val="32"/>
          <w:szCs w:val="32"/>
        </w:rPr>
        <w:t>一、上半年经济运行特点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1、农业生产形势稳定，农产品供应充足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县实现农林牧渔业总产值14.13亿元，同比增长12.03%。生猪产能持续恢复，生猪出栏22.41万头，增长6.7%。“菜篮子”供应保持稳定，蔬菜播种面积增长2.6%；产量41435.9吨，增长2.7%。家禽产量1600吨，增长6.7%；水产品产量1985吨，增长4.3%；中药材产量8555吨，增长5.0%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2、工业生产运行平稳，各门类来势向好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规模以上工业增加值同比增长8.5%，全市排名第3。从三大门类看，采矿业增加值增长1.2%，制造业增长6.8%，电力、热力燃气及水生产和供应业增长6.4%。国家220种重点产品产量中我县有8个品种，实现同比增长的有5个。其中，饮料同比增长17%，砖增长17%，水泥增长12.7%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中空玻璃增长5.3% ，精制食用植物油增长3.8%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3、服务业强劲恢复，主要行业增长较快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县服务业增加值同比增长4.5%。其中，住宿和餐饮业，营利性服务业，批发和零售业，金融业增加值分别增长10.5%、8.7%、5.2%、9.2%。1—6月，规模以上服务业营业收入0.79亿元，增长10.7%。主要行业中，商务和租赁服务业，居民服务业、文化体育娱乐业营业收入分别增长32%、18.5%、11.3%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4、固定资产投资稳定增长，一二产业增势良好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县固定资产投资同比增长8.9%，全市排名第3。分经济类型看，国有投资增长9.6%，非国有投资增长8.8%，民间投资增长3.8%。分产业看，第一产业投资增长78.4%，第二产业投资增长34.5%，第三产业投资下降3.6%。分投资方向看，工业投资增长34.5%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5、消费市场回暖向好，四大行业全面恢复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县社会消费品零售总额17.94亿元，同比增长9.4%，全市排名第2。从行业看，限额以上批发业、零售业、住宿业、餐饮业销售额（营业额）分别增长307.1%、8.21%、29.82%、3.57%。基本生活类消费需求较旺，限额以上批发零售单位中，粮油、食品类商品零售额分别增长21.4%。升级类消费较快增长，限额以上石油制品类零售额增长10.4%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6、居民收入加快增长，城乡居民收入差距缩小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上半年，全体居民人均可支配收入11052元，同比增长6.7%；其中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城镇居民人均可支配收入15225元，增长6.1%，全市排名第3；农村居民人均可支配收入7523元，增长7.8%，全市排名第9。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从收入来源看，城镇居民人均工资性收入、经营净收入、财产净收入、转移净收入分别增长7.6%、6.1%、6.5%、3.4%。农村居民人均工资性收入、经营净收入、财产净收入、转移净收入分别增长7.6%、7.5%,、14.7%、8.0%。城乡居民人均可支配收入比为2.024，与上年同期相比缩小0.0324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7、质量效益不断改善，金融信贷支撑有力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财政运行质量提升。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地方一般公共预算收入3.1亿元，增长10.65%，全市排名第9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。金融信贷运行稳健。6月末，金融机构本外币各项存款余额增长15.5%；贷款余额增长20.3%。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对比</w:t>
      </w:r>
      <w:r>
        <w:rPr>
          <w:rFonts w:ascii="Times New Roman" w:hAnsi="Times New Roman" w:eastAsia="黑体"/>
          <w:bCs/>
          <w:sz w:val="32"/>
          <w:szCs w:val="32"/>
        </w:rPr>
        <w:t>分析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1．与全国、全省、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全市</w:t>
      </w:r>
      <w:r>
        <w:rPr>
          <w:rFonts w:ascii="Times New Roman" w:hAnsi="Times New Roman" w:eastAsia="楷体_GB2312"/>
          <w:b/>
          <w:bCs/>
          <w:sz w:val="32"/>
          <w:szCs w:val="32"/>
        </w:rPr>
        <w:t>对比来看。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①全国GDP增长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5.5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3.6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低1.7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高0.2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0.8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②规模工业增加值全国增长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2.6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-6.3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8.5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4.7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高5.9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14.8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③固定资产投资全国增长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7.2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8.9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5.1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1.7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④社会消费品零售总额全国增长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8.2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6.6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9.4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1.2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高2.8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0.6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⑤地方一般公共预算收入全国增长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13.3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11.2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7.5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10.7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低2.6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比</w:t>
      </w:r>
      <w:r>
        <w:rPr>
          <w:rFonts w:ascii="Times New Roman" w:hAnsi="Times New Roman" w:eastAsia="仿宋_GB2312"/>
          <w:color w:val="000000"/>
          <w:sz w:val="32"/>
          <w:szCs w:val="32"/>
        </w:rPr>
        <w:t>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低0.5个百分点</w:t>
      </w:r>
      <w:r>
        <w:rPr>
          <w:rFonts w:ascii="Times New Roman" w:hAnsi="Times New Roman" w:eastAsia="仿宋_GB2312"/>
          <w:color w:val="000000"/>
          <w:sz w:val="32"/>
          <w:szCs w:val="32"/>
        </w:rPr>
        <w:t>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3.1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⑥城镇居民人均可支配收入全国增长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5.4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4.6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5.4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6.1</w:t>
      </w:r>
      <w:r>
        <w:rPr>
          <w:rFonts w:ascii="Times New Roman" w:hAnsi="Times New Roman" w:eastAsia="仿宋_GB2312"/>
          <w:color w:val="000000"/>
          <w:sz w:val="32"/>
          <w:szCs w:val="32"/>
        </w:rPr>
        <w:t>%，比全国高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0.7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比</w:t>
      </w:r>
      <w:r>
        <w:rPr>
          <w:rFonts w:ascii="Times New Roman" w:hAnsi="Times New Roman" w:eastAsia="仿宋_GB2312"/>
          <w:color w:val="000000"/>
          <w:sz w:val="32"/>
          <w:szCs w:val="32"/>
        </w:rPr>
        <w:t>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高1.5个百分点</w:t>
      </w:r>
      <w:r>
        <w:rPr>
          <w:rFonts w:ascii="Times New Roman" w:hAnsi="Times New Roman" w:eastAsia="仿宋_GB2312"/>
          <w:color w:val="000000"/>
          <w:sz w:val="32"/>
          <w:szCs w:val="32"/>
        </w:rPr>
        <w:t>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0.7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⑦农村居民人均可支配收入全国增长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%，全省增长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6.9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8.1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%，全县增长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与</w:t>
      </w:r>
      <w:r>
        <w:rPr>
          <w:rFonts w:ascii="Times New Roman" w:hAnsi="Times New Roman" w:eastAsia="仿宋_GB2312"/>
          <w:color w:val="000000"/>
          <w:sz w:val="32"/>
          <w:szCs w:val="32"/>
        </w:rPr>
        <w:t>全国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持平</w:t>
      </w:r>
      <w:r>
        <w:rPr>
          <w:rFonts w:ascii="Times New Roman" w:hAnsi="Times New Roman" w:eastAsia="仿宋_GB2312"/>
          <w:color w:val="000000"/>
          <w:sz w:val="32"/>
          <w:szCs w:val="32"/>
        </w:rPr>
        <w:t>，比全省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高0.9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全市</w:t>
      </w:r>
      <w:r>
        <w:rPr>
          <w:rFonts w:ascii="Times New Roman" w:hAnsi="Times New Roman" w:eastAsia="仿宋_GB2312"/>
          <w:color w:val="000000"/>
          <w:sz w:val="32"/>
          <w:szCs w:val="32"/>
        </w:rPr>
        <w:t>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0.3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（具体见表1）</w:t>
      </w:r>
    </w:p>
    <w:p>
      <w:pPr>
        <w:spacing w:line="600" w:lineRule="exact"/>
        <w:ind w:firstLine="643" w:firstLineChars="200"/>
        <w:textAlignment w:val="baseline"/>
        <w:rPr>
          <w:rFonts w:ascii="Times New Roman" w:hAnsi="Times New Roman" w:eastAsia="楷体"/>
          <w:b/>
          <w:color w:val="000000"/>
          <w:sz w:val="32"/>
          <w:szCs w:val="32"/>
        </w:rPr>
      </w:pPr>
      <w:r>
        <w:rPr>
          <w:rFonts w:ascii="Times New Roman" w:hAnsi="Times New Roman" w:eastAsia="楷体"/>
          <w:b/>
          <w:color w:val="000000"/>
          <w:sz w:val="32"/>
          <w:szCs w:val="32"/>
        </w:rPr>
        <w:t>表1：上半年全国、全省、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全市</w:t>
      </w:r>
      <w:r>
        <w:rPr>
          <w:rFonts w:ascii="Times New Roman" w:hAnsi="Times New Roman" w:eastAsia="楷体"/>
          <w:b/>
          <w:color w:val="000000"/>
          <w:sz w:val="32"/>
          <w:szCs w:val="32"/>
        </w:rPr>
        <w:t>、全县主要经济指标</w:t>
      </w:r>
    </w:p>
    <w:p>
      <w:pPr>
        <w:spacing w:line="600" w:lineRule="exact"/>
        <w:textAlignment w:val="baseline"/>
        <w:rPr>
          <w:rFonts w:ascii="Times New Roman" w:hAnsi="Times New Roman" w:eastAsia="楷体"/>
          <w:b/>
          <w:color w:val="000000"/>
          <w:sz w:val="20"/>
        </w:rPr>
      </w:pPr>
      <w:r>
        <w:rPr>
          <w:rFonts w:ascii="Times New Roman" w:hAnsi="Times New Roman" w:eastAsia="楷体"/>
          <w:b/>
          <w:color w:val="000000"/>
          <w:sz w:val="32"/>
          <w:szCs w:val="32"/>
        </w:rPr>
        <w:t>增长情况</w:t>
      </w:r>
    </w:p>
    <w:tbl>
      <w:tblPr>
        <w:tblStyle w:val="8"/>
        <w:tblpPr w:leftFromText="180" w:rightFromText="180" w:vertAnchor="text" w:horzAnchor="page" w:tblpXSpec="center" w:tblpY="246"/>
        <w:tblOverlap w:val="never"/>
        <w:tblW w:w="7882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227"/>
        <w:gridCol w:w="1276"/>
        <w:gridCol w:w="1237"/>
        <w:gridCol w:w="1237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05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2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276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全省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市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靖州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905" w:type="dxa"/>
            <w:vMerge w:val="continue"/>
            <w:noWrap/>
            <w:vAlign w:val="center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增速（%）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增速（%）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GDP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5.5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3.6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3.8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规模工业增加值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3.8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2.6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-6.3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8.5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固定资产投资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3.8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7.2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8.9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社会消费品零售总额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8.2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6.6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8.8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9.4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地方一般公共预算收入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13.3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11.2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7.5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10.6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城镇居民人均可支配收入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5.4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4.6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5.4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6.1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905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农村居民人均可支配收入</w:t>
            </w:r>
          </w:p>
        </w:tc>
        <w:tc>
          <w:tcPr>
            <w:tcW w:w="122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7.8</w:t>
            </w:r>
          </w:p>
        </w:tc>
        <w:tc>
          <w:tcPr>
            <w:tcW w:w="1276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6.9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8.1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7.8</w:t>
            </w:r>
          </w:p>
        </w:tc>
      </w:tr>
    </w:tbl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2．与去年同期纵向比较来看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今年上半年主要经济指标增长幅度在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排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名对比有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项提升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项回落。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①GDP增速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提升1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②规模工业增加值增速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排名比去年同期提升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③固定资产投资增速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回落2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④社会消费品零售总额增速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排名与去年同期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提升1位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⑤地方一般公共预算收入增速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回落8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⑥城镇居民人均可支配收入增速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回落1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⑦农村居民人均可支配收入增速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排名比去年同期回落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位。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3．与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楷体_GB2312"/>
          <w:b/>
          <w:bCs/>
          <w:sz w:val="32"/>
          <w:szCs w:val="32"/>
        </w:rPr>
        <w:t>横向比较来看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从七大主要经济指标上半年发布情况来看，我县有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项经济指标增速超过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项略低。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①GDP增速高于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0.8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②规模工业增加值增速高于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14.8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③固定资产投资增速高于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1.7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④社会消费品零售总额增速高于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0.6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⑤地方一般公共预算收入增速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高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3.1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⑥城镇居民人均可支配收入增速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高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0.7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⑦农村居民人均可支配收入增速低于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0.3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个百分点。</w:t>
      </w:r>
    </w:p>
    <w:p>
      <w:pPr>
        <w:pStyle w:val="7"/>
        <w:shd w:val="clear" w:color="auto" w:fill="FFFFFF"/>
        <w:spacing w:beforeAutospacing="0" w:afterAutospacing="0" w:line="600" w:lineRule="exact"/>
        <w:ind w:firstLine="482" w:firstLineChars="200"/>
        <w:jc w:val="both"/>
        <w:textAlignment w:val="baseline"/>
        <w:rPr>
          <w:rFonts w:ascii="仿宋" w:hAnsi="仿宋" w:eastAsia="仿宋" w:cs="仿宋"/>
          <w:b/>
          <w:bCs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82A47-7A3B-43DD-BFCD-AE11AAED2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FA4EC4A-21AC-4C61-B473-84805AB241A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9278EF-F8A3-4563-946B-2BCAE252A1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009A6E-7CA0-42A4-96DA-78BBE3E5F82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41C230A2-87A7-4D94-822A-F27C7F9972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C1917F9-89AE-4B94-A11B-9C72FB8EDD0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3E252CFB"/>
    <w:rsid w:val="000526DF"/>
    <w:rsid w:val="00093997"/>
    <w:rsid w:val="00101FE2"/>
    <w:rsid w:val="001810EE"/>
    <w:rsid w:val="00187B60"/>
    <w:rsid w:val="001D0AF9"/>
    <w:rsid w:val="002D450A"/>
    <w:rsid w:val="00377087"/>
    <w:rsid w:val="004265D8"/>
    <w:rsid w:val="005A1BAB"/>
    <w:rsid w:val="00614D6A"/>
    <w:rsid w:val="00746FD1"/>
    <w:rsid w:val="007B6DFA"/>
    <w:rsid w:val="007D1424"/>
    <w:rsid w:val="007D58EA"/>
    <w:rsid w:val="0082561E"/>
    <w:rsid w:val="0084425F"/>
    <w:rsid w:val="00862320"/>
    <w:rsid w:val="0092588B"/>
    <w:rsid w:val="00A11008"/>
    <w:rsid w:val="00A22765"/>
    <w:rsid w:val="00A323E3"/>
    <w:rsid w:val="00A543C5"/>
    <w:rsid w:val="00B20C24"/>
    <w:rsid w:val="00B4340B"/>
    <w:rsid w:val="00BD1169"/>
    <w:rsid w:val="00F52FFB"/>
    <w:rsid w:val="01066A48"/>
    <w:rsid w:val="012A4E2C"/>
    <w:rsid w:val="022C24DE"/>
    <w:rsid w:val="024141DC"/>
    <w:rsid w:val="03FB5AFA"/>
    <w:rsid w:val="04C06F13"/>
    <w:rsid w:val="066F170A"/>
    <w:rsid w:val="071F7CA6"/>
    <w:rsid w:val="076D38BD"/>
    <w:rsid w:val="087A0447"/>
    <w:rsid w:val="09AA1E93"/>
    <w:rsid w:val="0A2F7010"/>
    <w:rsid w:val="0A8C6210"/>
    <w:rsid w:val="0AEB73DB"/>
    <w:rsid w:val="0C6B3076"/>
    <w:rsid w:val="0CEE245B"/>
    <w:rsid w:val="0D9D0734"/>
    <w:rsid w:val="0DB241E0"/>
    <w:rsid w:val="0E6D45AA"/>
    <w:rsid w:val="0F881941"/>
    <w:rsid w:val="0FD91CF0"/>
    <w:rsid w:val="10583317"/>
    <w:rsid w:val="111113F4"/>
    <w:rsid w:val="117D33E9"/>
    <w:rsid w:val="11FA4136"/>
    <w:rsid w:val="123C49C0"/>
    <w:rsid w:val="126D1873"/>
    <w:rsid w:val="14514E92"/>
    <w:rsid w:val="14C85FCD"/>
    <w:rsid w:val="15981F0D"/>
    <w:rsid w:val="15DC44FF"/>
    <w:rsid w:val="16287735"/>
    <w:rsid w:val="18683A19"/>
    <w:rsid w:val="18FC1FC2"/>
    <w:rsid w:val="191B6861"/>
    <w:rsid w:val="19967FFD"/>
    <w:rsid w:val="19D454DE"/>
    <w:rsid w:val="1ACB4B33"/>
    <w:rsid w:val="1CC02A94"/>
    <w:rsid w:val="1CC63804"/>
    <w:rsid w:val="1D175E0D"/>
    <w:rsid w:val="1D444807"/>
    <w:rsid w:val="1EB5427B"/>
    <w:rsid w:val="20124FB2"/>
    <w:rsid w:val="20313165"/>
    <w:rsid w:val="22AF0CB3"/>
    <w:rsid w:val="22F56BF1"/>
    <w:rsid w:val="23223022"/>
    <w:rsid w:val="232F19D7"/>
    <w:rsid w:val="243454F7"/>
    <w:rsid w:val="250C6474"/>
    <w:rsid w:val="256C6F12"/>
    <w:rsid w:val="257A518B"/>
    <w:rsid w:val="28643ED1"/>
    <w:rsid w:val="2B1909CB"/>
    <w:rsid w:val="2B6C1A1A"/>
    <w:rsid w:val="2CAF6062"/>
    <w:rsid w:val="2DA105FB"/>
    <w:rsid w:val="2F0106CB"/>
    <w:rsid w:val="31B236B6"/>
    <w:rsid w:val="3264344B"/>
    <w:rsid w:val="35812566"/>
    <w:rsid w:val="359E18D6"/>
    <w:rsid w:val="36A05C09"/>
    <w:rsid w:val="36B36A4C"/>
    <w:rsid w:val="36BC2655"/>
    <w:rsid w:val="37AF36BD"/>
    <w:rsid w:val="394A7BAD"/>
    <w:rsid w:val="396A32C5"/>
    <w:rsid w:val="39C173D5"/>
    <w:rsid w:val="3A3776FD"/>
    <w:rsid w:val="3A4A1178"/>
    <w:rsid w:val="3B064F9C"/>
    <w:rsid w:val="3B4C0F20"/>
    <w:rsid w:val="3B9A2D02"/>
    <w:rsid w:val="3E252CFB"/>
    <w:rsid w:val="3F9877AE"/>
    <w:rsid w:val="401069C0"/>
    <w:rsid w:val="415E5CCE"/>
    <w:rsid w:val="41777222"/>
    <w:rsid w:val="42073DF3"/>
    <w:rsid w:val="42C47ACF"/>
    <w:rsid w:val="4317351F"/>
    <w:rsid w:val="43C33713"/>
    <w:rsid w:val="443063A6"/>
    <w:rsid w:val="444430DC"/>
    <w:rsid w:val="45240818"/>
    <w:rsid w:val="45C4087C"/>
    <w:rsid w:val="473F2382"/>
    <w:rsid w:val="476A10AC"/>
    <w:rsid w:val="47AA17BE"/>
    <w:rsid w:val="48194880"/>
    <w:rsid w:val="4BAC20C5"/>
    <w:rsid w:val="4BC16080"/>
    <w:rsid w:val="4C5A7127"/>
    <w:rsid w:val="4C79769B"/>
    <w:rsid w:val="4CEE0089"/>
    <w:rsid w:val="4D26727B"/>
    <w:rsid w:val="4D461C73"/>
    <w:rsid w:val="4E55793E"/>
    <w:rsid w:val="4E7D6D7D"/>
    <w:rsid w:val="4EF10FAB"/>
    <w:rsid w:val="4F0C47F7"/>
    <w:rsid w:val="4FC45FF2"/>
    <w:rsid w:val="4FD722B8"/>
    <w:rsid w:val="4FE70DC0"/>
    <w:rsid w:val="50041972"/>
    <w:rsid w:val="512A294F"/>
    <w:rsid w:val="51E12E2A"/>
    <w:rsid w:val="52021EE1"/>
    <w:rsid w:val="5221680B"/>
    <w:rsid w:val="52E31D12"/>
    <w:rsid w:val="54DC5845"/>
    <w:rsid w:val="55456CB4"/>
    <w:rsid w:val="560252D0"/>
    <w:rsid w:val="56440D1A"/>
    <w:rsid w:val="56724A9A"/>
    <w:rsid w:val="56B7773E"/>
    <w:rsid w:val="56D30F6E"/>
    <w:rsid w:val="57E36310"/>
    <w:rsid w:val="583B64B1"/>
    <w:rsid w:val="58555460"/>
    <w:rsid w:val="598B27B6"/>
    <w:rsid w:val="5BF26F3D"/>
    <w:rsid w:val="5C2F7D76"/>
    <w:rsid w:val="5C4C6B7A"/>
    <w:rsid w:val="5DB6074F"/>
    <w:rsid w:val="5DBC31C3"/>
    <w:rsid w:val="5E251431"/>
    <w:rsid w:val="5E581806"/>
    <w:rsid w:val="5E6C3504"/>
    <w:rsid w:val="5E745F14"/>
    <w:rsid w:val="5FE11D50"/>
    <w:rsid w:val="604F4E8B"/>
    <w:rsid w:val="605B3830"/>
    <w:rsid w:val="61AC57D5"/>
    <w:rsid w:val="61C251E9"/>
    <w:rsid w:val="62FB3D85"/>
    <w:rsid w:val="635307EE"/>
    <w:rsid w:val="64032214"/>
    <w:rsid w:val="6408782B"/>
    <w:rsid w:val="65BA6FFD"/>
    <w:rsid w:val="660B715E"/>
    <w:rsid w:val="660D333E"/>
    <w:rsid w:val="6760172C"/>
    <w:rsid w:val="6955518E"/>
    <w:rsid w:val="69C42446"/>
    <w:rsid w:val="6A2922A9"/>
    <w:rsid w:val="6B3B2294"/>
    <w:rsid w:val="6BA105A5"/>
    <w:rsid w:val="6C3C4515"/>
    <w:rsid w:val="6D57537F"/>
    <w:rsid w:val="6E10605E"/>
    <w:rsid w:val="6F4F27B2"/>
    <w:rsid w:val="702F7F87"/>
    <w:rsid w:val="70D209A5"/>
    <w:rsid w:val="722577FA"/>
    <w:rsid w:val="7258372B"/>
    <w:rsid w:val="756E5C1E"/>
    <w:rsid w:val="75D21A46"/>
    <w:rsid w:val="75D47992"/>
    <w:rsid w:val="773D55E5"/>
    <w:rsid w:val="793A1DDD"/>
    <w:rsid w:val="799C5E7E"/>
    <w:rsid w:val="7A3E3D50"/>
    <w:rsid w:val="7B635A93"/>
    <w:rsid w:val="7D3728C1"/>
    <w:rsid w:val="7D384885"/>
    <w:rsid w:val="7D697134"/>
    <w:rsid w:val="7DFF7EA3"/>
    <w:rsid w:val="7E2B16A2"/>
    <w:rsid w:val="7E576F8D"/>
    <w:rsid w:val="7EBC0EEF"/>
    <w:rsid w:val="7F007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UserStyle_0"/>
    <w:basedOn w:val="11"/>
    <w:next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1">
    <w:name w:val="UserStyle_1"/>
    <w:basedOn w:val="1"/>
    <w:next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992</Words>
  <Characters>5659</Characters>
  <Lines>47</Lines>
  <Paragraphs>13</Paragraphs>
  <TotalTime>0</TotalTime>
  <ScaleCrop>false</ScaleCrop>
  <LinksUpToDate>false</LinksUpToDate>
  <CharactersWithSpaces>6638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2023-07-24T03:00:00Z</dcterms:created>
  <dc:creator>华华</dc:creator>
  <cp:lastModifiedBy>华华</cp:lastModifiedBy>
  <cp:lastPrinted>2023-07-25T01:00:00Z</cp:lastPrinted>
  <dcterms:modified xsi:type="dcterms:W3CDTF">2023-09-15T01:11:39Z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E2E7F00A18464DFB83889187A81B667D_11</vt:lpwstr>
  </property>
</Properties>
</file>