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靖州县前三季度经济运行分析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县统计局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（2021年1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</w:rPr>
        <w:t>日）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640" w:firstLineChars="200"/>
        <w:jc w:val="left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今年来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在县委、县政府的坚强领导下，全县上下坚持以习近平总书记考察湖南重要讲话精神为指引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认真贯彻“三高四新”战略，主要经济指标保持在合理区间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经济保持稳定发展、稳步向好态势。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地区生产总值（简称“GDP”）统一核算结果显示，前三季度全县GDP67.18亿元，按可比价格计算，同比增长9.8%,全市排名第3。分产业看，第一产业增加值10.27亿元，同比增长8.7%，拉动经济增长0.3个百分点；第二产业增加值18.82亿元，同比增长10.9%，拉动经济增长4个百分点；第三产业增加值38.09亿元，同比增长9.6%，拉动经济增长5.5个百分点。前三季度，三次产业结构为15.3：28：56.7，服务业是全县经济增长的主要引擎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  <w:t>当前经济运行特点</w:t>
      </w:r>
    </w:p>
    <w:p>
      <w:pPr>
        <w:ind w:firstLine="643" w:firstLineChars="200"/>
        <w:jc w:val="left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  <w:t>1、产业发展稳中有进。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一是农业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</w:rPr>
        <w:t>生产形势较好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前三季度，全县农林牧渔业增加值同比增长8.6%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比上半年加快1.6个百分点。蔬菜产量6.33万吨，同比增长2.8%；水果产量3.14万吨，同比增长6.5%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生猪生产持续恢复，生猪出栏27.76万头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同比增长21.6%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二是工业稳定恢复。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前三季度，全县规模以上工业增加值17.13亿元，同比增长11.5%，全市排名第8。分类型看，股份制企业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同比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增长11.9%；国有控股企业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</w:rPr>
        <w:t>同比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增长16.8%；省级及以上产业园区工业增加值完成13.32亿元。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三是服务业发展稳健。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1-8月，全县规模以上服务业企业营业收入0.88亿元，同比增长7.9%。其中，租赁和商务服务业、科学研究和技术服务业、居民服务、修理和其他服务业等主要行业增速均超过20%。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2、</w:t>
      </w: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  <w:t>国内需求稳中有升。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一是投资稳定增长。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前三季度，全县固定资产投资59亿元，同比增长18.5%，全市排名第3。分结构看，工业投资20.7亿元，同比增长11.4%，工业投资占全部投资比重35.1%;产业投资38.2亿元，同比增长28.5%，产业投资占全部投资比重64.7%；高新技术投资13.67亿元，同比增长152.8%，高新技术投资占全部投资比重23.2%，高新技术投资占产业投资比重35.8%；民间投资21.67亿元，同比增长19.1%，民间投资占全部投资比重36.7%；制造业投资18.24亿元，同比增长10.8%，制造业投资占全部投资比重30.9%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二是消费持续好转。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社会消费品零售总额23.58亿元，同比增长22.4%，全市排名第2。按所在地看，城镇18.67亿元，同比增长22.9%；乡村完成4.91亿元，同比增长20.6%。分行业看，批发业3.88亿元，同比增长22.9%；零售业16.73亿元，同比增长22.1%；住宿业0.98亿元，同比增长23.9%；餐饮业1.99亿元，同比增长23.5%。</w:t>
      </w:r>
    </w:p>
    <w:p>
      <w:pPr>
        <w:pStyle w:val="4"/>
        <w:ind w:firstLine="643" w:firstLineChars="200"/>
        <w:rPr>
          <w:rFonts w:ascii="华文仿宋" w:hAnsi="华文仿宋" w:eastAsia="华文仿宋" w:cs="华文仿宋"/>
          <w:color w:val="000000" w:themeColor="text1"/>
          <w:szCs w:val="32"/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Cs w:val="32"/>
          <w:shd w:val="clear" w:color="auto" w:fill="FFFFFF"/>
        </w:rPr>
        <w:t>3、质量效益稳中向好。一是财政金融稳健。</w:t>
      </w:r>
      <w:r>
        <w:rPr>
          <w:rFonts w:hint="eastAsia" w:ascii="华文仿宋" w:hAnsi="华文仿宋" w:eastAsia="华文仿宋" w:cs="华文仿宋"/>
          <w:color w:val="000000" w:themeColor="text1"/>
          <w:szCs w:val="32"/>
          <w:shd w:val="clear" w:color="auto" w:fill="FFFFFF"/>
        </w:rPr>
        <w:t>前三季度，全县地方财政收入3.07亿元，同比增长25.1%，</w:t>
      </w:r>
      <w:r>
        <w:rPr>
          <w:rFonts w:hint="eastAsia" w:ascii="华文仿宋" w:hAnsi="华文仿宋" w:eastAsia="华文仿宋" w:cs="华文仿宋"/>
          <w:color w:val="000000" w:themeColor="text1"/>
          <w:szCs w:val="32"/>
        </w:rPr>
        <w:t>完成全年进度的86.35%，全市排名第3。其中税收收入完成2.15亿元，完成全年任务的的83.94%，同比增长39.26%，非税收入完成0.92亿元，非税占比29.98%。9月末，全县金融机构存款余额115.43亿元，同比增长1.28%。其中全县住户存款97.72 亿元，同比增长9.36%。全县金融机构贷款余额66.61亿元，同比增长8.29%。其中住户贷款余额35.42亿元，同比增长16.67%。存贷比达到57.71%，同比增加3.74个百分点。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Cs w:val="32"/>
        </w:rPr>
        <w:t>二是居民收入同步增长。</w:t>
      </w:r>
      <w:r>
        <w:rPr>
          <w:rFonts w:hint="eastAsia" w:ascii="华文仿宋" w:hAnsi="华文仿宋" w:eastAsia="华文仿宋" w:cs="华文仿宋"/>
          <w:color w:val="000000" w:themeColor="text1"/>
          <w:szCs w:val="32"/>
        </w:rPr>
        <w:t>城镇、农村居民人均可支配收入分别为22103元、9824元，分别增长9.4%、12.4%</w:t>
      </w:r>
      <w:r>
        <w:rPr>
          <w:rFonts w:hint="eastAsia" w:ascii="华文仿宋" w:hAnsi="华文仿宋" w:eastAsia="华文仿宋" w:cs="华文仿宋"/>
          <w:color w:val="000000" w:themeColor="text1"/>
          <w:szCs w:val="32"/>
          <w:shd w:val="clear" w:color="auto" w:fill="FFFFFF"/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Cs w:val="32"/>
        </w:rPr>
        <w:t>全市排名第4、6</w:t>
      </w:r>
      <w:r>
        <w:rPr>
          <w:rFonts w:hint="eastAsia" w:ascii="华文仿宋" w:hAnsi="华文仿宋" w:eastAsia="华文仿宋" w:cs="华文仿宋"/>
          <w:color w:val="000000" w:themeColor="text1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Cs w:val="32"/>
          <w:shd w:val="clear" w:color="auto" w:fill="FFFFFF"/>
        </w:rPr>
        <w:t>三是民生福祉增强。</w:t>
      </w:r>
      <w:r>
        <w:rPr>
          <w:rFonts w:hint="eastAsia" w:ascii="华文仿宋" w:hAnsi="华文仿宋" w:eastAsia="华文仿宋" w:cs="华文仿宋"/>
          <w:color w:val="000000" w:themeColor="text1"/>
          <w:szCs w:val="32"/>
          <w:shd w:val="clear" w:color="auto" w:fill="FFFFFF"/>
        </w:rPr>
        <w:t>前三季度，全县新增就业1877人，为年度目标任务的89.4%。民生领域支出16.38亿元，占一般公共预算支出的82.1%。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二、经济运行比较分析</w:t>
      </w:r>
    </w:p>
    <w:p>
      <w:pPr>
        <w:pStyle w:val="6"/>
        <w:widowControl/>
        <w:shd w:val="clear" w:color="auto" w:fill="FFFFFF"/>
        <w:spacing w:beforeAutospacing="0" w:afterAutospacing="0" w:line="600" w:lineRule="exact"/>
        <w:ind w:left="420" w:leftChars="200" w:firstLine="321" w:firstLineChars="100"/>
        <w:jc w:val="both"/>
        <w:textAlignment w:val="baseline"/>
        <w:rPr>
          <w:rFonts w:ascii="Times New Roman" w:hAnsi="Times New Roman" w:eastAsia="楷体"/>
          <w:b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 w:themeColor="text1"/>
          <w:kern w:val="2"/>
          <w:sz w:val="32"/>
          <w:szCs w:val="32"/>
        </w:rPr>
        <w:t>1、与</w:t>
      </w: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</w:rPr>
        <w:t>全国、全省比较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①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全国</w:t>
      </w:r>
      <w:r>
        <w:rPr>
          <w:rFonts w:ascii="Times New Roman" w:hAnsi="Times New Roman" w:eastAsia="仿宋_GB2312"/>
          <w:color w:val="000000"/>
          <w:sz w:val="32"/>
          <w:szCs w:val="32"/>
        </w:rPr>
        <w:t>GDP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增长9.8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，全省增长8.9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，我县增长9.8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，与全国持平、比全省高0.9个百分点。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规模工业增加值全国增长11.8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，全省增长9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，全县增长11.5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，比全国低0.3个百分点、比全省高</w:t>
      </w:r>
      <w:r>
        <w:rPr>
          <w:rFonts w:ascii="Times New Roman" w:hAnsi="Times New Roman" w:eastAsia="仿宋_GB2312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固定资产投资全国增长7.3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，全省增长9.1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，全县增长18.5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，比全国高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1.2个百分点、比全省高9.4个百分点。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④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社会消费品零售总额全国增长16.4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，全省增长19.1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，全县增长22.4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，比全国高</w:t>
      </w: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个百分点、比全省高3.3个百分点。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地方一般公共预算收入全国增长16.3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，全省增长17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，全县增长25.1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，比全国高8.8个百分点、比全省高8.1个百分点。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城镇居民人均可支配收入全国增长9.5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，全省增长8.4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，全县增长9.4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，比全国低</w:t>
      </w:r>
      <w:r>
        <w:rPr>
          <w:rFonts w:ascii="Times New Roman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1个百分点，比全省高1个百分点。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/>
          <w:b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⑦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农村居民人均可支配收入全国增长11.6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，全省增长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1.3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，全县增长12.4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，比全国高</w:t>
      </w:r>
      <w:r>
        <w:rPr>
          <w:rFonts w:ascii="Times New Roman" w:hAnsi="Times New Roman" w:eastAsia="仿宋_GB2312"/>
          <w:color w:val="000000"/>
          <w:sz w:val="32"/>
          <w:szCs w:val="32"/>
        </w:rPr>
        <w:t>0.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8个百分点，比全省高1.1个百分点。（具体见表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600" w:lineRule="exact"/>
        <w:jc w:val="center"/>
        <w:textAlignment w:val="baseline"/>
        <w:rPr>
          <w:rFonts w:ascii="Times New Roman" w:hAnsi="Times New Roman" w:eastAsia="楷体"/>
          <w:b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</w:rPr>
        <w:t>表1：前三季度全国、全省、全市、全县主要经济指标</w:t>
      </w:r>
    </w:p>
    <w:p>
      <w:pPr>
        <w:spacing w:line="600" w:lineRule="exact"/>
        <w:jc w:val="center"/>
        <w:textAlignment w:val="baseline"/>
        <w:rPr>
          <w:rFonts w:ascii="Times New Roman" w:hAnsi="Times New Roman" w:eastAsia="楷体"/>
          <w:b/>
          <w:color w:val="000000" w:themeColor="text1"/>
          <w:sz w:val="20"/>
        </w:rPr>
      </w:pPr>
      <w:r>
        <w:rPr>
          <w:rFonts w:hint="eastAsia" w:ascii="Times New Roman" w:hAnsi="Times New Roman" w:eastAsia="楷体"/>
          <w:b/>
          <w:color w:val="000000" w:themeColor="text1"/>
          <w:sz w:val="32"/>
          <w:szCs w:val="32"/>
        </w:rPr>
        <w:t>增长情况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7169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1227"/>
        <w:gridCol w:w="1276"/>
        <w:gridCol w:w="1214"/>
        <w:gridCol w:w="1237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6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228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全国</w:t>
            </w:r>
          </w:p>
        </w:tc>
        <w:tc>
          <w:tcPr>
            <w:tcW w:w="127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全省</w:t>
            </w:r>
          </w:p>
        </w:tc>
        <w:tc>
          <w:tcPr>
            <w:tcW w:w="1215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怀化</w:t>
            </w:r>
          </w:p>
        </w:tc>
        <w:tc>
          <w:tcPr>
            <w:tcW w:w="1233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靖州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216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GDP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9.8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8.9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9.4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9.8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10"/>
                <w:kern w:val="0"/>
                <w:sz w:val="24"/>
              </w:rPr>
              <w:t>规模工业增加值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11.8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11.6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11.5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固定资产投资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7.3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17.1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18.5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16.4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19.1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19.7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22.4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地方一般公共预算收入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16.3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17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19.2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25.1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城镇居民人均可支配收入</w:t>
            </w:r>
          </w:p>
        </w:tc>
        <w:tc>
          <w:tcPr>
            <w:tcW w:w="122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9.5</w:t>
            </w:r>
          </w:p>
        </w:tc>
        <w:tc>
          <w:tcPr>
            <w:tcW w:w="1277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8.4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8.7</w:t>
            </w:r>
          </w:p>
        </w:tc>
        <w:tc>
          <w:tcPr>
            <w:tcW w:w="123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9.4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216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农村居民人均可支配收入</w:t>
            </w:r>
          </w:p>
        </w:tc>
        <w:tc>
          <w:tcPr>
            <w:tcW w:w="1228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11.6</w:t>
            </w:r>
          </w:p>
        </w:tc>
        <w:tc>
          <w:tcPr>
            <w:tcW w:w="127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11.3</w:t>
            </w:r>
          </w:p>
        </w:tc>
        <w:tc>
          <w:tcPr>
            <w:tcW w:w="1210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11.9</w:t>
            </w:r>
          </w:p>
        </w:tc>
        <w:tc>
          <w:tcPr>
            <w:tcW w:w="1238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12.4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600" w:lineRule="exact"/>
        <w:ind w:firstLine="964" w:firstLineChars="300"/>
        <w:jc w:val="both"/>
        <w:textAlignment w:val="baseline"/>
        <w:rPr>
          <w:rFonts w:ascii="Times New Roman" w:hAnsi="Times New Roman" w:eastAsia="楷体_GB2312"/>
          <w:b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 w:themeColor="text1"/>
          <w:kern w:val="2"/>
          <w:sz w:val="32"/>
          <w:szCs w:val="32"/>
        </w:rPr>
        <w:t>2、与去年同期纵向比较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今年前三季度主要经济指标增长幅度对比去年同期都有提高，在全市排名对比有4项提升、1项持平、2项回落。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①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GDP增速比去年同期提高7.5个百分点，全市排名比去年同期提升2位。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②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规模工业增加值增速比去年同期提高8.6个百分点，全市排名比去年同期回落3位。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③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固定资产投资增速比去年同期提高7.1个百分点，全市排名比去年同期提升3位。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④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社会消费品零售总额增速比去年同期提高25.5个百分点，全市排名比去年同期回落1位。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⑤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地方一般公共预算收入增速比去年同期提高24.1个百分点，全市排名比去年同期提升10位。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⑥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城镇居民人均可支配收入增速比去年同期提高4.8个百分点，全市排名与去年同期持平。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⑦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农村居民人均可支配收入增速比去年同期提高2.6个百分点，全市排名比去年同期提升2位。（具体见表2）</w:t>
      </w:r>
    </w:p>
    <w:p>
      <w:pPr>
        <w:pStyle w:val="6"/>
        <w:shd w:val="clear" w:color="auto" w:fill="FFFFFF"/>
        <w:spacing w:beforeAutospacing="0" w:afterAutospacing="0" w:line="590" w:lineRule="exact"/>
        <w:ind w:firstLine="964" w:firstLineChars="300"/>
        <w:jc w:val="both"/>
        <w:textAlignment w:val="baseline"/>
        <w:rPr>
          <w:rFonts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 xml:space="preserve">表2：  </w:t>
      </w:r>
      <w:r>
        <w:rPr>
          <w:rFonts w:hint="eastAsia" w:ascii="华文仿宋" w:hAnsi="华文仿宋" w:eastAsia="华文仿宋" w:cs="华文仿宋"/>
          <w:b/>
          <w:bCs/>
          <w:color w:val="000000"/>
          <w:kern w:val="2"/>
          <w:sz w:val="32"/>
          <w:szCs w:val="32"/>
        </w:rPr>
        <w:t>与去年同期纵向比较情况</w:t>
      </w:r>
    </w:p>
    <w:tbl>
      <w:tblPr>
        <w:tblStyle w:val="7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1"/>
        <w:gridCol w:w="1472"/>
        <w:gridCol w:w="1439"/>
        <w:gridCol w:w="1507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指标名称</w:t>
            </w:r>
          </w:p>
        </w:tc>
        <w:tc>
          <w:tcPr>
            <w:tcW w:w="291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</w:rPr>
              <w:t>2021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年前三季度</w:t>
            </w:r>
          </w:p>
        </w:tc>
        <w:tc>
          <w:tcPr>
            <w:tcW w:w="298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</w:rPr>
              <w:t>2020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年前三季度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排名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）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一、地区生产总值（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GDP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9.8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2.3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二、规模工业增加值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11.5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2.9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三、固定资产投资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18.5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11.4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四、社会消费品零售总额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22.4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-3.1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五、地方一般公共预算收入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25.1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0.99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六、城镇居民人均可支配收入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9.4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4.6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1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七、农村居民人均可支配收入</w:t>
            </w: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12.4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0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9.8 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 w:themeColor="text1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kern w:val="0"/>
                <w:sz w:val="24"/>
              </w:rPr>
              <w:t xml:space="preserve">8 </w:t>
            </w:r>
          </w:p>
        </w:tc>
      </w:tr>
    </w:tbl>
    <w:p>
      <w:pPr>
        <w:pStyle w:val="6"/>
        <w:shd w:val="clear" w:color="auto" w:fill="FFFFFF"/>
        <w:spacing w:beforeAutospacing="0" w:afterAutospacing="0" w:line="59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</w:rPr>
        <w:t>3、与全市横向比较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从七大主要经济指标前三季度发布情况来看，我县有6项经济指标增速超过全市，1项略低。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①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GDP增速高于全市0.4个百分点。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②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固定资产投资增速高于全市1.4个百分点。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③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社会消费品零售总额增速高于全市2.7个百分点。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④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地方一般公共预算收入增速高于全市5.9个百分点。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⑤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城镇居民人均可支配收入增速高于全市0.7个百分点。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⑥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农村居民人均可支配收入增速高于全市0.5个百分点。</w:t>
      </w:r>
    </w:p>
    <w:p>
      <w:pPr>
        <w:pStyle w:val="6"/>
        <w:shd w:val="clear" w:color="auto" w:fill="FFFFFF"/>
        <w:spacing w:beforeAutospacing="0" w:afterAutospacing="0" w:line="59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Calibri" w:hAnsi="Calibri" w:eastAsia="华文仿宋" w:cs="Calibri"/>
          <w:color w:val="000000" w:themeColor="text1"/>
          <w:sz w:val="32"/>
          <w:szCs w:val="32"/>
          <w:shd w:val="clear" w:color="auto" w:fill="FFFFFF"/>
        </w:rPr>
        <w:t>⑦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规模工业增加值增速低于全市0.1个百分点。（具体见表3）</w:t>
      </w:r>
    </w:p>
    <w:p>
      <w:pPr>
        <w:ind w:firstLine="2891" w:firstLineChars="900"/>
        <w:rPr>
          <w:rFonts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  <w:t>表3：与全市横向比较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7851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1738"/>
        <w:gridCol w:w="1225"/>
        <w:gridCol w:w="2000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88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指标</w:t>
            </w:r>
          </w:p>
        </w:tc>
        <w:tc>
          <w:tcPr>
            <w:tcW w:w="1738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怀化</w:t>
            </w:r>
          </w:p>
        </w:tc>
        <w:tc>
          <w:tcPr>
            <w:tcW w:w="1225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靖州</w:t>
            </w:r>
          </w:p>
        </w:tc>
        <w:tc>
          <w:tcPr>
            <w:tcW w:w="2000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与全市对比增减百分点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888" w:type="dxa"/>
            <w:vMerge w:val="continue"/>
            <w:noWrap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  <w:tc>
          <w:tcPr>
            <w:tcW w:w="1738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12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增速（</w:t>
            </w:r>
            <w:r>
              <w:rPr>
                <w:rFonts w:ascii="Times New Roman" w:hAnsi="Times New Roman" w:eastAsia="黑体"/>
                <w:color w:val="000000" w:themeColor="text1"/>
                <w:kern w:val="0"/>
                <w:sz w:val="24"/>
              </w:rPr>
              <w:t>%</w:t>
            </w:r>
            <w:r>
              <w:rPr>
                <w:rFonts w:hint="eastAsia" w:ascii="Times New Roman" w:hAnsi="Times New Roman" w:eastAsia="黑体"/>
                <w:color w:val="000000" w:themeColor="text1"/>
                <w:kern w:val="0"/>
                <w:sz w:val="24"/>
              </w:rPr>
              <w:t>）</w:t>
            </w:r>
          </w:p>
        </w:tc>
        <w:tc>
          <w:tcPr>
            <w:tcW w:w="2000" w:type="dxa"/>
            <w:vMerge w:val="continue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黑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  <w:t>GDP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9.4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9.8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0.4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-10"/>
                <w:kern w:val="0"/>
                <w:sz w:val="24"/>
              </w:rPr>
              <w:t>规模工业增加值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11.6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11.5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-0.1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固定资产投资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17.1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18.5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1.4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社会消费品零售总额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19.7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22.4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2.7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地方一般公共预算收入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19.2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25.1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5.9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8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城镇居民人均可支配收入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8.7</w:t>
            </w:r>
          </w:p>
        </w:tc>
        <w:tc>
          <w:tcPr>
            <w:tcW w:w="1225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9.4</w:t>
            </w:r>
          </w:p>
        </w:tc>
        <w:tc>
          <w:tcPr>
            <w:tcW w:w="200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0.7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888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</w:rPr>
              <w:t>农村居民人均可支配收入</w:t>
            </w:r>
          </w:p>
        </w:tc>
        <w:tc>
          <w:tcPr>
            <w:tcW w:w="1738" w:type="dxa"/>
            <w:tcBorders>
              <w:bottom w:val="doub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11.9</w:t>
            </w:r>
          </w:p>
        </w:tc>
        <w:tc>
          <w:tcPr>
            <w:tcW w:w="1225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 w:val="24"/>
              </w:rPr>
              <w:t>12.4</w:t>
            </w:r>
          </w:p>
        </w:tc>
        <w:tc>
          <w:tcPr>
            <w:tcW w:w="2000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kern w:val="0"/>
                <w:sz w:val="24"/>
              </w:rPr>
              <w:t>0.5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250" w:lineRule="atLeast"/>
        <w:ind w:firstLine="643" w:firstLineChars="200"/>
        <w:jc w:val="both"/>
        <w:textAlignment w:val="baseline"/>
        <w:rPr>
          <w:rFonts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/>
          <w:color w:val="000000" w:themeColor="text1"/>
          <w:sz w:val="32"/>
          <w:szCs w:val="32"/>
          <w:shd w:val="clear" w:color="auto" w:fill="FFFFFF"/>
        </w:rPr>
        <w:t>、全年经济形势预测</w:t>
      </w:r>
    </w:p>
    <w:p>
      <w:pPr>
        <w:pStyle w:val="6"/>
        <w:widowControl/>
        <w:shd w:val="clear" w:color="auto" w:fill="FFFFFF"/>
        <w:spacing w:beforeAutospacing="0" w:afterAutospacing="0" w:line="250" w:lineRule="atLeas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bCs/>
          <w:color w:val="000000" w:themeColor="text1"/>
          <w:sz w:val="32"/>
          <w:szCs w:val="32"/>
          <w:shd w:val="clear" w:color="auto" w:fill="FFFFFF"/>
        </w:rPr>
        <w:t>目前，全球经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</w:rPr>
        <w:t>济虽不断复苏，但新冠肺炎疫情卷土重来，经济复苏势头有所减弱，不确定性因素上升。10月12日，国际货币基金组织（IMF）发布最新一期《世界经济展望》，预测中国2021年GDP将增长8%，较7月预测微幅下调0.1个百分点。从湖南省、怀化市、靖州县GDP完成情况来看，一、二、三季度，GDP增速均低于或与全国持平，综合分析我县2021年GDP完成增长8%的任务难度相当大，需要二、三产业持续发力。</w:t>
      </w:r>
    </w:p>
    <w:p>
      <w:pPr>
        <w:ind w:firstLine="640" w:firstLineChars="200"/>
        <w:jc w:val="left"/>
        <w:rPr>
          <w:rFonts w:ascii="华文仿宋" w:hAnsi="华文仿宋" w:eastAsia="华文仿宋" w:cs="华文仿宋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E6B9E"/>
    <w:multiLevelType w:val="singleLevel"/>
    <w:tmpl w:val="5EBE6B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FA"/>
    <w:rsid w:val="000A6AC4"/>
    <w:rsid w:val="000C0FB9"/>
    <w:rsid w:val="00113DF3"/>
    <w:rsid w:val="00186ACF"/>
    <w:rsid w:val="00193527"/>
    <w:rsid w:val="002168C5"/>
    <w:rsid w:val="002E62A9"/>
    <w:rsid w:val="003A68FA"/>
    <w:rsid w:val="004B3916"/>
    <w:rsid w:val="00602184"/>
    <w:rsid w:val="00647BFE"/>
    <w:rsid w:val="00694B81"/>
    <w:rsid w:val="006E5AE6"/>
    <w:rsid w:val="006E6AD9"/>
    <w:rsid w:val="006F5BB2"/>
    <w:rsid w:val="007B5A56"/>
    <w:rsid w:val="0090592A"/>
    <w:rsid w:val="00931C8B"/>
    <w:rsid w:val="00957E09"/>
    <w:rsid w:val="009C2829"/>
    <w:rsid w:val="009F3131"/>
    <w:rsid w:val="00A17519"/>
    <w:rsid w:val="00AA6507"/>
    <w:rsid w:val="00CF00FF"/>
    <w:rsid w:val="00D2088C"/>
    <w:rsid w:val="00D260C2"/>
    <w:rsid w:val="00D864E5"/>
    <w:rsid w:val="01193E7B"/>
    <w:rsid w:val="013D64D5"/>
    <w:rsid w:val="02457E95"/>
    <w:rsid w:val="02B07DD9"/>
    <w:rsid w:val="0381194A"/>
    <w:rsid w:val="03EC3BD5"/>
    <w:rsid w:val="042858DA"/>
    <w:rsid w:val="04B26DA0"/>
    <w:rsid w:val="0558332C"/>
    <w:rsid w:val="06367A54"/>
    <w:rsid w:val="06934195"/>
    <w:rsid w:val="075C5959"/>
    <w:rsid w:val="07BE0268"/>
    <w:rsid w:val="0845089B"/>
    <w:rsid w:val="09390495"/>
    <w:rsid w:val="096C36E2"/>
    <w:rsid w:val="099742BB"/>
    <w:rsid w:val="0A1E7102"/>
    <w:rsid w:val="0A8F3180"/>
    <w:rsid w:val="0AA24E14"/>
    <w:rsid w:val="0C3739FD"/>
    <w:rsid w:val="0C4212EF"/>
    <w:rsid w:val="0C6540EE"/>
    <w:rsid w:val="0C6F40C6"/>
    <w:rsid w:val="0CA9728D"/>
    <w:rsid w:val="0CE76D2C"/>
    <w:rsid w:val="0D1059B1"/>
    <w:rsid w:val="0E3F6509"/>
    <w:rsid w:val="0E911C3F"/>
    <w:rsid w:val="0ED24340"/>
    <w:rsid w:val="0EDB09C2"/>
    <w:rsid w:val="0F4721FF"/>
    <w:rsid w:val="0FC94282"/>
    <w:rsid w:val="10180866"/>
    <w:rsid w:val="10342401"/>
    <w:rsid w:val="10495B93"/>
    <w:rsid w:val="104D5DE4"/>
    <w:rsid w:val="107D1279"/>
    <w:rsid w:val="107E0FC8"/>
    <w:rsid w:val="109C3EF7"/>
    <w:rsid w:val="10A00E3B"/>
    <w:rsid w:val="10C74839"/>
    <w:rsid w:val="10D41A3B"/>
    <w:rsid w:val="113F4BC8"/>
    <w:rsid w:val="11FD0255"/>
    <w:rsid w:val="121A67E6"/>
    <w:rsid w:val="12806976"/>
    <w:rsid w:val="13442024"/>
    <w:rsid w:val="13777036"/>
    <w:rsid w:val="13B0531F"/>
    <w:rsid w:val="1602783F"/>
    <w:rsid w:val="176A6377"/>
    <w:rsid w:val="17BD75F3"/>
    <w:rsid w:val="180B05B3"/>
    <w:rsid w:val="185D7988"/>
    <w:rsid w:val="18975A05"/>
    <w:rsid w:val="18BD5501"/>
    <w:rsid w:val="18D67EA5"/>
    <w:rsid w:val="190E2A2D"/>
    <w:rsid w:val="196B414C"/>
    <w:rsid w:val="19E418E3"/>
    <w:rsid w:val="19FF01C8"/>
    <w:rsid w:val="1ACF0A54"/>
    <w:rsid w:val="1B5C5608"/>
    <w:rsid w:val="1BCD7B38"/>
    <w:rsid w:val="1C27656C"/>
    <w:rsid w:val="1C354A12"/>
    <w:rsid w:val="1CCF6174"/>
    <w:rsid w:val="1D332848"/>
    <w:rsid w:val="1D3740C5"/>
    <w:rsid w:val="1D5579EA"/>
    <w:rsid w:val="1D854168"/>
    <w:rsid w:val="1E0F75F2"/>
    <w:rsid w:val="1EC14B10"/>
    <w:rsid w:val="1F000661"/>
    <w:rsid w:val="1F90303D"/>
    <w:rsid w:val="204044AB"/>
    <w:rsid w:val="205B03E3"/>
    <w:rsid w:val="209E25E4"/>
    <w:rsid w:val="21480591"/>
    <w:rsid w:val="21D83810"/>
    <w:rsid w:val="225D00D0"/>
    <w:rsid w:val="227C12DD"/>
    <w:rsid w:val="23740136"/>
    <w:rsid w:val="23921E27"/>
    <w:rsid w:val="245A44DB"/>
    <w:rsid w:val="24A87736"/>
    <w:rsid w:val="25004E73"/>
    <w:rsid w:val="25965DE2"/>
    <w:rsid w:val="25AD4536"/>
    <w:rsid w:val="25F9705F"/>
    <w:rsid w:val="26033DAF"/>
    <w:rsid w:val="260839CB"/>
    <w:rsid w:val="2623757E"/>
    <w:rsid w:val="263D45DB"/>
    <w:rsid w:val="266C0E63"/>
    <w:rsid w:val="26D37AA4"/>
    <w:rsid w:val="26F42819"/>
    <w:rsid w:val="270D211F"/>
    <w:rsid w:val="272F561E"/>
    <w:rsid w:val="27B135A0"/>
    <w:rsid w:val="28644154"/>
    <w:rsid w:val="28D312C3"/>
    <w:rsid w:val="28D7169F"/>
    <w:rsid w:val="28EB53D0"/>
    <w:rsid w:val="29A835B2"/>
    <w:rsid w:val="29B55720"/>
    <w:rsid w:val="29DA039B"/>
    <w:rsid w:val="2A0F3EAF"/>
    <w:rsid w:val="2B862136"/>
    <w:rsid w:val="2B9857BE"/>
    <w:rsid w:val="2BAB434B"/>
    <w:rsid w:val="2BD137EE"/>
    <w:rsid w:val="2CBA43B1"/>
    <w:rsid w:val="2D7F589A"/>
    <w:rsid w:val="2DBD390C"/>
    <w:rsid w:val="2E2C60ED"/>
    <w:rsid w:val="2EFF51EA"/>
    <w:rsid w:val="2F7940D7"/>
    <w:rsid w:val="2F7B5A04"/>
    <w:rsid w:val="2FBB23D9"/>
    <w:rsid w:val="2FDD424D"/>
    <w:rsid w:val="2FF83549"/>
    <w:rsid w:val="30892439"/>
    <w:rsid w:val="30D2146E"/>
    <w:rsid w:val="30ED7C48"/>
    <w:rsid w:val="31222CFF"/>
    <w:rsid w:val="315E28BD"/>
    <w:rsid w:val="317D25A5"/>
    <w:rsid w:val="31840FBE"/>
    <w:rsid w:val="3241215A"/>
    <w:rsid w:val="324C43FE"/>
    <w:rsid w:val="32AD4005"/>
    <w:rsid w:val="32C073E4"/>
    <w:rsid w:val="32C157D3"/>
    <w:rsid w:val="32CD4CCC"/>
    <w:rsid w:val="33872191"/>
    <w:rsid w:val="33DB5015"/>
    <w:rsid w:val="342372F0"/>
    <w:rsid w:val="34ED23EF"/>
    <w:rsid w:val="35605CAE"/>
    <w:rsid w:val="367062DB"/>
    <w:rsid w:val="36F917D3"/>
    <w:rsid w:val="37581B6D"/>
    <w:rsid w:val="379045E3"/>
    <w:rsid w:val="37A41188"/>
    <w:rsid w:val="37A9684F"/>
    <w:rsid w:val="37E112C5"/>
    <w:rsid w:val="382D0CF2"/>
    <w:rsid w:val="389012A7"/>
    <w:rsid w:val="39C46714"/>
    <w:rsid w:val="39CB5C25"/>
    <w:rsid w:val="3A2774BB"/>
    <w:rsid w:val="3A375B4E"/>
    <w:rsid w:val="3A6932E9"/>
    <w:rsid w:val="3A991BF1"/>
    <w:rsid w:val="3AA40DD0"/>
    <w:rsid w:val="3AAB2713"/>
    <w:rsid w:val="3AD06C2B"/>
    <w:rsid w:val="3AD43435"/>
    <w:rsid w:val="3B224501"/>
    <w:rsid w:val="3B863D9D"/>
    <w:rsid w:val="3BDD4A51"/>
    <w:rsid w:val="3BF32F37"/>
    <w:rsid w:val="3CA86FFC"/>
    <w:rsid w:val="3D486B4D"/>
    <w:rsid w:val="3DF3204E"/>
    <w:rsid w:val="3E192D67"/>
    <w:rsid w:val="3E2E3CF3"/>
    <w:rsid w:val="3EA82C1D"/>
    <w:rsid w:val="3EBD06E1"/>
    <w:rsid w:val="3F71331B"/>
    <w:rsid w:val="3FB00A17"/>
    <w:rsid w:val="40246A64"/>
    <w:rsid w:val="403E2CBF"/>
    <w:rsid w:val="408F40EB"/>
    <w:rsid w:val="40A260AB"/>
    <w:rsid w:val="40A569CA"/>
    <w:rsid w:val="40C178EC"/>
    <w:rsid w:val="411C3DC9"/>
    <w:rsid w:val="418C69E9"/>
    <w:rsid w:val="421B4461"/>
    <w:rsid w:val="42523ECA"/>
    <w:rsid w:val="42A06BFB"/>
    <w:rsid w:val="43620F43"/>
    <w:rsid w:val="4384151B"/>
    <w:rsid w:val="442E6B6C"/>
    <w:rsid w:val="4473526D"/>
    <w:rsid w:val="44770AAB"/>
    <w:rsid w:val="449010A0"/>
    <w:rsid w:val="44E85876"/>
    <w:rsid w:val="46021739"/>
    <w:rsid w:val="46CC5466"/>
    <w:rsid w:val="498B1DD5"/>
    <w:rsid w:val="498E3DB5"/>
    <w:rsid w:val="49FE39BD"/>
    <w:rsid w:val="4AD4737D"/>
    <w:rsid w:val="4B664793"/>
    <w:rsid w:val="4B9E2E5E"/>
    <w:rsid w:val="4BA13EB7"/>
    <w:rsid w:val="4BFF1E95"/>
    <w:rsid w:val="4C166AA1"/>
    <w:rsid w:val="4D732BC9"/>
    <w:rsid w:val="4F041F2E"/>
    <w:rsid w:val="4F050A19"/>
    <w:rsid w:val="4F4A72E3"/>
    <w:rsid w:val="4F7B22E1"/>
    <w:rsid w:val="50196B9B"/>
    <w:rsid w:val="50395D73"/>
    <w:rsid w:val="503F1A4E"/>
    <w:rsid w:val="509770C5"/>
    <w:rsid w:val="50E24EE4"/>
    <w:rsid w:val="51234165"/>
    <w:rsid w:val="517B0C98"/>
    <w:rsid w:val="51820A30"/>
    <w:rsid w:val="51AB0168"/>
    <w:rsid w:val="527548A3"/>
    <w:rsid w:val="52E57AB2"/>
    <w:rsid w:val="534A04F0"/>
    <w:rsid w:val="538E771B"/>
    <w:rsid w:val="5452177C"/>
    <w:rsid w:val="548101EC"/>
    <w:rsid w:val="54981F83"/>
    <w:rsid w:val="55043202"/>
    <w:rsid w:val="557651AF"/>
    <w:rsid w:val="557F0398"/>
    <w:rsid w:val="55895DD8"/>
    <w:rsid w:val="568D5239"/>
    <w:rsid w:val="569564F3"/>
    <w:rsid w:val="57514DCB"/>
    <w:rsid w:val="576C1314"/>
    <w:rsid w:val="57B54650"/>
    <w:rsid w:val="581926D2"/>
    <w:rsid w:val="5897499D"/>
    <w:rsid w:val="58B27D16"/>
    <w:rsid w:val="590D0093"/>
    <w:rsid w:val="593E3E59"/>
    <w:rsid w:val="59606B5C"/>
    <w:rsid w:val="59E109EC"/>
    <w:rsid w:val="59EA5EF3"/>
    <w:rsid w:val="59EC0AC1"/>
    <w:rsid w:val="5A0F21CA"/>
    <w:rsid w:val="5B361E46"/>
    <w:rsid w:val="5C627685"/>
    <w:rsid w:val="5CB15414"/>
    <w:rsid w:val="5CCF6C81"/>
    <w:rsid w:val="5CFF0EE9"/>
    <w:rsid w:val="5D5067B9"/>
    <w:rsid w:val="5D954626"/>
    <w:rsid w:val="5DBB7FE1"/>
    <w:rsid w:val="5E0F3C9A"/>
    <w:rsid w:val="5E485A3F"/>
    <w:rsid w:val="5E4C6FFB"/>
    <w:rsid w:val="5ED70F6F"/>
    <w:rsid w:val="5EE30B60"/>
    <w:rsid w:val="5EF41165"/>
    <w:rsid w:val="5F204B4B"/>
    <w:rsid w:val="5F5865AF"/>
    <w:rsid w:val="5F854584"/>
    <w:rsid w:val="607B199C"/>
    <w:rsid w:val="60BF66F3"/>
    <w:rsid w:val="61523952"/>
    <w:rsid w:val="61DC4622"/>
    <w:rsid w:val="623323CD"/>
    <w:rsid w:val="628718F4"/>
    <w:rsid w:val="62AA16B7"/>
    <w:rsid w:val="6336602E"/>
    <w:rsid w:val="63EF2F34"/>
    <w:rsid w:val="6479488F"/>
    <w:rsid w:val="64A451D3"/>
    <w:rsid w:val="64A54A1D"/>
    <w:rsid w:val="64E120CE"/>
    <w:rsid w:val="65D83140"/>
    <w:rsid w:val="666279E5"/>
    <w:rsid w:val="666803B1"/>
    <w:rsid w:val="666B5E6B"/>
    <w:rsid w:val="6670389A"/>
    <w:rsid w:val="66D53626"/>
    <w:rsid w:val="672930CC"/>
    <w:rsid w:val="6743378C"/>
    <w:rsid w:val="67CE77A3"/>
    <w:rsid w:val="67D7695F"/>
    <w:rsid w:val="67EB061E"/>
    <w:rsid w:val="682257DA"/>
    <w:rsid w:val="692250DC"/>
    <w:rsid w:val="6A5130E0"/>
    <w:rsid w:val="6AA40723"/>
    <w:rsid w:val="6B8C27DF"/>
    <w:rsid w:val="6BB325EA"/>
    <w:rsid w:val="6C2502EB"/>
    <w:rsid w:val="6C382E0E"/>
    <w:rsid w:val="6C5A0C74"/>
    <w:rsid w:val="6D173039"/>
    <w:rsid w:val="6D520AF3"/>
    <w:rsid w:val="6DF82264"/>
    <w:rsid w:val="6E0426D5"/>
    <w:rsid w:val="6F836A07"/>
    <w:rsid w:val="6F8B4721"/>
    <w:rsid w:val="6FC9387C"/>
    <w:rsid w:val="705E40F3"/>
    <w:rsid w:val="70835D9B"/>
    <w:rsid w:val="70FC5050"/>
    <w:rsid w:val="712B65F6"/>
    <w:rsid w:val="71E841EB"/>
    <w:rsid w:val="722270AF"/>
    <w:rsid w:val="7262342D"/>
    <w:rsid w:val="72E60715"/>
    <w:rsid w:val="734F18EB"/>
    <w:rsid w:val="744D0591"/>
    <w:rsid w:val="745129D7"/>
    <w:rsid w:val="746074A5"/>
    <w:rsid w:val="748765A6"/>
    <w:rsid w:val="74B15829"/>
    <w:rsid w:val="74FD5417"/>
    <w:rsid w:val="75296773"/>
    <w:rsid w:val="75943067"/>
    <w:rsid w:val="75C62A46"/>
    <w:rsid w:val="75F57578"/>
    <w:rsid w:val="768E235F"/>
    <w:rsid w:val="772E2EC3"/>
    <w:rsid w:val="77445114"/>
    <w:rsid w:val="774B2903"/>
    <w:rsid w:val="774F6971"/>
    <w:rsid w:val="778878E8"/>
    <w:rsid w:val="785A4B6B"/>
    <w:rsid w:val="787C3543"/>
    <w:rsid w:val="78CB3949"/>
    <w:rsid w:val="79CB0249"/>
    <w:rsid w:val="7A1C0C91"/>
    <w:rsid w:val="7A550AAB"/>
    <w:rsid w:val="7B2858F5"/>
    <w:rsid w:val="7B750FC6"/>
    <w:rsid w:val="7C35525F"/>
    <w:rsid w:val="7C6534D5"/>
    <w:rsid w:val="7C732B8B"/>
    <w:rsid w:val="7C8901FA"/>
    <w:rsid w:val="7D6E07D1"/>
    <w:rsid w:val="7DA766BC"/>
    <w:rsid w:val="7E0F281E"/>
    <w:rsid w:val="7E4B5DD2"/>
    <w:rsid w:val="7E777A2C"/>
    <w:rsid w:val="7F46554A"/>
    <w:rsid w:val="7F715B41"/>
    <w:rsid w:val="7F7D63D5"/>
    <w:rsid w:val="7FA16108"/>
    <w:rsid w:val="7FD7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99"/>
    <w:pPr>
      <w:ind w:left="1680"/>
    </w:pPr>
  </w:style>
  <w:style w:type="paragraph" w:styleId="4">
    <w:name w:val="Body Text Indent 2"/>
    <w:basedOn w:val="1"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UserStyle_0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1524</Words>
  <Characters>8688</Characters>
  <Lines>72</Lines>
  <Paragraphs>20</Paragraphs>
  <TotalTime>9</TotalTime>
  <ScaleCrop>false</ScaleCrop>
  <LinksUpToDate>false</LinksUpToDate>
  <CharactersWithSpaces>10192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2021-10-27T01:04:00Z</dcterms:created>
  <dc:creator>jzhs</dc:creator>
  <cp:lastModifiedBy>肖萧</cp:lastModifiedBy>
  <cp:lastPrinted>2021-10-26T02:51:00Z</cp:lastPrinted>
  <dcterms:modified xsi:type="dcterms:W3CDTF">2021-11-02T07:23:25Z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65207AFDB0474DA4B51D890F82DC7007</vt:lpwstr>
  </property>
</Properties>
</file>