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61F161">
      <w:pPr>
        <w:spacing w:line="240" w:lineRule="auto"/>
        <w:rPr>
          <w:color w:val="0000C7"/>
          <w:sz w:val="36"/>
          <w:szCs w:val="36"/>
        </w:rPr>
      </w:pPr>
    </w:p>
    <w:p w14:paraId="63E73FB7">
      <w:pPr>
        <w:spacing w:line="240" w:lineRule="auto"/>
        <w:rPr>
          <w:color w:val="0000C7"/>
          <w:sz w:val="36"/>
          <w:szCs w:val="36"/>
        </w:rPr>
      </w:pPr>
    </w:p>
    <w:p w14:paraId="27396445">
      <w:pPr>
        <w:spacing w:line="240" w:lineRule="auto"/>
        <w:rPr>
          <w:color w:val="0000C7"/>
          <w:sz w:val="36"/>
          <w:szCs w:val="36"/>
        </w:rPr>
      </w:pPr>
    </w:p>
    <w:p w14:paraId="6DC6992D">
      <w:pPr>
        <w:spacing w:line="240" w:lineRule="auto"/>
        <w:rPr>
          <w:color w:val="0000C7"/>
          <w:sz w:val="36"/>
          <w:szCs w:val="36"/>
        </w:rPr>
      </w:pPr>
    </w:p>
    <w:p w14:paraId="693A8A5B">
      <w:pPr>
        <w:spacing w:line="240" w:lineRule="auto"/>
        <w:rPr>
          <w:color w:val="0000C7"/>
          <w:sz w:val="36"/>
          <w:szCs w:val="36"/>
        </w:rPr>
      </w:pPr>
    </w:p>
    <w:p w14:paraId="5D7EE58B">
      <w:pPr>
        <w:adjustRightInd w:val="0"/>
        <w:snapToGrid w:val="0"/>
        <w:spacing w:line="240" w:lineRule="auto"/>
        <w:jc w:val="center"/>
        <w:outlineLvl w:val="0"/>
        <w:rPr>
          <w:bCs/>
          <w:sz w:val="72"/>
          <w:szCs w:val="72"/>
        </w:rPr>
      </w:pPr>
      <w:bookmarkStart w:id="0" w:name="_Toc4080"/>
      <w:bookmarkStart w:id="1" w:name="_Toc68160344"/>
      <w:r>
        <w:rPr>
          <w:bCs/>
          <w:sz w:val="72"/>
          <w:szCs w:val="72"/>
        </w:rPr>
        <w:t>建设项目环境影响报告表</w:t>
      </w:r>
      <w:bookmarkEnd w:id="0"/>
      <w:bookmarkEnd w:id="1"/>
    </w:p>
    <w:p w14:paraId="20EB1580">
      <w:pPr>
        <w:adjustRightInd w:val="0"/>
        <w:snapToGrid w:val="0"/>
        <w:spacing w:before="192" w:beforeLines="80" w:line="240" w:lineRule="auto"/>
        <w:jc w:val="center"/>
        <w:rPr>
          <w:bCs/>
          <w:sz w:val="48"/>
          <w:szCs w:val="48"/>
        </w:rPr>
      </w:pPr>
      <w:r>
        <w:rPr>
          <w:bCs/>
          <w:sz w:val="48"/>
          <w:szCs w:val="48"/>
        </w:rPr>
        <w:t>（污染影响类）</w:t>
      </w:r>
    </w:p>
    <w:p w14:paraId="207C8654">
      <w:pPr>
        <w:adjustRightInd w:val="0"/>
        <w:snapToGrid w:val="0"/>
        <w:spacing w:line="288" w:lineRule="auto"/>
        <w:jc w:val="center"/>
        <w:outlineLvl w:val="0"/>
        <w:rPr>
          <w:color w:val="0000C7"/>
          <w:kern w:val="44"/>
          <w:sz w:val="44"/>
          <w:szCs w:val="44"/>
        </w:rPr>
      </w:pPr>
    </w:p>
    <w:p w14:paraId="0F98E930">
      <w:pPr>
        <w:spacing w:line="240" w:lineRule="auto"/>
        <w:jc w:val="center"/>
        <w:rPr>
          <w:color w:val="0000C7"/>
          <w:sz w:val="52"/>
          <w:szCs w:val="52"/>
        </w:rPr>
      </w:pPr>
    </w:p>
    <w:p w14:paraId="0BFD0339">
      <w:pPr>
        <w:spacing w:line="240" w:lineRule="auto"/>
        <w:ind w:firstLine="1040"/>
        <w:rPr>
          <w:color w:val="0000C7"/>
          <w:sz w:val="44"/>
          <w:szCs w:val="44"/>
        </w:rPr>
      </w:pPr>
    </w:p>
    <w:p w14:paraId="7C5FF996">
      <w:pPr>
        <w:spacing w:line="240" w:lineRule="auto"/>
        <w:ind w:firstLine="1040"/>
        <w:rPr>
          <w:color w:val="0000C7"/>
          <w:sz w:val="44"/>
          <w:szCs w:val="44"/>
        </w:rPr>
      </w:pPr>
    </w:p>
    <w:p w14:paraId="0D6A0CF6">
      <w:pPr>
        <w:spacing w:line="240" w:lineRule="auto"/>
        <w:ind w:firstLine="1040"/>
        <w:rPr>
          <w:color w:val="0000C7"/>
          <w:sz w:val="44"/>
          <w:szCs w:val="44"/>
        </w:rPr>
      </w:pPr>
    </w:p>
    <w:p w14:paraId="12458C72">
      <w:pPr>
        <w:spacing w:line="240" w:lineRule="auto"/>
        <w:ind w:firstLine="1040"/>
        <w:rPr>
          <w:color w:val="0000C7"/>
          <w:sz w:val="44"/>
          <w:szCs w:val="44"/>
        </w:rPr>
      </w:pPr>
    </w:p>
    <w:p w14:paraId="2BA91721">
      <w:pPr>
        <w:adjustRightInd w:val="0"/>
        <w:snapToGrid w:val="0"/>
        <w:spacing w:line="288" w:lineRule="auto"/>
        <w:ind w:firstLine="360" w:firstLineChars="100"/>
        <w:jc w:val="both"/>
        <w:rPr>
          <w:sz w:val="36"/>
          <w:szCs w:val="36"/>
          <w:u w:val="single"/>
        </w:rPr>
      </w:pPr>
      <w:r>
        <w:rPr>
          <w:sz w:val="36"/>
          <w:szCs w:val="36"/>
        </w:rPr>
        <w:t>项目名称：</w:t>
      </w:r>
      <w:r>
        <w:rPr>
          <w:rFonts w:hint="eastAsia"/>
          <w:sz w:val="36"/>
          <w:szCs w:val="36"/>
          <w:u w:val="single"/>
        </w:rPr>
        <w:t xml:space="preserve">  靖州县鑫宏石材雕刻加工生产</w:t>
      </w:r>
      <w:r>
        <w:rPr>
          <w:sz w:val="36"/>
          <w:szCs w:val="36"/>
          <w:u w:val="single"/>
        </w:rPr>
        <w:t>项目</w:t>
      </w:r>
    </w:p>
    <w:p w14:paraId="5E5EABB9">
      <w:pPr>
        <w:adjustRightInd w:val="0"/>
        <w:snapToGrid w:val="0"/>
        <w:spacing w:line="288" w:lineRule="auto"/>
        <w:ind w:firstLine="360" w:firstLineChars="100"/>
        <w:jc w:val="both"/>
        <w:rPr>
          <w:rFonts w:hint="eastAsia" w:eastAsia="宋体"/>
          <w:sz w:val="36"/>
          <w:szCs w:val="36"/>
          <w:u w:val="single"/>
          <w:lang w:val="en-US" w:eastAsia="zh-CN"/>
        </w:rPr>
      </w:pPr>
      <w:r>
        <w:rPr>
          <w:sz w:val="36"/>
          <w:szCs w:val="36"/>
        </w:rPr>
        <w:t>建设单位：</w:t>
      </w:r>
      <w:r>
        <w:rPr>
          <w:rFonts w:hint="eastAsia"/>
          <w:sz w:val="36"/>
          <w:szCs w:val="36"/>
          <w:u w:val="single"/>
        </w:rPr>
        <w:t xml:space="preserve">     靖州县鑫宏石材加工有限公司</w:t>
      </w:r>
      <w:r>
        <w:rPr>
          <w:rFonts w:hint="eastAsia"/>
          <w:sz w:val="36"/>
          <w:szCs w:val="36"/>
          <w:u w:val="single"/>
          <w:lang w:val="en-US" w:eastAsia="zh-CN"/>
        </w:rPr>
        <w:t xml:space="preserve"> </w:t>
      </w:r>
    </w:p>
    <w:p w14:paraId="04A7B5AA">
      <w:pPr>
        <w:adjustRightInd w:val="0"/>
        <w:snapToGrid w:val="0"/>
        <w:spacing w:line="288" w:lineRule="auto"/>
        <w:ind w:firstLine="360" w:firstLineChars="100"/>
        <w:jc w:val="both"/>
        <w:rPr>
          <w:rFonts w:hint="default" w:eastAsia="宋体"/>
          <w:sz w:val="36"/>
          <w:szCs w:val="36"/>
          <w:u w:val="single"/>
          <w:lang w:val="en-US" w:eastAsia="zh-CN"/>
        </w:rPr>
      </w:pPr>
      <w:r>
        <w:rPr>
          <w:sz w:val="36"/>
          <w:szCs w:val="36"/>
        </w:rPr>
        <w:t>编制日期：</w:t>
      </w:r>
      <w:r>
        <w:rPr>
          <w:sz w:val="36"/>
          <w:szCs w:val="36"/>
          <w:u w:val="single"/>
        </w:rPr>
        <w:t xml:space="preserve">  </w:t>
      </w:r>
      <w:r>
        <w:rPr>
          <w:rFonts w:hint="eastAsia"/>
          <w:sz w:val="36"/>
          <w:szCs w:val="36"/>
          <w:u w:val="single"/>
        </w:rPr>
        <w:t xml:space="preserve">  </w:t>
      </w:r>
      <w:r>
        <w:rPr>
          <w:sz w:val="36"/>
          <w:szCs w:val="36"/>
          <w:u w:val="single"/>
        </w:rPr>
        <w:t xml:space="preserve">    202</w:t>
      </w:r>
      <w:r>
        <w:rPr>
          <w:rFonts w:hint="eastAsia"/>
          <w:sz w:val="36"/>
          <w:szCs w:val="36"/>
          <w:u w:val="single"/>
          <w:lang w:val="en-US" w:eastAsia="zh-CN"/>
        </w:rPr>
        <w:t>4</w:t>
      </w:r>
      <w:r>
        <w:rPr>
          <w:sz w:val="36"/>
          <w:szCs w:val="36"/>
          <w:u w:val="single"/>
        </w:rPr>
        <w:t>年</w:t>
      </w:r>
      <w:r>
        <w:rPr>
          <w:rFonts w:hint="eastAsia"/>
          <w:sz w:val="36"/>
          <w:szCs w:val="36"/>
          <w:u w:val="single"/>
          <w:lang w:val="en-US" w:eastAsia="zh-CN"/>
        </w:rPr>
        <w:t>8</w:t>
      </w:r>
      <w:r>
        <w:rPr>
          <w:sz w:val="36"/>
          <w:szCs w:val="36"/>
          <w:u w:val="single"/>
        </w:rPr>
        <w:t>月</w:t>
      </w:r>
      <w:r>
        <w:rPr>
          <w:rFonts w:hint="eastAsia"/>
          <w:sz w:val="36"/>
          <w:szCs w:val="36"/>
          <w:u w:val="single"/>
          <w:lang w:val="en-US" w:eastAsia="zh-CN"/>
        </w:rPr>
        <w:t xml:space="preserve">              </w:t>
      </w:r>
    </w:p>
    <w:p w14:paraId="1381D792">
      <w:pPr>
        <w:adjustRightInd w:val="0"/>
        <w:snapToGrid w:val="0"/>
        <w:spacing w:line="288" w:lineRule="auto"/>
        <w:ind w:firstLine="1040"/>
        <w:rPr>
          <w:color w:val="0000C7"/>
          <w:sz w:val="36"/>
          <w:szCs w:val="36"/>
        </w:rPr>
      </w:pPr>
      <w:bookmarkStart w:id="2" w:name="_Hlk57884087"/>
    </w:p>
    <w:p w14:paraId="348D31D4">
      <w:pPr>
        <w:adjustRightInd w:val="0"/>
        <w:snapToGrid w:val="0"/>
        <w:spacing w:line="288" w:lineRule="auto"/>
        <w:ind w:firstLine="1040"/>
        <w:rPr>
          <w:color w:val="0000C7"/>
          <w:sz w:val="36"/>
          <w:szCs w:val="36"/>
        </w:rPr>
      </w:pPr>
    </w:p>
    <w:p w14:paraId="71B8DDFF">
      <w:pPr>
        <w:adjustRightInd w:val="0"/>
        <w:snapToGrid w:val="0"/>
        <w:spacing w:line="288" w:lineRule="auto"/>
        <w:ind w:firstLine="1040"/>
        <w:rPr>
          <w:color w:val="0000C7"/>
          <w:sz w:val="36"/>
          <w:szCs w:val="36"/>
        </w:rPr>
      </w:pPr>
    </w:p>
    <w:p w14:paraId="3FB7481A">
      <w:pPr>
        <w:adjustRightInd w:val="0"/>
        <w:snapToGrid w:val="0"/>
        <w:spacing w:line="288" w:lineRule="auto"/>
        <w:ind w:firstLine="1040"/>
        <w:rPr>
          <w:color w:val="0000C7"/>
          <w:sz w:val="36"/>
          <w:szCs w:val="36"/>
        </w:rPr>
      </w:pPr>
    </w:p>
    <w:p w14:paraId="6BE8E931">
      <w:pPr>
        <w:adjustRightInd w:val="0"/>
        <w:snapToGrid w:val="0"/>
        <w:spacing w:line="288" w:lineRule="auto"/>
        <w:ind w:firstLine="1040"/>
        <w:rPr>
          <w:color w:val="0000C7"/>
          <w:sz w:val="36"/>
          <w:szCs w:val="36"/>
        </w:rPr>
      </w:pPr>
    </w:p>
    <w:bookmarkEnd w:id="2"/>
    <w:p w14:paraId="07699607">
      <w:pPr>
        <w:adjustRightInd w:val="0"/>
        <w:snapToGrid w:val="0"/>
        <w:spacing w:line="288" w:lineRule="auto"/>
        <w:jc w:val="center"/>
        <w:rPr>
          <w:sz w:val="36"/>
          <w:szCs w:val="36"/>
        </w:rPr>
        <w:sectPr>
          <w:headerReference r:id="rId5" w:type="default"/>
          <w:footerReference r:id="rId6" w:type="default"/>
          <w:footerReference r:id="rId7" w:type="even"/>
          <w:pgSz w:w="11906" w:h="16838"/>
          <w:pgMar w:top="1701" w:right="1531" w:bottom="1701" w:left="1531" w:header="851" w:footer="1077" w:gutter="0"/>
          <w:pgNumType w:start="3"/>
          <w:cols w:space="720" w:num="1"/>
          <w:docGrid w:linePitch="312" w:charSpace="0"/>
        </w:sectPr>
      </w:pPr>
      <w:r>
        <w:rPr>
          <w:sz w:val="36"/>
          <w:szCs w:val="36"/>
        </w:rPr>
        <w:t>中华人民共和国生态环境部制</w:t>
      </w:r>
    </w:p>
    <w:p w14:paraId="33E3CEBB">
      <w:pPr>
        <w:pStyle w:val="19"/>
        <w:tabs>
          <w:tab w:val="right" w:leader="dot" w:pos="8844"/>
        </w:tabs>
        <w:jc w:val="center"/>
      </w:pPr>
      <w:r>
        <w:drawing>
          <wp:inline distT="0" distB="0" distL="114300" distR="114300">
            <wp:extent cx="5295900" cy="7572375"/>
            <wp:effectExtent l="0" t="0" r="0"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3"/>
                    <a:stretch>
                      <a:fillRect/>
                    </a:stretch>
                  </pic:blipFill>
                  <pic:spPr>
                    <a:xfrm>
                      <a:off x="0" y="0"/>
                      <a:ext cx="5295900" cy="7572375"/>
                    </a:xfrm>
                    <a:prstGeom prst="rect">
                      <a:avLst/>
                    </a:prstGeom>
                    <a:noFill/>
                    <a:ln>
                      <a:noFill/>
                    </a:ln>
                  </pic:spPr>
                </pic:pic>
              </a:graphicData>
            </a:graphic>
          </wp:inline>
        </w:drawing>
      </w:r>
    </w:p>
    <w:p w14:paraId="70714D71">
      <w:pPr>
        <w:pStyle w:val="19"/>
        <w:tabs>
          <w:tab w:val="right" w:leader="dot" w:pos="8844"/>
        </w:tabs>
        <w:jc w:val="center"/>
      </w:pPr>
    </w:p>
    <w:p w14:paraId="666D4ADA">
      <w:pPr>
        <w:pStyle w:val="19"/>
        <w:tabs>
          <w:tab w:val="right" w:leader="dot" w:pos="8844"/>
        </w:tabs>
        <w:jc w:val="center"/>
      </w:pPr>
    </w:p>
    <w:p w14:paraId="61C24FC5">
      <w:pPr>
        <w:pStyle w:val="19"/>
        <w:tabs>
          <w:tab w:val="right" w:leader="dot" w:pos="8844"/>
        </w:tabs>
        <w:jc w:val="center"/>
      </w:pPr>
    </w:p>
    <w:p w14:paraId="585718FC">
      <w:pPr>
        <w:pStyle w:val="19"/>
        <w:tabs>
          <w:tab w:val="right" w:leader="dot" w:pos="8844"/>
        </w:tabs>
        <w:jc w:val="center"/>
      </w:pPr>
    </w:p>
    <w:p w14:paraId="7795CDA9">
      <w:pPr>
        <w:pStyle w:val="19"/>
        <w:tabs>
          <w:tab w:val="right" w:leader="dot" w:pos="8844"/>
        </w:tabs>
        <w:jc w:val="center"/>
        <w:rPr>
          <w:sz w:val="30"/>
          <w:szCs w:val="30"/>
        </w:rPr>
      </w:pPr>
      <w:r>
        <w:fldChar w:fldCharType="begin"/>
      </w:r>
      <w:r>
        <w:instrText xml:space="preserve">TOC \o "1-1" \h \u </w:instrText>
      </w:r>
      <w:r>
        <w:fldChar w:fldCharType="separate"/>
      </w:r>
      <w:r>
        <w:rPr>
          <w:sz w:val="30"/>
          <w:szCs w:val="30"/>
        </w:rPr>
        <w:t>目  录</w:t>
      </w:r>
    </w:p>
    <w:p w14:paraId="32E75886">
      <w:pPr>
        <w:pStyle w:val="19"/>
        <w:tabs>
          <w:tab w:val="right" w:leader="dot" w:pos="8844"/>
        </w:tabs>
        <w:rPr>
          <w:rFonts w:hint="eastAsia" w:eastAsia="宋体"/>
          <w:lang w:val="en-US" w:eastAsia="zh-CN"/>
        </w:rPr>
      </w:pPr>
      <w:r>
        <w:fldChar w:fldCharType="begin"/>
      </w:r>
      <w:r>
        <w:instrText xml:space="preserve"> HYPERLINK \l "_Toc10947" </w:instrText>
      </w:r>
      <w:r>
        <w:fldChar w:fldCharType="separate"/>
      </w:r>
      <w:r>
        <w:rPr>
          <w:snapToGrid w:val="0"/>
        </w:rPr>
        <w:t>一、 建设项目基本情况</w:t>
      </w:r>
      <w:r>
        <w:tab/>
      </w:r>
      <w:r>
        <w:fldChar w:fldCharType="end"/>
      </w:r>
      <w:r>
        <w:rPr>
          <w:rFonts w:hint="eastAsia"/>
          <w:lang w:val="en-US" w:eastAsia="zh-CN"/>
        </w:rPr>
        <w:t>1</w:t>
      </w:r>
    </w:p>
    <w:p w14:paraId="68B7E37D">
      <w:pPr>
        <w:pStyle w:val="19"/>
        <w:tabs>
          <w:tab w:val="right" w:leader="dot" w:pos="8844"/>
        </w:tabs>
        <w:rPr>
          <w:rFonts w:hint="eastAsia" w:eastAsia="宋体"/>
          <w:lang w:val="en-US" w:eastAsia="zh-CN"/>
        </w:rPr>
      </w:pPr>
      <w:r>
        <w:fldChar w:fldCharType="begin"/>
      </w:r>
      <w:r>
        <w:instrText xml:space="preserve"> HYPERLINK \l "_Toc26197" </w:instrText>
      </w:r>
      <w:r>
        <w:fldChar w:fldCharType="separate"/>
      </w:r>
      <w:r>
        <w:t>二</w:t>
      </w:r>
      <w:r>
        <w:rPr>
          <w:snapToGrid w:val="0"/>
        </w:rPr>
        <w:t>、 建设项目工程分析</w:t>
      </w:r>
      <w:r>
        <w:tab/>
      </w:r>
      <w:r>
        <w:fldChar w:fldCharType="end"/>
      </w:r>
      <w:r>
        <w:rPr>
          <w:rFonts w:hint="eastAsia"/>
          <w:lang w:val="en-US" w:eastAsia="zh-CN"/>
        </w:rPr>
        <w:t>9</w:t>
      </w:r>
    </w:p>
    <w:p w14:paraId="335728A1">
      <w:pPr>
        <w:pStyle w:val="19"/>
        <w:tabs>
          <w:tab w:val="right" w:leader="dot" w:pos="8844"/>
        </w:tabs>
        <w:rPr>
          <w:rFonts w:hint="eastAsia" w:eastAsia="宋体"/>
          <w:lang w:eastAsia="zh-CN"/>
        </w:rPr>
      </w:pPr>
      <w:r>
        <w:fldChar w:fldCharType="begin"/>
      </w:r>
      <w:r>
        <w:instrText xml:space="preserve"> HYPERLINK \l "_Toc26727" </w:instrText>
      </w:r>
      <w:r>
        <w:fldChar w:fldCharType="separate"/>
      </w:r>
      <w:r>
        <w:t>三</w:t>
      </w:r>
      <w:r>
        <w:rPr>
          <w:snapToGrid w:val="0"/>
        </w:rPr>
        <w:t>、 区域环境质量现状、环境保护目标及评价标准</w:t>
      </w:r>
      <w:r>
        <w:tab/>
      </w:r>
      <w:r>
        <w:fldChar w:fldCharType="begin"/>
      </w:r>
      <w:r>
        <w:instrText xml:space="preserve"> PAGEREF _Toc26727 </w:instrText>
      </w:r>
      <w:r>
        <w:fldChar w:fldCharType="separate"/>
      </w:r>
      <w:r>
        <w:t>2</w:t>
      </w:r>
      <w:r>
        <w:fldChar w:fldCharType="end"/>
      </w:r>
      <w:r>
        <w:fldChar w:fldCharType="end"/>
      </w:r>
      <w:r>
        <w:rPr>
          <w:rFonts w:hint="eastAsia"/>
          <w:lang w:val="en-US" w:eastAsia="zh-CN"/>
        </w:rPr>
        <w:t>7</w:t>
      </w:r>
    </w:p>
    <w:p w14:paraId="27300CC9">
      <w:pPr>
        <w:pStyle w:val="19"/>
        <w:tabs>
          <w:tab w:val="right" w:leader="dot" w:pos="8844"/>
        </w:tabs>
        <w:rPr>
          <w:rFonts w:hint="eastAsia" w:eastAsia="宋体"/>
          <w:lang w:eastAsia="zh-CN"/>
        </w:rPr>
      </w:pPr>
      <w:r>
        <w:fldChar w:fldCharType="begin"/>
      </w:r>
      <w:r>
        <w:instrText xml:space="preserve"> HYPERLINK \l "_Toc7084" </w:instrText>
      </w:r>
      <w:r>
        <w:fldChar w:fldCharType="separate"/>
      </w:r>
      <w:r>
        <w:rPr>
          <w:snapToGrid w:val="0"/>
        </w:rPr>
        <w:t>四、 主要环境影响和保护措施</w:t>
      </w:r>
      <w:r>
        <w:tab/>
      </w:r>
      <w:r>
        <w:fldChar w:fldCharType="begin"/>
      </w:r>
      <w:r>
        <w:instrText xml:space="preserve"> PAGEREF _Toc7084 </w:instrText>
      </w:r>
      <w:r>
        <w:fldChar w:fldCharType="separate"/>
      </w:r>
      <w:r>
        <w:t>3</w:t>
      </w:r>
      <w:r>
        <w:fldChar w:fldCharType="end"/>
      </w:r>
      <w:r>
        <w:fldChar w:fldCharType="end"/>
      </w:r>
      <w:r>
        <w:rPr>
          <w:rFonts w:hint="eastAsia"/>
          <w:lang w:val="en-US" w:eastAsia="zh-CN"/>
        </w:rPr>
        <w:t>5</w:t>
      </w:r>
    </w:p>
    <w:p w14:paraId="5D745CBF">
      <w:pPr>
        <w:pStyle w:val="19"/>
        <w:tabs>
          <w:tab w:val="right" w:leader="dot" w:pos="8844"/>
        </w:tabs>
        <w:rPr>
          <w:rFonts w:hint="eastAsia" w:eastAsia="宋体"/>
          <w:lang w:eastAsia="zh-CN"/>
        </w:rPr>
      </w:pPr>
      <w:r>
        <w:fldChar w:fldCharType="begin"/>
      </w:r>
      <w:r>
        <w:instrText xml:space="preserve"> HYPERLINK \l "_Toc21420" </w:instrText>
      </w:r>
      <w:r>
        <w:fldChar w:fldCharType="separate"/>
      </w:r>
      <w:r>
        <w:rPr>
          <w:snapToGrid w:val="0"/>
        </w:rPr>
        <w:t>五、 环境保护措施监督检查清单</w:t>
      </w:r>
      <w:r>
        <w:tab/>
      </w:r>
      <w:r>
        <w:fldChar w:fldCharType="begin"/>
      </w:r>
      <w:r>
        <w:instrText xml:space="preserve"> PAGEREF _Toc21420 </w:instrText>
      </w:r>
      <w:r>
        <w:fldChar w:fldCharType="separate"/>
      </w:r>
      <w:r>
        <w:rPr>
          <w:rFonts w:hint="eastAsia"/>
        </w:rPr>
        <w:t>6</w:t>
      </w:r>
      <w:r>
        <w:fldChar w:fldCharType="end"/>
      </w:r>
      <w:r>
        <w:fldChar w:fldCharType="end"/>
      </w:r>
      <w:r>
        <w:rPr>
          <w:rFonts w:hint="eastAsia"/>
          <w:lang w:val="en-US" w:eastAsia="zh-CN"/>
        </w:rPr>
        <w:t>8</w:t>
      </w:r>
    </w:p>
    <w:p w14:paraId="7FC861D0">
      <w:pPr>
        <w:pStyle w:val="19"/>
        <w:tabs>
          <w:tab w:val="right" w:leader="dot" w:pos="8844"/>
        </w:tabs>
        <w:rPr>
          <w:rFonts w:hint="default" w:eastAsia="宋体"/>
          <w:lang w:val="en-US" w:eastAsia="zh-CN"/>
        </w:rPr>
      </w:pPr>
      <w:r>
        <w:fldChar w:fldCharType="begin"/>
      </w:r>
      <w:r>
        <w:instrText xml:space="preserve"> HYPERLINK \l "_Toc29005" </w:instrText>
      </w:r>
      <w:r>
        <w:fldChar w:fldCharType="separate"/>
      </w:r>
      <w:r>
        <w:rPr>
          <w:snapToGrid w:val="0"/>
        </w:rPr>
        <w:t>六、 结论</w:t>
      </w:r>
      <w:r>
        <w:tab/>
      </w:r>
      <w:r>
        <w:fldChar w:fldCharType="end"/>
      </w:r>
      <w:r>
        <w:rPr>
          <w:rFonts w:hint="eastAsia"/>
          <w:lang w:val="en-US" w:eastAsia="zh-CN"/>
        </w:rPr>
        <w:t>70</w:t>
      </w:r>
    </w:p>
    <w:p w14:paraId="49671B02">
      <w:pPr>
        <w:pStyle w:val="19"/>
        <w:tabs>
          <w:tab w:val="right" w:leader="dot" w:pos="8844"/>
        </w:tabs>
        <w:rPr>
          <w:rFonts w:hint="eastAsia" w:eastAsia="宋体"/>
          <w:lang w:eastAsia="zh-CN"/>
        </w:rPr>
      </w:pPr>
      <w:r>
        <w:fldChar w:fldCharType="begin"/>
      </w:r>
      <w:r>
        <w:instrText xml:space="preserve"> HYPERLINK \l "_Toc19927" </w:instrText>
      </w:r>
      <w:r>
        <w:fldChar w:fldCharType="separate"/>
      </w:r>
      <w:r>
        <w:rPr>
          <w:snapToGrid w:val="0"/>
          <w:kern w:val="0"/>
          <w:szCs w:val="32"/>
        </w:rPr>
        <w:t>附表</w:t>
      </w:r>
      <w:r>
        <w:tab/>
      </w:r>
      <w:r>
        <w:rPr>
          <w:rFonts w:hint="eastAsia"/>
          <w:lang w:val="en-US" w:eastAsia="zh-CN"/>
        </w:rPr>
        <w:t>7</w:t>
      </w:r>
      <w:r>
        <w:fldChar w:fldCharType="end"/>
      </w:r>
      <w:r>
        <w:rPr>
          <w:rFonts w:hint="eastAsia"/>
          <w:lang w:val="en-US" w:eastAsia="zh-CN"/>
        </w:rPr>
        <w:t>1</w:t>
      </w:r>
    </w:p>
    <w:p w14:paraId="69A8F07F">
      <w:pPr>
        <w:pStyle w:val="19"/>
        <w:tabs>
          <w:tab w:val="right" w:leader="dot" w:pos="8844"/>
        </w:tabs>
        <w:rPr>
          <w:rFonts w:hint="eastAsia" w:eastAsia="宋体"/>
          <w:lang w:eastAsia="zh-CN"/>
        </w:rPr>
      </w:pPr>
      <w:r>
        <w:rPr>
          <w:rFonts w:hint="eastAsia"/>
        </w:rPr>
        <w:fldChar w:fldCharType="begin"/>
      </w:r>
      <w:r>
        <w:instrText xml:space="preserve"> HYPERLINK \l "_Toc9062" </w:instrText>
      </w:r>
      <w:r>
        <w:rPr>
          <w:rFonts w:hint="eastAsia"/>
        </w:rPr>
        <w:fldChar w:fldCharType="separate"/>
      </w:r>
      <w:r>
        <w:rPr>
          <w:snapToGrid w:val="0"/>
          <w:kern w:val="0"/>
          <w:szCs w:val="38"/>
        </w:rPr>
        <w:t>建设项目污染物排放量汇总表</w:t>
      </w:r>
      <w:r>
        <w:tab/>
      </w:r>
      <w:r>
        <w:rPr>
          <w:rFonts w:hint="eastAsia"/>
        </w:rPr>
        <w:fldChar w:fldCharType="end"/>
      </w:r>
      <w:r>
        <w:rPr>
          <w:rFonts w:hint="eastAsia"/>
          <w:lang w:val="en-US" w:eastAsia="zh-CN"/>
        </w:rPr>
        <w:t>71</w:t>
      </w:r>
    </w:p>
    <w:p w14:paraId="3288A806">
      <w:r>
        <w:fldChar w:fldCharType="end"/>
      </w:r>
    </w:p>
    <w:p w14:paraId="229B7261">
      <w:r>
        <w:t>附件</w:t>
      </w:r>
    </w:p>
    <w:p w14:paraId="7C8339B1">
      <w:pPr>
        <w:spacing w:line="380" w:lineRule="exact"/>
        <w:ind w:firstLine="480" w:firstLineChars="200"/>
        <w:rPr>
          <w:color w:val="0000C7"/>
        </w:rPr>
      </w:pPr>
      <w:r>
        <w:t>附件1：</w:t>
      </w:r>
      <w:r>
        <w:rPr>
          <w:rFonts w:hint="eastAsia"/>
        </w:rPr>
        <w:t>环评委托书</w:t>
      </w:r>
    </w:p>
    <w:p w14:paraId="22C38F2C">
      <w:pPr>
        <w:spacing w:line="380" w:lineRule="exact"/>
        <w:ind w:firstLine="480" w:firstLineChars="200"/>
        <w:rPr>
          <w:color w:val="0000C7"/>
        </w:rPr>
      </w:pPr>
      <w:r>
        <w:t>附件2：</w:t>
      </w:r>
      <w:r>
        <w:rPr>
          <w:rFonts w:hint="eastAsia"/>
        </w:rPr>
        <w:t>备案证明</w:t>
      </w:r>
    </w:p>
    <w:p w14:paraId="0B78E6CB">
      <w:pPr>
        <w:spacing w:line="380" w:lineRule="exact"/>
        <w:ind w:firstLine="480" w:firstLineChars="200"/>
      </w:pPr>
      <w:r>
        <w:t>附件</w:t>
      </w:r>
      <w:r>
        <w:rPr>
          <w:rFonts w:hint="eastAsia"/>
        </w:rPr>
        <w:t>3</w:t>
      </w:r>
      <w:r>
        <w:t>：</w:t>
      </w:r>
      <w:r>
        <w:rPr>
          <w:rFonts w:hint="eastAsia"/>
        </w:rPr>
        <w:t>营业执照</w:t>
      </w:r>
    </w:p>
    <w:p w14:paraId="3D7C38D6">
      <w:pPr>
        <w:spacing w:line="380" w:lineRule="exact"/>
        <w:ind w:firstLine="480" w:firstLineChars="200"/>
        <w:rPr>
          <w:color w:val="0000C7"/>
        </w:rPr>
      </w:pPr>
      <w:r>
        <w:rPr>
          <w:color w:val="auto"/>
        </w:rPr>
        <w:t>附件</w:t>
      </w:r>
      <w:r>
        <w:rPr>
          <w:rFonts w:hint="eastAsia"/>
          <w:color w:val="auto"/>
        </w:rPr>
        <w:t>4</w:t>
      </w:r>
      <w:r>
        <w:rPr>
          <w:color w:val="auto"/>
        </w:rPr>
        <w:t>：</w:t>
      </w:r>
      <w:r>
        <w:rPr>
          <w:rFonts w:hint="eastAsia"/>
        </w:rPr>
        <w:t>关于将靖州县鑫宏石材雕刻加工生产项目纳入国土空间规划的承诺函</w:t>
      </w:r>
    </w:p>
    <w:p w14:paraId="4242E605">
      <w:pPr>
        <w:spacing w:line="380" w:lineRule="exact"/>
        <w:ind w:firstLine="480" w:firstLineChars="200"/>
      </w:pPr>
      <w:r>
        <w:rPr>
          <w:rFonts w:hint="eastAsia"/>
        </w:rPr>
        <w:t>附件5：</w:t>
      </w:r>
      <w:r>
        <w:rPr>
          <w:rFonts w:hint="eastAsia"/>
          <w:lang w:eastAsia="zh-CN"/>
        </w:rPr>
        <w:t>本项目</w:t>
      </w:r>
      <w:r>
        <w:t>检测报告</w:t>
      </w:r>
    </w:p>
    <w:p w14:paraId="263FEFFC">
      <w:pPr>
        <w:spacing w:line="380" w:lineRule="exact"/>
        <w:ind w:firstLine="480" w:firstLineChars="200"/>
      </w:pPr>
      <w:r>
        <w:t>附件</w:t>
      </w:r>
      <w:r>
        <w:rPr>
          <w:rFonts w:hint="eastAsia"/>
        </w:rPr>
        <w:t>6</w:t>
      </w:r>
      <w:r>
        <w:t>：</w:t>
      </w:r>
      <w:r>
        <w:rPr>
          <w:rFonts w:hint="eastAsia"/>
          <w:lang w:eastAsia="zh-CN"/>
        </w:rPr>
        <w:t>本项目空间检测报告</w:t>
      </w:r>
    </w:p>
    <w:p w14:paraId="78B7E8D8">
      <w:pPr>
        <w:spacing w:line="380" w:lineRule="exact"/>
      </w:pPr>
      <w:r>
        <w:rPr>
          <w:rFonts w:hint="eastAsia"/>
        </w:rPr>
        <w:t xml:space="preserve">    </w:t>
      </w:r>
      <w:r>
        <w:rPr>
          <w:rFonts w:hint="eastAsia"/>
          <w:u w:val="single"/>
        </w:rPr>
        <w:t>附件7： 怀化市人民政府农用地转用审批单</w:t>
      </w:r>
    </w:p>
    <w:p w14:paraId="1C257ED2">
      <w:pPr>
        <w:spacing w:line="380" w:lineRule="exact"/>
        <w:ind w:firstLine="480" w:firstLineChars="200"/>
      </w:pPr>
      <w:r>
        <w:rPr>
          <w:rFonts w:hint="eastAsia"/>
        </w:rPr>
        <w:t>附件8：石材蜡MSDS检测报告</w:t>
      </w:r>
    </w:p>
    <w:p w14:paraId="7089A20B">
      <w:pPr>
        <w:spacing w:line="380" w:lineRule="exact"/>
        <w:ind w:firstLine="480" w:firstLineChars="200"/>
        <w:rPr>
          <w:rFonts w:hint="default" w:eastAsia="宋体"/>
          <w:lang w:val="en-US" w:eastAsia="zh-CN"/>
        </w:rPr>
      </w:pPr>
      <w:r>
        <w:rPr>
          <w:rFonts w:hint="eastAsia"/>
          <w:lang w:eastAsia="zh-CN"/>
        </w:rPr>
        <w:t>附件</w:t>
      </w:r>
      <w:r>
        <w:rPr>
          <w:rFonts w:hint="eastAsia"/>
          <w:lang w:val="en-US" w:eastAsia="zh-CN"/>
        </w:rPr>
        <w:t>9：专家评审意见及签到表</w:t>
      </w:r>
    </w:p>
    <w:p w14:paraId="6D702767">
      <w:pPr>
        <w:spacing w:line="380" w:lineRule="exact"/>
      </w:pPr>
      <w:r>
        <w:t>附图</w:t>
      </w:r>
    </w:p>
    <w:p w14:paraId="2D7DDEDD">
      <w:pPr>
        <w:spacing w:line="380" w:lineRule="exact"/>
        <w:ind w:firstLine="480" w:firstLineChars="200"/>
      </w:pPr>
      <w:r>
        <w:t>附图1：项目地理位置图</w:t>
      </w:r>
    </w:p>
    <w:p w14:paraId="28E7E1F4">
      <w:pPr>
        <w:spacing w:line="380" w:lineRule="exact"/>
        <w:ind w:firstLine="480" w:firstLineChars="200"/>
        <w:rPr>
          <w:color w:val="0000C7"/>
          <w:u w:val="single"/>
        </w:rPr>
      </w:pPr>
      <w:r>
        <w:rPr>
          <w:u w:val="single"/>
        </w:rPr>
        <w:t>附图2</w:t>
      </w:r>
      <w:r>
        <w:rPr>
          <w:rFonts w:hint="eastAsia"/>
          <w:u w:val="single"/>
        </w:rPr>
        <w:t>：</w:t>
      </w:r>
      <w:r>
        <w:rPr>
          <w:rFonts w:hint="eastAsia"/>
          <w:u w:val="single"/>
          <w:lang w:val="en-US" w:eastAsia="zh-CN"/>
        </w:rPr>
        <w:t>厂区现状图</w:t>
      </w:r>
    </w:p>
    <w:p w14:paraId="6EB87376">
      <w:pPr>
        <w:spacing w:line="380" w:lineRule="exact"/>
        <w:ind w:firstLine="480" w:firstLineChars="200"/>
        <w:rPr>
          <w:rFonts w:hint="default" w:eastAsia="宋体"/>
          <w:u w:val="single"/>
          <w:lang w:val="en-US" w:eastAsia="zh-CN"/>
        </w:rPr>
      </w:pPr>
      <w:r>
        <w:rPr>
          <w:rFonts w:hint="eastAsia"/>
          <w:u w:val="single"/>
          <w:lang w:eastAsia="zh-CN"/>
        </w:rPr>
        <w:t>附图</w:t>
      </w:r>
      <w:r>
        <w:rPr>
          <w:rFonts w:hint="eastAsia"/>
          <w:u w:val="single"/>
          <w:lang w:val="en-US" w:eastAsia="zh-CN"/>
        </w:rPr>
        <w:t>3：</w:t>
      </w:r>
      <w:r>
        <w:rPr>
          <w:rFonts w:hint="eastAsia"/>
          <w:u w:val="single"/>
        </w:rPr>
        <w:t>项目平面布置图</w:t>
      </w:r>
    </w:p>
    <w:p w14:paraId="610F021D">
      <w:pPr>
        <w:spacing w:line="380" w:lineRule="exact"/>
        <w:ind w:firstLine="480" w:firstLineChars="200"/>
        <w:rPr>
          <w:rFonts w:hint="eastAsia" w:eastAsia="宋体"/>
          <w:u w:val="single"/>
          <w:lang w:eastAsia="zh-CN"/>
        </w:rPr>
      </w:pPr>
      <w:r>
        <w:rPr>
          <w:u w:val="single"/>
        </w:rPr>
        <w:t>附图</w:t>
      </w:r>
      <w:r>
        <w:rPr>
          <w:rFonts w:hint="eastAsia"/>
          <w:u w:val="single"/>
          <w:lang w:val="en-US" w:eastAsia="zh-CN"/>
        </w:rPr>
        <w:t>4</w:t>
      </w:r>
      <w:r>
        <w:rPr>
          <w:rFonts w:hint="eastAsia"/>
          <w:u w:val="single"/>
        </w:rPr>
        <w:t>：</w:t>
      </w:r>
      <w:r>
        <w:rPr>
          <w:rFonts w:hint="eastAsia"/>
          <w:u w:val="single"/>
          <w:lang w:eastAsia="zh-CN"/>
        </w:rPr>
        <w:t>分区防渗图</w:t>
      </w:r>
    </w:p>
    <w:p w14:paraId="69F57F91">
      <w:pPr>
        <w:spacing w:line="380" w:lineRule="exact"/>
        <w:ind w:firstLine="480" w:firstLineChars="200"/>
      </w:pPr>
      <w:r>
        <w:rPr>
          <w:rFonts w:hint="eastAsia"/>
          <w:u w:val="single"/>
        </w:rPr>
        <w:t>附图</w:t>
      </w:r>
      <w:r>
        <w:rPr>
          <w:rFonts w:hint="eastAsia"/>
          <w:u w:val="single"/>
          <w:lang w:val="en-US" w:eastAsia="zh-CN"/>
        </w:rPr>
        <w:t>5</w:t>
      </w:r>
      <w:r>
        <w:rPr>
          <w:rFonts w:hint="eastAsia"/>
          <w:u w:val="single"/>
        </w:rPr>
        <w:t>：</w:t>
      </w:r>
      <w:r>
        <w:rPr>
          <w:u w:val="single"/>
        </w:rPr>
        <w:t>敏感目标分布图</w:t>
      </w:r>
    </w:p>
    <w:p w14:paraId="1F86EE64">
      <w:pPr>
        <w:spacing w:line="380" w:lineRule="exact"/>
        <w:ind w:firstLine="480" w:firstLineChars="200"/>
        <w:rPr>
          <w:color w:val="0000C7"/>
        </w:rPr>
      </w:pPr>
      <w:r>
        <w:rPr>
          <w:rFonts w:hint="eastAsia"/>
        </w:rPr>
        <w:t>附图</w:t>
      </w:r>
      <w:r>
        <w:rPr>
          <w:rFonts w:hint="eastAsia"/>
          <w:lang w:val="en-US" w:eastAsia="zh-CN"/>
        </w:rPr>
        <w:t>6</w:t>
      </w:r>
      <w:r>
        <w:rPr>
          <w:rFonts w:hint="eastAsia"/>
        </w:rPr>
        <w:t>：监测布点图</w:t>
      </w:r>
    </w:p>
    <w:p w14:paraId="06EC2CF4">
      <w:pPr>
        <w:spacing w:line="380" w:lineRule="exact"/>
        <w:ind w:firstLine="480" w:firstLineChars="200"/>
      </w:pPr>
      <w:r>
        <w:t>附图</w:t>
      </w:r>
      <w:r>
        <w:rPr>
          <w:rFonts w:hint="eastAsia"/>
          <w:lang w:val="en-US" w:eastAsia="zh-CN"/>
        </w:rPr>
        <w:t>7</w:t>
      </w:r>
      <w:r>
        <w:t>：</w:t>
      </w:r>
      <w:r>
        <w:rPr>
          <w:rFonts w:hint="eastAsia"/>
        </w:rPr>
        <w:t>项目引用监测点位及地表水系</w:t>
      </w:r>
      <w:r>
        <w:t>图</w:t>
      </w:r>
    </w:p>
    <w:p w14:paraId="656FEDFB">
      <w:pPr>
        <w:spacing w:line="380" w:lineRule="exact"/>
        <w:ind w:firstLine="480" w:firstLineChars="200"/>
        <w:rPr>
          <w:color w:val="0000C7"/>
          <w:sz w:val="36"/>
          <w:szCs w:val="36"/>
        </w:rPr>
      </w:pPr>
      <w:r>
        <w:t>附图</w:t>
      </w:r>
      <w:r>
        <w:rPr>
          <w:rFonts w:hint="eastAsia"/>
          <w:lang w:val="en-US" w:eastAsia="zh-CN"/>
        </w:rPr>
        <w:t>8</w:t>
      </w:r>
      <w:r>
        <w:t>：</w:t>
      </w:r>
      <w:r>
        <w:rPr>
          <w:rFonts w:hint="eastAsia"/>
        </w:rPr>
        <w:t>项目现场照片</w:t>
      </w:r>
    </w:p>
    <w:p w14:paraId="139A07F0">
      <w:pPr>
        <w:pStyle w:val="10"/>
        <w:rPr>
          <w:color w:val="0000C7"/>
        </w:rPr>
        <w:sectPr>
          <w:pgSz w:w="11906" w:h="16838"/>
          <w:pgMar w:top="1701" w:right="1531" w:bottom="1701" w:left="1531" w:header="851" w:footer="1077" w:gutter="0"/>
          <w:pgNumType w:start="3"/>
          <w:cols w:space="720" w:num="1"/>
          <w:docGrid w:linePitch="312" w:charSpace="0"/>
        </w:sectPr>
      </w:pPr>
    </w:p>
    <w:p w14:paraId="6DEF830D">
      <w:pPr>
        <w:pStyle w:val="21"/>
        <w:jc w:val="center"/>
        <w:outlineLvl w:val="0"/>
        <w:rPr>
          <w:rFonts w:ascii="Times New Roman" w:hAnsi="Times New Roman" w:cs="Times New Roman"/>
          <w:snapToGrid w:val="0"/>
          <w:sz w:val="30"/>
          <w:szCs w:val="30"/>
        </w:rPr>
      </w:pPr>
      <w:bookmarkStart w:id="3" w:name="_Toc10947"/>
      <w:bookmarkStart w:id="4" w:name="_Toc68160345"/>
      <w:bookmarkStart w:id="119" w:name="_GoBack"/>
      <w:bookmarkEnd w:id="119"/>
      <w:r>
        <w:rPr>
          <w:rFonts w:ascii="Times New Roman" w:hAnsi="Times New Roman" w:cs="Times New Roman"/>
          <w:snapToGrid w:val="0"/>
          <w:sz w:val="30"/>
          <w:szCs w:val="30"/>
        </w:rPr>
        <w:t>一、建设项目基本情况</w:t>
      </w:r>
      <w:bookmarkEnd w:id="3"/>
      <w:bookmarkEnd w:id="4"/>
    </w:p>
    <w:tbl>
      <w:tblPr>
        <w:tblStyle w:val="24"/>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50"/>
        <w:gridCol w:w="2793"/>
        <w:gridCol w:w="1888"/>
        <w:gridCol w:w="2639"/>
      </w:tblGrid>
      <w:tr w14:paraId="60449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14:paraId="7C89C663">
            <w:pPr>
              <w:adjustRightInd w:val="0"/>
              <w:snapToGrid w:val="0"/>
              <w:spacing w:line="240" w:lineRule="auto"/>
              <w:jc w:val="center"/>
            </w:pPr>
            <w:r>
              <w:t>建设项目名称</w:t>
            </w:r>
          </w:p>
        </w:tc>
        <w:tc>
          <w:tcPr>
            <w:tcW w:w="7320" w:type="dxa"/>
            <w:gridSpan w:val="3"/>
            <w:vAlign w:val="center"/>
          </w:tcPr>
          <w:p w14:paraId="343C16A4">
            <w:pPr>
              <w:adjustRightInd w:val="0"/>
              <w:snapToGrid w:val="0"/>
              <w:spacing w:line="240" w:lineRule="auto"/>
              <w:jc w:val="center"/>
            </w:pPr>
            <w:r>
              <w:rPr>
                <w:rFonts w:hint="eastAsia"/>
              </w:rPr>
              <w:t>靖州县鑫宏石材雕刻加工生产</w:t>
            </w:r>
            <w:r>
              <w:t>项目</w:t>
            </w:r>
          </w:p>
        </w:tc>
      </w:tr>
      <w:tr w14:paraId="732EF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14:paraId="19D9B288">
            <w:pPr>
              <w:adjustRightInd w:val="0"/>
              <w:snapToGrid w:val="0"/>
              <w:spacing w:line="240" w:lineRule="auto"/>
              <w:jc w:val="center"/>
            </w:pPr>
            <w:r>
              <w:t>项目代码</w:t>
            </w:r>
          </w:p>
        </w:tc>
        <w:tc>
          <w:tcPr>
            <w:tcW w:w="7320" w:type="dxa"/>
            <w:gridSpan w:val="3"/>
            <w:vAlign w:val="center"/>
          </w:tcPr>
          <w:p w14:paraId="6876EA35">
            <w:pPr>
              <w:adjustRightInd w:val="0"/>
              <w:snapToGrid w:val="0"/>
              <w:spacing w:line="240" w:lineRule="auto"/>
              <w:jc w:val="center"/>
            </w:pPr>
            <w:r>
              <w:rPr>
                <w:rFonts w:hint="eastAsia"/>
              </w:rPr>
              <w:t>2105-431229-04-05-671267</w:t>
            </w:r>
          </w:p>
        </w:tc>
      </w:tr>
      <w:tr w14:paraId="045C7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14:paraId="72AA610B">
            <w:pPr>
              <w:adjustRightInd w:val="0"/>
              <w:snapToGrid w:val="0"/>
              <w:spacing w:line="240" w:lineRule="auto"/>
              <w:jc w:val="center"/>
            </w:pPr>
            <w:r>
              <w:t>建设单位联系人</w:t>
            </w:r>
          </w:p>
        </w:tc>
        <w:tc>
          <w:tcPr>
            <w:tcW w:w="2793" w:type="dxa"/>
            <w:vAlign w:val="center"/>
          </w:tcPr>
          <w:p w14:paraId="7AC96E4F">
            <w:pPr>
              <w:adjustRightInd w:val="0"/>
              <w:snapToGrid w:val="0"/>
              <w:spacing w:line="240" w:lineRule="auto"/>
              <w:jc w:val="center"/>
              <w:rPr>
                <w:highlight w:val="yellow"/>
              </w:rPr>
            </w:pPr>
            <w:r>
              <w:rPr>
                <w:rFonts w:hint="eastAsia"/>
              </w:rPr>
              <w:t>杨昌银</w:t>
            </w:r>
          </w:p>
        </w:tc>
        <w:tc>
          <w:tcPr>
            <w:tcW w:w="1888" w:type="dxa"/>
            <w:vAlign w:val="center"/>
          </w:tcPr>
          <w:p w14:paraId="1594DFA5">
            <w:pPr>
              <w:adjustRightInd w:val="0"/>
              <w:snapToGrid w:val="0"/>
              <w:spacing w:line="240" w:lineRule="auto"/>
              <w:jc w:val="center"/>
              <w:rPr>
                <w:highlight w:val="yellow"/>
              </w:rPr>
            </w:pPr>
            <w:r>
              <w:t>联系方式</w:t>
            </w:r>
          </w:p>
        </w:tc>
        <w:tc>
          <w:tcPr>
            <w:tcW w:w="2639" w:type="dxa"/>
            <w:vAlign w:val="center"/>
          </w:tcPr>
          <w:p w14:paraId="199D1809">
            <w:pPr>
              <w:adjustRightInd w:val="0"/>
              <w:snapToGrid w:val="0"/>
              <w:spacing w:line="240" w:lineRule="auto"/>
              <w:jc w:val="center"/>
              <w:rPr>
                <w:highlight w:val="yellow"/>
              </w:rPr>
            </w:pPr>
            <w:r>
              <w:rPr>
                <w:rFonts w:hint="eastAsia"/>
              </w:rPr>
              <w:t>13874575428</w:t>
            </w:r>
          </w:p>
        </w:tc>
      </w:tr>
      <w:tr w14:paraId="3CFF5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14:paraId="0013A9F8">
            <w:pPr>
              <w:adjustRightInd w:val="0"/>
              <w:snapToGrid w:val="0"/>
              <w:spacing w:line="240" w:lineRule="auto"/>
              <w:jc w:val="center"/>
            </w:pPr>
            <w:r>
              <w:t>建设地点</w:t>
            </w:r>
          </w:p>
        </w:tc>
        <w:tc>
          <w:tcPr>
            <w:tcW w:w="7320" w:type="dxa"/>
            <w:gridSpan w:val="3"/>
            <w:vAlign w:val="center"/>
          </w:tcPr>
          <w:p w14:paraId="6128DF84">
            <w:pPr>
              <w:adjustRightInd w:val="0"/>
              <w:snapToGrid w:val="0"/>
              <w:spacing w:line="240" w:lineRule="auto"/>
              <w:jc w:val="center"/>
              <w:rPr>
                <w:highlight w:val="yellow"/>
              </w:rPr>
            </w:pPr>
            <w:r>
              <w:t>湖南省</w:t>
            </w:r>
            <w:r>
              <w:rPr>
                <w:rFonts w:hint="eastAsia"/>
              </w:rPr>
              <w:t>怀化市靖州苗族侗族自治县渠阳镇高桥村七坡冲</w:t>
            </w:r>
          </w:p>
        </w:tc>
      </w:tr>
      <w:tr w14:paraId="12C7C8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14:paraId="293F8547">
            <w:pPr>
              <w:adjustRightInd w:val="0"/>
              <w:snapToGrid w:val="0"/>
              <w:spacing w:line="240" w:lineRule="auto"/>
              <w:jc w:val="center"/>
            </w:pPr>
            <w:r>
              <w:t>地理坐标</w:t>
            </w:r>
          </w:p>
        </w:tc>
        <w:tc>
          <w:tcPr>
            <w:tcW w:w="7320" w:type="dxa"/>
            <w:gridSpan w:val="3"/>
            <w:vAlign w:val="center"/>
          </w:tcPr>
          <w:p w14:paraId="5757BC73">
            <w:pPr>
              <w:spacing w:line="240" w:lineRule="auto"/>
              <w:jc w:val="center"/>
              <w:rPr>
                <w:highlight w:val="yellow"/>
              </w:rPr>
            </w:pPr>
            <w:r>
              <w:t>（1</w:t>
            </w:r>
            <w:r>
              <w:rPr>
                <w:rFonts w:hint="eastAsia"/>
              </w:rPr>
              <w:t>09</w:t>
            </w:r>
            <w:r>
              <w:t>度</w:t>
            </w:r>
            <w:r>
              <w:rPr>
                <w:rFonts w:hint="eastAsia"/>
              </w:rPr>
              <w:t>38</w:t>
            </w:r>
            <w:r>
              <w:t>分</w:t>
            </w:r>
            <w:r>
              <w:rPr>
                <w:rFonts w:hint="eastAsia"/>
              </w:rPr>
              <w:t>2.046</w:t>
            </w:r>
            <w:r>
              <w:t>秒，2</w:t>
            </w:r>
            <w:r>
              <w:rPr>
                <w:rFonts w:hint="eastAsia"/>
              </w:rPr>
              <w:t>6</w:t>
            </w:r>
            <w:r>
              <w:t>度</w:t>
            </w:r>
            <w:r>
              <w:rPr>
                <w:rFonts w:hint="eastAsia"/>
              </w:rPr>
              <w:t>33</w:t>
            </w:r>
            <w:r>
              <w:t>分</w:t>
            </w:r>
            <w:r>
              <w:rPr>
                <w:rFonts w:hint="eastAsia"/>
              </w:rPr>
              <w:t>32.832</w:t>
            </w:r>
            <w:r>
              <w:t>秒）</w:t>
            </w:r>
          </w:p>
        </w:tc>
      </w:tr>
      <w:tr w14:paraId="64F37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50" w:type="dxa"/>
            <w:tcMar>
              <w:top w:w="16" w:type="dxa"/>
              <w:left w:w="16" w:type="dxa"/>
              <w:right w:w="16" w:type="dxa"/>
            </w:tcMar>
            <w:vAlign w:val="center"/>
          </w:tcPr>
          <w:p w14:paraId="6AB1E94A">
            <w:pPr>
              <w:adjustRightInd w:val="0"/>
              <w:snapToGrid w:val="0"/>
              <w:spacing w:line="240" w:lineRule="auto"/>
              <w:jc w:val="center"/>
            </w:pPr>
            <w:r>
              <w:t>国民经济</w:t>
            </w:r>
          </w:p>
          <w:p w14:paraId="5345BCA7">
            <w:pPr>
              <w:adjustRightInd w:val="0"/>
              <w:snapToGrid w:val="0"/>
              <w:spacing w:line="240" w:lineRule="auto"/>
              <w:jc w:val="center"/>
            </w:pPr>
            <w:r>
              <w:t>行业类别</w:t>
            </w:r>
          </w:p>
        </w:tc>
        <w:tc>
          <w:tcPr>
            <w:tcW w:w="2793" w:type="dxa"/>
            <w:vAlign w:val="center"/>
          </w:tcPr>
          <w:p w14:paraId="5B73D1D4">
            <w:pPr>
              <w:adjustRightInd w:val="0"/>
              <w:snapToGrid w:val="0"/>
              <w:spacing w:line="240" w:lineRule="auto"/>
              <w:jc w:val="center"/>
            </w:pPr>
            <w:r>
              <w:t>C303</w:t>
            </w:r>
            <w:r>
              <w:rPr>
                <w:rFonts w:hint="eastAsia"/>
              </w:rPr>
              <w:t>2建筑用石加工；C3021水泥制品制造</w:t>
            </w:r>
          </w:p>
        </w:tc>
        <w:tc>
          <w:tcPr>
            <w:tcW w:w="1888" w:type="dxa"/>
            <w:vAlign w:val="center"/>
          </w:tcPr>
          <w:p w14:paraId="29079EFF">
            <w:pPr>
              <w:adjustRightInd w:val="0"/>
              <w:snapToGrid w:val="0"/>
              <w:spacing w:line="240" w:lineRule="auto"/>
              <w:jc w:val="center"/>
            </w:pPr>
            <w:bookmarkStart w:id="5" w:name="_Hlk49843745"/>
            <w:r>
              <w:t>建设项目</w:t>
            </w:r>
          </w:p>
          <w:p w14:paraId="0A61C2F7">
            <w:pPr>
              <w:adjustRightInd w:val="0"/>
              <w:snapToGrid w:val="0"/>
              <w:spacing w:line="240" w:lineRule="auto"/>
              <w:jc w:val="center"/>
            </w:pPr>
            <w:r>
              <w:t>行业类别</w:t>
            </w:r>
            <w:bookmarkEnd w:id="5"/>
          </w:p>
        </w:tc>
        <w:tc>
          <w:tcPr>
            <w:tcW w:w="2639" w:type="dxa"/>
            <w:vAlign w:val="center"/>
          </w:tcPr>
          <w:p w14:paraId="40CA1AAC">
            <w:pPr>
              <w:adjustRightInd w:val="0"/>
              <w:snapToGrid w:val="0"/>
              <w:spacing w:line="240" w:lineRule="auto"/>
            </w:pPr>
            <w:r>
              <w:t>二十七、非金属矿物制品业30-56砖瓦、石材等建筑材料制造中其他建筑材料制造（含干粉砂浆搅拌站）</w:t>
            </w:r>
            <w:r>
              <w:rPr>
                <w:rFonts w:hint="eastAsia"/>
              </w:rPr>
              <w:t>；30-55石膏、水泥制品及类似制品制造中水泥制品制造</w:t>
            </w:r>
          </w:p>
        </w:tc>
      </w:tr>
      <w:tr w14:paraId="37134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50" w:type="dxa"/>
            <w:tcMar>
              <w:top w:w="16" w:type="dxa"/>
              <w:left w:w="16" w:type="dxa"/>
              <w:right w:w="16" w:type="dxa"/>
            </w:tcMar>
            <w:vAlign w:val="center"/>
          </w:tcPr>
          <w:p w14:paraId="2C3639F3">
            <w:pPr>
              <w:adjustRightInd w:val="0"/>
              <w:snapToGrid w:val="0"/>
              <w:spacing w:line="240" w:lineRule="auto"/>
              <w:jc w:val="center"/>
              <w:rPr>
                <w:u w:val="single"/>
              </w:rPr>
            </w:pPr>
            <w:r>
              <w:rPr>
                <w:u w:val="single"/>
              </w:rPr>
              <w:t>建设性质</w:t>
            </w:r>
          </w:p>
        </w:tc>
        <w:tc>
          <w:tcPr>
            <w:tcW w:w="2793" w:type="dxa"/>
            <w:vAlign w:val="center"/>
          </w:tcPr>
          <w:p w14:paraId="1797C4E2">
            <w:pPr>
              <w:spacing w:line="240" w:lineRule="auto"/>
              <w:jc w:val="left"/>
              <w:rPr>
                <w:u w:val="single"/>
              </w:rPr>
            </w:pPr>
            <w:r>
              <w:rPr>
                <w:u w:val="single"/>
              </w:rPr>
              <w:sym w:font="Wingdings 2" w:char="00A3"/>
            </w:r>
            <w:r>
              <w:rPr>
                <w:u w:val="single"/>
              </w:rPr>
              <w:t>新建（迁建）</w:t>
            </w:r>
          </w:p>
          <w:p w14:paraId="60CBD549">
            <w:pPr>
              <w:spacing w:line="240" w:lineRule="auto"/>
              <w:jc w:val="left"/>
              <w:rPr>
                <w:u w:val="single"/>
              </w:rPr>
            </w:pPr>
            <w:r>
              <w:rPr>
                <w:rFonts w:hint="eastAsia"/>
                <w:u w:val="single"/>
                <w:lang w:eastAsia="zh-CN"/>
              </w:rPr>
              <w:t>☑</w:t>
            </w:r>
            <w:r>
              <w:rPr>
                <w:u w:val="single"/>
              </w:rPr>
              <w:t>改建</w:t>
            </w:r>
          </w:p>
          <w:p w14:paraId="7524A4D8">
            <w:pPr>
              <w:spacing w:line="240" w:lineRule="auto"/>
              <w:jc w:val="left"/>
              <w:rPr>
                <w:u w:val="single"/>
              </w:rPr>
            </w:pPr>
            <w:r>
              <w:rPr>
                <w:rFonts w:hint="eastAsia"/>
                <w:u w:val="single"/>
                <w:lang w:eastAsia="zh-CN"/>
              </w:rPr>
              <w:t>☑</w:t>
            </w:r>
            <w:r>
              <w:rPr>
                <w:u w:val="single"/>
              </w:rPr>
              <w:t>扩建</w:t>
            </w:r>
          </w:p>
          <w:p w14:paraId="112B2867">
            <w:pPr>
              <w:spacing w:line="240" w:lineRule="auto"/>
              <w:jc w:val="left"/>
              <w:rPr>
                <w:u w:val="single"/>
              </w:rPr>
            </w:pPr>
            <w:r>
              <w:rPr>
                <w:u w:val="single"/>
              </w:rPr>
              <w:t>□技术改造</w:t>
            </w:r>
          </w:p>
        </w:tc>
        <w:tc>
          <w:tcPr>
            <w:tcW w:w="1888" w:type="dxa"/>
            <w:vAlign w:val="center"/>
          </w:tcPr>
          <w:p w14:paraId="69E7235D">
            <w:pPr>
              <w:adjustRightInd w:val="0"/>
              <w:snapToGrid w:val="0"/>
              <w:spacing w:line="240" w:lineRule="auto"/>
              <w:jc w:val="center"/>
            </w:pPr>
            <w:r>
              <w:t>建设项目</w:t>
            </w:r>
          </w:p>
          <w:p w14:paraId="4B00C6C8">
            <w:pPr>
              <w:adjustRightInd w:val="0"/>
              <w:snapToGrid w:val="0"/>
              <w:spacing w:line="240" w:lineRule="auto"/>
              <w:jc w:val="center"/>
            </w:pPr>
            <w:r>
              <w:t>申报情形</w:t>
            </w:r>
          </w:p>
        </w:tc>
        <w:tc>
          <w:tcPr>
            <w:tcW w:w="2639" w:type="dxa"/>
            <w:vAlign w:val="center"/>
          </w:tcPr>
          <w:p w14:paraId="4C26C7A9">
            <w:pPr>
              <w:spacing w:line="240" w:lineRule="auto"/>
              <w:jc w:val="left"/>
            </w:pPr>
            <w:r>
              <w:rPr/>
              <w:sym w:font="Wingdings 2" w:char="0052"/>
            </w:r>
            <w:r>
              <w:t xml:space="preserve">首次申报项目             </w:t>
            </w:r>
          </w:p>
          <w:p w14:paraId="5F57B157">
            <w:pPr>
              <w:spacing w:line="240" w:lineRule="auto"/>
              <w:jc w:val="left"/>
            </w:pPr>
            <w:r>
              <w:t>□不予批准后再次申报项目</w:t>
            </w:r>
          </w:p>
          <w:p w14:paraId="20579A33">
            <w:pPr>
              <w:spacing w:line="240" w:lineRule="auto"/>
              <w:jc w:val="left"/>
            </w:pPr>
            <w:r>
              <w:rPr/>
              <w:sym w:font="Wingdings 2" w:char="00A3"/>
            </w:r>
            <w:r>
              <w:t xml:space="preserve">超五年重新审核项目     </w:t>
            </w:r>
          </w:p>
          <w:p w14:paraId="0BE6C5A3">
            <w:pPr>
              <w:spacing w:line="240" w:lineRule="auto"/>
              <w:jc w:val="left"/>
            </w:pPr>
            <w:r>
              <w:t>□重大变动重新报批项目</w:t>
            </w:r>
          </w:p>
        </w:tc>
      </w:tr>
      <w:tr w14:paraId="6A71A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50" w:type="dxa"/>
            <w:tcMar>
              <w:top w:w="16" w:type="dxa"/>
              <w:left w:w="16" w:type="dxa"/>
              <w:right w:w="16" w:type="dxa"/>
            </w:tcMar>
            <w:vAlign w:val="center"/>
          </w:tcPr>
          <w:p w14:paraId="59BB940C">
            <w:pPr>
              <w:adjustRightInd w:val="0"/>
              <w:snapToGrid w:val="0"/>
              <w:spacing w:line="240" w:lineRule="auto"/>
              <w:jc w:val="center"/>
            </w:pPr>
            <w:r>
              <w:t>项目审批（核准/备案）部门（选填）</w:t>
            </w:r>
          </w:p>
        </w:tc>
        <w:tc>
          <w:tcPr>
            <w:tcW w:w="2793" w:type="dxa"/>
            <w:vAlign w:val="center"/>
          </w:tcPr>
          <w:p w14:paraId="6377E246">
            <w:pPr>
              <w:adjustRightInd w:val="0"/>
              <w:snapToGrid w:val="0"/>
              <w:spacing w:line="240" w:lineRule="auto"/>
              <w:jc w:val="center"/>
            </w:pPr>
            <w:r>
              <w:rPr>
                <w:rFonts w:hint="eastAsia"/>
              </w:rPr>
              <w:t>靖州苗族侗族自治县发展和改革局</w:t>
            </w:r>
          </w:p>
        </w:tc>
        <w:tc>
          <w:tcPr>
            <w:tcW w:w="1888" w:type="dxa"/>
            <w:vAlign w:val="center"/>
          </w:tcPr>
          <w:p w14:paraId="131F1204">
            <w:pPr>
              <w:adjustRightInd w:val="0"/>
              <w:snapToGrid w:val="0"/>
              <w:spacing w:line="240" w:lineRule="auto"/>
              <w:jc w:val="center"/>
            </w:pPr>
            <w:r>
              <w:t>项目审批（核准/</w:t>
            </w:r>
          </w:p>
          <w:p w14:paraId="4384F0A6">
            <w:pPr>
              <w:adjustRightInd w:val="0"/>
              <w:snapToGrid w:val="0"/>
              <w:spacing w:line="240" w:lineRule="auto"/>
              <w:jc w:val="center"/>
            </w:pPr>
            <w:r>
              <w:t>备案）文号（选填）</w:t>
            </w:r>
          </w:p>
        </w:tc>
        <w:tc>
          <w:tcPr>
            <w:tcW w:w="2639" w:type="dxa"/>
            <w:vAlign w:val="center"/>
          </w:tcPr>
          <w:p w14:paraId="434EF2DF">
            <w:pPr>
              <w:adjustRightInd w:val="0"/>
              <w:snapToGrid w:val="0"/>
              <w:spacing w:line="240" w:lineRule="auto"/>
              <w:jc w:val="center"/>
            </w:pPr>
            <w:r>
              <w:rPr>
                <w:rFonts w:hint="eastAsia"/>
              </w:rPr>
              <w:t>靖发改备案[2023]07号</w:t>
            </w:r>
          </w:p>
        </w:tc>
      </w:tr>
      <w:tr w14:paraId="1441D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14:paraId="0225D75F">
            <w:pPr>
              <w:adjustRightInd w:val="0"/>
              <w:snapToGrid w:val="0"/>
              <w:spacing w:line="240" w:lineRule="auto"/>
              <w:jc w:val="center"/>
            </w:pPr>
            <w:r>
              <w:t>总投资（万元）</w:t>
            </w:r>
          </w:p>
        </w:tc>
        <w:tc>
          <w:tcPr>
            <w:tcW w:w="2793" w:type="dxa"/>
            <w:vAlign w:val="center"/>
          </w:tcPr>
          <w:p w14:paraId="3384CB1C">
            <w:pPr>
              <w:adjustRightInd w:val="0"/>
              <w:snapToGrid w:val="0"/>
              <w:spacing w:line="240" w:lineRule="auto"/>
              <w:jc w:val="center"/>
              <w:rPr>
                <w:rFonts w:hint="default" w:eastAsia="宋体"/>
                <w:lang w:val="en-US" w:eastAsia="zh-CN"/>
              </w:rPr>
            </w:pPr>
            <w:r>
              <w:rPr>
                <w:rFonts w:hint="eastAsia"/>
                <w:lang w:val="en-US" w:eastAsia="zh-CN"/>
              </w:rPr>
              <w:t>200</w:t>
            </w:r>
          </w:p>
        </w:tc>
        <w:tc>
          <w:tcPr>
            <w:tcW w:w="1888" w:type="dxa"/>
            <w:tcMar>
              <w:top w:w="16" w:type="dxa"/>
              <w:left w:w="16" w:type="dxa"/>
              <w:right w:w="16" w:type="dxa"/>
            </w:tcMar>
            <w:vAlign w:val="center"/>
          </w:tcPr>
          <w:p w14:paraId="013E90A3">
            <w:pPr>
              <w:adjustRightInd w:val="0"/>
              <w:snapToGrid w:val="0"/>
              <w:spacing w:line="240" w:lineRule="auto"/>
              <w:jc w:val="center"/>
            </w:pPr>
            <w:r>
              <w:t>环保投资（万元）</w:t>
            </w:r>
          </w:p>
        </w:tc>
        <w:tc>
          <w:tcPr>
            <w:tcW w:w="2639" w:type="dxa"/>
            <w:vAlign w:val="center"/>
          </w:tcPr>
          <w:p w14:paraId="002173D8">
            <w:pPr>
              <w:adjustRightInd w:val="0"/>
              <w:snapToGrid w:val="0"/>
              <w:spacing w:line="240" w:lineRule="auto"/>
              <w:jc w:val="center"/>
              <w:rPr>
                <w:rFonts w:hint="default" w:eastAsia="宋体"/>
                <w:lang w:val="en-US" w:eastAsia="zh-CN"/>
              </w:rPr>
            </w:pPr>
            <w:r>
              <w:rPr>
                <w:rFonts w:hint="eastAsia"/>
                <w:lang w:val="en-US" w:eastAsia="zh-CN"/>
              </w:rPr>
              <w:t>50</w:t>
            </w:r>
          </w:p>
        </w:tc>
      </w:tr>
      <w:tr w14:paraId="2BA14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14:paraId="09A350F4">
            <w:pPr>
              <w:adjustRightInd w:val="0"/>
              <w:snapToGrid w:val="0"/>
              <w:spacing w:line="240" w:lineRule="auto"/>
              <w:jc w:val="center"/>
            </w:pPr>
            <w:r>
              <w:t>环保投资占比（%）</w:t>
            </w:r>
          </w:p>
        </w:tc>
        <w:tc>
          <w:tcPr>
            <w:tcW w:w="2793" w:type="dxa"/>
            <w:vAlign w:val="center"/>
          </w:tcPr>
          <w:p w14:paraId="2BDD8D4B">
            <w:pPr>
              <w:adjustRightInd w:val="0"/>
              <w:snapToGrid w:val="0"/>
              <w:spacing w:line="240" w:lineRule="auto"/>
              <w:jc w:val="center"/>
              <w:rPr>
                <w:rFonts w:hint="default" w:eastAsia="宋体"/>
                <w:lang w:val="en-US" w:eastAsia="zh-CN"/>
              </w:rPr>
            </w:pPr>
            <w:r>
              <w:rPr>
                <w:rFonts w:hint="eastAsia"/>
                <w:lang w:val="en-US" w:eastAsia="zh-CN"/>
              </w:rPr>
              <w:t>25</w:t>
            </w:r>
          </w:p>
        </w:tc>
        <w:tc>
          <w:tcPr>
            <w:tcW w:w="1888" w:type="dxa"/>
            <w:tcMar>
              <w:top w:w="16" w:type="dxa"/>
              <w:left w:w="16" w:type="dxa"/>
              <w:right w:w="16" w:type="dxa"/>
            </w:tcMar>
            <w:vAlign w:val="center"/>
          </w:tcPr>
          <w:p w14:paraId="3B5F1DC7">
            <w:pPr>
              <w:adjustRightInd w:val="0"/>
              <w:snapToGrid w:val="0"/>
              <w:spacing w:line="240" w:lineRule="auto"/>
              <w:jc w:val="center"/>
            </w:pPr>
            <w:r>
              <w:t>施工工期</w:t>
            </w:r>
          </w:p>
        </w:tc>
        <w:tc>
          <w:tcPr>
            <w:tcW w:w="2639" w:type="dxa"/>
            <w:vAlign w:val="center"/>
          </w:tcPr>
          <w:p w14:paraId="46F8E9A6">
            <w:pPr>
              <w:adjustRightInd w:val="0"/>
              <w:snapToGrid w:val="0"/>
              <w:spacing w:line="240" w:lineRule="auto"/>
              <w:jc w:val="center"/>
            </w:pPr>
            <w:r>
              <w:rPr>
                <w:rFonts w:hint="eastAsia"/>
              </w:rPr>
              <w:t>8</w:t>
            </w:r>
            <w:r>
              <w:t>个月</w:t>
            </w:r>
          </w:p>
        </w:tc>
      </w:tr>
      <w:tr w14:paraId="0E9E7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50" w:type="dxa"/>
            <w:tcMar>
              <w:top w:w="16" w:type="dxa"/>
              <w:left w:w="16" w:type="dxa"/>
              <w:right w:w="16" w:type="dxa"/>
            </w:tcMar>
            <w:vAlign w:val="center"/>
          </w:tcPr>
          <w:p w14:paraId="320F6335">
            <w:pPr>
              <w:adjustRightInd w:val="0"/>
              <w:snapToGrid w:val="0"/>
              <w:spacing w:line="240" w:lineRule="auto"/>
              <w:jc w:val="center"/>
              <w:rPr>
                <w:rFonts w:hint="eastAsia" w:ascii="Times New Roman" w:hAnsi="Times New Roman" w:eastAsia="宋体" w:cs="Times New Roman"/>
              </w:rPr>
            </w:pPr>
            <w:r>
              <w:rPr>
                <w:rFonts w:hint="eastAsia" w:ascii="Times New Roman" w:hAnsi="Times New Roman" w:eastAsia="宋体" w:cs="Times New Roman"/>
              </w:rPr>
              <w:t>是否开工建设</w:t>
            </w:r>
          </w:p>
        </w:tc>
        <w:tc>
          <w:tcPr>
            <w:tcW w:w="2793" w:type="dxa"/>
            <w:vAlign w:val="center"/>
          </w:tcPr>
          <w:p w14:paraId="6E445500">
            <w:pPr>
              <w:adjustRightInd w:val="0"/>
              <w:snapToGrid w:val="0"/>
              <w:spacing w:line="240" w:lineRule="auto"/>
              <w:jc w:val="both"/>
              <w:rPr>
                <w:rFonts w:hint="eastAsia" w:ascii="Times New Roman" w:hAnsi="Times New Roman" w:eastAsia="宋体" w:cs="Times New Roman"/>
              </w:rPr>
            </w:pPr>
            <w:r>
              <w:rPr>
                <w:rFonts w:hint="eastAsia" w:ascii="Times New Roman" w:hAnsi="Times New Roman" w:eastAsia="宋体" w:cs="Times New Roman"/>
              </w:rPr>
              <w:sym w:font="Wingdings 2" w:char="0052"/>
            </w:r>
            <w:r>
              <w:rPr>
                <w:rFonts w:hint="eastAsia" w:ascii="Times New Roman" w:hAnsi="Times New Roman" w:eastAsia="宋体" w:cs="Times New Roman"/>
              </w:rPr>
              <w:t>否</w:t>
            </w:r>
          </w:p>
          <w:p w14:paraId="1334706F">
            <w:pPr>
              <w:adjustRightInd w:val="0"/>
              <w:snapToGrid w:val="0"/>
              <w:spacing w:line="240" w:lineRule="auto"/>
              <w:jc w:val="both"/>
              <w:rPr>
                <w:rFonts w:hint="eastAsia" w:ascii="Times New Roman" w:hAnsi="Times New Roman" w:eastAsia="宋体" w:cs="Times New Roman"/>
              </w:rPr>
            </w:pPr>
            <w:r>
              <w:rPr>
                <w:rFonts w:hint="eastAsia" w:ascii="Times New Roman" w:hAnsi="Times New Roman" w:eastAsia="宋体" w:cs="Times New Roman"/>
              </w:rPr>
              <w:sym w:font="Wingdings 2" w:char="00A3"/>
            </w:r>
            <w:r>
              <w:rPr>
                <w:rFonts w:hint="eastAsia" w:ascii="Times New Roman" w:hAnsi="Times New Roman" w:eastAsia="宋体" w:cs="Times New Roman"/>
              </w:rPr>
              <w:t>是：</w:t>
            </w:r>
            <w:r>
              <w:rPr>
                <w:rFonts w:hint="eastAsia" w:ascii="Times New Roman" w:hAnsi="Times New Roman" w:eastAsia="宋体" w:cs="Times New Roman"/>
                <w:sz w:val="24"/>
                <w:u w:val="none"/>
              </w:rPr>
              <w:t xml:space="preserve">             </w:t>
            </w:r>
          </w:p>
        </w:tc>
        <w:tc>
          <w:tcPr>
            <w:tcW w:w="1888" w:type="dxa"/>
            <w:tcMar>
              <w:top w:w="16" w:type="dxa"/>
              <w:left w:w="16" w:type="dxa"/>
              <w:right w:w="16" w:type="dxa"/>
            </w:tcMar>
            <w:vAlign w:val="center"/>
          </w:tcPr>
          <w:p w14:paraId="6B14E62F">
            <w:pPr>
              <w:adjustRightInd w:val="0"/>
              <w:snapToGrid w:val="0"/>
              <w:spacing w:line="240" w:lineRule="auto"/>
              <w:jc w:val="center"/>
              <w:rPr>
                <w:spacing w:val="-6"/>
              </w:rPr>
            </w:pPr>
            <w:r>
              <w:rPr>
                <w:spacing w:val="-6"/>
              </w:rPr>
              <w:t>用地（用海）</w:t>
            </w:r>
          </w:p>
          <w:p w14:paraId="0374AE80">
            <w:pPr>
              <w:adjustRightInd w:val="0"/>
              <w:snapToGrid w:val="0"/>
              <w:spacing w:line="240" w:lineRule="auto"/>
              <w:jc w:val="center"/>
            </w:pPr>
            <w:r>
              <w:rPr>
                <w:spacing w:val="-6"/>
              </w:rPr>
              <w:t>面积（m</w:t>
            </w:r>
            <w:r>
              <w:rPr>
                <w:spacing w:val="-6"/>
                <w:vertAlign w:val="superscript"/>
              </w:rPr>
              <w:t>2</w:t>
            </w:r>
            <w:r>
              <w:rPr>
                <w:spacing w:val="-6"/>
              </w:rPr>
              <w:t>）</w:t>
            </w:r>
          </w:p>
        </w:tc>
        <w:tc>
          <w:tcPr>
            <w:tcW w:w="2639" w:type="dxa"/>
            <w:vAlign w:val="center"/>
          </w:tcPr>
          <w:p w14:paraId="1BCEEDC5">
            <w:pPr>
              <w:adjustRightInd w:val="0"/>
              <w:snapToGrid w:val="0"/>
              <w:spacing w:line="240" w:lineRule="auto"/>
              <w:jc w:val="center"/>
            </w:pPr>
            <w:r>
              <w:rPr>
                <w:rFonts w:hint="eastAsia"/>
              </w:rPr>
              <w:t>10642.28</w:t>
            </w:r>
            <w:r>
              <w:t>m</w:t>
            </w:r>
            <w:r>
              <w:rPr>
                <w:vertAlign w:val="superscript"/>
              </w:rPr>
              <w:t>2</w:t>
            </w:r>
          </w:p>
        </w:tc>
      </w:tr>
      <w:tr w14:paraId="39DBAE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0" w:type="dxa"/>
            <w:vAlign w:val="center"/>
          </w:tcPr>
          <w:p w14:paraId="07D7FFAD">
            <w:pPr>
              <w:autoSpaceDE w:val="0"/>
              <w:autoSpaceDN w:val="0"/>
              <w:adjustRightInd w:val="0"/>
              <w:snapToGrid w:val="0"/>
              <w:spacing w:line="240" w:lineRule="auto"/>
              <w:jc w:val="center"/>
              <w:rPr>
                <w:kern w:val="0"/>
              </w:rPr>
            </w:pPr>
            <w:r>
              <w:rPr>
                <w:kern w:val="0"/>
              </w:rPr>
              <w:t>专项评价设置情况</w:t>
            </w:r>
          </w:p>
        </w:tc>
        <w:tc>
          <w:tcPr>
            <w:tcW w:w="7320" w:type="dxa"/>
            <w:gridSpan w:val="3"/>
            <w:vAlign w:val="center"/>
          </w:tcPr>
          <w:p w14:paraId="45D45616">
            <w:pPr>
              <w:autoSpaceDE w:val="0"/>
              <w:autoSpaceDN w:val="0"/>
              <w:adjustRightInd w:val="0"/>
              <w:snapToGrid w:val="0"/>
              <w:spacing w:line="240" w:lineRule="auto"/>
              <w:jc w:val="center"/>
              <w:rPr>
                <w:kern w:val="0"/>
              </w:rPr>
            </w:pPr>
            <w:r>
              <w:rPr>
                <w:kern w:val="0"/>
              </w:rPr>
              <w:t>无</w:t>
            </w:r>
          </w:p>
        </w:tc>
      </w:tr>
      <w:tr w14:paraId="5C9D4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50" w:type="dxa"/>
            <w:vAlign w:val="center"/>
          </w:tcPr>
          <w:p w14:paraId="3F1FB887">
            <w:pPr>
              <w:autoSpaceDE w:val="0"/>
              <w:autoSpaceDN w:val="0"/>
              <w:adjustRightInd w:val="0"/>
              <w:snapToGrid w:val="0"/>
              <w:spacing w:line="240" w:lineRule="auto"/>
              <w:jc w:val="center"/>
              <w:rPr>
                <w:kern w:val="0"/>
              </w:rPr>
            </w:pPr>
            <w:r>
              <w:t>规划情况</w:t>
            </w:r>
          </w:p>
        </w:tc>
        <w:tc>
          <w:tcPr>
            <w:tcW w:w="7320" w:type="dxa"/>
            <w:gridSpan w:val="3"/>
            <w:vAlign w:val="center"/>
          </w:tcPr>
          <w:p w14:paraId="39C0651B">
            <w:pPr>
              <w:autoSpaceDE w:val="0"/>
              <w:autoSpaceDN w:val="0"/>
              <w:adjustRightInd w:val="0"/>
              <w:snapToGrid w:val="0"/>
              <w:spacing w:line="240" w:lineRule="auto"/>
              <w:jc w:val="center"/>
              <w:rPr>
                <w:kern w:val="0"/>
              </w:rPr>
            </w:pPr>
            <w:r>
              <w:rPr>
                <w:rFonts w:hint="eastAsia"/>
                <w:kern w:val="0"/>
                <w:lang w:eastAsia="zh-CN"/>
              </w:rPr>
              <w:t>规划名称：《</w:t>
            </w:r>
            <w:r>
              <w:rPr>
                <w:rFonts w:hint="eastAsia"/>
                <w:kern w:val="0"/>
              </w:rPr>
              <w:t>靖州苗族侗族自治县国土空间总体规划</w:t>
            </w:r>
            <w:r>
              <w:rPr>
                <w:rFonts w:hint="eastAsia"/>
                <w:kern w:val="0"/>
                <w:lang w:eastAsia="zh-CN"/>
              </w:rPr>
              <w:t>》（</w:t>
            </w:r>
            <w:r>
              <w:rPr>
                <w:rFonts w:hint="eastAsia"/>
                <w:kern w:val="0"/>
                <w:lang w:val="en-US" w:eastAsia="zh-CN"/>
              </w:rPr>
              <w:t>2021-2035年</w:t>
            </w:r>
            <w:r>
              <w:rPr>
                <w:rFonts w:hint="eastAsia"/>
                <w:kern w:val="0"/>
                <w:lang w:eastAsia="zh-CN"/>
              </w:rPr>
              <w:t>）</w:t>
            </w:r>
          </w:p>
        </w:tc>
      </w:tr>
      <w:tr w14:paraId="015178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50" w:type="dxa"/>
            <w:vAlign w:val="center"/>
          </w:tcPr>
          <w:p w14:paraId="613EDADB">
            <w:pPr>
              <w:adjustRightInd w:val="0"/>
              <w:snapToGrid w:val="0"/>
              <w:spacing w:line="240" w:lineRule="auto"/>
              <w:jc w:val="center"/>
              <w:rPr>
                <w:kern w:val="0"/>
              </w:rPr>
            </w:pPr>
            <w:r>
              <w:t>规划环境影响评价情况</w:t>
            </w:r>
          </w:p>
        </w:tc>
        <w:tc>
          <w:tcPr>
            <w:tcW w:w="7320" w:type="dxa"/>
            <w:gridSpan w:val="3"/>
            <w:vAlign w:val="center"/>
          </w:tcPr>
          <w:p w14:paraId="66488569">
            <w:pPr>
              <w:autoSpaceDE w:val="0"/>
              <w:autoSpaceDN w:val="0"/>
              <w:adjustRightInd w:val="0"/>
              <w:snapToGrid w:val="0"/>
              <w:spacing w:line="240" w:lineRule="auto"/>
              <w:jc w:val="center"/>
              <w:rPr>
                <w:kern w:val="0"/>
              </w:rPr>
            </w:pPr>
            <w:r>
              <w:rPr>
                <w:kern w:val="0"/>
              </w:rPr>
              <w:t>无</w:t>
            </w:r>
          </w:p>
        </w:tc>
      </w:tr>
      <w:tr w14:paraId="6757E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550" w:type="dxa"/>
            <w:vAlign w:val="center"/>
          </w:tcPr>
          <w:p w14:paraId="68D748F3">
            <w:pPr>
              <w:autoSpaceDE w:val="0"/>
              <w:autoSpaceDN w:val="0"/>
              <w:adjustRightInd w:val="0"/>
              <w:snapToGrid w:val="0"/>
              <w:spacing w:line="240" w:lineRule="auto"/>
              <w:jc w:val="center"/>
              <w:rPr>
                <w:kern w:val="0"/>
              </w:rPr>
            </w:pPr>
            <w:r>
              <w:rPr>
                <w:kern w:val="0"/>
              </w:rPr>
              <w:t>规划及规划环境</w:t>
            </w:r>
          </w:p>
          <w:p w14:paraId="3A407702">
            <w:pPr>
              <w:autoSpaceDE w:val="0"/>
              <w:autoSpaceDN w:val="0"/>
              <w:adjustRightInd w:val="0"/>
              <w:snapToGrid w:val="0"/>
              <w:spacing w:line="240" w:lineRule="auto"/>
              <w:jc w:val="center"/>
              <w:rPr>
                <w:kern w:val="0"/>
              </w:rPr>
            </w:pPr>
            <w:r>
              <w:rPr>
                <w:kern w:val="0"/>
              </w:rPr>
              <w:t>影响评价符合性分析</w:t>
            </w:r>
          </w:p>
        </w:tc>
        <w:tc>
          <w:tcPr>
            <w:tcW w:w="7320" w:type="dxa"/>
            <w:gridSpan w:val="3"/>
            <w:vAlign w:val="center"/>
          </w:tcPr>
          <w:p w14:paraId="1EBC0DF1">
            <w:pPr>
              <w:pStyle w:val="4"/>
              <w:numPr>
                <w:ilvl w:val="-1"/>
                <w:numId w:val="0"/>
              </w:numPr>
              <w:ind w:firstLine="0" w:firstLineChars="0"/>
              <w:jc w:val="both"/>
              <w:rPr>
                <w:rFonts w:hint="eastAsia" w:ascii="Times New Roman" w:hAnsi="Times New Roman"/>
                <w:bCs w:val="0"/>
                <w:snapToGrid/>
                <w:color w:val="auto"/>
                <w:kern w:val="0"/>
                <w:sz w:val="24"/>
                <w:szCs w:val="24"/>
                <w:lang w:eastAsia="zh-CN"/>
              </w:rPr>
            </w:pPr>
            <w:r>
              <w:rPr>
                <w:rFonts w:hint="eastAsia" w:ascii="Times New Roman" w:hAnsi="Times New Roman"/>
                <w:bCs w:val="0"/>
                <w:snapToGrid/>
                <w:color w:val="auto"/>
                <w:kern w:val="0"/>
                <w:sz w:val="24"/>
                <w:szCs w:val="24"/>
                <w:lang w:val="en-US" w:eastAsia="zh-CN"/>
              </w:rPr>
              <w:t>1、</w:t>
            </w:r>
            <w:r>
              <w:rPr>
                <w:rFonts w:hint="eastAsia" w:ascii="Times New Roman" w:hAnsi="Times New Roman"/>
                <w:bCs w:val="0"/>
                <w:snapToGrid/>
                <w:color w:val="auto"/>
                <w:kern w:val="0"/>
                <w:sz w:val="24"/>
                <w:szCs w:val="24"/>
                <w:lang w:eastAsia="zh-CN"/>
              </w:rPr>
              <w:t>与</w:t>
            </w:r>
            <w:r>
              <w:rPr>
                <w:rFonts w:hint="eastAsia" w:ascii="Times New Roman" w:hAnsi="Times New Roman"/>
                <w:bCs w:val="0"/>
                <w:snapToGrid/>
                <w:color w:val="auto"/>
                <w:kern w:val="0"/>
                <w:sz w:val="24"/>
                <w:szCs w:val="24"/>
              </w:rPr>
              <w:t>靖州苗族侗族自治县国土空间总体规划</w:t>
            </w:r>
            <w:r>
              <w:rPr>
                <w:rFonts w:hint="eastAsia" w:ascii="Times New Roman" w:hAnsi="Times New Roman"/>
                <w:bCs w:val="0"/>
                <w:snapToGrid/>
                <w:color w:val="auto"/>
                <w:kern w:val="0"/>
                <w:sz w:val="24"/>
                <w:szCs w:val="24"/>
                <w:lang w:eastAsia="zh-CN"/>
              </w:rPr>
              <w:t>符合性分析</w:t>
            </w:r>
          </w:p>
          <w:p w14:paraId="7CCA6430">
            <w:pPr>
              <w:pStyle w:val="4"/>
              <w:numPr>
                <w:ilvl w:val="-1"/>
                <w:numId w:val="0"/>
              </w:numPr>
              <w:ind w:firstLine="480" w:firstLineChars="200"/>
              <w:jc w:val="both"/>
              <w:rPr>
                <w:rFonts w:hint="eastAsia" w:ascii="Times New Roman" w:hAnsi="Times New Roman"/>
                <w:bCs w:val="0"/>
                <w:snapToGrid/>
                <w:color w:val="auto"/>
                <w:kern w:val="0"/>
                <w:sz w:val="24"/>
                <w:szCs w:val="24"/>
                <w:lang w:eastAsia="zh-CN"/>
              </w:rPr>
            </w:pPr>
            <w:r>
              <w:rPr>
                <w:rFonts w:hint="eastAsia" w:ascii="Times New Roman" w:hAnsi="Times New Roman"/>
                <w:bCs w:val="0"/>
                <w:snapToGrid/>
                <w:color w:val="auto"/>
                <w:kern w:val="0"/>
                <w:sz w:val="24"/>
                <w:szCs w:val="24"/>
                <w:lang w:eastAsia="zh-CN"/>
              </w:rPr>
              <w:t>根据《</w:t>
            </w:r>
            <w:r>
              <w:rPr>
                <w:rFonts w:hint="eastAsia" w:ascii="Times New Roman" w:hAnsi="Times New Roman"/>
                <w:bCs w:val="0"/>
                <w:snapToGrid/>
                <w:color w:val="auto"/>
                <w:kern w:val="0"/>
                <w:sz w:val="24"/>
                <w:szCs w:val="24"/>
              </w:rPr>
              <w:t>靖州苗族侗族自治县国土空间总体规划</w:t>
            </w:r>
            <w:r>
              <w:rPr>
                <w:rFonts w:hint="eastAsia" w:ascii="Times New Roman" w:hAnsi="Times New Roman"/>
                <w:bCs w:val="0"/>
                <w:snapToGrid/>
                <w:color w:val="auto"/>
                <w:kern w:val="0"/>
                <w:sz w:val="24"/>
                <w:szCs w:val="24"/>
                <w:lang w:eastAsia="zh-CN"/>
              </w:rPr>
              <w:t>》（</w:t>
            </w:r>
            <w:r>
              <w:rPr>
                <w:rFonts w:hint="eastAsia" w:ascii="Times New Roman" w:hAnsi="Times New Roman"/>
                <w:bCs w:val="0"/>
                <w:snapToGrid/>
                <w:color w:val="auto"/>
                <w:kern w:val="0"/>
                <w:sz w:val="24"/>
                <w:szCs w:val="24"/>
                <w:lang w:val="en-US" w:eastAsia="zh-CN"/>
              </w:rPr>
              <w:t>2021-2035年</w:t>
            </w:r>
            <w:r>
              <w:rPr>
                <w:rFonts w:hint="eastAsia" w:ascii="Times New Roman" w:hAnsi="Times New Roman"/>
                <w:bCs w:val="0"/>
                <w:snapToGrid/>
                <w:color w:val="auto"/>
                <w:kern w:val="0"/>
                <w:sz w:val="24"/>
                <w:szCs w:val="24"/>
                <w:lang w:eastAsia="zh-CN"/>
              </w:rPr>
              <w:t>），规划构建“一心两轴，四区联动”的区域协调、城乡融合、人水和谐的国土空间总体格局，“一心”县城渠阳镇，“两轴”G356-G209城镇发展主轴、S578-G356城镇发展次轴，“四区”城镇集中发展区、现代农业产业区、特色林果区、生态涵养区。</w:t>
            </w:r>
          </w:p>
          <w:p w14:paraId="39788CD7">
            <w:pPr>
              <w:pStyle w:val="4"/>
              <w:numPr>
                <w:ilvl w:val="-1"/>
                <w:numId w:val="0"/>
              </w:numPr>
              <w:ind w:firstLine="480" w:firstLineChars="200"/>
              <w:jc w:val="both"/>
              <w:rPr>
                <w:rFonts w:hint="eastAsia" w:ascii="Times New Roman" w:hAnsi="Times New Roman"/>
                <w:bCs w:val="0"/>
                <w:snapToGrid/>
                <w:color w:val="auto"/>
                <w:kern w:val="0"/>
                <w:sz w:val="24"/>
                <w:szCs w:val="24"/>
                <w:lang w:eastAsia="zh-CN"/>
              </w:rPr>
            </w:pPr>
            <w:r>
              <w:rPr>
                <w:rFonts w:hint="eastAsia" w:ascii="Times New Roman" w:hAnsi="Times New Roman"/>
                <w:bCs w:val="0"/>
                <w:snapToGrid/>
                <w:color w:val="auto"/>
                <w:kern w:val="0"/>
                <w:sz w:val="24"/>
                <w:szCs w:val="24"/>
                <w:lang w:eastAsia="zh-CN"/>
              </w:rPr>
              <w:t>本项目位于</w:t>
            </w:r>
            <w:r>
              <w:rPr>
                <w:rFonts w:hint="eastAsia" w:ascii="Times New Roman" w:hAnsi="Times New Roman"/>
                <w:bCs w:val="0"/>
                <w:snapToGrid/>
                <w:color w:val="auto"/>
                <w:kern w:val="0"/>
                <w:sz w:val="24"/>
                <w:szCs w:val="24"/>
              </w:rPr>
              <w:t>渠阳镇高桥村七坡冲，距G356国道10m</w:t>
            </w:r>
            <w:r>
              <w:rPr>
                <w:rFonts w:hint="eastAsia" w:ascii="Times New Roman" w:hAnsi="Times New Roman"/>
                <w:bCs w:val="0"/>
                <w:snapToGrid/>
                <w:color w:val="auto"/>
                <w:kern w:val="0"/>
                <w:sz w:val="24"/>
                <w:szCs w:val="24"/>
                <w:lang w:eastAsia="zh-CN"/>
              </w:rPr>
              <w:t>，位于</w:t>
            </w:r>
            <w:r>
              <w:rPr>
                <w:rFonts w:hint="eastAsia" w:ascii="Times New Roman" w:hAnsi="Times New Roman"/>
                <w:bCs w:val="0"/>
                <w:snapToGrid/>
                <w:color w:val="auto"/>
                <w:kern w:val="0"/>
                <w:sz w:val="24"/>
                <w:szCs w:val="24"/>
              </w:rPr>
              <w:t>靖州苗族侗族自治县</w:t>
            </w:r>
            <w:r>
              <w:rPr>
                <w:rFonts w:hint="eastAsia" w:ascii="Times New Roman" w:hAnsi="Times New Roman"/>
                <w:bCs w:val="0"/>
                <w:snapToGrid/>
                <w:color w:val="auto"/>
                <w:kern w:val="0"/>
                <w:sz w:val="24"/>
                <w:szCs w:val="24"/>
                <w:lang w:eastAsia="zh-CN"/>
              </w:rPr>
              <w:t>的一心两轴，符合《</w:t>
            </w:r>
            <w:r>
              <w:rPr>
                <w:rFonts w:hint="eastAsia" w:ascii="Times New Roman" w:hAnsi="Times New Roman"/>
                <w:bCs w:val="0"/>
                <w:snapToGrid/>
                <w:color w:val="auto"/>
                <w:kern w:val="0"/>
                <w:sz w:val="24"/>
                <w:szCs w:val="24"/>
              </w:rPr>
              <w:t>靖州苗族侗族自治县国土空间总体规划</w:t>
            </w:r>
            <w:r>
              <w:rPr>
                <w:rFonts w:hint="eastAsia" w:ascii="Times New Roman" w:hAnsi="Times New Roman"/>
                <w:bCs w:val="0"/>
                <w:snapToGrid/>
                <w:color w:val="auto"/>
                <w:kern w:val="0"/>
                <w:sz w:val="24"/>
                <w:szCs w:val="24"/>
                <w:lang w:eastAsia="zh-CN"/>
              </w:rPr>
              <w:t>》（</w:t>
            </w:r>
            <w:r>
              <w:rPr>
                <w:rFonts w:hint="eastAsia" w:ascii="Times New Roman" w:hAnsi="Times New Roman"/>
                <w:bCs w:val="0"/>
                <w:snapToGrid/>
                <w:color w:val="auto"/>
                <w:kern w:val="0"/>
                <w:sz w:val="24"/>
                <w:szCs w:val="24"/>
                <w:lang w:val="en-US" w:eastAsia="zh-CN"/>
              </w:rPr>
              <w:t>2021-2035年</w:t>
            </w:r>
            <w:r>
              <w:rPr>
                <w:rFonts w:hint="eastAsia" w:ascii="Times New Roman" w:hAnsi="Times New Roman"/>
                <w:bCs w:val="0"/>
                <w:snapToGrid/>
                <w:color w:val="auto"/>
                <w:kern w:val="0"/>
                <w:sz w:val="24"/>
                <w:szCs w:val="24"/>
                <w:lang w:eastAsia="zh-CN"/>
              </w:rPr>
              <w:t>）。</w:t>
            </w:r>
          </w:p>
        </w:tc>
      </w:tr>
      <w:tr w14:paraId="793B8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50" w:type="dxa"/>
            <w:vAlign w:val="center"/>
          </w:tcPr>
          <w:p w14:paraId="4D01DC96">
            <w:pPr>
              <w:autoSpaceDE w:val="0"/>
              <w:autoSpaceDN w:val="0"/>
              <w:adjustRightInd w:val="0"/>
              <w:snapToGrid w:val="0"/>
              <w:spacing w:line="240" w:lineRule="auto"/>
              <w:jc w:val="center"/>
              <w:rPr>
                <w:kern w:val="0"/>
              </w:rPr>
            </w:pPr>
            <w:r>
              <w:rPr>
                <w:kern w:val="0"/>
              </w:rPr>
              <w:t>其他符合性分析</w:t>
            </w:r>
          </w:p>
        </w:tc>
        <w:tc>
          <w:tcPr>
            <w:tcW w:w="7320" w:type="dxa"/>
            <w:gridSpan w:val="3"/>
            <w:vAlign w:val="center"/>
          </w:tcPr>
          <w:p w14:paraId="015128DE">
            <w:pPr>
              <w:pStyle w:val="30"/>
            </w:pPr>
            <w:bookmarkStart w:id="6" w:name="_Toc68160346"/>
            <w:bookmarkStart w:id="7" w:name="_Toc18196"/>
            <w:r>
              <w:t>产业政策符合性分析</w:t>
            </w:r>
            <w:bookmarkEnd w:id="6"/>
            <w:bookmarkEnd w:id="7"/>
          </w:p>
          <w:p w14:paraId="0A810C87">
            <w:pPr>
              <w:widowControl/>
              <w:autoSpaceDE/>
              <w:autoSpaceDN/>
              <w:adjustRightInd/>
              <w:snapToGrid/>
              <w:ind w:firstLine="480" w:firstLineChars="200"/>
              <w:jc w:val="left"/>
              <w:rPr>
                <w:color w:val="0000C7"/>
                <w:kern w:val="0"/>
              </w:rPr>
            </w:pPr>
            <w:r>
              <w:rPr>
                <w:u w:val="single"/>
              </w:rPr>
              <w:t>本项目属于</w:t>
            </w:r>
            <w:r>
              <w:rPr>
                <w:rFonts w:hint="eastAsia"/>
                <w:u w:val="single"/>
              </w:rPr>
              <w:t>建筑用石加工及水泥制品制造</w:t>
            </w:r>
            <w:r>
              <w:rPr>
                <w:u w:val="single"/>
              </w:rPr>
              <w:t>，</w:t>
            </w:r>
            <w:r>
              <w:rPr>
                <w:rFonts w:hint="eastAsia"/>
                <w:u w:val="single"/>
              </w:rPr>
              <w:t>主要销售</w:t>
            </w:r>
            <w:r>
              <w:rPr>
                <w:rFonts w:hint="default" w:ascii="Times New Roman" w:hAnsi="Times New Roman" w:eastAsia="宋体" w:cs="Times New Roman"/>
                <w:bCs/>
                <w:kern w:val="0"/>
                <w:sz w:val="24"/>
                <w:szCs w:val="21"/>
                <w:u w:val="single"/>
                <w:lang w:val="en-US" w:eastAsia="zh-CN" w:bidi="ar-SA"/>
              </w:rPr>
              <w:t>墓碑及附属产品和其他板材</w:t>
            </w:r>
            <w:r>
              <w:rPr>
                <w:rFonts w:hint="eastAsia"/>
                <w:u w:val="single"/>
              </w:rPr>
              <w:t>、路沿石以及</w:t>
            </w:r>
            <w:r>
              <w:rPr>
                <w:rFonts w:hint="eastAsia" w:ascii="Times New Roman" w:hAnsi="Times New Roman" w:eastAsia="宋体" w:cs="Times New Roman"/>
                <w:kern w:val="2"/>
                <w:sz w:val="24"/>
                <w:szCs w:val="24"/>
                <w:u w:val="single"/>
                <w:lang w:val="en-US" w:eastAsia="zh-CN" w:bidi="ar-SA"/>
              </w:rPr>
              <w:t>透水砖、路面砖</w:t>
            </w:r>
            <w:r>
              <w:rPr>
                <w:spacing w:val="7"/>
                <w:u w:val="single"/>
              </w:rPr>
              <w:t>。</w:t>
            </w:r>
            <w:r>
              <w:t>经查阅，本项目</w:t>
            </w:r>
            <w:r>
              <w:rPr>
                <w:rFonts w:hint="default" w:ascii="Times New Roman" w:hAnsi="Times New Roman" w:eastAsia="宋体" w:cs="Times New Roman"/>
                <w:bCs/>
                <w:kern w:val="0"/>
                <w:sz w:val="24"/>
                <w:szCs w:val="21"/>
                <w:lang w:val="en-US" w:eastAsia="zh-CN" w:bidi="ar-SA"/>
              </w:rPr>
              <w:t>墓碑及附属产品和其他板材</w:t>
            </w:r>
            <w:r>
              <w:rPr>
                <w:rFonts w:eastAsia="宋体"/>
                <w:sz w:val="24"/>
                <w:szCs w:val="24"/>
              </w:rPr>
              <w:t>生产线</w:t>
            </w:r>
            <w:r>
              <w:rPr>
                <w:rFonts w:hint="default" w:eastAsia="宋体"/>
                <w:sz w:val="24"/>
                <w:szCs w:val="24"/>
                <w:lang w:eastAsia="zh-CN"/>
              </w:rPr>
              <w:t>及</w:t>
            </w:r>
            <w:r>
              <w:rPr>
                <w:rFonts w:eastAsia="宋体"/>
                <w:bCs w:val="0"/>
                <w:kern w:val="2"/>
                <w:sz w:val="24"/>
                <w:szCs w:val="24"/>
              </w:rPr>
              <w:t>路沿石生产线</w:t>
            </w:r>
            <w:r>
              <w:rPr>
                <w:rFonts w:hint="default"/>
                <w:bCs w:val="0"/>
                <w:lang w:eastAsia="zh-CN"/>
              </w:rPr>
              <w:t>的</w:t>
            </w:r>
            <w:r>
              <w:rPr>
                <w:bCs/>
              </w:rPr>
              <w:t>生产工艺、设备、产品</w:t>
            </w:r>
            <w:r>
              <w:t>不属于《产业结构调整指导目录》（202</w:t>
            </w:r>
            <w:r>
              <w:rPr>
                <w:rFonts w:hint="eastAsia"/>
                <w:lang w:val="en-US" w:eastAsia="zh-CN"/>
              </w:rPr>
              <w:t>4</w:t>
            </w:r>
            <w:r>
              <w:t>年</w:t>
            </w:r>
            <w:r>
              <w:rPr>
                <w:rFonts w:hint="eastAsia"/>
                <w:lang w:eastAsia="zh-CN"/>
              </w:rPr>
              <w:t>本</w:t>
            </w:r>
            <w:r>
              <w:t>）中的</w:t>
            </w:r>
            <w:r>
              <w:rPr>
                <w:bCs/>
              </w:rPr>
              <w:t>鼓励、限制和淘汰类，属于允许类，</w:t>
            </w:r>
            <w:r>
              <w:rPr>
                <w:rFonts w:hint="eastAsia" w:ascii="Times New Roman" w:hAnsi="Times New Roman" w:eastAsia="宋体" w:cs="Times New Roman"/>
                <w:kern w:val="2"/>
                <w:sz w:val="24"/>
                <w:szCs w:val="24"/>
                <w:u w:val="single"/>
                <w:lang w:val="en-US" w:eastAsia="zh-CN" w:bidi="ar-SA"/>
              </w:rPr>
              <w:t>透水砖、路面砖</w:t>
            </w:r>
            <w:r>
              <w:rPr>
                <w:rFonts w:hint="eastAsia"/>
                <w:bCs/>
                <w:lang w:eastAsia="zh-CN"/>
              </w:rPr>
              <w:t>生产线</w:t>
            </w:r>
            <w:r>
              <w:rPr>
                <w:rFonts w:hint="eastAsia"/>
              </w:rPr>
              <w:t>属于</w:t>
            </w:r>
            <w:r>
              <w:t>鼓励类</w:t>
            </w:r>
            <w:r>
              <w:rPr>
                <w:rFonts w:hint="eastAsia"/>
              </w:rPr>
              <w:t>：“</w:t>
            </w:r>
            <w:r>
              <w:rPr>
                <w:rFonts w:hint="eastAsia"/>
                <w:lang w:eastAsia="zh-CN"/>
              </w:rPr>
              <w:t>十</w:t>
            </w:r>
            <w:r>
              <w:rPr>
                <w:rFonts w:hint="eastAsia"/>
              </w:rPr>
              <w:t>二、</w:t>
            </w:r>
            <w:r>
              <w:rPr>
                <w:rFonts w:hint="eastAsia"/>
                <w:lang w:eastAsia="zh-CN"/>
              </w:rPr>
              <w:t>建材</w:t>
            </w:r>
            <w:r>
              <w:rPr>
                <w:rFonts w:hint="eastAsia"/>
              </w:rPr>
              <w:t>”中</w:t>
            </w:r>
            <w:r>
              <w:t>的</w:t>
            </w:r>
            <w:r>
              <w:rPr>
                <w:rFonts w:hint="eastAsia"/>
              </w:rPr>
              <w:t>“</w:t>
            </w:r>
            <w:r>
              <w:rPr>
                <w:rFonts w:hint="eastAsia"/>
                <w:lang w:val="en-US" w:eastAsia="zh-CN"/>
              </w:rPr>
              <w:t>3</w:t>
            </w:r>
            <w:r>
              <w:rPr>
                <w:rFonts w:hint="eastAsia" w:ascii="Times New Roman" w:hAnsi="Times New Roman" w:eastAsia="宋体" w:cs="Times New Roman"/>
              </w:rPr>
              <w:t>、</w:t>
            </w:r>
            <w:r>
              <w:rPr>
                <w:rFonts w:hint="eastAsia" w:ascii="Times New Roman" w:hAnsi="Times New Roman" w:eastAsia="宋体" w:cs="Times New Roman"/>
                <w:kern w:val="2"/>
                <w:sz w:val="24"/>
                <w:szCs w:val="24"/>
                <w:lang w:val="en-US" w:eastAsia="zh-CN" w:bidi="ar"/>
              </w:rPr>
              <w:t>功能型、集成化装饰装修材料及制品，超薄陶瓷板、绿色无醛人造板，路面砖（板）、透水砖（板）、装饰砖（砌块）、仿古砖瓦、水工及护坡生态砖（砌块）等产品及绿色低碳建材产品技术开发与生产应用</w:t>
            </w:r>
            <w:r>
              <w:rPr>
                <w:rFonts w:hint="eastAsia"/>
              </w:rPr>
              <w:t>”</w:t>
            </w:r>
            <w:r>
              <w:rPr>
                <w:rFonts w:hint="eastAsia"/>
                <w:lang w:eastAsia="zh-CN"/>
              </w:rPr>
              <w:t>，</w:t>
            </w:r>
            <w:r>
              <w:rPr>
                <w:bCs/>
              </w:rPr>
              <w:t>因此，项目建设符合国家产业政策。</w:t>
            </w:r>
          </w:p>
          <w:p w14:paraId="13D31DF7">
            <w:pPr>
              <w:pStyle w:val="30"/>
            </w:pPr>
            <w:bookmarkStart w:id="8" w:name="_Toc30131"/>
            <w:bookmarkStart w:id="9" w:name="_Toc68160347"/>
            <w:r>
              <w:t>三线一单符合性分析</w:t>
            </w:r>
            <w:bookmarkEnd w:id="8"/>
            <w:bookmarkEnd w:id="9"/>
          </w:p>
          <w:p w14:paraId="7757F2B7">
            <w:pPr>
              <w:pStyle w:val="2"/>
              <w:wordWrap w:val="0"/>
              <w:topLinePunct/>
              <w:autoSpaceDE/>
              <w:autoSpaceDN/>
              <w:snapToGrid w:val="0"/>
              <w:ind w:firstLine="480" w:firstLineChars="200"/>
              <w:rPr>
                <w:rFonts w:hint="default" w:ascii="Times New Roman" w:hAnsi="Times New Roman" w:eastAsia="宋体" w:cs="Times New Roman"/>
                <w:snapToGrid w:val="0"/>
                <w:color w:val="auto"/>
                <w:kern w:val="0"/>
              </w:rPr>
            </w:pPr>
            <w:bookmarkStart w:id="10" w:name="_Toc68160348"/>
            <w:r>
              <w:rPr>
                <w:rFonts w:ascii="Times New Roman" w:hAnsi="Times New Roman" w:eastAsia="宋体" w:cs="Times New Roman"/>
                <w:snapToGrid w:val="0"/>
                <w:color w:val="auto"/>
                <w:kern w:val="0"/>
              </w:rPr>
              <w:fldChar w:fldCharType="begin"/>
            </w:r>
            <w:r>
              <w:rPr>
                <w:rFonts w:ascii="Times New Roman" w:hAnsi="Times New Roman" w:eastAsia="宋体" w:cs="Times New Roman"/>
                <w:snapToGrid w:val="0"/>
                <w:color w:val="auto"/>
                <w:kern w:val="0"/>
              </w:rPr>
              <w:instrText xml:space="preserve"> = 1 \* GB3 </w:instrText>
            </w:r>
            <w:r>
              <w:rPr>
                <w:rFonts w:ascii="Times New Roman" w:hAnsi="Times New Roman" w:eastAsia="宋体" w:cs="Times New Roman"/>
                <w:snapToGrid w:val="0"/>
                <w:color w:val="auto"/>
                <w:kern w:val="0"/>
              </w:rPr>
              <w:fldChar w:fldCharType="separate"/>
            </w:r>
            <w:r>
              <w:rPr>
                <w:rFonts w:ascii="Times New Roman" w:hAnsi="Times New Roman" w:eastAsia="宋体" w:cs="Times New Roman"/>
                <w:snapToGrid w:val="0"/>
                <w:color w:val="auto"/>
                <w:kern w:val="0"/>
              </w:rPr>
              <w:t>①</w:t>
            </w:r>
            <w:r>
              <w:rPr>
                <w:rFonts w:ascii="Times New Roman" w:hAnsi="Times New Roman" w:eastAsia="宋体" w:cs="Times New Roman"/>
                <w:snapToGrid w:val="0"/>
                <w:color w:val="auto"/>
                <w:kern w:val="0"/>
              </w:rPr>
              <w:fldChar w:fldCharType="end"/>
            </w:r>
            <w:r>
              <w:rPr>
                <w:rFonts w:ascii="Times New Roman" w:hAnsi="Times New Roman" w:eastAsia="宋体" w:cs="Times New Roman"/>
                <w:snapToGrid w:val="0"/>
                <w:color w:val="auto"/>
                <w:kern w:val="0"/>
              </w:rPr>
              <w:t>生态红线</w:t>
            </w:r>
          </w:p>
          <w:p w14:paraId="514BBF8D">
            <w:pPr>
              <w:pStyle w:val="2"/>
              <w:wordWrap w:val="0"/>
              <w:topLinePunct/>
              <w:autoSpaceDE/>
              <w:autoSpaceDN/>
              <w:snapToGrid w:val="0"/>
              <w:ind w:firstLine="480" w:firstLineChars="200"/>
              <w:rPr>
                <w:rFonts w:hint="default" w:ascii="Times New Roman" w:hAnsi="Times New Roman" w:eastAsia="宋体" w:cs="Times New Roman"/>
                <w:snapToGrid w:val="0"/>
                <w:color w:val="auto"/>
                <w:kern w:val="0"/>
              </w:rPr>
            </w:pPr>
            <w:r>
              <w:rPr>
                <w:rFonts w:ascii="Times New Roman" w:hAnsi="Times New Roman" w:eastAsia="宋体" w:cs="Times New Roman"/>
                <w:snapToGrid w:val="0"/>
                <w:color w:val="auto"/>
                <w:kern w:val="0"/>
              </w:rPr>
              <w:t>根据靖州县自然资源局规划管理股于2023年7月出具的《靖州鑫宏石材雕刻加工厂建设项目空间检测报告》</w:t>
            </w:r>
            <w:r>
              <w:rPr>
                <w:rFonts w:ascii="Times New Roman" w:hAnsi="Times New Roman" w:eastAsia="宋体" w:cs="Times New Roman"/>
                <w:bCs/>
                <w:color w:val="auto"/>
              </w:rPr>
              <w:t>（见附件6）</w:t>
            </w:r>
            <w:r>
              <w:rPr>
                <w:rFonts w:ascii="Times New Roman" w:hAnsi="Times New Roman" w:eastAsia="宋体" w:cs="Times New Roman"/>
                <w:snapToGrid w:val="0"/>
                <w:color w:val="auto"/>
                <w:kern w:val="0"/>
              </w:rPr>
              <w:t>，项目地</w:t>
            </w:r>
            <w:r>
              <w:rPr>
                <w:rFonts w:hint="eastAsia" w:ascii="Times New Roman" w:hAnsi="Times New Roman" w:eastAsia="宋体" w:cs="Times New Roman"/>
                <w:snapToGrid w:val="0"/>
                <w:color w:val="auto"/>
                <w:kern w:val="0"/>
                <w:lang w:val="en-US" w:eastAsia="zh-CN"/>
              </w:rPr>
              <w:t>不占用</w:t>
            </w:r>
            <w:r>
              <w:rPr>
                <w:rFonts w:hint="eastAsia" w:ascii="Times New Roman" w:hAnsi="Times New Roman" w:eastAsia="宋体" w:cs="Times New Roman"/>
                <w:snapToGrid w:val="0"/>
                <w:color w:val="auto"/>
                <w:kern w:val="0"/>
                <w:lang w:eastAsia="zh-CN"/>
              </w:rPr>
              <w:t>生态保护红线</w:t>
            </w:r>
            <w:r>
              <w:rPr>
                <w:rFonts w:ascii="Times New Roman" w:hAnsi="Times New Roman" w:eastAsia="宋体" w:cs="Times New Roman"/>
                <w:snapToGrid w:val="0"/>
                <w:color w:val="auto"/>
                <w:kern w:val="0"/>
              </w:rPr>
              <w:t>。</w:t>
            </w:r>
          </w:p>
          <w:p w14:paraId="78971F98">
            <w:pPr>
              <w:pStyle w:val="2"/>
              <w:wordWrap w:val="0"/>
              <w:topLinePunct/>
              <w:autoSpaceDE/>
              <w:autoSpaceDN/>
              <w:snapToGrid w:val="0"/>
              <w:ind w:firstLine="480" w:firstLineChars="200"/>
              <w:rPr>
                <w:rFonts w:hint="default" w:ascii="Times New Roman" w:hAnsi="Times New Roman" w:eastAsia="宋体" w:cs="Times New Roman"/>
                <w:snapToGrid w:val="0"/>
                <w:color w:val="auto"/>
                <w:kern w:val="0"/>
              </w:rPr>
            </w:pPr>
            <w:r>
              <w:rPr>
                <w:rFonts w:ascii="Times New Roman" w:hAnsi="Times New Roman" w:eastAsia="宋体" w:cs="Times New Roman"/>
                <w:snapToGrid w:val="0"/>
                <w:color w:val="auto"/>
                <w:kern w:val="0"/>
              </w:rPr>
              <w:fldChar w:fldCharType="begin"/>
            </w:r>
            <w:r>
              <w:rPr>
                <w:rFonts w:ascii="Times New Roman" w:hAnsi="Times New Roman" w:eastAsia="宋体" w:cs="Times New Roman"/>
                <w:snapToGrid w:val="0"/>
                <w:color w:val="auto"/>
                <w:kern w:val="0"/>
              </w:rPr>
              <w:instrText xml:space="preserve"> = 2 \* GB3 </w:instrText>
            </w:r>
            <w:r>
              <w:rPr>
                <w:rFonts w:ascii="Times New Roman" w:hAnsi="Times New Roman" w:eastAsia="宋体" w:cs="Times New Roman"/>
                <w:snapToGrid w:val="0"/>
                <w:color w:val="auto"/>
                <w:kern w:val="0"/>
              </w:rPr>
              <w:fldChar w:fldCharType="separate"/>
            </w:r>
            <w:r>
              <w:rPr>
                <w:rFonts w:ascii="Times New Roman" w:hAnsi="Times New Roman" w:eastAsia="宋体" w:cs="Times New Roman"/>
                <w:snapToGrid w:val="0"/>
                <w:color w:val="auto"/>
                <w:kern w:val="0"/>
              </w:rPr>
              <w:t>②</w:t>
            </w:r>
            <w:r>
              <w:rPr>
                <w:rFonts w:ascii="Times New Roman" w:hAnsi="Times New Roman" w:eastAsia="宋体" w:cs="Times New Roman"/>
                <w:snapToGrid w:val="0"/>
                <w:color w:val="auto"/>
                <w:kern w:val="0"/>
              </w:rPr>
              <w:fldChar w:fldCharType="end"/>
            </w:r>
            <w:r>
              <w:rPr>
                <w:rFonts w:ascii="Times New Roman" w:hAnsi="Times New Roman" w:eastAsia="宋体" w:cs="Times New Roman"/>
                <w:snapToGrid w:val="0"/>
                <w:color w:val="auto"/>
                <w:kern w:val="0"/>
              </w:rPr>
              <w:t>环境质量底线</w:t>
            </w:r>
          </w:p>
          <w:p w14:paraId="611737C9">
            <w:pPr>
              <w:wordWrap w:val="0"/>
              <w:topLinePunct/>
              <w:adjustRightInd w:val="0"/>
              <w:snapToGrid w:val="0"/>
              <w:ind w:firstLine="454"/>
              <w:rPr>
                <w:snapToGrid w:val="0"/>
                <w:kern w:val="0"/>
              </w:rPr>
            </w:pPr>
            <w:r>
              <w:t>根据项目场地现状环境监测可知，项目地环境空气质量符合《环境空气质量标准》（GB3095-2012）中的二级标准，区域地表水符合《地表水环境质量标准》（GB3838-2002）III类标准，声环境执行《声环境质量标准》(GB3095-2008)的2类及4a类区标准。项目建设地符合环境质量底线要求。</w:t>
            </w:r>
          </w:p>
          <w:p w14:paraId="277D8D36">
            <w:pPr>
              <w:wordWrap w:val="0"/>
              <w:topLinePunct/>
              <w:adjustRightInd w:val="0"/>
              <w:snapToGrid w:val="0"/>
              <w:ind w:firstLine="480" w:firstLineChars="200"/>
              <w:rPr>
                <w:kern w:val="0"/>
              </w:rPr>
            </w:pPr>
            <w:r>
              <w:t>本项目大气污染物主要包括</w:t>
            </w:r>
            <w:r>
              <w:rPr>
                <w:rFonts w:hint="eastAsia"/>
                <w:kern w:val="0"/>
              </w:rPr>
              <w:t>原料堆场扬尘、成品</w:t>
            </w:r>
            <w:r>
              <w:rPr>
                <w:kern w:val="0"/>
              </w:rPr>
              <w:t>堆场扬尘、</w:t>
            </w:r>
            <w:r>
              <w:rPr>
                <w:rFonts w:hint="eastAsia"/>
                <w:kern w:val="0"/>
              </w:rPr>
              <w:t>路沿石加工粉尘、</w:t>
            </w:r>
            <w:r>
              <w:rPr>
                <w:rFonts w:hint="default" w:ascii="Times New Roman" w:hAnsi="Times New Roman" w:eastAsia="宋体" w:cs="Times New Roman"/>
                <w:bCs/>
                <w:kern w:val="0"/>
                <w:sz w:val="24"/>
                <w:szCs w:val="21"/>
                <w:lang w:val="en-US" w:eastAsia="zh-CN" w:bidi="ar-SA"/>
              </w:rPr>
              <w:t>墓碑及附属产品和其他板材</w:t>
            </w:r>
            <w:r>
              <w:rPr>
                <w:rFonts w:hint="eastAsia"/>
                <w:kern w:val="0"/>
              </w:rPr>
              <w:t>加工粉尘、</w:t>
            </w:r>
            <w:r>
              <w:rPr>
                <w:rFonts w:hint="eastAsia"/>
                <w:kern w:val="0"/>
                <w:lang w:eastAsia="zh-CN"/>
              </w:rPr>
              <w:t>墓碑加工有机废气、</w:t>
            </w:r>
            <w:r>
              <w:rPr>
                <w:rFonts w:hint="eastAsia" w:ascii="Times New Roman" w:hAnsi="Times New Roman" w:eastAsia="宋体" w:cs="Times New Roman"/>
                <w:kern w:val="2"/>
                <w:sz w:val="24"/>
                <w:szCs w:val="24"/>
                <w:u w:val="single"/>
                <w:lang w:val="en-US" w:eastAsia="zh-CN" w:bidi="ar-SA"/>
              </w:rPr>
              <w:t>透水砖、路面砖</w:t>
            </w:r>
            <w:r>
              <w:rPr>
                <w:kern w:val="0"/>
              </w:rPr>
              <w:t>生产过程中产生的破碎筛分</w:t>
            </w:r>
            <w:r>
              <w:rPr>
                <w:rFonts w:hint="eastAsia"/>
                <w:kern w:val="0"/>
              </w:rPr>
              <w:t>制砂</w:t>
            </w:r>
            <w:r>
              <w:rPr>
                <w:kern w:val="0"/>
              </w:rPr>
              <w:t>粉尘、</w:t>
            </w:r>
            <w:r>
              <w:rPr>
                <w:rFonts w:hint="eastAsia" w:ascii="Times New Roman" w:hAnsi="Times New Roman" w:eastAsia="宋体" w:cs="Times New Roman"/>
                <w:kern w:val="2"/>
                <w:sz w:val="24"/>
                <w:szCs w:val="24"/>
                <w:u w:val="single"/>
                <w:lang w:val="en-US" w:eastAsia="zh-CN" w:bidi="ar-SA"/>
              </w:rPr>
              <w:t>透水砖、路面砖</w:t>
            </w:r>
            <w:r>
              <w:rPr>
                <w:kern w:val="0"/>
              </w:rPr>
              <w:t>生产</w:t>
            </w:r>
            <w:r>
              <w:rPr>
                <w:rFonts w:hint="eastAsia"/>
                <w:kern w:val="0"/>
              </w:rPr>
              <w:t>线投料输送及搅拌</w:t>
            </w:r>
            <w:r>
              <w:rPr>
                <w:kern w:val="0"/>
              </w:rPr>
              <w:t>粉尘、</w:t>
            </w:r>
            <w:r>
              <w:rPr>
                <w:rFonts w:hint="eastAsia"/>
                <w:kern w:val="2"/>
                <w:szCs w:val="21"/>
                <w:lang w:val="en-US" w:eastAsia="zh-CN"/>
              </w:rPr>
              <w:t>水泥筒仓</w:t>
            </w:r>
            <w:r>
              <w:rPr>
                <w:rFonts w:hint="eastAsia"/>
                <w:kern w:val="0"/>
              </w:rPr>
              <w:t>呼吸孔粉尘、</w:t>
            </w:r>
            <w:r>
              <w:rPr>
                <w:kern w:val="0"/>
              </w:rPr>
              <w:t>运输车辆扬尘及</w:t>
            </w:r>
            <w:r>
              <w:t>食堂油烟，</w:t>
            </w:r>
            <w:r>
              <w:rPr>
                <w:rFonts w:hint="eastAsia"/>
                <w:lang w:val="en-US" w:eastAsia="zh-CN"/>
              </w:rPr>
              <w:t>通过采取相应的环保处理措施后</w:t>
            </w:r>
            <w:r>
              <w:t>各污染物均能实现达标排放，对周围环境质量影响较小；</w:t>
            </w:r>
            <w:r>
              <w:rPr>
                <w:kern w:val="21"/>
              </w:rPr>
              <w:t>本项目产生的废水包括</w:t>
            </w:r>
            <w:r>
              <w:rPr>
                <w:rFonts w:hint="eastAsia"/>
              </w:rPr>
              <w:t>切割磨光及雕刻废水、厂区抑尘废水、</w:t>
            </w:r>
            <w:r>
              <w:t>工作人员生活污水</w:t>
            </w:r>
            <w:r>
              <w:rPr>
                <w:szCs w:val="32"/>
              </w:rPr>
              <w:t>及初期雨水</w:t>
            </w:r>
            <w:r>
              <w:rPr>
                <w:kern w:val="21"/>
              </w:rPr>
              <w:t>，</w:t>
            </w:r>
            <w:r>
              <w:rPr>
                <w:rFonts w:hint="eastAsia"/>
                <w:kern w:val="21"/>
              </w:rPr>
              <w:t>初期雨水</w:t>
            </w:r>
            <w:r>
              <w:rPr>
                <w:kern w:val="21"/>
              </w:rPr>
              <w:t>经</w:t>
            </w:r>
            <w:r>
              <w:rPr>
                <w:rFonts w:hint="eastAsia"/>
                <w:kern w:val="21"/>
              </w:rPr>
              <w:t>初期雨水收集池</w:t>
            </w:r>
            <w:r>
              <w:rPr>
                <w:kern w:val="21"/>
              </w:rPr>
              <w:t>沉淀后回用于厂区降尘洒水</w:t>
            </w:r>
            <w:r>
              <w:rPr>
                <w:rFonts w:hint="eastAsia"/>
                <w:kern w:val="21"/>
              </w:rPr>
              <w:t>，</w:t>
            </w:r>
            <w:r>
              <w:rPr>
                <w:rFonts w:hint="eastAsia"/>
              </w:rPr>
              <w:t>切割磨光及雕刻废水</w:t>
            </w:r>
            <w:r>
              <w:rPr>
                <w:rFonts w:hint="eastAsia"/>
                <w:szCs w:val="32"/>
              </w:rPr>
              <w:t>经</w:t>
            </w:r>
            <w:r>
              <w:rPr>
                <w:szCs w:val="32"/>
              </w:rPr>
              <w:t>废水处理系统</w:t>
            </w:r>
            <w:r>
              <w:rPr>
                <w:rFonts w:hint="eastAsia"/>
                <w:szCs w:val="32"/>
              </w:rPr>
              <w:t>处理后回用于生产</w:t>
            </w:r>
            <w:r>
              <w:rPr>
                <w:rFonts w:hint="eastAsia"/>
              </w:rPr>
              <w:t>；厂区洒水抑尘废水</w:t>
            </w:r>
            <w:r>
              <w:rPr>
                <w:szCs w:val="21"/>
              </w:rPr>
              <w:t>大部分进入板材中或进入扬尘中并随其沉降在地面，剩余部分全部蒸发损耗，</w:t>
            </w:r>
            <w:r>
              <w:rPr>
                <w:rFonts w:hint="eastAsia"/>
                <w:szCs w:val="21"/>
              </w:rPr>
              <w:t>不</w:t>
            </w:r>
            <w:r>
              <w:rPr>
                <w:szCs w:val="21"/>
              </w:rPr>
              <w:t>外排</w:t>
            </w:r>
            <w:r>
              <w:rPr>
                <w:rFonts w:hint="eastAsia"/>
                <w:szCs w:val="21"/>
              </w:rPr>
              <w:t>；</w:t>
            </w:r>
            <w:r>
              <w:rPr>
                <w:szCs w:val="32"/>
              </w:rPr>
              <w:t>生活污水经</w:t>
            </w:r>
            <w:r>
              <w:rPr>
                <w:rFonts w:hint="eastAsia"/>
                <w:szCs w:val="32"/>
              </w:rPr>
              <w:t>隔油</w:t>
            </w:r>
            <w:r>
              <w:rPr>
                <w:szCs w:val="32"/>
              </w:rPr>
              <w:t>化粪池处理用于周边林地、</w:t>
            </w:r>
            <w:r>
              <w:rPr>
                <w:rFonts w:hint="eastAsia"/>
                <w:szCs w:val="32"/>
              </w:rPr>
              <w:t>菜地</w:t>
            </w:r>
            <w:r>
              <w:rPr>
                <w:szCs w:val="32"/>
              </w:rPr>
              <w:t>浇灌，不外排</w:t>
            </w:r>
            <w:r>
              <w:rPr>
                <w:rFonts w:hint="eastAsia"/>
                <w:szCs w:val="32"/>
              </w:rPr>
              <w:t>。项</w:t>
            </w:r>
            <w:r>
              <w:rPr>
                <w:szCs w:val="32"/>
              </w:rPr>
              <w:t>目厂界噪声昼间值满足《工业企业厂界环境噪声排放标准》(GB12348-2008)2类及4类标准要求，对周围声环境影响不明显，固废可做到无害化处置</w:t>
            </w:r>
            <w:r>
              <w:t>；本项目各种污染物均得到合理有效处置，项目运营后，不改变区域环境功能。</w:t>
            </w:r>
          </w:p>
          <w:p w14:paraId="14049322">
            <w:pPr>
              <w:wordWrap w:val="0"/>
              <w:topLinePunct/>
              <w:adjustRightInd w:val="0"/>
              <w:snapToGrid w:val="0"/>
              <w:ind w:firstLine="480" w:firstLineChars="200"/>
              <w:rPr>
                <w:kern w:val="0"/>
              </w:rPr>
            </w:pPr>
            <w:r>
              <w:rPr>
                <w:kern w:val="0"/>
              </w:rPr>
              <w:fldChar w:fldCharType="begin"/>
            </w:r>
            <w:r>
              <w:rPr>
                <w:kern w:val="0"/>
              </w:rPr>
              <w:instrText xml:space="preserve"> = 3 \* GB3 </w:instrText>
            </w:r>
            <w:r>
              <w:rPr>
                <w:kern w:val="0"/>
              </w:rPr>
              <w:fldChar w:fldCharType="separate"/>
            </w:r>
            <w:r>
              <w:rPr>
                <w:kern w:val="0"/>
              </w:rPr>
              <w:t>③</w:t>
            </w:r>
            <w:r>
              <w:rPr>
                <w:kern w:val="0"/>
              </w:rPr>
              <w:fldChar w:fldCharType="end"/>
            </w:r>
            <w:r>
              <w:rPr>
                <w:kern w:val="0"/>
              </w:rPr>
              <w:t>资源利用上线</w:t>
            </w:r>
          </w:p>
          <w:p w14:paraId="7B8EB626">
            <w:pPr>
              <w:wordWrap w:val="0"/>
              <w:topLinePunct/>
              <w:adjustRightInd w:val="0"/>
              <w:snapToGrid w:val="0"/>
              <w:ind w:firstLine="480" w:firstLineChars="200"/>
              <w:rPr>
                <w:rFonts w:ascii="宋体" w:hAnsi="宋体"/>
                <w:kern w:val="0"/>
              </w:rPr>
            </w:pPr>
            <w:r>
              <w:rPr>
                <w:kern w:val="0"/>
              </w:rPr>
              <w:t>根据《关于加强资源环境生态红线管控的指导意见》(发改环资〔2016〕1162号)相关要求，</w:t>
            </w:r>
            <w:r>
              <w:rPr>
                <w:rFonts w:ascii="宋体" w:hAnsi="宋体"/>
                <w:kern w:val="0"/>
              </w:rPr>
              <w:t>“设定资源消耗上限。合理设定全国及各地区资源消耗“天花板”，对能源、水、土地等战略性资源消耗总量实施管控，强化资源消耗总量管控与消耗强度管理的协同。”</w:t>
            </w:r>
          </w:p>
          <w:p w14:paraId="636CBA86">
            <w:pPr>
              <w:wordWrap w:val="0"/>
              <w:topLinePunct/>
              <w:adjustRightInd w:val="0"/>
              <w:snapToGrid w:val="0"/>
              <w:ind w:firstLine="480" w:firstLineChars="200"/>
              <w:rPr>
                <w:kern w:val="0"/>
              </w:rPr>
            </w:pPr>
            <w:r>
              <w:rPr>
                <w:rFonts w:hint="eastAsia"/>
                <w:kern w:val="0"/>
                <w:szCs w:val="32"/>
              </w:rPr>
              <w:t>项目</w:t>
            </w:r>
            <w:r>
              <w:rPr>
                <w:kern w:val="0"/>
                <w:szCs w:val="32"/>
              </w:rPr>
              <w:t>为</w:t>
            </w:r>
            <w:r>
              <w:rPr>
                <w:rFonts w:hint="eastAsia"/>
              </w:rPr>
              <w:t>建筑用石加工及水泥制品制造</w:t>
            </w:r>
            <w:r>
              <w:rPr>
                <w:rFonts w:hint="eastAsia"/>
                <w:kern w:val="0"/>
                <w:szCs w:val="32"/>
              </w:rPr>
              <w:t>，</w:t>
            </w:r>
            <w:r>
              <w:rPr>
                <w:kern w:val="0"/>
              </w:rPr>
              <w:t>不属于高耗能、高污染、资源型企业，通过内部管理、设备选择、原辅材料的选用和管理、污染治理等方面采取合理可行的防治措施，以</w:t>
            </w:r>
            <w:r>
              <w:rPr>
                <w:rFonts w:ascii="宋体" w:hAnsi="宋体"/>
                <w:kern w:val="0"/>
              </w:rPr>
              <w:t>“节能、降耗、减污”</w:t>
            </w:r>
            <w:r>
              <w:rPr>
                <w:kern w:val="0"/>
              </w:rPr>
              <w:t>为目标，有效的控制污染。项目不涉及基本农田，不占用耕地等土地资源，不会突破环境资源利用上线，不会使环境容量接近或超过承载能力。本项目资源消耗相对区域资源利用总量较少，符合资源利用上限要求。</w:t>
            </w:r>
          </w:p>
          <w:p w14:paraId="4C3588CE">
            <w:pPr>
              <w:wordWrap w:val="0"/>
              <w:topLinePunct/>
              <w:adjustRightInd w:val="0"/>
              <w:snapToGrid w:val="0"/>
              <w:ind w:firstLine="480" w:firstLineChars="200"/>
              <w:rPr>
                <w:kern w:val="0"/>
                <w:u w:val="single"/>
              </w:rPr>
            </w:pPr>
            <w:r>
              <w:rPr>
                <w:kern w:val="0"/>
                <w:u w:val="single"/>
              </w:rPr>
              <w:fldChar w:fldCharType="begin"/>
            </w:r>
            <w:r>
              <w:rPr>
                <w:kern w:val="0"/>
                <w:u w:val="single"/>
              </w:rPr>
              <w:instrText xml:space="preserve"> = 4 \* GB3 </w:instrText>
            </w:r>
            <w:r>
              <w:rPr>
                <w:kern w:val="0"/>
                <w:u w:val="single"/>
              </w:rPr>
              <w:fldChar w:fldCharType="separate"/>
            </w:r>
            <w:r>
              <w:rPr>
                <w:kern w:val="0"/>
                <w:u w:val="single"/>
              </w:rPr>
              <w:t>④</w:t>
            </w:r>
            <w:r>
              <w:rPr>
                <w:kern w:val="0"/>
                <w:u w:val="single"/>
              </w:rPr>
              <w:fldChar w:fldCharType="end"/>
            </w:r>
            <w:r>
              <w:rPr>
                <w:rFonts w:hint="eastAsia"/>
                <w:kern w:val="0"/>
                <w:u w:val="single"/>
              </w:rPr>
              <w:t>生态环境</w:t>
            </w:r>
            <w:r>
              <w:rPr>
                <w:kern w:val="0"/>
                <w:u w:val="single"/>
              </w:rPr>
              <w:t>准入清单</w:t>
            </w:r>
          </w:p>
          <w:p w14:paraId="578B9DD0">
            <w:pPr>
              <w:ind w:firstLine="480" w:firstLineChars="200"/>
              <w:rPr>
                <w:szCs w:val="32"/>
                <w:u w:val="single"/>
                <w:shd w:val="clear" w:color="auto" w:fill="FFFFFF"/>
              </w:rPr>
            </w:pPr>
            <w:r>
              <w:rPr>
                <w:szCs w:val="32"/>
                <w:u w:val="single"/>
              </w:rPr>
              <w:t>本项目位于怀化市</w:t>
            </w:r>
            <w:r>
              <w:rPr>
                <w:rFonts w:hint="eastAsia"/>
                <w:u w:val="single"/>
              </w:rPr>
              <w:t>靖州苗族侗族自治县渠阳镇高桥村七坡冲</w:t>
            </w:r>
            <w:r>
              <w:rPr>
                <w:szCs w:val="32"/>
                <w:u w:val="single"/>
              </w:rPr>
              <w:t>，根据《怀化</w:t>
            </w:r>
            <w:r>
              <w:rPr>
                <w:rFonts w:ascii="宋体" w:hAnsi="宋体"/>
                <w:szCs w:val="32"/>
                <w:u w:val="single"/>
              </w:rPr>
              <w:t>市“三线一单”</w:t>
            </w:r>
            <w:r>
              <w:rPr>
                <w:szCs w:val="32"/>
                <w:u w:val="single"/>
              </w:rPr>
              <w:t>生态环境管控基本要求暨环境管控单元（省级以上产业园区除外）生态环境准入清单》</w:t>
            </w:r>
            <w:r>
              <w:rPr>
                <w:szCs w:val="32"/>
                <w:u w:val="single"/>
                <w:shd w:val="clear" w:color="auto" w:fill="FFFFFF"/>
              </w:rPr>
              <w:t>，项目所在地为</w:t>
            </w:r>
            <w:r>
              <w:rPr>
                <w:rFonts w:hint="eastAsia"/>
                <w:szCs w:val="32"/>
                <w:u w:val="single"/>
                <w:shd w:val="clear" w:color="auto" w:fill="FFFFFF"/>
              </w:rPr>
              <w:t>优先</w:t>
            </w:r>
            <w:r>
              <w:rPr>
                <w:szCs w:val="32"/>
                <w:u w:val="single"/>
                <w:shd w:val="clear" w:color="auto" w:fill="FFFFFF"/>
              </w:rPr>
              <w:t>管控单元，环境管控单元编码为</w:t>
            </w:r>
            <w:r>
              <w:rPr>
                <w:rFonts w:hint="eastAsia"/>
                <w:szCs w:val="21"/>
                <w:u w:val="single"/>
              </w:rPr>
              <w:t>ZH43122910001</w:t>
            </w:r>
            <w:r>
              <w:rPr>
                <w:szCs w:val="32"/>
                <w:u w:val="single"/>
                <w:shd w:val="clear" w:color="auto" w:fill="FFFFFF"/>
              </w:rPr>
              <w:t>，具体管控要求及本项目符合性见下表。</w:t>
            </w:r>
          </w:p>
          <w:p w14:paraId="1B192902">
            <w:pPr>
              <w:wordWrap w:val="0"/>
              <w:topLinePunct/>
              <w:adjustRightInd w:val="0"/>
              <w:snapToGrid w:val="0"/>
              <w:spacing w:line="240" w:lineRule="auto"/>
              <w:jc w:val="center"/>
              <w:rPr>
                <w:b/>
                <w:bCs/>
                <w:color w:val="0000C7"/>
                <w:sz w:val="21"/>
                <w:szCs w:val="21"/>
                <w:u w:val="single"/>
              </w:rPr>
            </w:pPr>
            <w:r>
              <w:rPr>
                <w:b/>
                <w:bCs/>
                <w:sz w:val="21"/>
                <w:szCs w:val="21"/>
                <w:u w:val="single"/>
              </w:rPr>
              <w:t>表1-1  项目与怀化市“三线一单”环境管控单元的符合性分析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2614"/>
              <w:gridCol w:w="2684"/>
              <w:gridCol w:w="689"/>
            </w:tblGrid>
            <w:tr w14:paraId="3FDF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78" w:type="pct"/>
                  <w:vAlign w:val="center"/>
                </w:tcPr>
                <w:p w14:paraId="0BDC2DF8">
                  <w:pPr>
                    <w:adjustRightInd w:val="0"/>
                    <w:snapToGrid w:val="0"/>
                    <w:spacing w:line="240" w:lineRule="auto"/>
                    <w:jc w:val="center"/>
                    <w:rPr>
                      <w:b/>
                      <w:bCs/>
                      <w:sz w:val="21"/>
                      <w:szCs w:val="21"/>
                      <w:u w:val="single"/>
                    </w:rPr>
                  </w:pPr>
                  <w:r>
                    <w:rPr>
                      <w:b/>
                      <w:bCs/>
                      <w:sz w:val="21"/>
                      <w:szCs w:val="21"/>
                      <w:u w:val="single"/>
                    </w:rPr>
                    <w:t>项目</w:t>
                  </w:r>
                </w:p>
              </w:tc>
              <w:tc>
                <w:tcPr>
                  <w:tcW w:w="1843" w:type="pct"/>
                  <w:vAlign w:val="center"/>
                </w:tcPr>
                <w:p w14:paraId="3CDC4A97">
                  <w:pPr>
                    <w:adjustRightInd w:val="0"/>
                    <w:snapToGrid w:val="0"/>
                    <w:spacing w:line="240" w:lineRule="auto"/>
                    <w:jc w:val="center"/>
                    <w:rPr>
                      <w:b/>
                      <w:bCs/>
                      <w:sz w:val="21"/>
                      <w:szCs w:val="21"/>
                      <w:u w:val="single"/>
                    </w:rPr>
                  </w:pPr>
                  <w:r>
                    <w:rPr>
                      <w:b/>
                      <w:bCs/>
                      <w:sz w:val="21"/>
                      <w:szCs w:val="21"/>
                      <w:u w:val="single"/>
                    </w:rPr>
                    <w:t>管控要求</w:t>
                  </w:r>
                </w:p>
              </w:tc>
              <w:tc>
                <w:tcPr>
                  <w:tcW w:w="1892" w:type="pct"/>
                  <w:vAlign w:val="center"/>
                </w:tcPr>
                <w:p w14:paraId="0C248E4B">
                  <w:pPr>
                    <w:adjustRightInd w:val="0"/>
                    <w:snapToGrid w:val="0"/>
                    <w:spacing w:line="240" w:lineRule="auto"/>
                    <w:jc w:val="center"/>
                    <w:rPr>
                      <w:b/>
                      <w:bCs/>
                      <w:sz w:val="21"/>
                      <w:szCs w:val="21"/>
                      <w:u w:val="single"/>
                    </w:rPr>
                  </w:pPr>
                  <w:r>
                    <w:rPr>
                      <w:b/>
                      <w:bCs/>
                      <w:sz w:val="21"/>
                      <w:szCs w:val="21"/>
                      <w:u w:val="single"/>
                    </w:rPr>
                    <w:t>本项目情况</w:t>
                  </w:r>
                </w:p>
              </w:tc>
              <w:tc>
                <w:tcPr>
                  <w:tcW w:w="486" w:type="pct"/>
                  <w:vAlign w:val="center"/>
                </w:tcPr>
                <w:p w14:paraId="761A8E5C">
                  <w:pPr>
                    <w:adjustRightInd w:val="0"/>
                    <w:snapToGrid w:val="0"/>
                    <w:spacing w:line="240" w:lineRule="auto"/>
                    <w:jc w:val="center"/>
                    <w:rPr>
                      <w:b/>
                      <w:bCs/>
                      <w:sz w:val="21"/>
                      <w:szCs w:val="21"/>
                      <w:u w:val="single"/>
                    </w:rPr>
                  </w:pPr>
                  <w:r>
                    <w:rPr>
                      <w:b/>
                      <w:bCs/>
                      <w:sz w:val="21"/>
                      <w:szCs w:val="21"/>
                      <w:u w:val="single"/>
                    </w:rPr>
                    <w:t>是否相符</w:t>
                  </w:r>
                </w:p>
              </w:tc>
            </w:tr>
            <w:tr w14:paraId="503D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778" w:type="pct"/>
                  <w:vAlign w:val="center"/>
                </w:tcPr>
                <w:p w14:paraId="6497CF8A">
                  <w:pPr>
                    <w:adjustRightInd w:val="0"/>
                    <w:snapToGrid w:val="0"/>
                    <w:spacing w:line="240" w:lineRule="auto"/>
                    <w:jc w:val="center"/>
                    <w:rPr>
                      <w:rFonts w:eastAsiaTheme="minorEastAsia"/>
                      <w:sz w:val="21"/>
                      <w:szCs w:val="21"/>
                      <w:u w:val="single"/>
                    </w:rPr>
                  </w:pPr>
                  <w:r>
                    <w:rPr>
                      <w:rFonts w:eastAsiaTheme="minorEastAsia"/>
                      <w:sz w:val="21"/>
                      <w:szCs w:val="21"/>
                      <w:u w:val="single"/>
                    </w:rPr>
                    <w:t>区域主体功能定位及主导产业</w:t>
                  </w:r>
                </w:p>
              </w:tc>
              <w:tc>
                <w:tcPr>
                  <w:tcW w:w="1843" w:type="pct"/>
                  <w:vAlign w:val="center"/>
                </w:tcPr>
                <w:p w14:paraId="392C1848">
                  <w:pPr>
                    <w:adjustRightInd w:val="0"/>
                    <w:snapToGrid w:val="0"/>
                    <w:spacing w:line="240" w:lineRule="auto"/>
                    <w:jc w:val="center"/>
                    <w:rPr>
                      <w:rFonts w:eastAsiaTheme="minorEastAsia"/>
                      <w:sz w:val="21"/>
                      <w:szCs w:val="21"/>
                      <w:u w:val="single"/>
                    </w:rPr>
                  </w:pPr>
                  <w:r>
                    <w:rPr>
                      <w:rFonts w:eastAsiaTheme="minorEastAsia"/>
                      <w:sz w:val="21"/>
                      <w:szCs w:val="21"/>
                      <w:u w:val="single"/>
                    </w:rPr>
                    <w:t>国家级重点生态功能区，</w:t>
                  </w:r>
                </w:p>
                <w:p w14:paraId="51C7B333">
                  <w:pPr>
                    <w:pStyle w:val="10"/>
                    <w:adjustRightInd w:val="0"/>
                    <w:snapToGrid w:val="0"/>
                    <w:spacing w:after="0" w:line="240" w:lineRule="auto"/>
                    <w:jc w:val="center"/>
                    <w:rPr>
                      <w:rFonts w:eastAsiaTheme="minorEastAsia"/>
                      <w:sz w:val="21"/>
                      <w:szCs w:val="21"/>
                      <w:u w:val="single"/>
                    </w:rPr>
                  </w:pPr>
                  <w:r>
                    <w:rPr>
                      <w:rFonts w:eastAsiaTheme="minorEastAsia"/>
                      <w:sz w:val="21"/>
                      <w:szCs w:val="21"/>
                      <w:u w:val="single"/>
                    </w:rPr>
                    <w:t>经济产业布局：农业、养殖业、旅游、农副产品加工、砂石矿、竹木加工。</w:t>
                  </w:r>
                </w:p>
              </w:tc>
              <w:tc>
                <w:tcPr>
                  <w:tcW w:w="1892" w:type="pct"/>
                  <w:vAlign w:val="center"/>
                </w:tcPr>
                <w:p w14:paraId="584FAA42">
                  <w:pPr>
                    <w:adjustRightInd w:val="0"/>
                    <w:snapToGrid w:val="0"/>
                    <w:spacing w:line="240" w:lineRule="auto"/>
                    <w:jc w:val="center"/>
                    <w:rPr>
                      <w:rFonts w:eastAsiaTheme="minorEastAsia"/>
                      <w:sz w:val="21"/>
                      <w:szCs w:val="21"/>
                      <w:u w:val="single"/>
                    </w:rPr>
                  </w:pPr>
                  <w:r>
                    <w:rPr>
                      <w:rFonts w:eastAsiaTheme="minorEastAsia"/>
                      <w:sz w:val="21"/>
                      <w:szCs w:val="21"/>
                      <w:u w:val="single"/>
                    </w:rPr>
                    <w:t>本项目为非金属矿物制品业。</w:t>
                  </w:r>
                </w:p>
              </w:tc>
              <w:tc>
                <w:tcPr>
                  <w:tcW w:w="486" w:type="pct"/>
                  <w:vAlign w:val="center"/>
                </w:tcPr>
                <w:p w14:paraId="76E2D8AE">
                  <w:pPr>
                    <w:adjustRightInd w:val="0"/>
                    <w:snapToGrid w:val="0"/>
                    <w:spacing w:line="240" w:lineRule="auto"/>
                    <w:jc w:val="center"/>
                    <w:rPr>
                      <w:rFonts w:eastAsiaTheme="minorEastAsia"/>
                      <w:sz w:val="21"/>
                      <w:szCs w:val="21"/>
                      <w:u w:val="single"/>
                    </w:rPr>
                  </w:pPr>
                  <w:r>
                    <w:rPr>
                      <w:rFonts w:eastAsiaTheme="minorEastAsia"/>
                      <w:sz w:val="21"/>
                      <w:szCs w:val="21"/>
                      <w:u w:val="single"/>
                    </w:rPr>
                    <w:t>符合</w:t>
                  </w:r>
                </w:p>
              </w:tc>
            </w:tr>
            <w:tr w14:paraId="0ED4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78" w:type="pct"/>
                  <w:vAlign w:val="center"/>
                </w:tcPr>
                <w:p w14:paraId="252D3317">
                  <w:pPr>
                    <w:adjustRightInd w:val="0"/>
                    <w:snapToGrid w:val="0"/>
                    <w:spacing w:line="240" w:lineRule="auto"/>
                    <w:jc w:val="center"/>
                    <w:rPr>
                      <w:rFonts w:eastAsiaTheme="minorEastAsia"/>
                      <w:sz w:val="21"/>
                      <w:szCs w:val="21"/>
                      <w:u w:val="single"/>
                    </w:rPr>
                  </w:pPr>
                  <w:r>
                    <w:rPr>
                      <w:rFonts w:eastAsiaTheme="minorEastAsia"/>
                      <w:sz w:val="21"/>
                      <w:szCs w:val="21"/>
                      <w:u w:val="single"/>
                    </w:rPr>
                    <w:t>空间布局约束</w:t>
                  </w:r>
                </w:p>
              </w:tc>
              <w:tc>
                <w:tcPr>
                  <w:tcW w:w="1843" w:type="pct"/>
                  <w:vAlign w:val="center"/>
                </w:tcPr>
                <w:p w14:paraId="2D9A9AEB">
                  <w:pPr>
                    <w:tabs>
                      <w:tab w:val="left" w:pos="1021"/>
                    </w:tabs>
                    <w:adjustRightInd w:val="0"/>
                    <w:snapToGrid w:val="0"/>
                    <w:spacing w:line="240" w:lineRule="auto"/>
                    <w:rPr>
                      <w:rFonts w:eastAsiaTheme="minorEastAsia"/>
                      <w:sz w:val="21"/>
                      <w:szCs w:val="21"/>
                      <w:u w:val="single"/>
                    </w:rPr>
                  </w:pPr>
                  <w:r>
                    <w:rPr>
                      <w:rFonts w:eastAsiaTheme="minorEastAsia"/>
                      <w:sz w:val="21"/>
                      <w:szCs w:val="21"/>
                      <w:u w:val="single"/>
                    </w:rPr>
                    <w:t>（1.1）禁止开采、加工石煤或炭质页岩、炭质板页岩等对生态环境有严重污染或对身体健康有严重危害的矿产。禁止以探代采。</w:t>
                  </w:r>
                </w:p>
                <w:p w14:paraId="02E1639E">
                  <w:pPr>
                    <w:adjustRightInd w:val="0"/>
                    <w:snapToGrid w:val="0"/>
                    <w:spacing w:line="240" w:lineRule="auto"/>
                    <w:jc w:val="center"/>
                    <w:rPr>
                      <w:rFonts w:eastAsiaTheme="minorEastAsia"/>
                      <w:sz w:val="21"/>
                      <w:szCs w:val="21"/>
                      <w:u w:val="single"/>
                    </w:rPr>
                  </w:pPr>
                  <w:r>
                    <w:rPr>
                      <w:rFonts w:eastAsiaTheme="minorEastAsia"/>
                      <w:sz w:val="21"/>
                      <w:szCs w:val="21"/>
                      <w:u w:val="single"/>
                    </w:rPr>
                    <w:t>（1.2）按省级、市级生态环境准入总体清单中相关条文执行。</w:t>
                  </w:r>
                </w:p>
              </w:tc>
              <w:tc>
                <w:tcPr>
                  <w:tcW w:w="1892" w:type="pct"/>
                  <w:vAlign w:val="center"/>
                </w:tcPr>
                <w:p w14:paraId="18C3C790">
                  <w:pPr>
                    <w:adjustRightInd w:val="0"/>
                    <w:snapToGrid w:val="0"/>
                    <w:spacing w:line="240" w:lineRule="auto"/>
                    <w:jc w:val="center"/>
                    <w:rPr>
                      <w:rFonts w:eastAsiaTheme="minorEastAsia"/>
                      <w:sz w:val="21"/>
                      <w:szCs w:val="21"/>
                      <w:u w:val="single"/>
                    </w:rPr>
                  </w:pPr>
                  <w:r>
                    <w:rPr>
                      <w:rFonts w:hint="eastAsia" w:eastAsiaTheme="minorEastAsia"/>
                      <w:sz w:val="21"/>
                      <w:szCs w:val="21"/>
                      <w:u w:val="single"/>
                    </w:rPr>
                    <w:t>本项目不涉及</w:t>
                  </w:r>
                  <w:r>
                    <w:rPr>
                      <w:rFonts w:eastAsiaTheme="minorEastAsia"/>
                      <w:sz w:val="21"/>
                      <w:szCs w:val="21"/>
                      <w:u w:val="single"/>
                    </w:rPr>
                    <w:t>开采、加工石煤或炭质页岩、炭质板页岩等对生态环境有严重污染或对身体健康有严重危害的矿产</w:t>
                  </w:r>
                  <w:r>
                    <w:rPr>
                      <w:rFonts w:hint="eastAsia" w:eastAsiaTheme="minorEastAsia"/>
                      <w:sz w:val="21"/>
                      <w:szCs w:val="21"/>
                      <w:u w:val="single"/>
                    </w:rPr>
                    <w:t>，</w:t>
                  </w:r>
                  <w:r>
                    <w:rPr>
                      <w:rFonts w:eastAsiaTheme="minorEastAsia"/>
                      <w:sz w:val="21"/>
                      <w:szCs w:val="21"/>
                      <w:u w:val="single"/>
                    </w:rPr>
                    <w:t>严格按照要求执行。</w:t>
                  </w:r>
                </w:p>
              </w:tc>
              <w:tc>
                <w:tcPr>
                  <w:tcW w:w="486" w:type="pct"/>
                  <w:vAlign w:val="center"/>
                </w:tcPr>
                <w:p w14:paraId="7FB14E44">
                  <w:pPr>
                    <w:adjustRightInd w:val="0"/>
                    <w:snapToGrid w:val="0"/>
                    <w:spacing w:line="240" w:lineRule="auto"/>
                    <w:jc w:val="center"/>
                    <w:rPr>
                      <w:rFonts w:eastAsiaTheme="minorEastAsia"/>
                      <w:sz w:val="21"/>
                      <w:szCs w:val="21"/>
                      <w:u w:val="single"/>
                    </w:rPr>
                  </w:pPr>
                  <w:r>
                    <w:rPr>
                      <w:rFonts w:eastAsiaTheme="minorEastAsia"/>
                      <w:sz w:val="21"/>
                      <w:szCs w:val="21"/>
                      <w:u w:val="single"/>
                    </w:rPr>
                    <w:t>符合</w:t>
                  </w:r>
                </w:p>
              </w:tc>
            </w:tr>
            <w:tr w14:paraId="28B1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8" w:type="pct"/>
                  <w:vAlign w:val="center"/>
                </w:tcPr>
                <w:p w14:paraId="238C16B2">
                  <w:pPr>
                    <w:adjustRightInd w:val="0"/>
                    <w:snapToGrid w:val="0"/>
                    <w:spacing w:line="240" w:lineRule="auto"/>
                    <w:jc w:val="center"/>
                    <w:rPr>
                      <w:color w:val="0000C7"/>
                      <w:sz w:val="21"/>
                      <w:szCs w:val="21"/>
                      <w:u w:val="single"/>
                    </w:rPr>
                  </w:pPr>
                </w:p>
                <w:p w14:paraId="4AD2D5B1">
                  <w:pPr>
                    <w:adjustRightInd w:val="0"/>
                    <w:snapToGrid w:val="0"/>
                    <w:spacing w:line="240" w:lineRule="auto"/>
                    <w:rPr>
                      <w:color w:val="0000C7"/>
                      <w:sz w:val="21"/>
                      <w:szCs w:val="21"/>
                      <w:u w:val="single"/>
                    </w:rPr>
                  </w:pPr>
                </w:p>
                <w:p w14:paraId="7067B646">
                  <w:pPr>
                    <w:adjustRightInd w:val="0"/>
                    <w:snapToGrid w:val="0"/>
                    <w:spacing w:line="240" w:lineRule="auto"/>
                    <w:jc w:val="center"/>
                    <w:rPr>
                      <w:color w:val="0000C7"/>
                      <w:sz w:val="21"/>
                      <w:szCs w:val="21"/>
                      <w:u w:val="single"/>
                    </w:rPr>
                  </w:pPr>
                </w:p>
                <w:p w14:paraId="2628F6C5">
                  <w:pPr>
                    <w:adjustRightInd w:val="0"/>
                    <w:snapToGrid w:val="0"/>
                    <w:spacing w:line="240" w:lineRule="auto"/>
                    <w:jc w:val="center"/>
                    <w:rPr>
                      <w:color w:val="0000C7"/>
                      <w:sz w:val="21"/>
                      <w:szCs w:val="21"/>
                      <w:u w:val="single"/>
                    </w:rPr>
                  </w:pPr>
                  <w:r>
                    <w:rPr>
                      <w:sz w:val="21"/>
                      <w:szCs w:val="21"/>
                      <w:u w:val="single"/>
                    </w:rPr>
                    <w:t>污染</w:t>
                  </w:r>
                  <w:r>
                    <w:rPr>
                      <w:sz w:val="21"/>
                      <w:szCs w:val="21"/>
                      <w:u w:val="single"/>
                    </w:rPr>
                    <w:cr/>
                  </w:r>
                  <w:r>
                    <w:rPr>
                      <w:sz w:val="21"/>
                      <w:szCs w:val="21"/>
                      <w:u w:val="single"/>
                    </w:rPr>
                    <w:t>物排放管控</w:t>
                  </w:r>
                </w:p>
              </w:tc>
              <w:tc>
                <w:tcPr>
                  <w:tcW w:w="1843" w:type="pct"/>
                  <w:vAlign w:val="center"/>
                </w:tcPr>
                <w:p w14:paraId="3D0F43C2">
                  <w:pPr>
                    <w:adjustRightInd w:val="0"/>
                    <w:snapToGrid w:val="0"/>
                    <w:spacing w:line="240" w:lineRule="auto"/>
                    <w:jc w:val="center"/>
                    <w:rPr>
                      <w:rFonts w:eastAsiaTheme="minorEastAsia"/>
                      <w:sz w:val="21"/>
                      <w:szCs w:val="21"/>
                      <w:u w:val="single"/>
                    </w:rPr>
                  </w:pPr>
                  <w:r>
                    <w:rPr>
                      <w:rFonts w:hint="eastAsia" w:eastAsiaTheme="minorEastAsia"/>
                      <w:sz w:val="21"/>
                      <w:szCs w:val="21"/>
                      <w:u w:val="single"/>
                    </w:rPr>
                    <w:t>（2.1）健全农业面源污染监测与治理体系，实施源头控制、过程拦截、末端治理与循环利用相结合的综合防治。实施畜禽养殖污染治理工程，严格执行畜禽养殖场环境准入与退出制度，推动污染治理设施提标改造，提升畜禽排泄物资源化利用水平。</w:t>
                  </w:r>
                </w:p>
              </w:tc>
              <w:tc>
                <w:tcPr>
                  <w:tcW w:w="1892" w:type="pct"/>
                  <w:vAlign w:val="center"/>
                </w:tcPr>
                <w:p w14:paraId="39D51D94">
                  <w:pPr>
                    <w:adjustRightInd w:val="0"/>
                    <w:snapToGrid w:val="0"/>
                    <w:spacing w:line="240" w:lineRule="auto"/>
                    <w:jc w:val="center"/>
                    <w:rPr>
                      <w:rFonts w:eastAsiaTheme="minorEastAsia"/>
                      <w:sz w:val="21"/>
                      <w:szCs w:val="21"/>
                      <w:u w:val="single"/>
                    </w:rPr>
                  </w:pPr>
                  <w:r>
                    <w:rPr>
                      <w:rFonts w:eastAsiaTheme="minorEastAsia"/>
                      <w:sz w:val="21"/>
                      <w:szCs w:val="21"/>
                      <w:u w:val="single"/>
                    </w:rPr>
                    <w:t>本项目厂区实行雨污分流。</w:t>
                  </w:r>
                  <w:r>
                    <w:rPr>
                      <w:rFonts w:hint="eastAsia" w:eastAsiaTheme="minorEastAsia"/>
                      <w:sz w:val="21"/>
                      <w:szCs w:val="21"/>
                      <w:u w:val="single"/>
                      <w:lang w:val="en-US" w:eastAsia="zh-CN"/>
                    </w:rPr>
                    <w:t>项目用水主要为</w:t>
                  </w:r>
                  <w:r>
                    <w:rPr>
                      <w:rFonts w:hint="eastAsia" w:eastAsiaTheme="minorEastAsia"/>
                      <w:sz w:val="21"/>
                      <w:szCs w:val="21"/>
                      <w:u w:val="single"/>
                    </w:rPr>
                    <w:t>切割磨光及雕刻</w:t>
                  </w:r>
                  <w:r>
                    <w:rPr>
                      <w:rFonts w:hint="eastAsia" w:eastAsiaTheme="minorEastAsia"/>
                      <w:sz w:val="21"/>
                      <w:szCs w:val="21"/>
                      <w:u w:val="single"/>
                      <w:lang w:eastAsia="zh-CN"/>
                    </w:rPr>
                    <w:t>用水、破碎制砂和筛分用水、搅拌用水、夏季砖养护用水、厂区抑尘用水以及工作人员生活用水，</w:t>
                  </w:r>
                  <w:r>
                    <w:rPr>
                      <w:rFonts w:eastAsiaTheme="minorEastAsia"/>
                      <w:sz w:val="21"/>
                      <w:szCs w:val="21"/>
                      <w:u w:val="single"/>
                    </w:rPr>
                    <w:t>本项目产生的废水包括</w:t>
                  </w:r>
                  <w:r>
                    <w:rPr>
                      <w:rFonts w:hint="eastAsia" w:eastAsiaTheme="minorEastAsia"/>
                      <w:sz w:val="21"/>
                      <w:szCs w:val="21"/>
                      <w:u w:val="single"/>
                    </w:rPr>
                    <w:t>切割磨光及雕刻废水、厂区抑尘废水、</w:t>
                  </w:r>
                  <w:r>
                    <w:rPr>
                      <w:rFonts w:eastAsiaTheme="minorEastAsia"/>
                      <w:sz w:val="21"/>
                      <w:szCs w:val="21"/>
                      <w:u w:val="single"/>
                    </w:rPr>
                    <w:t>工作人员生活污水及初期雨水，</w:t>
                  </w:r>
                  <w:r>
                    <w:rPr>
                      <w:rFonts w:hint="eastAsia" w:eastAsiaTheme="minorEastAsia"/>
                      <w:sz w:val="21"/>
                      <w:szCs w:val="21"/>
                      <w:u w:val="single"/>
                    </w:rPr>
                    <w:t>初期雨水</w:t>
                  </w:r>
                  <w:r>
                    <w:rPr>
                      <w:rFonts w:eastAsiaTheme="minorEastAsia"/>
                      <w:sz w:val="21"/>
                      <w:szCs w:val="21"/>
                      <w:u w:val="single"/>
                    </w:rPr>
                    <w:t>经</w:t>
                  </w:r>
                  <w:r>
                    <w:rPr>
                      <w:rFonts w:hint="eastAsia" w:eastAsiaTheme="minorEastAsia"/>
                      <w:sz w:val="21"/>
                      <w:szCs w:val="21"/>
                      <w:u w:val="single"/>
                    </w:rPr>
                    <w:t>初期雨水收集池</w:t>
                  </w:r>
                  <w:r>
                    <w:rPr>
                      <w:rFonts w:eastAsiaTheme="minorEastAsia"/>
                      <w:sz w:val="21"/>
                      <w:szCs w:val="21"/>
                      <w:u w:val="single"/>
                    </w:rPr>
                    <w:t>沉淀后回用于厂区降尘洒水</w:t>
                  </w:r>
                  <w:r>
                    <w:rPr>
                      <w:rFonts w:hint="eastAsia" w:eastAsiaTheme="minorEastAsia"/>
                      <w:sz w:val="21"/>
                      <w:szCs w:val="21"/>
                      <w:u w:val="single"/>
                    </w:rPr>
                    <w:t>，切割磨光及雕刻废水经</w:t>
                  </w:r>
                  <w:r>
                    <w:rPr>
                      <w:rFonts w:eastAsiaTheme="minorEastAsia"/>
                      <w:sz w:val="21"/>
                      <w:szCs w:val="21"/>
                      <w:u w:val="single"/>
                    </w:rPr>
                    <w:t>废水处理系统</w:t>
                  </w:r>
                  <w:r>
                    <w:rPr>
                      <w:rFonts w:hint="eastAsia" w:eastAsiaTheme="minorEastAsia"/>
                      <w:sz w:val="21"/>
                      <w:szCs w:val="21"/>
                      <w:u w:val="single"/>
                    </w:rPr>
                    <w:t>处理后回用于生产，</w:t>
                  </w:r>
                  <w:r>
                    <w:rPr>
                      <w:rFonts w:hint="eastAsia" w:ascii="Times New Roman" w:eastAsiaTheme="minorEastAsia"/>
                      <w:kern w:val="2"/>
                      <w:sz w:val="21"/>
                      <w:szCs w:val="21"/>
                      <w:u w:val="single"/>
                    </w:rPr>
                    <w:t>破碎制砂和筛分为</w:t>
                  </w:r>
                  <w:r>
                    <w:rPr>
                      <w:rFonts w:hint="eastAsia" w:eastAsiaTheme="minorEastAsia"/>
                      <w:kern w:val="2"/>
                      <w:sz w:val="21"/>
                      <w:szCs w:val="21"/>
                      <w:u w:val="single"/>
                      <w:lang w:eastAsia="zh-CN"/>
                    </w:rPr>
                    <w:t>干</w:t>
                  </w:r>
                  <w:r>
                    <w:rPr>
                      <w:rFonts w:hint="eastAsia" w:ascii="Times New Roman" w:eastAsiaTheme="minorEastAsia"/>
                      <w:kern w:val="2"/>
                      <w:sz w:val="21"/>
                      <w:szCs w:val="21"/>
                      <w:u w:val="single"/>
                    </w:rPr>
                    <w:t>法作业，</w:t>
                  </w:r>
                  <w:r>
                    <w:rPr>
                      <w:rFonts w:hint="eastAsia"/>
                      <w:kern w:val="2"/>
                      <w:sz w:val="21"/>
                      <w:szCs w:val="21"/>
                      <w:u w:val="single"/>
                      <w:lang w:eastAsia="zh-CN"/>
                    </w:rPr>
                    <w:t>采取喷淋降尘</w:t>
                  </w:r>
                  <w:r>
                    <w:rPr>
                      <w:rFonts w:hint="eastAsia"/>
                      <w:kern w:val="2"/>
                      <w:sz w:val="21"/>
                      <w:szCs w:val="21"/>
                      <w:u w:val="single"/>
                    </w:rPr>
                    <w:t>，</w:t>
                  </w:r>
                  <w:r>
                    <w:rPr>
                      <w:rFonts w:hint="eastAsia" w:eastAsiaTheme="minorEastAsia"/>
                      <w:sz w:val="21"/>
                      <w:szCs w:val="21"/>
                      <w:u w:val="single"/>
                    </w:rPr>
                    <w:t>同时</w:t>
                  </w:r>
                  <w:r>
                    <w:rPr>
                      <w:rFonts w:hint="eastAsia" w:eastAsiaTheme="minorEastAsia"/>
                      <w:kern w:val="2"/>
                      <w:sz w:val="21"/>
                      <w:szCs w:val="21"/>
                      <w:u w:val="single"/>
                      <w:lang w:eastAsia="zh-CN"/>
                    </w:rPr>
                    <w:t>采用密闭生产工序，</w:t>
                  </w:r>
                  <w:r>
                    <w:rPr>
                      <w:rFonts w:hint="eastAsia" w:ascii="Times New Roman" w:eastAsiaTheme="minorEastAsia"/>
                      <w:kern w:val="2"/>
                      <w:sz w:val="21"/>
                      <w:szCs w:val="21"/>
                      <w:u w:val="single"/>
                    </w:rPr>
                    <w:t>用水量很小，所产生的的废水一部分自然蒸发，一部分被带入搅拌工序，故破碎制砂和筛分废水可忽略不计；搅拌</w:t>
                  </w:r>
                  <w:r>
                    <w:rPr>
                      <w:rFonts w:hint="eastAsia" w:ascii="Times New Roman" w:eastAsiaTheme="minorEastAsia"/>
                      <w:kern w:val="2"/>
                      <w:sz w:val="21"/>
                      <w:szCs w:val="21"/>
                      <w:u w:val="single"/>
                      <w:lang w:eastAsia="zh-CN"/>
                    </w:rPr>
                    <w:t>用</w:t>
                  </w:r>
                  <w:r>
                    <w:rPr>
                      <w:rFonts w:hint="eastAsia" w:ascii="Times New Roman" w:eastAsiaTheme="minorEastAsia"/>
                      <w:kern w:val="2"/>
                      <w:sz w:val="21"/>
                      <w:szCs w:val="21"/>
                      <w:u w:val="single"/>
                    </w:rPr>
                    <w:t>水及夏季砖养护用水作为原料进入产品中后晾干蒸发，不外排</w:t>
                  </w:r>
                  <w:r>
                    <w:rPr>
                      <w:rFonts w:hint="eastAsia" w:eastAsiaTheme="minorEastAsia"/>
                      <w:sz w:val="21"/>
                      <w:szCs w:val="21"/>
                      <w:u w:val="single"/>
                    </w:rPr>
                    <w:t>；厂区洒水抑尘废水</w:t>
                  </w:r>
                  <w:r>
                    <w:rPr>
                      <w:rFonts w:eastAsiaTheme="minorEastAsia"/>
                      <w:sz w:val="21"/>
                      <w:szCs w:val="21"/>
                      <w:u w:val="single"/>
                    </w:rPr>
                    <w:t>大部分进入板材中或进入扬尘中并随其沉降在地面，剩余部分全部蒸发损耗，</w:t>
                  </w:r>
                  <w:r>
                    <w:rPr>
                      <w:rFonts w:hint="eastAsia" w:eastAsiaTheme="minorEastAsia"/>
                      <w:sz w:val="21"/>
                      <w:szCs w:val="21"/>
                      <w:u w:val="single"/>
                    </w:rPr>
                    <w:t>不</w:t>
                  </w:r>
                  <w:r>
                    <w:rPr>
                      <w:rFonts w:eastAsiaTheme="minorEastAsia"/>
                      <w:sz w:val="21"/>
                      <w:szCs w:val="21"/>
                      <w:u w:val="single"/>
                    </w:rPr>
                    <w:t>外排</w:t>
                  </w:r>
                  <w:r>
                    <w:rPr>
                      <w:rFonts w:hint="eastAsia" w:eastAsiaTheme="minorEastAsia"/>
                      <w:sz w:val="21"/>
                      <w:szCs w:val="21"/>
                      <w:u w:val="single"/>
                    </w:rPr>
                    <w:t>；</w:t>
                  </w:r>
                  <w:r>
                    <w:rPr>
                      <w:rFonts w:eastAsiaTheme="minorEastAsia"/>
                      <w:sz w:val="21"/>
                      <w:szCs w:val="21"/>
                      <w:u w:val="single"/>
                    </w:rPr>
                    <w:t>生活污水经</w:t>
                  </w:r>
                  <w:r>
                    <w:rPr>
                      <w:rFonts w:hint="eastAsia" w:eastAsiaTheme="minorEastAsia"/>
                      <w:sz w:val="21"/>
                      <w:szCs w:val="21"/>
                      <w:u w:val="single"/>
                    </w:rPr>
                    <w:t>隔油</w:t>
                  </w:r>
                  <w:r>
                    <w:rPr>
                      <w:rFonts w:eastAsiaTheme="minorEastAsia"/>
                      <w:sz w:val="21"/>
                      <w:szCs w:val="21"/>
                      <w:u w:val="single"/>
                    </w:rPr>
                    <w:t>化粪池处理用于周边林地、</w:t>
                  </w:r>
                  <w:r>
                    <w:rPr>
                      <w:rFonts w:hint="eastAsia" w:eastAsiaTheme="minorEastAsia"/>
                      <w:sz w:val="21"/>
                      <w:szCs w:val="21"/>
                      <w:u w:val="single"/>
                    </w:rPr>
                    <w:t>菜地</w:t>
                  </w:r>
                  <w:r>
                    <w:rPr>
                      <w:rFonts w:eastAsiaTheme="minorEastAsia"/>
                      <w:sz w:val="21"/>
                      <w:szCs w:val="21"/>
                      <w:u w:val="single"/>
                    </w:rPr>
                    <w:t>浇灌，不外排</w:t>
                  </w:r>
                  <w:r>
                    <w:rPr>
                      <w:rFonts w:hint="eastAsia" w:eastAsiaTheme="minorEastAsia"/>
                      <w:sz w:val="21"/>
                      <w:szCs w:val="21"/>
                      <w:u w:val="single"/>
                    </w:rPr>
                    <w:t>。</w:t>
                  </w:r>
                </w:p>
              </w:tc>
              <w:tc>
                <w:tcPr>
                  <w:tcW w:w="486" w:type="pct"/>
                  <w:vAlign w:val="center"/>
                </w:tcPr>
                <w:p w14:paraId="1A2C3F1F">
                  <w:pPr>
                    <w:adjustRightInd w:val="0"/>
                    <w:snapToGrid w:val="0"/>
                    <w:spacing w:line="240" w:lineRule="auto"/>
                    <w:rPr>
                      <w:sz w:val="21"/>
                      <w:szCs w:val="21"/>
                      <w:u w:val="single"/>
                    </w:rPr>
                  </w:pPr>
                </w:p>
                <w:p w14:paraId="5D95735E">
                  <w:pPr>
                    <w:adjustRightInd w:val="0"/>
                    <w:snapToGrid w:val="0"/>
                    <w:spacing w:line="240" w:lineRule="auto"/>
                    <w:jc w:val="center"/>
                    <w:rPr>
                      <w:sz w:val="21"/>
                      <w:szCs w:val="21"/>
                      <w:u w:val="single"/>
                    </w:rPr>
                  </w:pPr>
                </w:p>
                <w:p w14:paraId="391C3B5E">
                  <w:pPr>
                    <w:adjustRightInd w:val="0"/>
                    <w:snapToGrid w:val="0"/>
                    <w:spacing w:line="240" w:lineRule="auto"/>
                    <w:jc w:val="center"/>
                    <w:rPr>
                      <w:sz w:val="21"/>
                      <w:szCs w:val="21"/>
                      <w:u w:val="single"/>
                    </w:rPr>
                  </w:pPr>
                  <w:r>
                    <w:rPr>
                      <w:sz w:val="21"/>
                      <w:szCs w:val="21"/>
                      <w:u w:val="single"/>
                    </w:rPr>
                    <w:t>符合</w:t>
                  </w:r>
                </w:p>
              </w:tc>
            </w:tr>
            <w:tr w14:paraId="4AD5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8" w:type="pct"/>
                  <w:vAlign w:val="center"/>
                </w:tcPr>
                <w:p w14:paraId="63FEFD13">
                  <w:pPr>
                    <w:adjustRightInd w:val="0"/>
                    <w:snapToGrid w:val="0"/>
                    <w:spacing w:line="240" w:lineRule="auto"/>
                    <w:jc w:val="center"/>
                    <w:rPr>
                      <w:rFonts w:eastAsiaTheme="minorEastAsia"/>
                      <w:sz w:val="21"/>
                      <w:szCs w:val="21"/>
                      <w:u w:val="single"/>
                    </w:rPr>
                  </w:pPr>
                  <w:r>
                    <w:rPr>
                      <w:rFonts w:eastAsiaTheme="minorEastAsia"/>
                      <w:sz w:val="21"/>
                      <w:szCs w:val="21"/>
                      <w:u w:val="single"/>
                    </w:rPr>
                    <w:t>环境风险防控</w:t>
                  </w:r>
                </w:p>
              </w:tc>
              <w:tc>
                <w:tcPr>
                  <w:tcW w:w="1843" w:type="pct"/>
                  <w:vAlign w:val="center"/>
                </w:tcPr>
                <w:p w14:paraId="67C0E9CD">
                  <w:pPr>
                    <w:adjustRightInd w:val="0"/>
                    <w:snapToGrid w:val="0"/>
                    <w:spacing w:line="240" w:lineRule="auto"/>
                    <w:jc w:val="center"/>
                    <w:rPr>
                      <w:rFonts w:eastAsiaTheme="minorEastAsia"/>
                      <w:sz w:val="21"/>
                      <w:szCs w:val="21"/>
                      <w:u w:val="single"/>
                    </w:rPr>
                  </w:pPr>
                  <w:r>
                    <w:rPr>
                      <w:rFonts w:hint="eastAsia" w:eastAsiaTheme="minorEastAsia"/>
                      <w:sz w:val="21"/>
                      <w:szCs w:val="21"/>
                      <w:u w:val="single"/>
                    </w:rPr>
                    <w:t>（3.1）按省级、市级生态环境准入总体清单中与环境风险防控相关条文执行。</w:t>
                  </w:r>
                </w:p>
              </w:tc>
              <w:tc>
                <w:tcPr>
                  <w:tcW w:w="2684" w:type="dxa"/>
                  <w:vAlign w:val="center"/>
                </w:tcPr>
                <w:p w14:paraId="18F67F1B">
                  <w:pPr>
                    <w:adjustRightInd w:val="0"/>
                    <w:snapToGrid w:val="0"/>
                    <w:spacing w:line="240" w:lineRule="auto"/>
                    <w:jc w:val="center"/>
                    <w:rPr>
                      <w:rFonts w:eastAsiaTheme="minorEastAsia"/>
                      <w:sz w:val="21"/>
                      <w:szCs w:val="21"/>
                      <w:u w:val="single"/>
                    </w:rPr>
                  </w:pPr>
                  <w:r>
                    <w:rPr>
                      <w:rFonts w:hint="eastAsia" w:eastAsiaTheme="minorEastAsia"/>
                      <w:sz w:val="21"/>
                      <w:szCs w:val="21"/>
                      <w:u w:val="single"/>
                    </w:rPr>
                    <w:t>严格按照要求执行。</w:t>
                  </w:r>
                </w:p>
              </w:tc>
              <w:tc>
                <w:tcPr>
                  <w:tcW w:w="689" w:type="dxa"/>
                  <w:vAlign w:val="center"/>
                </w:tcPr>
                <w:p w14:paraId="0CBFF1EC">
                  <w:pPr>
                    <w:adjustRightInd w:val="0"/>
                    <w:snapToGrid w:val="0"/>
                    <w:spacing w:line="240" w:lineRule="auto"/>
                    <w:jc w:val="center"/>
                    <w:rPr>
                      <w:rFonts w:eastAsiaTheme="minorEastAsia"/>
                      <w:sz w:val="21"/>
                      <w:szCs w:val="21"/>
                      <w:u w:val="single"/>
                    </w:rPr>
                  </w:pPr>
                  <w:r>
                    <w:rPr>
                      <w:rFonts w:eastAsiaTheme="minorEastAsia"/>
                      <w:sz w:val="21"/>
                      <w:szCs w:val="21"/>
                      <w:u w:val="single"/>
                    </w:rPr>
                    <w:t>符合</w:t>
                  </w:r>
                </w:p>
              </w:tc>
            </w:tr>
            <w:tr w14:paraId="30DF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9" w:hRule="atLeast"/>
                <w:jc w:val="center"/>
              </w:trPr>
              <w:tc>
                <w:tcPr>
                  <w:tcW w:w="778" w:type="pct"/>
                  <w:vAlign w:val="center"/>
                </w:tcPr>
                <w:p w14:paraId="539A7598">
                  <w:pPr>
                    <w:adjustRightInd w:val="0"/>
                    <w:snapToGrid w:val="0"/>
                    <w:spacing w:line="240" w:lineRule="auto"/>
                    <w:jc w:val="center"/>
                    <w:rPr>
                      <w:rFonts w:eastAsiaTheme="minorEastAsia"/>
                      <w:sz w:val="21"/>
                      <w:szCs w:val="21"/>
                      <w:u w:val="single"/>
                    </w:rPr>
                  </w:pPr>
                  <w:r>
                    <w:rPr>
                      <w:rFonts w:eastAsiaTheme="minorEastAsia"/>
                      <w:sz w:val="21"/>
                      <w:szCs w:val="21"/>
                      <w:u w:val="single"/>
                    </w:rPr>
                    <w:t>资源开发效率要求</w:t>
                  </w:r>
                </w:p>
              </w:tc>
              <w:tc>
                <w:tcPr>
                  <w:tcW w:w="1843" w:type="pct"/>
                  <w:vAlign w:val="center"/>
                </w:tcPr>
                <w:p w14:paraId="516BF140">
                  <w:pPr>
                    <w:adjustRightInd w:val="0"/>
                    <w:snapToGrid w:val="0"/>
                    <w:spacing w:line="240" w:lineRule="auto"/>
                    <w:jc w:val="center"/>
                    <w:rPr>
                      <w:rFonts w:eastAsiaTheme="minorEastAsia"/>
                      <w:sz w:val="21"/>
                      <w:szCs w:val="21"/>
                      <w:u w:val="single"/>
                    </w:rPr>
                  </w:pPr>
                  <w:r>
                    <w:rPr>
                      <w:rFonts w:hint="eastAsia" w:eastAsiaTheme="minorEastAsia"/>
                      <w:sz w:val="21"/>
                      <w:szCs w:val="21"/>
                      <w:u w:val="single"/>
                    </w:rPr>
                    <w:t>（4.1）坚持种养结合，完善农牧对接机制，推进畜禽粪污资源化高效利用。坚持疏堵结合、用禁互促，大力推进秸秆、尾菜和农产品加工副产物资源化利用。</w:t>
                  </w:r>
                </w:p>
              </w:tc>
              <w:tc>
                <w:tcPr>
                  <w:tcW w:w="1892" w:type="pct"/>
                  <w:vAlign w:val="center"/>
                </w:tcPr>
                <w:p w14:paraId="17712414">
                  <w:pPr>
                    <w:adjustRightInd w:val="0"/>
                    <w:snapToGrid w:val="0"/>
                    <w:spacing w:line="240" w:lineRule="auto"/>
                    <w:jc w:val="center"/>
                    <w:rPr>
                      <w:rFonts w:eastAsiaTheme="minorEastAsia"/>
                      <w:sz w:val="21"/>
                      <w:szCs w:val="21"/>
                      <w:u w:val="single"/>
                    </w:rPr>
                  </w:pPr>
                </w:p>
                <w:p w14:paraId="27AFAFB7">
                  <w:pPr>
                    <w:adjustRightInd w:val="0"/>
                    <w:snapToGrid w:val="0"/>
                    <w:spacing w:line="240" w:lineRule="auto"/>
                    <w:jc w:val="center"/>
                    <w:rPr>
                      <w:rFonts w:eastAsiaTheme="minorEastAsia"/>
                      <w:sz w:val="21"/>
                      <w:szCs w:val="21"/>
                      <w:u w:val="single"/>
                    </w:rPr>
                  </w:pPr>
                </w:p>
                <w:p w14:paraId="737E6C2A">
                  <w:pPr>
                    <w:adjustRightInd w:val="0"/>
                    <w:snapToGrid w:val="0"/>
                    <w:spacing w:line="240" w:lineRule="auto"/>
                    <w:jc w:val="center"/>
                    <w:rPr>
                      <w:rFonts w:eastAsiaTheme="minorEastAsia"/>
                      <w:sz w:val="21"/>
                      <w:szCs w:val="21"/>
                      <w:u w:val="single"/>
                    </w:rPr>
                  </w:pPr>
                </w:p>
                <w:p w14:paraId="18508ADC">
                  <w:pPr>
                    <w:adjustRightInd w:val="0"/>
                    <w:snapToGrid w:val="0"/>
                    <w:spacing w:line="240" w:lineRule="auto"/>
                    <w:jc w:val="center"/>
                    <w:rPr>
                      <w:rFonts w:hint="eastAsia" w:eastAsiaTheme="minorEastAsia"/>
                      <w:sz w:val="21"/>
                      <w:szCs w:val="21"/>
                      <w:u w:val="single"/>
                      <w:lang w:eastAsia="zh-CN"/>
                    </w:rPr>
                  </w:pPr>
                  <w:r>
                    <w:rPr>
                      <w:rFonts w:hint="eastAsia" w:eastAsiaTheme="minorEastAsia"/>
                      <w:sz w:val="21"/>
                      <w:szCs w:val="21"/>
                      <w:u w:val="single"/>
                      <w:lang w:eastAsia="zh-CN"/>
                    </w:rPr>
                    <w:t>本项目不涉及</w:t>
                  </w:r>
                  <w:r>
                    <w:rPr>
                      <w:rFonts w:hint="eastAsia" w:eastAsiaTheme="minorEastAsia"/>
                      <w:sz w:val="21"/>
                      <w:szCs w:val="21"/>
                      <w:u w:val="single"/>
                    </w:rPr>
                    <w:t>秸秆、尾菜和农产品加工</w:t>
                  </w:r>
                  <w:r>
                    <w:rPr>
                      <w:rFonts w:hint="eastAsia" w:eastAsiaTheme="minorEastAsia"/>
                      <w:sz w:val="21"/>
                      <w:szCs w:val="21"/>
                      <w:u w:val="single"/>
                      <w:lang w:eastAsia="zh-CN"/>
                    </w:rPr>
                    <w:t>。</w:t>
                  </w:r>
                </w:p>
                <w:p w14:paraId="4BFD44C2">
                  <w:pPr>
                    <w:adjustRightInd w:val="0"/>
                    <w:snapToGrid w:val="0"/>
                    <w:spacing w:line="240" w:lineRule="auto"/>
                    <w:jc w:val="center"/>
                    <w:rPr>
                      <w:rFonts w:eastAsiaTheme="minorEastAsia"/>
                      <w:sz w:val="21"/>
                      <w:szCs w:val="21"/>
                      <w:u w:val="single"/>
                    </w:rPr>
                  </w:pPr>
                </w:p>
                <w:p w14:paraId="664EC2D8">
                  <w:pPr>
                    <w:adjustRightInd w:val="0"/>
                    <w:snapToGrid w:val="0"/>
                    <w:spacing w:line="240" w:lineRule="auto"/>
                    <w:jc w:val="center"/>
                    <w:rPr>
                      <w:rFonts w:eastAsiaTheme="minorEastAsia"/>
                      <w:sz w:val="21"/>
                      <w:szCs w:val="21"/>
                      <w:u w:val="single"/>
                    </w:rPr>
                  </w:pPr>
                </w:p>
              </w:tc>
              <w:tc>
                <w:tcPr>
                  <w:tcW w:w="486" w:type="pct"/>
                  <w:vAlign w:val="center"/>
                </w:tcPr>
                <w:p w14:paraId="1BBC1AB8">
                  <w:pPr>
                    <w:adjustRightInd w:val="0"/>
                    <w:snapToGrid w:val="0"/>
                    <w:spacing w:line="240" w:lineRule="auto"/>
                    <w:jc w:val="center"/>
                    <w:rPr>
                      <w:rFonts w:eastAsiaTheme="minorEastAsia"/>
                      <w:sz w:val="21"/>
                      <w:szCs w:val="21"/>
                      <w:u w:val="single"/>
                    </w:rPr>
                  </w:pPr>
                  <w:r>
                    <w:rPr>
                      <w:rFonts w:eastAsiaTheme="minorEastAsia"/>
                      <w:sz w:val="21"/>
                      <w:szCs w:val="21"/>
                      <w:u w:val="single"/>
                    </w:rPr>
                    <w:t>符合</w:t>
                  </w:r>
                </w:p>
              </w:tc>
            </w:tr>
          </w:tbl>
          <w:p w14:paraId="6AEAF60E">
            <w:pPr>
              <w:autoSpaceDE w:val="0"/>
              <w:autoSpaceDN w:val="0"/>
              <w:adjustRightInd w:val="0"/>
              <w:snapToGrid w:val="0"/>
              <w:ind w:firstLine="480" w:firstLineChars="200"/>
              <w:jc w:val="left"/>
            </w:pPr>
            <w:bookmarkStart w:id="11" w:name="_Toc29062"/>
            <w:r>
              <w:rPr>
                <w:u w:val="single"/>
              </w:rPr>
              <w:t>综上，本项目的建设与《怀化市“三线一单”生态环境管控基本要求暨环境管控单元（省级以上产业园区除外）生态环境准入清单》》相符合。</w:t>
            </w:r>
          </w:p>
          <w:p w14:paraId="46F76864">
            <w:pPr>
              <w:pStyle w:val="30"/>
              <w:numPr>
                <w:ilvl w:val="1"/>
                <w:numId w:val="0"/>
              </w:numPr>
              <w:ind w:left="284"/>
            </w:pPr>
            <w:r>
              <w:t>1.</w:t>
            </w:r>
            <w:r>
              <w:rPr>
                <w:rFonts w:hint="eastAsia"/>
              </w:rPr>
              <w:t>3</w:t>
            </w:r>
            <w:r>
              <w:t xml:space="preserve"> 选址合理性分析</w:t>
            </w:r>
            <w:bookmarkEnd w:id="10"/>
            <w:bookmarkEnd w:id="11"/>
          </w:p>
          <w:p w14:paraId="2ECADA72">
            <w:pPr>
              <w:ind w:firstLine="480" w:firstLineChars="200"/>
              <w:rPr>
                <w:kern w:val="0"/>
                <w:u w:val="single"/>
              </w:rPr>
            </w:pPr>
            <w:r>
              <w:rPr>
                <w:kern w:val="0"/>
                <w:u w:val="single"/>
              </w:rPr>
              <w:t>本项目选址于</w:t>
            </w:r>
            <w:r>
              <w:rPr>
                <w:rFonts w:hint="eastAsia"/>
                <w:u w:val="single"/>
              </w:rPr>
              <w:t>怀化市靖州苗族侗族自治县渠阳镇高桥村七坡冲</w:t>
            </w:r>
            <w:r>
              <w:rPr>
                <w:kern w:val="0"/>
                <w:u w:val="single"/>
              </w:rPr>
              <w:t>，距</w:t>
            </w:r>
            <w:r>
              <w:rPr>
                <w:rFonts w:hint="eastAsia"/>
                <w:kern w:val="0"/>
                <w:u w:val="single"/>
              </w:rPr>
              <w:t>G356国道10m</w:t>
            </w:r>
            <w:r>
              <w:rPr>
                <w:kern w:val="0"/>
                <w:u w:val="single"/>
              </w:rPr>
              <w:t>，交通便利；建设用地工程地质条件较好，所在地的气候条件较好，自然条件对工程的影响不大；厂区生产用</w:t>
            </w:r>
            <w:r>
              <w:rPr>
                <w:rFonts w:hint="eastAsia"/>
                <w:kern w:val="0"/>
                <w:u w:val="single"/>
              </w:rPr>
              <w:t>井水</w:t>
            </w:r>
            <w:r>
              <w:rPr>
                <w:kern w:val="0"/>
                <w:u w:val="single"/>
              </w:rPr>
              <w:t>，供应有保障，水质、水量能满足生产、需求，当地供电部门提供一路10KV高压电源，引至配电室，满足项目建设条件。</w:t>
            </w:r>
            <w:r>
              <w:rPr>
                <w:u w:val="single"/>
              </w:rPr>
              <w:t>项目地不涉及生态红线，周边无自然保护区、风景名胜区、饮用水源地保护区、基本农田保护区等环境敏感区</w:t>
            </w:r>
            <w:r>
              <w:rPr>
                <w:kern w:val="0"/>
                <w:u w:val="single"/>
              </w:rPr>
              <w:t>，项目生产过程中产生的噪声、废气对附近居民影响较小。</w:t>
            </w:r>
          </w:p>
          <w:p w14:paraId="042CD591">
            <w:pPr>
              <w:ind w:firstLine="480" w:firstLineChars="200"/>
              <w:rPr>
                <w:color w:val="0000C7"/>
                <w:u w:val="single"/>
              </w:rPr>
            </w:pPr>
            <w:r>
              <w:rPr>
                <w:rFonts w:hint="eastAsia"/>
                <w:color w:val="auto"/>
                <w:kern w:val="0"/>
                <w:u w:val="single"/>
              </w:rPr>
              <w:t>同时，</w:t>
            </w:r>
            <w:r>
              <w:rPr>
                <w:rFonts w:hint="eastAsia"/>
                <w:color w:val="auto"/>
                <w:u w:val="single"/>
              </w:rPr>
              <w:t>本项目</w:t>
            </w:r>
            <w:r>
              <w:rPr>
                <w:rFonts w:hint="eastAsia"/>
                <w:color w:val="auto"/>
                <w:highlight w:val="none"/>
                <w:u w:val="single"/>
              </w:rPr>
              <w:t>用地手续</w:t>
            </w:r>
            <w:r>
              <w:rPr>
                <w:rFonts w:hint="eastAsia"/>
                <w:color w:val="auto"/>
                <w:u w:val="single"/>
              </w:rPr>
              <w:t>正在办理中</w:t>
            </w:r>
            <w:r>
              <w:rPr>
                <w:rFonts w:hint="eastAsia"/>
                <w:color w:val="auto"/>
                <w:u w:val="single"/>
                <w:lang w:eastAsia="zh-CN"/>
              </w:rPr>
              <w:t>，根据靖州苗族侗族自治县人民政府关于将靖州县鑫宏石材雕刻加工生产项目纳入国土空间规划的承诺函，靖州县确保本项目用地布局和规模统筹纳入规划期至2035年的国土空间总体规划及“一张图”实施监管。承诺纳入渠阳镇高桥村村庄规划。</w:t>
            </w:r>
            <w:r>
              <w:rPr>
                <w:rFonts w:hint="eastAsia"/>
                <w:color w:val="auto"/>
                <w:u w:val="single"/>
              </w:rPr>
              <w:t>（见附件</w:t>
            </w:r>
            <w:r>
              <w:rPr>
                <w:rFonts w:hint="eastAsia"/>
                <w:color w:val="auto"/>
                <w:u w:val="single"/>
                <w:lang w:val="en-US" w:eastAsia="zh-CN"/>
              </w:rPr>
              <w:t>4</w:t>
            </w:r>
            <w:r>
              <w:rPr>
                <w:rFonts w:hint="eastAsia"/>
                <w:color w:val="auto"/>
                <w:u w:val="single"/>
              </w:rPr>
              <w:t>）</w:t>
            </w:r>
          </w:p>
          <w:p w14:paraId="5AF3221D">
            <w:pPr>
              <w:ind w:firstLine="480" w:firstLineChars="200"/>
              <w:rPr>
                <w:rFonts w:hint="eastAsia" w:eastAsia="宋体"/>
                <w:kern w:val="0"/>
                <w:u w:val="single"/>
                <w:lang w:eastAsia="zh-CN"/>
              </w:rPr>
            </w:pPr>
            <w:r>
              <w:rPr>
                <w:rFonts w:hint="eastAsia"/>
                <w:kern w:val="0"/>
                <w:u w:val="single"/>
                <w:lang w:eastAsia="zh-CN"/>
              </w:rPr>
              <w:t>目前，厂区中部有七座坟，施工前业主将与村民签订协议将七座坟迁走。</w:t>
            </w:r>
          </w:p>
          <w:p w14:paraId="2F1D38E3">
            <w:pPr>
              <w:ind w:firstLine="480" w:firstLineChars="200"/>
              <w:rPr>
                <w:kern w:val="0"/>
              </w:rPr>
            </w:pPr>
            <w:r>
              <w:rPr>
                <w:kern w:val="0"/>
                <w:u w:val="single"/>
              </w:rPr>
              <w:t>综上所述，从地理位置、区域资源、用地条件等角度看，选址较合理，建设可行。</w:t>
            </w:r>
          </w:p>
          <w:p w14:paraId="7CF10EA1">
            <w:pPr>
              <w:pStyle w:val="30"/>
              <w:numPr>
                <w:ilvl w:val="1"/>
                <w:numId w:val="0"/>
              </w:numPr>
              <w:ind w:left="284"/>
              <w:rPr>
                <w:rFonts w:hint="default" w:ascii="Times New Roman" w:hAnsi="Times New Roman" w:eastAsia="宋体" w:cs="Times New Roman"/>
                <w:b w:val="0"/>
                <w:bCs/>
                <w:kern w:val="0"/>
                <w:sz w:val="24"/>
                <w:szCs w:val="24"/>
                <w:u w:val="single"/>
                <w:lang w:val="en-US" w:eastAsia="zh-CN"/>
              </w:rPr>
            </w:pPr>
            <w:bookmarkStart w:id="12" w:name="_Toc7026"/>
            <w:r>
              <w:rPr>
                <w:rFonts w:hint="default" w:ascii="Times New Roman" w:hAnsi="Times New Roman" w:eastAsia="宋体" w:cs="Times New Roman"/>
                <w:b/>
                <w:bCs w:val="0"/>
                <w:kern w:val="0"/>
                <w:sz w:val="24"/>
                <w:szCs w:val="24"/>
                <w:u w:val="single"/>
                <w:lang w:val="en-US" w:eastAsia="zh-CN"/>
              </w:rPr>
              <w:t>1.4 与周边环境相容性分析</w:t>
            </w:r>
          </w:p>
          <w:p w14:paraId="6AEAFC49">
            <w:pPr>
              <w:pStyle w:val="30"/>
              <w:numPr>
                <w:ilvl w:val="1"/>
                <w:numId w:val="0"/>
              </w:numPr>
              <w:ind w:left="0" w:firstLine="480" w:firstLineChars="200"/>
              <w:jc w:val="both"/>
              <w:rPr>
                <w:rFonts w:ascii="Times New Roman" w:hAnsi="Times New Roman" w:eastAsia="宋体" w:cs="Times New Roman"/>
                <w:b w:val="0"/>
                <w:bCs/>
                <w:kern w:val="0"/>
                <w:sz w:val="24"/>
                <w:szCs w:val="24"/>
                <w:u w:val="single"/>
              </w:rPr>
            </w:pPr>
            <w:r>
              <w:rPr>
                <w:rFonts w:ascii="Times New Roman" w:hAnsi="Times New Roman" w:eastAsia="宋体" w:cs="Times New Roman"/>
                <w:b w:val="0"/>
                <w:bCs/>
                <w:kern w:val="0"/>
                <w:sz w:val="24"/>
                <w:szCs w:val="24"/>
                <w:u w:val="single"/>
              </w:rPr>
              <w:t>项目</w:t>
            </w:r>
            <w:r>
              <w:rPr>
                <w:rFonts w:hint="default" w:ascii="Times New Roman" w:hAnsi="Times New Roman" w:eastAsia="宋体" w:cs="Times New Roman"/>
                <w:b w:val="0"/>
                <w:bCs/>
                <w:kern w:val="0"/>
                <w:sz w:val="24"/>
                <w:szCs w:val="24"/>
                <w:u w:val="single"/>
              </w:rPr>
              <w:t>北面18米为康安沥青厂，与项目地块间有山体阻隔；东面25</w:t>
            </w:r>
            <w:r>
              <w:rPr>
                <w:rFonts w:ascii="Times New Roman" w:hAnsi="Times New Roman" w:eastAsia="宋体" w:cs="Times New Roman"/>
                <w:b w:val="0"/>
                <w:bCs/>
                <w:kern w:val="0"/>
                <w:sz w:val="24"/>
                <w:szCs w:val="24"/>
                <w:u w:val="single"/>
              </w:rPr>
              <w:t>米为</w:t>
            </w:r>
            <w:r>
              <w:rPr>
                <w:rFonts w:hint="default" w:ascii="Times New Roman" w:hAnsi="Times New Roman" w:eastAsia="宋体" w:cs="Times New Roman"/>
                <w:b w:val="0"/>
                <w:bCs/>
                <w:kern w:val="0"/>
                <w:sz w:val="24"/>
                <w:szCs w:val="24"/>
                <w:u w:val="single"/>
              </w:rPr>
              <w:t>怀志菌种厂，与项目地块间无山体阻隔；东北面20米为常度门窗厂，与项目地块间无山体阻隔</w:t>
            </w:r>
            <w:r>
              <w:rPr>
                <w:rFonts w:ascii="Times New Roman" w:hAnsi="Times New Roman" w:eastAsia="宋体" w:cs="Times New Roman"/>
                <w:b w:val="0"/>
                <w:bCs/>
                <w:kern w:val="0"/>
                <w:sz w:val="24"/>
                <w:szCs w:val="24"/>
                <w:u w:val="single"/>
              </w:rPr>
              <w:t>；</w:t>
            </w:r>
            <w:r>
              <w:rPr>
                <w:rFonts w:hint="default" w:ascii="Times New Roman" w:hAnsi="Times New Roman" w:eastAsia="宋体" w:cs="Times New Roman"/>
                <w:b w:val="0"/>
                <w:bCs/>
                <w:kern w:val="0"/>
                <w:sz w:val="24"/>
                <w:szCs w:val="24"/>
                <w:u w:val="single"/>
              </w:rPr>
              <w:t>西北面5米处为机制炭厂，与项目地块间无山体阻隔</w:t>
            </w:r>
            <w:r>
              <w:rPr>
                <w:rFonts w:ascii="Times New Roman" w:hAnsi="Times New Roman" w:eastAsia="宋体" w:cs="Times New Roman"/>
                <w:b w:val="0"/>
                <w:bCs/>
                <w:kern w:val="0"/>
                <w:sz w:val="24"/>
                <w:szCs w:val="24"/>
                <w:u w:val="single"/>
              </w:rPr>
              <w:t>。</w:t>
            </w:r>
          </w:p>
          <w:p w14:paraId="4F97F6AD">
            <w:pPr>
              <w:pStyle w:val="30"/>
              <w:numPr>
                <w:ilvl w:val="1"/>
                <w:numId w:val="0"/>
              </w:numPr>
              <w:ind w:left="0" w:firstLine="480" w:firstLineChars="200"/>
              <w:jc w:val="both"/>
              <w:rPr>
                <w:rFonts w:hint="eastAsia" w:ascii="Times New Roman" w:hAnsi="Times New Roman" w:eastAsia="宋体" w:cs="Times New Roman"/>
                <w:b w:val="0"/>
                <w:bCs/>
                <w:kern w:val="0"/>
                <w:sz w:val="21"/>
                <w:szCs w:val="21"/>
                <w:u w:val="single"/>
                <w:lang w:val="en-US" w:eastAsia="zh-CN"/>
              </w:rPr>
            </w:pPr>
            <w:r>
              <w:rPr>
                <w:rFonts w:hint="default" w:ascii="Times New Roman" w:hAnsi="Times New Roman" w:eastAsia="宋体" w:cs="Times New Roman"/>
                <w:b w:val="0"/>
                <w:bCs/>
                <w:kern w:val="0"/>
                <w:sz w:val="24"/>
                <w:szCs w:val="24"/>
                <w:u w:val="single"/>
                <w:lang w:eastAsia="zh-CN"/>
              </w:rPr>
              <w:t>以上四个企业基本无废水产生，仅产生废气及噪声，与本项目基本不会互相影响，本项目与周边环境相容。</w:t>
            </w:r>
          </w:p>
          <w:p w14:paraId="0F7A82EE">
            <w:pPr>
              <w:pStyle w:val="30"/>
              <w:numPr>
                <w:ilvl w:val="1"/>
                <w:numId w:val="0"/>
              </w:numPr>
              <w:ind w:left="0" w:firstLine="482" w:firstLineChars="200"/>
              <w:rPr>
                <w:u w:val="single"/>
              </w:rPr>
            </w:pPr>
            <w:r>
              <w:rPr>
                <w:u w:val="single"/>
              </w:rPr>
              <w:t>1.</w:t>
            </w:r>
            <w:r>
              <w:rPr>
                <w:rFonts w:hint="eastAsia"/>
                <w:u w:val="single"/>
                <w:lang w:val="en-US" w:eastAsia="zh-CN"/>
              </w:rPr>
              <w:t>5</w:t>
            </w:r>
            <w:r>
              <w:rPr>
                <w:u w:val="single"/>
              </w:rPr>
              <w:t xml:space="preserve"> </w:t>
            </w:r>
            <w:r>
              <w:rPr>
                <w:rFonts w:hint="eastAsia"/>
                <w:u w:val="single"/>
                <w:lang w:eastAsia="zh-CN"/>
              </w:rPr>
              <w:t>与</w:t>
            </w:r>
            <w:r>
              <w:rPr>
                <w:rFonts w:hint="eastAsia" w:ascii="Times New Roman" w:hAnsi="Times New Roman" w:eastAsia="宋体" w:cs="Times New Roman"/>
                <w:bCs w:val="0"/>
                <w:snapToGrid/>
                <w:kern w:val="2"/>
                <w:sz w:val="24"/>
                <w:szCs w:val="24"/>
                <w:u w:val="single"/>
                <w:lang w:val="en-US" w:eastAsia="zh-CN" w:bidi="ar-SA"/>
              </w:rPr>
              <w:t>《固体废物再生利用污染防治技术导则》（HJ1091-2020）</w:t>
            </w:r>
            <w:r>
              <w:rPr>
                <w:u w:val="single"/>
              </w:rPr>
              <w:t>的符合性分析</w:t>
            </w:r>
            <w:bookmarkEnd w:id="12"/>
          </w:p>
          <w:p w14:paraId="79CC414E">
            <w:pPr>
              <w:pStyle w:val="10"/>
              <w:spacing w:after="0"/>
              <w:ind w:firstLine="480" w:firstLineChars="200"/>
              <w:rPr>
                <w:rFonts w:hint="eastAsia"/>
                <w:u w:val="single"/>
                <w:lang w:eastAsia="zh-CN"/>
              </w:rPr>
            </w:pPr>
            <w:r>
              <w:rPr>
                <w:rFonts w:hint="eastAsia"/>
                <w:u w:val="single"/>
              </w:rPr>
              <w:t>固体废物建材利用的主要形式包括利用固体废物生产水泥、砖瓦、轻骨料、混凝土、玻璃、陶瓷、陶粒、路基材料等</w:t>
            </w:r>
            <w:r>
              <w:rPr>
                <w:rFonts w:hint="eastAsia"/>
                <w:u w:val="single"/>
                <w:lang w:eastAsia="zh-CN"/>
              </w:rPr>
              <w:t>，本项目路沿石、</w:t>
            </w:r>
            <w:r>
              <w:rPr>
                <w:rFonts w:hint="eastAsia"/>
                <w:b w:val="0"/>
                <w:bCs/>
                <w:kern w:val="0"/>
                <w:u w:val="single"/>
                <w:lang w:eastAsia="zh-CN" w:bidi="ar"/>
              </w:rPr>
              <w:t>墓碑</w:t>
            </w:r>
            <w:r>
              <w:rPr>
                <w:rFonts w:hint="eastAsia" w:ascii="Times New Roman" w:hAnsi="Times New Roman" w:eastAsia="宋体" w:cs="Times New Roman"/>
                <w:b w:val="0"/>
                <w:bCs/>
                <w:kern w:val="0"/>
                <w:sz w:val="24"/>
                <w:szCs w:val="24"/>
                <w:u w:val="single"/>
                <w:lang w:val="en-US" w:eastAsia="zh-CN" w:bidi="ar"/>
              </w:rPr>
              <w:t>及附属产品和其他板材</w:t>
            </w:r>
            <w:r>
              <w:rPr>
                <w:rFonts w:hint="eastAsia" w:cs="Times New Roman"/>
                <w:b w:val="0"/>
                <w:bCs/>
                <w:kern w:val="0"/>
                <w:sz w:val="24"/>
                <w:szCs w:val="24"/>
                <w:u w:val="single"/>
                <w:lang w:val="en-US" w:eastAsia="zh-CN" w:bidi="ar"/>
              </w:rPr>
              <w:t>生产产生的边角料均用于</w:t>
            </w:r>
            <w:r>
              <w:rPr>
                <w:rFonts w:hint="eastAsia" w:ascii="Times New Roman" w:hAnsi="Times New Roman" w:eastAsia="宋体" w:cs="Times New Roman"/>
                <w:kern w:val="2"/>
                <w:sz w:val="24"/>
                <w:szCs w:val="24"/>
                <w:u w:val="single"/>
                <w:lang w:val="en-US" w:eastAsia="zh-CN" w:bidi="ar-SA"/>
              </w:rPr>
              <w:t>透水砖、路面砖</w:t>
            </w:r>
            <w:r>
              <w:rPr>
                <w:rFonts w:hint="eastAsia" w:cs="Times New Roman"/>
                <w:b w:val="0"/>
                <w:bCs/>
                <w:kern w:val="0"/>
                <w:sz w:val="24"/>
                <w:szCs w:val="24"/>
                <w:u w:val="single"/>
                <w:lang w:val="en-US" w:eastAsia="zh-CN" w:bidi="ar"/>
              </w:rPr>
              <w:t>生产的原料，属于固体废物建材利用。</w:t>
            </w:r>
          </w:p>
          <w:p w14:paraId="4C38520F">
            <w:pPr>
              <w:pStyle w:val="10"/>
              <w:spacing w:after="0"/>
              <w:ind w:firstLine="480" w:firstLineChars="200"/>
              <w:rPr>
                <w:rFonts w:hint="eastAsia" w:eastAsia="宋体"/>
                <w:u w:val="single"/>
                <w:lang w:val="en-US" w:eastAsia="zh-CN"/>
              </w:rPr>
            </w:pPr>
            <w:r>
              <w:rPr>
                <w:rFonts w:hint="eastAsia"/>
                <w:u w:val="single"/>
                <w:lang w:eastAsia="zh-CN"/>
              </w:rPr>
              <w:t>根据</w:t>
            </w:r>
            <w:r>
              <w:rPr>
                <w:rFonts w:hint="eastAsia" w:ascii="Times New Roman" w:hAnsi="Times New Roman" w:eastAsia="宋体" w:cs="Times New Roman"/>
                <w:bCs w:val="0"/>
                <w:snapToGrid/>
                <w:kern w:val="2"/>
                <w:sz w:val="24"/>
                <w:szCs w:val="24"/>
                <w:u w:val="single"/>
                <w:lang w:val="en-US" w:eastAsia="zh-CN" w:bidi="ar-SA"/>
              </w:rPr>
              <w:t>《固体废物再生利用污染防治技术导则》</w:t>
            </w:r>
            <w:r>
              <w:rPr>
                <w:rFonts w:hint="eastAsia"/>
                <w:u w:val="single"/>
                <w:lang w:eastAsia="zh-CN"/>
              </w:rPr>
              <w:t>中“</w:t>
            </w:r>
            <w:r>
              <w:rPr>
                <w:rFonts w:hint="eastAsia"/>
                <w:u w:val="single"/>
                <w:lang w:val="en-US" w:eastAsia="zh-CN"/>
              </w:rPr>
              <w:t xml:space="preserve">6 </w:t>
            </w:r>
            <w:r>
              <w:rPr>
                <w:rFonts w:hint="eastAsia"/>
                <w:u w:val="single"/>
                <w:lang w:eastAsia="zh-CN"/>
              </w:rPr>
              <w:t>固体废物建材利用污染防治技术要求：6.1 固体废物建材利用设施应配备必要的废气处理、防止或降低噪声与粉尘处理等污染防治装置。6.3 利用固体废物生产砖瓦、轻骨料、集料、玻璃、陶瓷、陶粒、路基材料等建材过程的污</w:t>
            </w:r>
            <w:r>
              <w:rPr>
                <w:rFonts w:hint="eastAsia"/>
                <w:highlight w:val="none"/>
                <w:u w:val="single"/>
                <w:lang w:eastAsia="zh-CN"/>
              </w:rPr>
              <w:t>染控制执行相关行业污染物排放标准</w:t>
            </w:r>
            <w:r>
              <w:rPr>
                <w:rFonts w:hint="eastAsia"/>
                <w:u w:val="single"/>
                <w:lang w:eastAsia="zh-CN"/>
              </w:rPr>
              <w:t>,相关产品中有害物质含量参照 GB 30760 的要求执行。”，本项目</w:t>
            </w:r>
            <w:r>
              <w:rPr>
                <w:rFonts w:hint="eastAsia" w:ascii="Times New Roman" w:hAnsi="Times New Roman" w:eastAsia="宋体" w:cs="Times New Roman"/>
                <w:kern w:val="2"/>
                <w:sz w:val="24"/>
                <w:szCs w:val="24"/>
                <w:u w:val="single"/>
                <w:lang w:val="en-US" w:eastAsia="zh-CN" w:bidi="ar-SA"/>
              </w:rPr>
              <w:t>透水砖、路面砖</w:t>
            </w:r>
            <w:r>
              <w:rPr>
                <w:rFonts w:hint="eastAsia"/>
                <w:sz w:val="24"/>
                <w:szCs w:val="24"/>
                <w:u w:val="single"/>
                <w:lang w:eastAsia="zh-CN"/>
              </w:rPr>
              <w:t>所用原料</w:t>
            </w:r>
            <w:r>
              <w:rPr>
                <w:rFonts w:hint="eastAsia"/>
                <w:sz w:val="24"/>
                <w:szCs w:val="24"/>
                <w:u w:val="single"/>
              </w:rPr>
              <w:t>生产过程中采用</w:t>
            </w:r>
            <w:r>
              <w:rPr>
                <w:rFonts w:hint="eastAsia"/>
                <w:snapToGrid/>
                <w:spacing w:val="0"/>
                <w:sz w:val="24"/>
                <w:szCs w:val="24"/>
                <w:u w:val="single"/>
                <w:lang w:eastAsia="zh-CN"/>
              </w:rPr>
              <w:t>干法作业</w:t>
            </w:r>
            <w:r>
              <w:rPr>
                <w:rFonts w:hint="eastAsia"/>
                <w:sz w:val="24"/>
                <w:szCs w:val="24"/>
                <w:u w:val="single"/>
              </w:rPr>
              <w:t>生产工艺，</w:t>
            </w:r>
            <w:r>
              <w:rPr>
                <w:rFonts w:hint="eastAsia"/>
                <w:kern w:val="2"/>
                <w:sz w:val="24"/>
                <w:szCs w:val="24"/>
                <w:u w:val="single"/>
                <w:lang w:eastAsia="zh-CN"/>
              </w:rPr>
              <w:t>采取喷淋降尘</w:t>
            </w:r>
            <w:r>
              <w:rPr>
                <w:rFonts w:hint="eastAsia"/>
                <w:kern w:val="2"/>
                <w:sz w:val="24"/>
                <w:szCs w:val="24"/>
                <w:u w:val="single"/>
              </w:rPr>
              <w:t>，</w:t>
            </w:r>
            <w:r>
              <w:rPr>
                <w:rFonts w:hint="eastAsia"/>
                <w:sz w:val="24"/>
                <w:szCs w:val="24"/>
                <w:u w:val="single"/>
              </w:rPr>
              <w:t>同时</w:t>
            </w:r>
            <w:r>
              <w:rPr>
                <w:rFonts w:hint="eastAsia"/>
                <w:kern w:val="2"/>
                <w:sz w:val="24"/>
                <w:szCs w:val="24"/>
                <w:u w:val="single"/>
                <w:lang w:eastAsia="zh-CN"/>
              </w:rPr>
              <w:t>采用密闭生产工序</w:t>
            </w:r>
            <w:r>
              <w:rPr>
                <w:rFonts w:hint="eastAsia"/>
                <w:sz w:val="24"/>
                <w:szCs w:val="24"/>
                <w:u w:val="single"/>
              </w:rPr>
              <w:t>，产生的破碎筛分制砂粉尘无组织排放</w:t>
            </w:r>
            <w:r>
              <w:rPr>
                <w:rFonts w:hint="eastAsia"/>
                <w:sz w:val="24"/>
                <w:szCs w:val="24"/>
                <w:u w:val="single"/>
                <w:lang w:eastAsia="zh-CN"/>
              </w:rPr>
              <w:t>，</w:t>
            </w:r>
            <w:r>
              <w:rPr>
                <w:rFonts w:hint="eastAsia"/>
                <w:sz w:val="24"/>
                <w:szCs w:val="24"/>
                <w:u w:val="single"/>
              </w:rPr>
              <w:t>投配料、搅拌工序工作时，启动喷淋装置进行洒水抑尘后，</w:t>
            </w:r>
            <w:r>
              <w:rPr>
                <w:rFonts w:hint="eastAsia" w:ascii="Times New Roman" w:hAnsi="Times New Roman" w:eastAsia="宋体" w:cs="Times New Roman"/>
                <w:kern w:val="2"/>
                <w:sz w:val="24"/>
                <w:szCs w:val="24"/>
                <w:u w:val="single"/>
                <w:lang w:val="en-US" w:eastAsia="zh-CN" w:bidi="ar-SA"/>
              </w:rPr>
              <w:t>透水砖、路面砖</w:t>
            </w:r>
            <w:r>
              <w:rPr>
                <w:rFonts w:hint="eastAsia"/>
                <w:sz w:val="24"/>
                <w:szCs w:val="24"/>
                <w:u w:val="single"/>
              </w:rPr>
              <w:t>生产线投料、输送及搅拌粉尘无组织排放</w:t>
            </w:r>
            <w:r>
              <w:rPr>
                <w:rFonts w:hint="eastAsia"/>
                <w:sz w:val="24"/>
                <w:szCs w:val="24"/>
                <w:u w:val="single"/>
                <w:lang w:eastAsia="zh-CN"/>
              </w:rPr>
              <w:t>。</w:t>
            </w:r>
            <w:r>
              <w:rPr>
                <w:rFonts w:hint="eastAsia"/>
              </w:rPr>
              <w:t>项目</w:t>
            </w:r>
            <w:r>
              <w:rPr>
                <w:rFonts w:hint="eastAsia" w:ascii="Times New Roman" w:hAnsi="Times New Roman" w:eastAsia="宋体" w:cs="Times New Roman"/>
                <w:kern w:val="2"/>
                <w:sz w:val="24"/>
                <w:szCs w:val="24"/>
                <w:u w:val="single"/>
                <w:lang w:val="en-US" w:eastAsia="zh-CN" w:bidi="ar-SA"/>
              </w:rPr>
              <w:t>透水砖、路面砖</w:t>
            </w:r>
            <w:r>
              <w:rPr>
                <w:kern w:val="0"/>
              </w:rPr>
              <w:t>生产</w:t>
            </w:r>
            <w:r>
              <w:rPr>
                <w:rFonts w:hint="eastAsia"/>
                <w:kern w:val="0"/>
              </w:rPr>
              <w:t>线产生的颗粒物执行《水泥工业大气污染物排放标准》</w:t>
            </w:r>
            <w:r>
              <w:t>（GB</w:t>
            </w:r>
            <w:r>
              <w:rPr>
                <w:rFonts w:hint="eastAsia"/>
              </w:rPr>
              <w:t>4915</w:t>
            </w:r>
            <w:r>
              <w:t>-20</w:t>
            </w:r>
            <w:r>
              <w:rPr>
                <w:rFonts w:hint="eastAsia"/>
              </w:rPr>
              <w:t>13</w:t>
            </w:r>
            <w:r>
              <w:t>）</w:t>
            </w:r>
            <w:r>
              <w:rPr>
                <w:rFonts w:hint="eastAsia"/>
              </w:rPr>
              <w:t>中表3的大气污染物无组织排放限值</w:t>
            </w:r>
            <w:r>
              <w:rPr>
                <w:rFonts w:hint="eastAsia"/>
                <w:kern w:val="0"/>
                <w:lang w:eastAsia="zh-CN"/>
              </w:rPr>
              <w:t>，</w:t>
            </w:r>
            <w:r>
              <w:rPr>
                <w:rFonts w:hint="eastAsia"/>
                <w:sz w:val="24"/>
                <w:szCs w:val="24"/>
                <w:u w:val="single"/>
                <w:lang w:eastAsia="zh-CN"/>
              </w:rPr>
              <w:t>且</w:t>
            </w:r>
            <w:r>
              <w:rPr>
                <w:rFonts w:hint="eastAsia" w:ascii="Times New Roman" w:hAnsi="Times New Roman" w:eastAsia="宋体" w:cs="Times New Roman"/>
                <w:kern w:val="2"/>
                <w:sz w:val="24"/>
                <w:szCs w:val="24"/>
                <w:u w:val="single"/>
                <w:lang w:val="en-US" w:eastAsia="zh-CN" w:bidi="ar-SA"/>
              </w:rPr>
              <w:t>透水砖、路面砖</w:t>
            </w:r>
            <w:r>
              <w:rPr>
                <w:rFonts w:hint="eastAsia"/>
                <w:sz w:val="24"/>
                <w:szCs w:val="24"/>
                <w:u w:val="single"/>
                <w:lang w:eastAsia="zh-CN"/>
              </w:rPr>
              <w:t>产品不涉及</w:t>
            </w:r>
            <w:r>
              <w:rPr>
                <w:rFonts w:hint="eastAsia"/>
                <w:u w:val="single"/>
                <w:lang w:eastAsia="zh-CN"/>
              </w:rPr>
              <w:t>GB 30760中的有害物质。</w:t>
            </w:r>
          </w:p>
          <w:p w14:paraId="7F7EB041">
            <w:pPr>
              <w:pStyle w:val="10"/>
              <w:spacing w:after="0"/>
              <w:ind w:firstLine="480" w:firstLineChars="200"/>
            </w:pPr>
            <w:r>
              <w:rPr>
                <w:u w:val="single"/>
              </w:rPr>
              <w:t>根据</w:t>
            </w:r>
            <w:r>
              <w:rPr>
                <w:rFonts w:hint="eastAsia"/>
                <w:u w:val="single"/>
              </w:rPr>
              <w:t>上表</w:t>
            </w:r>
            <w:r>
              <w:rPr>
                <w:u w:val="single"/>
              </w:rPr>
              <w:t>，项目建设满足</w:t>
            </w:r>
            <w:r>
              <w:rPr>
                <w:rFonts w:hint="default" w:ascii="Times New Roman" w:hAnsi="Times New Roman" w:eastAsia="宋体" w:cs="Times New Roman"/>
                <w:bCs w:val="0"/>
                <w:snapToGrid/>
                <w:kern w:val="2"/>
                <w:sz w:val="24"/>
                <w:szCs w:val="24"/>
                <w:u w:val="single"/>
                <w:lang w:val="en-US" w:eastAsia="zh-CN" w:bidi="ar-SA"/>
              </w:rPr>
              <w:t>《固体废物再生利用污染防治技术导则》（HJ1091-2020）</w:t>
            </w:r>
            <w:r>
              <w:rPr>
                <w:u w:val="single"/>
              </w:rPr>
              <w:t>的中的要求。</w:t>
            </w:r>
          </w:p>
          <w:p w14:paraId="77457304">
            <w:pPr>
              <w:widowControl/>
              <w:ind w:firstLine="480"/>
              <w:jc w:val="left"/>
              <w:rPr>
                <w:b/>
              </w:rPr>
            </w:pPr>
            <w:r>
              <w:rPr>
                <w:rFonts w:hint="eastAsia"/>
                <w:b/>
                <w:bCs/>
                <w:kern w:val="0"/>
              </w:rPr>
              <w:t>1.</w:t>
            </w:r>
            <w:r>
              <w:rPr>
                <w:rFonts w:hint="eastAsia"/>
                <w:b/>
                <w:bCs/>
                <w:kern w:val="0"/>
                <w:lang w:val="en-US" w:eastAsia="zh-CN"/>
              </w:rPr>
              <w:t>6</w:t>
            </w:r>
            <w:r>
              <w:rPr>
                <w:rFonts w:hint="eastAsia"/>
                <w:b/>
              </w:rPr>
              <w:t>与《湖南省长江经济带发展负面清单实施细则（试行，2022年版）》的符合性分析</w:t>
            </w:r>
          </w:p>
          <w:p w14:paraId="1B6BADA1">
            <w:pPr>
              <w:widowControl/>
              <w:ind w:firstLine="480" w:firstLineChars="200"/>
              <w:rPr>
                <w:kern w:val="0"/>
                <w:lang w:bidi="ar"/>
              </w:rPr>
            </w:pPr>
            <w:r>
              <w:rPr>
                <w:rFonts w:hint="eastAsia"/>
                <w:bCs/>
              </w:rPr>
              <w:t>本项目为</w:t>
            </w:r>
            <w:r>
              <w:rPr>
                <w:rFonts w:hint="eastAsia"/>
              </w:rPr>
              <w:t>建筑用石加工及水泥制品制造</w:t>
            </w:r>
            <w:r>
              <w:rPr>
                <w:rFonts w:hint="eastAsia"/>
                <w:bCs/>
              </w:rPr>
              <w:t>项目，建设性质为</w:t>
            </w:r>
            <w:r>
              <w:rPr>
                <w:rFonts w:hint="eastAsia"/>
                <w:bCs/>
                <w:lang w:eastAsia="zh-CN"/>
              </w:rPr>
              <w:t>改扩建</w:t>
            </w:r>
            <w:r>
              <w:rPr>
                <w:rFonts w:hint="eastAsia"/>
                <w:bCs/>
              </w:rPr>
              <w:t>，不属于</w:t>
            </w:r>
            <w:r>
              <w:t>《产业结构调整指导目录》（202</w:t>
            </w:r>
            <w:r>
              <w:rPr>
                <w:rFonts w:hint="eastAsia"/>
                <w:lang w:val="en-US" w:eastAsia="zh-CN"/>
              </w:rPr>
              <w:t>4</w:t>
            </w:r>
            <w:r>
              <w:t>年</w:t>
            </w:r>
            <w:r>
              <w:rPr>
                <w:rFonts w:hint="eastAsia"/>
                <w:lang w:eastAsia="zh-CN"/>
              </w:rPr>
              <w:t>本</w:t>
            </w:r>
            <w:r>
              <w:t>）</w:t>
            </w:r>
            <w:r>
              <w:rPr>
                <w:rFonts w:hint="eastAsia"/>
                <w:bCs/>
              </w:rPr>
              <w:t>中淘汰类和限制类，符合国家产业政策；本项目</w:t>
            </w:r>
            <w:r>
              <w:rPr>
                <w:rFonts w:hint="eastAsia"/>
              </w:rPr>
              <w:t>位于怀化市靖州苗族侗族自治县渠阳镇高桥村七坡冲</w:t>
            </w:r>
            <w:r>
              <w:rPr>
                <w:rFonts w:hint="eastAsia"/>
                <w:bCs/>
              </w:rPr>
              <w:t>，</w:t>
            </w:r>
            <w:r>
              <w:rPr>
                <w:rFonts w:hint="eastAsia"/>
                <w:kern w:val="0"/>
                <w:lang w:bidi="ar"/>
              </w:rPr>
              <w:t>距离渠水最近距离约5.9km。本项目营运期产生的生产废水经</w:t>
            </w:r>
            <w:r>
              <w:rPr>
                <w:kern w:val="0"/>
                <w:lang w:bidi="ar"/>
              </w:rPr>
              <w:t>废水处理系统</w:t>
            </w:r>
            <w:r>
              <w:rPr>
                <w:rFonts w:hint="eastAsia"/>
                <w:kern w:val="0"/>
                <w:lang w:bidi="ar"/>
              </w:rPr>
              <w:t>处理后回用于生产</w:t>
            </w:r>
            <w:r>
              <w:rPr>
                <w:kern w:val="0"/>
                <w:lang w:bidi="ar"/>
              </w:rPr>
              <w:t>；生活污水经</w:t>
            </w:r>
            <w:r>
              <w:rPr>
                <w:rFonts w:hint="eastAsia"/>
                <w:kern w:val="0"/>
                <w:lang w:bidi="ar"/>
              </w:rPr>
              <w:t>隔油</w:t>
            </w:r>
            <w:r>
              <w:rPr>
                <w:kern w:val="0"/>
                <w:lang w:bidi="ar"/>
              </w:rPr>
              <w:t>化粪池处理用于周边林地、</w:t>
            </w:r>
            <w:r>
              <w:rPr>
                <w:rFonts w:hint="eastAsia"/>
                <w:kern w:val="0"/>
                <w:lang w:bidi="ar"/>
              </w:rPr>
              <w:t>菜地</w:t>
            </w:r>
            <w:r>
              <w:rPr>
                <w:kern w:val="0"/>
                <w:lang w:bidi="ar"/>
              </w:rPr>
              <w:t>浇灌，不外排</w:t>
            </w:r>
            <w:r>
              <w:rPr>
                <w:rFonts w:hint="eastAsia"/>
                <w:kern w:val="0"/>
                <w:lang w:bidi="ar"/>
              </w:rPr>
              <w:t>；初期</w:t>
            </w:r>
            <w:r>
              <w:rPr>
                <w:kern w:val="0"/>
                <w:lang w:bidi="ar"/>
              </w:rPr>
              <w:t>雨水经</w:t>
            </w:r>
            <w:r>
              <w:rPr>
                <w:rFonts w:hint="eastAsia"/>
                <w:kern w:val="0"/>
                <w:lang w:bidi="ar"/>
              </w:rPr>
              <w:t>初期雨水收集池</w:t>
            </w:r>
            <w:r>
              <w:rPr>
                <w:kern w:val="0"/>
                <w:lang w:bidi="ar"/>
              </w:rPr>
              <w:t>沉淀后回用于厂区降尘洒水</w:t>
            </w:r>
            <w:r>
              <w:rPr>
                <w:rFonts w:hint="eastAsia"/>
                <w:kern w:val="0"/>
                <w:lang w:bidi="ar"/>
              </w:rPr>
              <w:t>。同时，本项目不在城市规划区范围内，不涉及自然遗产地、国有林场、重要湿地、森林公园、湿地公园、地质公园、风景名胜区、国家级公益林等敏感区域。即本项目所在区域不涉及自然保护区、风景名胜区、饮用水水源保护区、国家湿地公园，不在长江干流岸线三公里及长江重要支流湘江的一公里范围内。因此，对照《长江经济带发展负面清单指南（试行，2022 年版）》，本项目不属于该“负面清单”范围内。</w:t>
            </w:r>
          </w:p>
          <w:p w14:paraId="7553C526">
            <w:pPr>
              <w:pStyle w:val="30"/>
              <w:numPr>
                <w:ilvl w:val="1"/>
                <w:numId w:val="0"/>
              </w:numPr>
              <w:ind w:left="0" w:firstLine="482" w:firstLineChars="200"/>
              <w:rPr>
                <w:rFonts w:hint="default" w:eastAsia="宋体"/>
                <w:lang w:val="en-US" w:eastAsia="zh-CN"/>
              </w:rPr>
            </w:pPr>
            <w:r>
              <w:rPr>
                <w:rFonts w:hint="eastAsia"/>
                <w:lang w:val="en-US" w:eastAsia="zh-CN"/>
              </w:rPr>
              <w:t>1.7</w:t>
            </w:r>
            <w:r>
              <w:t>与《</w:t>
            </w:r>
            <w:r>
              <w:rPr>
                <w:rFonts w:ascii="Times New Roman" w:hAnsi="Times New Roman" w:eastAsia="宋体" w:cs="Times New Roman"/>
                <w:i w:val="0"/>
                <w:iCs w:val="0"/>
                <w:caps w:val="0"/>
                <w:spacing w:val="0"/>
                <w:sz w:val="24"/>
                <w:szCs w:val="24"/>
                <w:shd w:val="clear"/>
              </w:rPr>
              <w:t>靖州苗族侗族自治县生态环境保护条例</w:t>
            </w:r>
            <w:r>
              <w:t>》</w:t>
            </w:r>
            <w:r>
              <w:rPr>
                <w:rFonts w:hint="eastAsia"/>
                <w:lang w:eastAsia="zh-CN"/>
              </w:rPr>
              <w:t>（</w:t>
            </w:r>
            <w:r>
              <w:rPr>
                <w:rFonts w:hint="eastAsia"/>
                <w:lang w:val="en-US" w:eastAsia="zh-CN"/>
              </w:rPr>
              <w:t>2016年6月5日施行</w:t>
            </w:r>
            <w:r>
              <w:rPr>
                <w:rFonts w:hint="eastAsia"/>
                <w:lang w:eastAsia="zh-CN"/>
              </w:rPr>
              <w:t>）</w:t>
            </w:r>
            <w:r>
              <w:t>的符合性分析</w:t>
            </w:r>
          </w:p>
          <w:p w14:paraId="617572F5">
            <w:pPr>
              <w:autoSpaceDE w:val="0"/>
              <w:autoSpaceDN w:val="0"/>
              <w:adjustRightInd w:val="0"/>
              <w:snapToGrid w:val="0"/>
              <w:spacing w:line="240" w:lineRule="auto"/>
              <w:jc w:val="center"/>
              <w:rPr>
                <w:b/>
                <w:bCs/>
                <w:kern w:val="0"/>
                <w:sz w:val="21"/>
                <w:szCs w:val="21"/>
              </w:rPr>
            </w:pPr>
            <w:r>
              <w:rPr>
                <w:b/>
                <w:bCs/>
                <w:kern w:val="0"/>
                <w:sz w:val="21"/>
                <w:szCs w:val="21"/>
              </w:rPr>
              <w:t>表1-</w:t>
            </w:r>
            <w:r>
              <w:rPr>
                <w:rFonts w:hint="eastAsia"/>
                <w:b/>
                <w:bCs/>
                <w:kern w:val="0"/>
                <w:sz w:val="21"/>
                <w:szCs w:val="21"/>
                <w:lang w:val="en-US" w:eastAsia="zh-CN"/>
              </w:rPr>
              <w:t>2</w:t>
            </w:r>
            <w:r>
              <w:rPr>
                <w:b/>
                <w:bCs/>
                <w:kern w:val="0"/>
                <w:sz w:val="21"/>
                <w:szCs w:val="21"/>
              </w:rPr>
              <w:t xml:space="preserve"> 项目与《</w:t>
            </w:r>
            <w:r>
              <w:rPr>
                <w:rFonts w:ascii="Times New Roman" w:hAnsi="Times New Roman" w:eastAsia="宋体" w:cs="Times New Roman"/>
                <w:b/>
                <w:bCs/>
                <w:i w:val="0"/>
                <w:iCs w:val="0"/>
                <w:caps w:val="0"/>
                <w:spacing w:val="0"/>
                <w:kern w:val="0"/>
                <w:sz w:val="21"/>
                <w:szCs w:val="21"/>
                <w:shd w:val="clear"/>
              </w:rPr>
              <w:t>靖州苗族侗族自治县生态环境保护条例</w:t>
            </w:r>
            <w:r>
              <w:rPr>
                <w:b/>
                <w:bCs/>
                <w:kern w:val="0"/>
                <w:sz w:val="21"/>
                <w:szCs w:val="21"/>
              </w:rPr>
              <w:t>》</w:t>
            </w:r>
            <w:r>
              <w:rPr>
                <w:rFonts w:hint="default"/>
                <w:b/>
                <w:bCs/>
                <w:kern w:val="0"/>
                <w:sz w:val="21"/>
                <w:szCs w:val="21"/>
                <w:lang w:eastAsia="zh-CN"/>
              </w:rPr>
              <w:t>（</w:t>
            </w:r>
            <w:r>
              <w:rPr>
                <w:rFonts w:hint="default"/>
                <w:b/>
                <w:bCs/>
                <w:kern w:val="0"/>
                <w:sz w:val="21"/>
                <w:szCs w:val="21"/>
                <w:lang w:val="en-US" w:eastAsia="zh-CN"/>
              </w:rPr>
              <w:t>2016年6月5日施行</w:t>
            </w:r>
            <w:r>
              <w:rPr>
                <w:rFonts w:hint="default"/>
                <w:b/>
                <w:bCs/>
                <w:kern w:val="0"/>
                <w:sz w:val="21"/>
                <w:szCs w:val="21"/>
                <w:lang w:eastAsia="zh-CN"/>
              </w:rPr>
              <w:t>）</w:t>
            </w:r>
            <w:r>
              <w:rPr>
                <w:b/>
                <w:bCs/>
                <w:kern w:val="0"/>
                <w:sz w:val="21"/>
                <w:szCs w:val="21"/>
              </w:rPr>
              <w:t>符合性对照表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3889"/>
              <w:gridCol w:w="2282"/>
              <w:gridCol w:w="479"/>
            </w:tblGrid>
            <w:tr w14:paraId="1F79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444" w:type="dxa"/>
                  <w:vAlign w:val="center"/>
                </w:tcPr>
                <w:p w14:paraId="6A9ED5B1">
                  <w:pPr>
                    <w:pStyle w:val="10"/>
                    <w:spacing w:after="0" w:line="240" w:lineRule="auto"/>
                    <w:jc w:val="center"/>
                    <w:rPr>
                      <w:b/>
                      <w:bCs/>
                      <w:sz w:val="21"/>
                      <w:u w:val="single"/>
                    </w:rPr>
                  </w:pPr>
                  <w:r>
                    <w:rPr>
                      <w:b/>
                      <w:bCs/>
                      <w:sz w:val="21"/>
                      <w:u w:val="single"/>
                    </w:rPr>
                    <w:t>序号</w:t>
                  </w:r>
                </w:p>
              </w:tc>
              <w:tc>
                <w:tcPr>
                  <w:tcW w:w="3889" w:type="dxa"/>
                  <w:vAlign w:val="center"/>
                </w:tcPr>
                <w:p w14:paraId="0825D518">
                  <w:pPr>
                    <w:pStyle w:val="10"/>
                    <w:spacing w:after="0" w:line="240" w:lineRule="auto"/>
                    <w:jc w:val="center"/>
                    <w:rPr>
                      <w:b/>
                      <w:bCs/>
                      <w:sz w:val="21"/>
                      <w:u w:val="single"/>
                    </w:rPr>
                  </w:pPr>
                  <w:r>
                    <w:rPr>
                      <w:rFonts w:ascii="Times New Roman" w:hAnsi="Times New Roman" w:eastAsia="宋体" w:cs="Times New Roman"/>
                      <w:b/>
                      <w:bCs/>
                      <w:i w:val="0"/>
                      <w:iCs w:val="0"/>
                      <w:caps w:val="0"/>
                      <w:spacing w:val="0"/>
                      <w:kern w:val="0"/>
                      <w:sz w:val="21"/>
                      <w:szCs w:val="21"/>
                      <w:u w:val="single"/>
                      <w:shd w:val="clear"/>
                    </w:rPr>
                    <w:t>靖州苗族侗族自治县生态环境保护条例</w:t>
                  </w:r>
                </w:p>
              </w:tc>
              <w:tc>
                <w:tcPr>
                  <w:tcW w:w="2282" w:type="dxa"/>
                  <w:vAlign w:val="center"/>
                </w:tcPr>
                <w:p w14:paraId="1BC3C31D">
                  <w:pPr>
                    <w:pStyle w:val="10"/>
                    <w:spacing w:after="0" w:line="240" w:lineRule="auto"/>
                    <w:jc w:val="center"/>
                    <w:rPr>
                      <w:b/>
                      <w:bCs/>
                      <w:sz w:val="21"/>
                      <w:u w:val="single"/>
                    </w:rPr>
                  </w:pPr>
                  <w:r>
                    <w:rPr>
                      <w:b/>
                      <w:bCs/>
                      <w:sz w:val="21"/>
                      <w:u w:val="single"/>
                    </w:rPr>
                    <w:t>本项目情况</w:t>
                  </w:r>
                </w:p>
              </w:tc>
              <w:tc>
                <w:tcPr>
                  <w:tcW w:w="479" w:type="dxa"/>
                  <w:vAlign w:val="center"/>
                </w:tcPr>
                <w:p w14:paraId="3E58CBF0">
                  <w:pPr>
                    <w:pStyle w:val="10"/>
                    <w:spacing w:after="0" w:line="240" w:lineRule="auto"/>
                    <w:jc w:val="center"/>
                    <w:rPr>
                      <w:b/>
                      <w:bCs/>
                      <w:sz w:val="21"/>
                      <w:u w:val="single"/>
                    </w:rPr>
                  </w:pPr>
                  <w:r>
                    <w:rPr>
                      <w:b/>
                      <w:bCs/>
                      <w:sz w:val="21"/>
                      <w:u w:val="single"/>
                    </w:rPr>
                    <w:t>符合情况</w:t>
                  </w:r>
                </w:p>
              </w:tc>
            </w:tr>
            <w:tr w14:paraId="0CB7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dxa"/>
                  <w:vAlign w:val="center"/>
                </w:tcPr>
                <w:p w14:paraId="347908EC">
                  <w:pPr>
                    <w:pStyle w:val="10"/>
                    <w:spacing w:after="0" w:line="240" w:lineRule="auto"/>
                    <w:jc w:val="center"/>
                    <w:rPr>
                      <w:sz w:val="21"/>
                      <w:u w:val="single"/>
                    </w:rPr>
                  </w:pPr>
                  <w:r>
                    <w:rPr>
                      <w:sz w:val="21"/>
                      <w:u w:val="single"/>
                    </w:rPr>
                    <w:t>1</w:t>
                  </w:r>
                </w:p>
              </w:tc>
              <w:tc>
                <w:tcPr>
                  <w:tcW w:w="3889" w:type="dxa"/>
                  <w:vAlign w:val="center"/>
                </w:tcPr>
                <w:p w14:paraId="4FAE4040">
                  <w:pPr>
                    <w:pStyle w:val="10"/>
                    <w:spacing w:after="0" w:line="240" w:lineRule="auto"/>
                    <w:jc w:val="center"/>
                    <w:rPr>
                      <w:rFonts w:hint="eastAsia"/>
                      <w:sz w:val="21"/>
                      <w:u w:val="single"/>
                    </w:rPr>
                  </w:pPr>
                  <w:r>
                    <w:rPr>
                      <w:rFonts w:hint="eastAsia"/>
                      <w:sz w:val="21"/>
                      <w:u w:val="single"/>
                    </w:rPr>
                    <w:t>第十五条 飞山、五老峰、青靛山、鸿陵山、盐</w:t>
                  </w:r>
                  <w:r>
                    <w:rPr>
                      <w:rFonts w:hint="eastAsia" w:ascii="Times New Roman" w:hAnsi="Times New Roman" w:eastAsia="宋体" w:cs="Times New Roman"/>
                      <w:sz w:val="21"/>
                      <w:u w:val="single"/>
                    </w:rPr>
                    <w:t>井头、九龙山、三扒界、天龙山、大山头、玉华山等十座山实行重点保护。重点保护的四至范围由自治县人</w:t>
                  </w:r>
                  <w:r>
                    <w:rPr>
                      <w:rFonts w:hint="eastAsia"/>
                      <w:sz w:val="21"/>
                      <w:u w:val="single"/>
                    </w:rPr>
                    <w:t>民政府确定并向社会公布。在该区域内禁止商品性采伐林木、开矿、开办工业企业、建设商品房等经营性建筑物。</w:t>
                  </w:r>
                </w:p>
                <w:p w14:paraId="12536101">
                  <w:pPr>
                    <w:pStyle w:val="10"/>
                    <w:spacing w:after="0" w:line="240" w:lineRule="auto"/>
                    <w:jc w:val="center"/>
                    <w:rPr>
                      <w:sz w:val="21"/>
                      <w:u w:val="single"/>
                    </w:rPr>
                  </w:pPr>
                  <w:r>
                    <w:rPr>
                      <w:rFonts w:hint="eastAsia"/>
                      <w:sz w:val="21"/>
                      <w:u w:val="single"/>
                    </w:rPr>
                    <w:t>高速公路、铁路、国道省道两侧，渠江两岸，寨牙江口至岩脚、坳上九龙至三锹地笋道路两旁，第一层山脊或平地二百米以内的范围，禁止商品性采伐林木，禁止新建冶炼、化工、砖瓦制造、木炭生产、燃煤锅炉等产生废气的项目;第一层山脊或平地五百米以内的范围，禁止开矿、采石。</w:t>
                  </w:r>
                </w:p>
              </w:tc>
              <w:tc>
                <w:tcPr>
                  <w:tcW w:w="2282" w:type="dxa"/>
                  <w:vAlign w:val="center"/>
                </w:tcPr>
                <w:p w14:paraId="5221EAD1">
                  <w:pPr>
                    <w:pStyle w:val="10"/>
                    <w:spacing w:after="0" w:line="240" w:lineRule="auto"/>
                    <w:jc w:val="center"/>
                    <w:rPr>
                      <w:rFonts w:hint="eastAsia" w:eastAsia="宋体"/>
                      <w:sz w:val="21"/>
                      <w:u w:val="single"/>
                      <w:lang w:eastAsia="zh-CN"/>
                    </w:rPr>
                  </w:pPr>
                  <w:r>
                    <w:rPr>
                      <w:rFonts w:hint="eastAsia"/>
                      <w:sz w:val="21"/>
                      <w:u w:val="single"/>
                      <w:lang w:eastAsia="zh-CN"/>
                    </w:rPr>
                    <w:t>本项目</w:t>
                  </w:r>
                  <w:r>
                    <w:rPr>
                      <w:rFonts w:hint="default" w:ascii="Times New Roman" w:hAnsi="Times New Roman" w:eastAsia="宋体" w:cs="Times New Roman"/>
                      <w:sz w:val="21"/>
                      <w:u w:val="single"/>
                      <w:lang w:eastAsia="zh-CN"/>
                    </w:rPr>
                    <w:t>位于</w:t>
                  </w:r>
                  <w:r>
                    <w:rPr>
                      <w:rFonts w:hint="default" w:ascii="Times New Roman" w:hAnsi="Times New Roman" w:eastAsia="宋体" w:cs="Times New Roman"/>
                      <w:sz w:val="21"/>
                      <w:u w:val="single"/>
                    </w:rPr>
                    <w:t>靖州苗族侗族自治县渠阳镇高桥村七坡冲</w:t>
                  </w:r>
                  <w:r>
                    <w:rPr>
                      <w:rFonts w:hint="default" w:ascii="Times New Roman" w:hAnsi="Times New Roman" w:eastAsia="宋体" w:cs="Times New Roman"/>
                      <w:sz w:val="21"/>
                      <w:u w:val="single"/>
                      <w:lang w:eastAsia="zh-CN"/>
                    </w:rPr>
                    <w:t>，</w:t>
                  </w:r>
                  <w:r>
                    <w:rPr>
                      <w:sz w:val="21"/>
                      <w:u w:val="single"/>
                    </w:rPr>
                    <w:t>项目</w:t>
                  </w:r>
                  <w:r>
                    <w:rPr>
                      <w:rFonts w:hint="eastAsia"/>
                      <w:sz w:val="21"/>
                      <w:u w:val="single"/>
                      <w:lang w:eastAsia="zh-CN"/>
                    </w:rPr>
                    <w:t>主要生产墓碑及其附属产品和其他板材、路沿石以及透水砖路面砖等。</w:t>
                  </w:r>
                </w:p>
              </w:tc>
              <w:tc>
                <w:tcPr>
                  <w:tcW w:w="479" w:type="dxa"/>
                  <w:vAlign w:val="center"/>
                </w:tcPr>
                <w:p w14:paraId="12269236">
                  <w:pPr>
                    <w:pStyle w:val="10"/>
                    <w:spacing w:after="0" w:line="240" w:lineRule="auto"/>
                    <w:jc w:val="center"/>
                    <w:rPr>
                      <w:sz w:val="21"/>
                      <w:u w:val="single"/>
                    </w:rPr>
                  </w:pPr>
                  <w:r>
                    <w:rPr>
                      <w:sz w:val="21"/>
                      <w:u w:val="single"/>
                    </w:rPr>
                    <w:t>符合</w:t>
                  </w:r>
                </w:p>
              </w:tc>
            </w:tr>
            <w:tr w14:paraId="0C05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4" w:type="dxa"/>
                  <w:vAlign w:val="center"/>
                </w:tcPr>
                <w:p w14:paraId="3A4D5303">
                  <w:pPr>
                    <w:pStyle w:val="10"/>
                    <w:spacing w:after="0" w:line="240" w:lineRule="auto"/>
                    <w:jc w:val="center"/>
                    <w:rPr>
                      <w:sz w:val="21"/>
                      <w:u w:val="single"/>
                    </w:rPr>
                  </w:pPr>
                  <w:r>
                    <w:rPr>
                      <w:sz w:val="21"/>
                      <w:u w:val="single"/>
                    </w:rPr>
                    <w:t>2</w:t>
                  </w:r>
                </w:p>
              </w:tc>
              <w:tc>
                <w:tcPr>
                  <w:tcW w:w="3889" w:type="dxa"/>
                  <w:vAlign w:val="center"/>
                </w:tcPr>
                <w:p w14:paraId="20A0E603">
                  <w:pPr>
                    <w:pStyle w:val="10"/>
                    <w:spacing w:after="0" w:line="240" w:lineRule="auto"/>
                    <w:jc w:val="center"/>
                    <w:rPr>
                      <w:rFonts w:hint="eastAsia"/>
                      <w:sz w:val="21"/>
                      <w:u w:val="single"/>
                    </w:rPr>
                  </w:pPr>
                  <w:r>
                    <w:rPr>
                      <w:rFonts w:hint="eastAsia"/>
                      <w:sz w:val="21"/>
                      <w:u w:val="single"/>
                    </w:rPr>
                    <w:t>建设项目应当依法进行环境影响评价。未依法进行环境影响评价的建设项目，不得开工建设。</w:t>
                  </w:r>
                </w:p>
                <w:p w14:paraId="68705CC0">
                  <w:pPr>
                    <w:pStyle w:val="10"/>
                    <w:spacing w:after="0" w:line="240" w:lineRule="auto"/>
                    <w:jc w:val="center"/>
                    <w:rPr>
                      <w:sz w:val="21"/>
                      <w:u w:val="single"/>
                    </w:rPr>
                  </w:pPr>
                  <w:r>
                    <w:rPr>
                      <w:rFonts w:hint="eastAsia"/>
                      <w:sz w:val="21"/>
                      <w:u w:val="single"/>
                    </w:rPr>
                    <w:t>建设项目中防治污染的设施，应当与主体工程同时设计、同时施工、同时投产使用。防治污染的设施应当符合经批准的环境影响评价文件的要求，不得擅自拆除或者闲置。</w:t>
                  </w:r>
                </w:p>
              </w:tc>
              <w:tc>
                <w:tcPr>
                  <w:tcW w:w="2282" w:type="dxa"/>
                  <w:vAlign w:val="center"/>
                </w:tcPr>
                <w:p w14:paraId="50C6596C">
                  <w:pPr>
                    <w:pStyle w:val="10"/>
                    <w:spacing w:after="0" w:line="240" w:lineRule="auto"/>
                    <w:jc w:val="center"/>
                    <w:rPr>
                      <w:rFonts w:hint="eastAsia" w:eastAsia="宋体"/>
                      <w:sz w:val="21"/>
                      <w:u w:val="single"/>
                      <w:lang w:eastAsia="zh-CN"/>
                    </w:rPr>
                  </w:pPr>
                  <w:r>
                    <w:rPr>
                      <w:rFonts w:hint="eastAsia"/>
                      <w:sz w:val="21"/>
                      <w:szCs w:val="21"/>
                      <w:u w:val="single"/>
                      <w:lang w:eastAsia="zh-CN"/>
                    </w:rPr>
                    <w:t>严格按照要求执行。</w:t>
                  </w:r>
                </w:p>
              </w:tc>
              <w:tc>
                <w:tcPr>
                  <w:tcW w:w="479" w:type="dxa"/>
                  <w:vAlign w:val="center"/>
                </w:tcPr>
                <w:p w14:paraId="22A3D0FA">
                  <w:pPr>
                    <w:pStyle w:val="10"/>
                    <w:spacing w:after="0" w:line="240" w:lineRule="auto"/>
                    <w:jc w:val="center"/>
                    <w:rPr>
                      <w:sz w:val="21"/>
                      <w:u w:val="single"/>
                    </w:rPr>
                  </w:pPr>
                  <w:r>
                    <w:rPr>
                      <w:sz w:val="21"/>
                      <w:u w:val="single"/>
                    </w:rPr>
                    <w:t>符合</w:t>
                  </w:r>
                </w:p>
              </w:tc>
            </w:tr>
            <w:tr w14:paraId="3DB2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44" w:type="dxa"/>
                  <w:vAlign w:val="center"/>
                </w:tcPr>
                <w:p w14:paraId="6A3270CD">
                  <w:pPr>
                    <w:pStyle w:val="10"/>
                    <w:spacing w:after="0" w:line="240" w:lineRule="auto"/>
                    <w:jc w:val="center"/>
                    <w:rPr>
                      <w:sz w:val="21"/>
                      <w:u w:val="single"/>
                    </w:rPr>
                  </w:pPr>
                  <w:r>
                    <w:rPr>
                      <w:sz w:val="21"/>
                      <w:u w:val="single"/>
                    </w:rPr>
                    <w:t>3</w:t>
                  </w:r>
                </w:p>
              </w:tc>
              <w:tc>
                <w:tcPr>
                  <w:tcW w:w="3889" w:type="dxa"/>
                  <w:vAlign w:val="center"/>
                </w:tcPr>
                <w:p w14:paraId="2A1618C0">
                  <w:pPr>
                    <w:pStyle w:val="10"/>
                    <w:spacing w:after="0" w:line="240" w:lineRule="auto"/>
                    <w:jc w:val="center"/>
                    <w:rPr>
                      <w:rFonts w:hint="eastAsia"/>
                      <w:sz w:val="21"/>
                      <w:u w:val="single"/>
                    </w:rPr>
                  </w:pPr>
                  <w:r>
                    <w:rPr>
                      <w:rFonts w:hint="eastAsia"/>
                      <w:sz w:val="21"/>
                      <w:u w:val="single"/>
                    </w:rPr>
                    <w:t>在饮用水水源一级保护区内禁止新建、改建、扩建与供水设施和保护水源无关的建设项目;禁止从事餐饮、娱乐业等经营活动;禁止从事网箱养殖、休闲、旅游、游泳、垂钓或者其他可能污染水体的活动。</w:t>
                  </w:r>
                </w:p>
                <w:p w14:paraId="36A21D83">
                  <w:pPr>
                    <w:pStyle w:val="10"/>
                    <w:spacing w:after="0" w:line="240" w:lineRule="auto"/>
                    <w:jc w:val="center"/>
                    <w:rPr>
                      <w:sz w:val="21"/>
                      <w:u w:val="single"/>
                    </w:rPr>
                  </w:pPr>
                  <w:r>
                    <w:rPr>
                      <w:rFonts w:hint="eastAsia"/>
                      <w:sz w:val="21"/>
                      <w:u w:val="single"/>
                    </w:rPr>
                    <w:t>在饮用水水源二级保护区内禁止新建、改建、扩建排放污染物的建设和养殖项目;从事旅游等活动的，应当按照规定采取措施，防止污染水体。</w:t>
                  </w:r>
                </w:p>
              </w:tc>
              <w:tc>
                <w:tcPr>
                  <w:tcW w:w="2282" w:type="dxa"/>
                  <w:vAlign w:val="center"/>
                </w:tcPr>
                <w:p w14:paraId="0745A0FA">
                  <w:pPr>
                    <w:pStyle w:val="10"/>
                    <w:spacing w:after="0" w:line="240" w:lineRule="auto"/>
                    <w:jc w:val="center"/>
                    <w:rPr>
                      <w:sz w:val="21"/>
                      <w:u w:val="single"/>
                    </w:rPr>
                  </w:pPr>
                  <w:r>
                    <w:rPr>
                      <w:rFonts w:hint="eastAsia"/>
                      <w:sz w:val="21"/>
                      <w:u w:val="single"/>
                      <w:lang w:eastAsia="zh-CN"/>
                    </w:rPr>
                    <w:t>本项目</w:t>
                  </w:r>
                  <w:r>
                    <w:rPr>
                      <w:rFonts w:hint="default" w:ascii="Times New Roman" w:hAnsi="Times New Roman" w:eastAsia="宋体" w:cs="Times New Roman"/>
                      <w:sz w:val="21"/>
                      <w:u w:val="single"/>
                      <w:lang w:eastAsia="zh-CN"/>
                    </w:rPr>
                    <w:t>位于</w:t>
                  </w:r>
                  <w:r>
                    <w:rPr>
                      <w:rFonts w:hint="default" w:ascii="Times New Roman" w:hAnsi="Times New Roman" w:eastAsia="宋体" w:cs="Times New Roman"/>
                      <w:sz w:val="21"/>
                      <w:u w:val="single"/>
                    </w:rPr>
                    <w:t>靖州苗族侗族自治县渠阳镇高桥村七坡冲</w:t>
                  </w:r>
                  <w:r>
                    <w:rPr>
                      <w:rFonts w:hint="default" w:ascii="Times New Roman" w:hAnsi="Times New Roman" w:eastAsia="宋体" w:cs="Times New Roman"/>
                      <w:sz w:val="21"/>
                      <w:u w:val="single"/>
                      <w:lang w:eastAsia="zh-CN"/>
                    </w:rPr>
                    <w:t>，</w:t>
                  </w:r>
                  <w:r>
                    <w:rPr>
                      <w:rFonts w:hint="eastAsia" w:ascii="Times New Roman" w:hAnsi="Times New Roman" w:eastAsia="宋体" w:cs="Times New Roman"/>
                      <w:sz w:val="21"/>
                      <w:u w:val="single"/>
                      <w:lang w:eastAsia="zh-CN"/>
                    </w:rPr>
                    <w:t>不在饮用水水源一级和二级保护区内建设。</w:t>
                  </w:r>
                </w:p>
              </w:tc>
              <w:tc>
                <w:tcPr>
                  <w:tcW w:w="479" w:type="dxa"/>
                  <w:vAlign w:val="center"/>
                </w:tcPr>
                <w:p w14:paraId="3FE30BE6">
                  <w:pPr>
                    <w:pStyle w:val="10"/>
                    <w:spacing w:after="0" w:line="240" w:lineRule="auto"/>
                    <w:jc w:val="center"/>
                    <w:rPr>
                      <w:sz w:val="21"/>
                      <w:u w:val="single"/>
                    </w:rPr>
                  </w:pPr>
                  <w:r>
                    <w:rPr>
                      <w:sz w:val="21"/>
                      <w:u w:val="single"/>
                    </w:rPr>
                    <w:t>符合</w:t>
                  </w:r>
                </w:p>
              </w:tc>
            </w:tr>
          </w:tbl>
          <w:p w14:paraId="5AEF80D6">
            <w:pPr>
              <w:pStyle w:val="30"/>
              <w:numPr>
                <w:ilvl w:val="1"/>
                <w:numId w:val="0"/>
              </w:numPr>
              <w:ind w:left="284"/>
            </w:pPr>
            <w:r>
              <w:rPr>
                <w:rFonts w:hint="eastAsia"/>
              </w:rPr>
              <w:t>1.</w:t>
            </w:r>
            <w:r>
              <w:rPr>
                <w:rFonts w:hint="eastAsia"/>
                <w:lang w:val="en-US" w:eastAsia="zh-CN"/>
              </w:rPr>
              <w:t>8</w:t>
            </w:r>
            <w:r>
              <w:t>与《</w:t>
            </w:r>
            <w:r>
              <w:rPr>
                <w:rFonts w:hint="eastAsia"/>
                <w:kern w:val="0"/>
              </w:rPr>
              <w:t>怀化市</w:t>
            </w:r>
            <w:r>
              <w:t>“十四五”生态环境保护规划》的符合性分析</w:t>
            </w:r>
          </w:p>
          <w:p w14:paraId="063AE23F">
            <w:pPr>
              <w:widowControl/>
              <w:ind w:firstLine="480"/>
              <w:jc w:val="left"/>
            </w:pPr>
            <w:r>
              <w:rPr>
                <w:kern w:val="0"/>
                <w:lang w:bidi="ar"/>
              </w:rPr>
              <w:t>根据《怀化</w:t>
            </w:r>
            <w:r>
              <w:rPr>
                <w:rFonts w:ascii="宋体" w:hAnsi="宋体"/>
                <w:kern w:val="0"/>
                <w:lang w:bidi="ar"/>
              </w:rPr>
              <w:t>市“十四五”生态</w:t>
            </w:r>
            <w:r>
              <w:rPr>
                <w:kern w:val="0"/>
                <w:lang w:bidi="ar"/>
              </w:rPr>
              <w:t>环境保护规划》可知：</w:t>
            </w:r>
          </w:p>
          <w:p w14:paraId="1A18D33C">
            <w:pPr>
              <w:widowControl/>
              <w:ind w:firstLine="480"/>
              <w:jc w:val="left"/>
            </w:pPr>
            <w:r>
              <w:t>第三章 加快高质量低碳发展 推动经济社会绿色转型 第四节 严格生态环境准入管控的要求：</w:t>
            </w:r>
          </w:p>
          <w:p w14:paraId="4C42E999">
            <w:pPr>
              <w:widowControl/>
              <w:ind w:firstLine="480"/>
              <w:jc w:val="left"/>
            </w:pPr>
            <w:r>
              <w:rPr>
                <w:kern w:val="0"/>
                <w:lang w:bidi="ar"/>
              </w:rPr>
              <w:t>加强源头把控，严格建设项目环境影响评价审批，严格环境准入。新建、改建、扩建项目必须符合国家和省、市产业政策、生态保护、总量控制和达标排放要求，综合考虑经济发展和环境承载能力，对不符合相关规划、产业政策、环境功能区划、总量控制和达标排放要求的建设项目坚决不予审批。</w:t>
            </w:r>
          </w:p>
          <w:p w14:paraId="6224CFE3">
            <w:pPr>
              <w:widowControl/>
              <w:ind w:firstLine="480"/>
              <w:rPr>
                <w:color w:val="0000C7"/>
              </w:rPr>
            </w:pPr>
            <w:r>
              <w:rPr>
                <w:rFonts w:hint="eastAsia"/>
                <w:kern w:val="0"/>
                <w:u w:val="single"/>
              </w:rPr>
              <w:t>本项目用花岗岩及青石生产路沿石、</w:t>
            </w:r>
            <w:r>
              <w:rPr>
                <w:rFonts w:hint="default" w:ascii="Times New Roman" w:hAnsi="Times New Roman" w:eastAsia="宋体" w:cs="Times New Roman"/>
                <w:bCs/>
                <w:kern w:val="0"/>
                <w:sz w:val="24"/>
                <w:szCs w:val="21"/>
                <w:u w:val="single"/>
                <w:lang w:val="en-US" w:eastAsia="zh-CN" w:bidi="ar-SA"/>
              </w:rPr>
              <w:t>墓碑及附属产品和其他板材</w:t>
            </w:r>
            <w:r>
              <w:rPr>
                <w:rFonts w:hint="eastAsia"/>
                <w:kern w:val="0"/>
                <w:u w:val="single"/>
                <w:lang w:eastAsia="zh-CN"/>
              </w:rPr>
              <w:t>以及</w:t>
            </w:r>
            <w:r>
              <w:rPr>
                <w:rFonts w:hint="eastAsia" w:ascii="Times New Roman" w:hAnsi="Times New Roman" w:eastAsia="宋体" w:cs="Times New Roman"/>
                <w:kern w:val="2"/>
                <w:sz w:val="24"/>
                <w:szCs w:val="24"/>
                <w:u w:val="single"/>
                <w:lang w:val="en-US" w:eastAsia="zh-CN" w:bidi="ar-SA"/>
              </w:rPr>
              <w:t>透水砖、路面砖</w:t>
            </w:r>
            <w:r>
              <w:rPr>
                <w:rFonts w:hint="eastAsia"/>
                <w:kern w:val="0"/>
                <w:u w:val="single"/>
                <w:lang w:bidi="ar"/>
              </w:rPr>
              <w:t>，</w:t>
            </w:r>
            <w:r>
              <w:rPr>
                <w:rFonts w:hint="eastAsia"/>
                <w:u w:val="single"/>
              </w:rPr>
              <w:t>为</w:t>
            </w:r>
            <w:r>
              <w:rPr>
                <w:rFonts w:hint="eastAsia"/>
                <w:bCs/>
                <w:u w:val="single"/>
                <w:lang w:eastAsia="zh-CN"/>
              </w:rPr>
              <w:t>改</w:t>
            </w:r>
            <w:r>
              <w:rPr>
                <w:rFonts w:hint="eastAsia"/>
                <w:u w:val="single"/>
                <w:lang w:eastAsia="zh-CN"/>
              </w:rPr>
              <w:t>扩建</w:t>
            </w:r>
            <w:r>
              <w:rPr>
                <w:rFonts w:hint="eastAsia"/>
                <w:u w:val="single"/>
              </w:rPr>
              <w:t>项目，</w:t>
            </w:r>
            <w:r>
              <w:rPr>
                <w:u w:val="single"/>
              </w:rPr>
              <w:t>不属</w:t>
            </w:r>
            <w:r>
              <w:rPr>
                <w:rFonts w:ascii="宋体" w:hAnsi="宋体"/>
                <w:u w:val="single"/>
              </w:rPr>
              <w:t>于“两高”</w:t>
            </w:r>
            <w:r>
              <w:rPr>
                <w:u w:val="single"/>
              </w:rPr>
              <w:t>企业。企业采用能源主要为电</w:t>
            </w:r>
            <w:r>
              <w:rPr>
                <w:rFonts w:hint="eastAsia"/>
                <w:u w:val="single"/>
              </w:rPr>
              <w:t>能</w:t>
            </w:r>
            <w:r>
              <w:rPr>
                <w:u w:val="single"/>
              </w:rPr>
              <w:t>，不使用煤等高污染燃料。项目选址符</w:t>
            </w:r>
            <w:r>
              <w:rPr>
                <w:rFonts w:ascii="宋体" w:hAnsi="宋体"/>
                <w:u w:val="single"/>
              </w:rPr>
              <w:t>合“三线一单”管控</w:t>
            </w:r>
            <w:r>
              <w:rPr>
                <w:u w:val="single"/>
              </w:rPr>
              <w:t>要求，因此本项目符合《</w:t>
            </w:r>
            <w:r>
              <w:rPr>
                <w:u w:val="single"/>
                <w:lang w:bidi="ar"/>
              </w:rPr>
              <w:t>怀化</w:t>
            </w:r>
            <w:r>
              <w:rPr>
                <w:rFonts w:ascii="宋体" w:hAnsi="宋体"/>
                <w:u w:val="single"/>
                <w:lang w:bidi="ar"/>
              </w:rPr>
              <w:t>市“十四五”生</w:t>
            </w:r>
            <w:r>
              <w:rPr>
                <w:u w:val="single"/>
                <w:lang w:bidi="ar"/>
              </w:rPr>
              <w:t>态环境保护规划</w:t>
            </w:r>
            <w:r>
              <w:rPr>
                <w:u w:val="single"/>
              </w:rPr>
              <w:t>》的相关要求。</w:t>
            </w:r>
          </w:p>
        </w:tc>
      </w:tr>
    </w:tbl>
    <w:p w14:paraId="7AF98885">
      <w:pPr>
        <w:outlineLvl w:val="0"/>
        <w:rPr>
          <w:color w:val="0000C7"/>
          <w:sz w:val="30"/>
        </w:rPr>
        <w:sectPr>
          <w:footerReference r:id="rId8" w:type="default"/>
          <w:pgSz w:w="11906" w:h="16838"/>
          <w:pgMar w:top="1701" w:right="1531" w:bottom="1701" w:left="1531" w:header="851" w:footer="1077" w:gutter="0"/>
          <w:pgNumType w:start="1"/>
          <w:cols w:space="720" w:num="1"/>
          <w:docGrid w:linePitch="312" w:charSpace="0"/>
        </w:sectPr>
      </w:pPr>
    </w:p>
    <w:p w14:paraId="32A6BEC9">
      <w:pPr>
        <w:pStyle w:val="21"/>
        <w:jc w:val="center"/>
        <w:outlineLvl w:val="0"/>
        <w:rPr>
          <w:rFonts w:ascii="Times New Roman" w:hAnsi="Times New Roman" w:cs="Times New Roman"/>
          <w:snapToGrid w:val="0"/>
          <w:sz w:val="30"/>
          <w:szCs w:val="30"/>
        </w:rPr>
      </w:pPr>
      <w:bookmarkStart w:id="13" w:name="_Toc68160349"/>
      <w:bookmarkStart w:id="14" w:name="_Toc26197"/>
      <w:r>
        <w:rPr>
          <w:rFonts w:ascii="Times New Roman" w:hAnsi="Times New Roman" w:cs="Times New Roman"/>
          <w:snapToGrid w:val="0"/>
          <w:sz w:val="30"/>
          <w:szCs w:val="30"/>
        </w:rPr>
        <w:t>二、建设项目工程分析</w:t>
      </w:r>
      <w:bookmarkEnd w:id="13"/>
      <w:bookmarkEnd w:id="14"/>
    </w:p>
    <w:tbl>
      <w:tblPr>
        <w:tblStyle w:val="24"/>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6"/>
      </w:tblGrid>
      <w:tr w14:paraId="53F4D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454" w:type="dxa"/>
            <w:vAlign w:val="center"/>
          </w:tcPr>
          <w:p w14:paraId="25A08F63">
            <w:pPr>
              <w:widowControl/>
              <w:adjustRightInd w:val="0"/>
              <w:snapToGrid w:val="0"/>
              <w:spacing w:line="240" w:lineRule="auto"/>
              <w:jc w:val="center"/>
              <w:rPr>
                <w:kern w:val="0"/>
                <w:szCs w:val="21"/>
              </w:rPr>
            </w:pPr>
            <w:r>
              <w:rPr>
                <w:kern w:val="0"/>
                <w:szCs w:val="21"/>
              </w:rPr>
              <w:t>建设内容</w:t>
            </w:r>
          </w:p>
        </w:tc>
        <w:tc>
          <w:tcPr>
            <w:tcW w:w="8606" w:type="dxa"/>
          </w:tcPr>
          <w:p w14:paraId="3575A347">
            <w:pPr>
              <w:pStyle w:val="30"/>
              <w:numPr>
                <w:ilvl w:val="0"/>
                <w:numId w:val="3"/>
              </w:numPr>
              <w:ind w:left="284"/>
            </w:pPr>
            <w:bookmarkStart w:id="15" w:name="_Toc9201"/>
            <w:bookmarkStart w:id="16" w:name="_Toc68160350"/>
            <w:r>
              <w:t>项目由来</w:t>
            </w:r>
          </w:p>
          <w:p w14:paraId="48165357">
            <w:pPr>
              <w:ind w:firstLine="480" w:firstLineChars="200"/>
              <w:rPr>
                <w:color w:val="auto"/>
                <w:u w:val="single"/>
              </w:rPr>
            </w:pPr>
            <w:r>
              <w:rPr>
                <w:rFonts w:hint="eastAsia"/>
                <w:u w:val="single"/>
              </w:rPr>
              <w:t>靖州县鑫宏石材加工有限公司成立于2023年9月28日，曾用名为靖州县鑫宏石材雕刻加工厂</w:t>
            </w:r>
            <w:r>
              <w:rPr>
                <w:u w:val="single"/>
              </w:rPr>
              <w:t>，注册地位于</w:t>
            </w:r>
            <w:r>
              <w:rPr>
                <w:rFonts w:hint="eastAsia"/>
                <w:u w:val="single"/>
              </w:rPr>
              <w:t>湖南省怀化市靖州苗族侗族自治县渠阳镇高桥村七坡冲</w:t>
            </w:r>
            <w:r>
              <w:rPr>
                <w:u w:val="single"/>
              </w:rPr>
              <w:t>，法定代表人为</w:t>
            </w:r>
            <w:r>
              <w:rPr>
                <w:rFonts w:hint="eastAsia"/>
                <w:u w:val="single"/>
              </w:rPr>
              <w:t>杨昌银</w:t>
            </w:r>
            <w:r>
              <w:rPr>
                <w:u w:val="single"/>
              </w:rPr>
              <w:t>。经营范围包括</w:t>
            </w:r>
            <w:r>
              <w:rPr>
                <w:rFonts w:hint="eastAsia"/>
                <w:u w:val="single"/>
              </w:rPr>
              <w:t>石材加工、销售</w:t>
            </w:r>
            <w:r>
              <w:rPr>
                <w:u w:val="single"/>
              </w:rPr>
              <w:t>（依法须经批准的项目，</w:t>
            </w:r>
            <w:r>
              <w:rPr>
                <w:rFonts w:hint="eastAsia"/>
                <w:u w:val="single"/>
              </w:rPr>
              <w:t>经相关部门批准后方可</w:t>
            </w:r>
            <w:r>
              <w:rPr>
                <w:u w:val="single"/>
              </w:rPr>
              <w:t>开展经营活动）</w:t>
            </w:r>
            <w:r>
              <w:rPr>
                <w:color w:val="auto"/>
                <w:u w:val="single"/>
              </w:rPr>
              <w:t>。</w:t>
            </w:r>
            <w:r>
              <w:rPr>
                <w:rFonts w:hint="eastAsia"/>
                <w:color w:val="auto"/>
                <w:u w:val="single"/>
              </w:rPr>
              <w:t>本项目用地手续正在办理中</w:t>
            </w:r>
            <w:r>
              <w:rPr>
                <w:rFonts w:hint="eastAsia"/>
                <w:color w:val="auto"/>
                <w:u w:val="single"/>
                <w:lang w:eastAsia="zh-CN"/>
              </w:rPr>
              <w:t>，根据靖州苗族侗族自治县人民政府关于将靖州县鑫宏石材雕刻加工生产项目纳入国土空间规划的承诺函，靖州县确保本项目用地布局和规模统筹纳入规划期至2035年的国土空间总体规划及“一张图”实施监管。承诺纳入渠阳镇高桥村村庄规划。</w:t>
            </w:r>
            <w:r>
              <w:rPr>
                <w:rFonts w:hint="eastAsia"/>
                <w:color w:val="auto"/>
                <w:u w:val="single"/>
              </w:rPr>
              <w:t>（见附件</w:t>
            </w:r>
            <w:r>
              <w:rPr>
                <w:rFonts w:hint="eastAsia"/>
                <w:color w:val="auto"/>
                <w:u w:val="single"/>
                <w:lang w:val="en-US" w:eastAsia="zh-CN"/>
              </w:rPr>
              <w:t>4</w:t>
            </w:r>
            <w:r>
              <w:rPr>
                <w:rFonts w:hint="eastAsia"/>
                <w:color w:val="auto"/>
                <w:u w:val="single"/>
              </w:rPr>
              <w:t>）。</w:t>
            </w:r>
          </w:p>
          <w:p w14:paraId="78F48CAC">
            <w:pPr>
              <w:ind w:firstLine="480" w:firstLineChars="200"/>
              <w:rPr>
                <w:rFonts w:hint="default"/>
                <w:u w:val="single"/>
                <w:lang w:val="en-US" w:eastAsia="zh-CN"/>
              </w:rPr>
            </w:pPr>
            <w:r>
              <w:rPr>
                <w:rFonts w:hint="eastAsia"/>
                <w:u w:val="single"/>
                <w:lang w:val="en-US" w:eastAsia="zh-CN"/>
              </w:rPr>
              <w:t>1、现有项目</w:t>
            </w:r>
          </w:p>
          <w:p w14:paraId="5F7939EB">
            <w:pPr>
              <w:ind w:firstLine="480" w:firstLineChars="200"/>
              <w:rPr>
                <w:rFonts w:hint="eastAsia"/>
                <w:u w:val="single"/>
              </w:rPr>
            </w:pPr>
            <w:r>
              <w:rPr>
                <w:rFonts w:hint="eastAsia"/>
                <w:u w:val="single"/>
                <w:lang w:eastAsia="zh-CN"/>
              </w:rPr>
              <w:t>企业于</w:t>
            </w:r>
            <w:r>
              <w:rPr>
                <w:rFonts w:hint="eastAsia"/>
                <w:u w:val="single"/>
                <w:lang w:val="en-US" w:eastAsia="zh-CN"/>
              </w:rPr>
              <w:t>2021年1月</w:t>
            </w:r>
            <w:r>
              <w:rPr>
                <w:rFonts w:hint="eastAsia"/>
                <w:u w:val="single"/>
              </w:rPr>
              <w:t>已建设完成</w:t>
            </w:r>
            <w:r>
              <w:rPr>
                <w:u w:val="single"/>
              </w:rPr>
              <w:t>一条</w:t>
            </w:r>
            <w:r>
              <w:rPr>
                <w:rFonts w:hint="eastAsia" w:ascii="Times New Roman" w:hAnsi="Times New Roman" w:eastAsia="宋体" w:cs="Times New Roman"/>
                <w:kern w:val="2"/>
                <w:sz w:val="24"/>
                <w:szCs w:val="24"/>
                <w:u w:val="single"/>
                <w:lang w:val="en-US" w:eastAsia="zh-CN" w:bidi="ar-SA"/>
              </w:rPr>
              <w:t>年产300m</w:t>
            </w:r>
            <w:r>
              <w:rPr>
                <w:rFonts w:hint="eastAsia" w:ascii="Times New Roman" w:hAnsi="Times New Roman" w:eastAsia="宋体" w:cs="Times New Roman"/>
                <w:kern w:val="2"/>
                <w:sz w:val="24"/>
                <w:szCs w:val="24"/>
                <w:u w:val="single"/>
                <w:vertAlign w:val="superscript"/>
                <w:lang w:val="en-US" w:eastAsia="zh-CN" w:bidi="ar-SA"/>
              </w:rPr>
              <w:t>3</w:t>
            </w:r>
            <w:r>
              <w:rPr>
                <w:rFonts w:hint="eastAsia" w:ascii="Times New Roman" w:hAnsi="Times New Roman" w:eastAsia="宋体" w:cs="Times New Roman"/>
                <w:kern w:val="2"/>
                <w:sz w:val="24"/>
                <w:szCs w:val="24"/>
                <w:u w:val="single"/>
                <w:lang w:val="en-US" w:eastAsia="zh-CN" w:bidi="ar-SA"/>
              </w:rPr>
              <w:t>墓碑及附属产品和其他板材生产线</w:t>
            </w:r>
            <w:r>
              <w:rPr>
                <w:rFonts w:hint="eastAsia"/>
                <w:u w:val="single"/>
                <w:lang w:eastAsia="zh-CN"/>
              </w:rPr>
              <w:t>，生产工艺为“切割、磨光、雕刻”，根据</w:t>
            </w:r>
            <w:r>
              <w:rPr>
                <w:rFonts w:hint="eastAsia"/>
                <w:u w:val="single"/>
              </w:rPr>
              <w:t>《建设项目环境影响评价分类管理名录（2021年版）》</w:t>
            </w:r>
            <w:r>
              <w:rPr>
                <w:rFonts w:hint="eastAsia"/>
                <w:u w:val="single"/>
                <w:lang w:eastAsia="zh-CN"/>
              </w:rPr>
              <w:t>，</w:t>
            </w:r>
            <w:r>
              <w:rPr>
                <w:rFonts w:hint="eastAsia" w:ascii="Times New Roman" w:hAnsi="Times New Roman" w:eastAsia="宋体" w:cs="Times New Roman"/>
                <w:kern w:val="2"/>
                <w:sz w:val="24"/>
                <w:szCs w:val="24"/>
                <w:u w:val="single"/>
                <w:lang w:val="en-US" w:eastAsia="zh-CN" w:bidi="ar-SA"/>
              </w:rPr>
              <w:t>墓碑及附属产品和其他板材生产线</w:t>
            </w:r>
            <w:r>
              <w:rPr>
                <w:rFonts w:hint="eastAsia"/>
                <w:u w:val="single"/>
              </w:rPr>
              <w:t>属于</w:t>
            </w:r>
            <w:r>
              <w:rPr>
                <w:rFonts w:ascii="宋体" w:hAnsi="宋体"/>
                <w:u w:val="single"/>
              </w:rPr>
              <w:t>“</w:t>
            </w:r>
            <w:r>
              <w:rPr>
                <w:u w:val="single"/>
              </w:rPr>
              <w:t>二十七、非金属矿物制品业30，56砖瓦、石材等建筑材料制造303</w:t>
            </w:r>
            <w:r>
              <w:rPr>
                <w:rFonts w:ascii="宋体" w:hAnsi="宋体"/>
                <w:u w:val="single"/>
              </w:rPr>
              <w:t>”</w:t>
            </w:r>
            <w:r>
              <w:rPr>
                <w:u w:val="single"/>
              </w:rPr>
              <w:t>中的</w:t>
            </w:r>
            <w:r>
              <w:rPr>
                <w:rFonts w:ascii="宋体" w:hAnsi="宋体"/>
                <w:u w:val="single"/>
              </w:rPr>
              <w:t>“</w:t>
            </w:r>
            <w:r>
              <w:rPr>
                <w:u w:val="single"/>
              </w:rPr>
              <w:t>粘土砖瓦及建筑砌块制造；建筑用石加工；防水建筑材料制造；隔热、隔音材料制造；其他建筑材料制造（含干粉砂浆搅拌站）以上均不含利用石材板材切割、打磨、成型的</w:t>
            </w:r>
            <w:r>
              <w:rPr>
                <w:rFonts w:ascii="宋体" w:hAnsi="宋体"/>
                <w:u w:val="single"/>
              </w:rPr>
              <w:t>”</w:t>
            </w:r>
            <w:r>
              <w:rPr>
                <w:rFonts w:hint="eastAsia"/>
                <w:u w:val="single"/>
              </w:rPr>
              <w:t>，</w:t>
            </w:r>
            <w:r>
              <w:rPr>
                <w:rFonts w:hint="eastAsia"/>
                <w:u w:val="single"/>
                <w:lang w:eastAsia="zh-CN"/>
              </w:rPr>
              <w:t>则</w:t>
            </w:r>
            <w:r>
              <w:rPr>
                <w:u w:val="single"/>
              </w:rPr>
              <w:t>利用石材板材切割、打磨、成型的</w:t>
            </w:r>
            <w:r>
              <w:rPr>
                <w:rFonts w:hint="eastAsia"/>
                <w:u w:val="single"/>
              </w:rPr>
              <w:t>无需</w:t>
            </w:r>
            <w:r>
              <w:rPr>
                <w:rFonts w:hint="eastAsia"/>
                <w:u w:val="single"/>
                <w:lang w:eastAsia="zh-CN"/>
              </w:rPr>
              <w:t>编制</w:t>
            </w:r>
            <w:r>
              <w:rPr>
                <w:rFonts w:hint="eastAsia"/>
                <w:u w:val="single"/>
              </w:rPr>
              <w:t>环评</w:t>
            </w:r>
            <w:r>
              <w:rPr>
                <w:rFonts w:hint="eastAsia"/>
                <w:u w:val="single"/>
                <w:lang w:eastAsia="zh-CN"/>
              </w:rPr>
              <w:t>报告或填写登记表，</w:t>
            </w:r>
            <w:r>
              <w:rPr>
                <w:rFonts w:hint="eastAsia"/>
                <w:lang w:eastAsia="zh-CN"/>
              </w:rPr>
              <w:t>且</w:t>
            </w:r>
            <w:r>
              <w:rPr>
                <w:rFonts w:hint="eastAsia"/>
                <w:u w:val="single"/>
                <w:lang w:eastAsia="zh-CN"/>
              </w:rPr>
              <w:t>企业自运营以来未受到周边居民投诉或发生环境纠纷事件</w:t>
            </w:r>
            <w:r>
              <w:rPr>
                <w:rFonts w:hint="eastAsia"/>
                <w:u w:val="single"/>
              </w:rPr>
              <w:t>。</w:t>
            </w:r>
          </w:p>
          <w:p w14:paraId="50334AAB">
            <w:pPr>
              <w:ind w:firstLine="480" w:firstLineChars="200"/>
              <w:rPr>
                <w:rFonts w:hint="eastAsia" w:eastAsia="宋体"/>
                <w:u w:val="single"/>
                <w:lang w:val="en-US" w:eastAsia="zh-CN"/>
              </w:rPr>
            </w:pPr>
            <w:r>
              <w:rPr>
                <w:rFonts w:hint="eastAsia"/>
                <w:u w:val="single"/>
                <w:lang w:val="en-US" w:eastAsia="zh-CN"/>
              </w:rPr>
              <w:t>2、改扩建项目</w:t>
            </w:r>
          </w:p>
          <w:p w14:paraId="5E43F2F8">
            <w:pPr>
              <w:ind w:firstLine="480" w:firstLineChars="200"/>
              <w:rPr>
                <w:u w:val="single"/>
              </w:rPr>
            </w:pPr>
            <w:r>
              <w:rPr>
                <w:rFonts w:hint="eastAsia"/>
                <w:u w:val="single"/>
              </w:rPr>
              <w:t>现由于企业发展需要，靖州县鑫宏石材加工有限公司决定扩大厂区面积，</w:t>
            </w:r>
            <w:r>
              <w:rPr>
                <w:rFonts w:hint="eastAsia"/>
                <w:u w:val="single"/>
                <w:lang w:eastAsia="zh-CN"/>
              </w:rPr>
              <w:t>拟建设</w:t>
            </w:r>
            <w:r>
              <w:rPr>
                <w:rFonts w:hint="eastAsia" w:ascii="Times New Roman" w:hAnsi="Times New Roman" w:eastAsia="宋体" w:cs="Times New Roman"/>
                <w:kern w:val="2"/>
                <w:sz w:val="24"/>
                <w:szCs w:val="24"/>
                <w:u w:val="single"/>
                <w:lang w:val="en-US" w:eastAsia="zh-CN" w:bidi="ar-SA"/>
              </w:rPr>
              <w:t>一条年产100m</w:t>
            </w:r>
            <w:r>
              <w:rPr>
                <w:rFonts w:hint="eastAsia" w:ascii="Times New Roman" w:hAnsi="Times New Roman" w:eastAsia="宋体" w:cs="Times New Roman"/>
                <w:kern w:val="2"/>
                <w:sz w:val="24"/>
                <w:szCs w:val="24"/>
                <w:u w:val="single"/>
                <w:vertAlign w:val="superscript"/>
                <w:lang w:val="en-US" w:eastAsia="zh-CN" w:bidi="ar-SA"/>
              </w:rPr>
              <w:t>3</w:t>
            </w:r>
            <w:r>
              <w:rPr>
                <w:rFonts w:hint="eastAsia" w:ascii="Times New Roman" w:hAnsi="Times New Roman" w:eastAsia="宋体" w:cs="Times New Roman"/>
                <w:kern w:val="2"/>
                <w:sz w:val="24"/>
                <w:szCs w:val="24"/>
                <w:u w:val="single"/>
                <w:lang w:val="en-US" w:eastAsia="zh-CN" w:bidi="ar-SA"/>
              </w:rPr>
              <w:t>路沿石生产线及一条年产1500m</w:t>
            </w:r>
            <w:r>
              <w:rPr>
                <w:rFonts w:hint="eastAsia" w:ascii="Times New Roman" w:hAnsi="Times New Roman" w:eastAsia="宋体" w:cs="Times New Roman"/>
                <w:kern w:val="2"/>
                <w:sz w:val="24"/>
                <w:szCs w:val="24"/>
                <w:u w:val="single"/>
                <w:vertAlign w:val="superscript"/>
                <w:lang w:val="en-US" w:eastAsia="zh-CN" w:bidi="ar-SA"/>
              </w:rPr>
              <w:t>3</w:t>
            </w:r>
            <w:r>
              <w:rPr>
                <w:rFonts w:hint="eastAsia" w:ascii="Times New Roman" w:hAnsi="Times New Roman" w:eastAsia="宋体" w:cs="Times New Roman"/>
                <w:kern w:val="2"/>
                <w:sz w:val="24"/>
                <w:szCs w:val="24"/>
                <w:u w:val="single"/>
                <w:lang w:val="en-US" w:eastAsia="zh-CN" w:bidi="ar-SA"/>
              </w:rPr>
              <w:t>透水砖、路面砖等生产线</w:t>
            </w:r>
            <w:r>
              <w:rPr>
                <w:rFonts w:hint="eastAsia"/>
                <w:u w:val="single"/>
              </w:rPr>
              <w:t>，</w:t>
            </w:r>
            <w:r>
              <w:rPr>
                <w:rFonts w:hint="eastAsia"/>
                <w:u w:val="single"/>
                <w:lang w:eastAsia="zh-CN"/>
              </w:rPr>
              <w:t>原</w:t>
            </w:r>
            <w:r>
              <w:rPr>
                <w:rFonts w:hint="eastAsia" w:ascii="Times New Roman" w:hAnsi="Times New Roman" w:eastAsia="宋体" w:cs="Times New Roman"/>
                <w:kern w:val="2"/>
                <w:sz w:val="24"/>
                <w:szCs w:val="24"/>
                <w:u w:val="single"/>
                <w:lang w:val="en-US" w:eastAsia="zh-CN" w:bidi="ar-SA"/>
              </w:rPr>
              <w:t>墓碑及附属产品和其他板材生产线</w:t>
            </w:r>
            <w:r>
              <w:rPr>
                <w:rFonts w:hint="eastAsia"/>
                <w:u w:val="single"/>
              </w:rPr>
              <w:t>生产规模</w:t>
            </w:r>
            <w:r>
              <w:rPr>
                <w:rFonts w:hint="eastAsia" w:ascii="Times New Roman" w:hAnsi="Times New Roman" w:eastAsia="宋体" w:cs="Times New Roman"/>
                <w:kern w:val="2"/>
                <w:sz w:val="24"/>
                <w:szCs w:val="24"/>
                <w:u w:val="single"/>
                <w:lang w:val="en-US" w:eastAsia="zh-CN" w:bidi="ar-SA"/>
              </w:rPr>
              <w:t>保持不变</w:t>
            </w:r>
            <w:r>
              <w:rPr>
                <w:rFonts w:hint="eastAsia" w:cs="Times New Roman"/>
                <w:kern w:val="2"/>
                <w:sz w:val="24"/>
                <w:szCs w:val="24"/>
                <w:u w:val="single"/>
                <w:lang w:val="en-US" w:eastAsia="zh-CN" w:bidi="ar-SA"/>
              </w:rPr>
              <w:t>，</w:t>
            </w:r>
            <w:r>
              <w:rPr>
                <w:rFonts w:hint="eastAsia" w:ascii="Times New Roman" w:hAnsi="Times New Roman" w:eastAsia="宋体" w:cs="Times New Roman"/>
                <w:kern w:val="2"/>
                <w:sz w:val="24"/>
                <w:szCs w:val="24"/>
                <w:u w:val="single"/>
                <w:lang w:val="en-US" w:eastAsia="zh-CN" w:bidi="ar-SA"/>
              </w:rPr>
              <w:t>墓碑生产线部分产品增加</w:t>
            </w:r>
            <w:r>
              <w:rPr>
                <w:rFonts w:hint="eastAsia" w:cs="Times New Roman"/>
                <w:kern w:val="2"/>
                <w:sz w:val="24"/>
                <w:szCs w:val="24"/>
                <w:u w:val="single"/>
                <w:lang w:val="en-US" w:eastAsia="zh-CN" w:bidi="ar-SA"/>
              </w:rPr>
              <w:t>打</w:t>
            </w:r>
            <w:r>
              <w:rPr>
                <w:rFonts w:hint="eastAsia" w:ascii="Times New Roman" w:hAnsi="Times New Roman" w:eastAsia="宋体" w:cs="Times New Roman"/>
                <w:kern w:val="2"/>
                <w:sz w:val="24"/>
                <w:szCs w:val="24"/>
                <w:u w:val="single"/>
                <w:lang w:val="en-US" w:eastAsia="zh-CN" w:bidi="ar-SA"/>
              </w:rPr>
              <w:t>蜡工艺</w:t>
            </w:r>
            <w:r>
              <w:rPr>
                <w:rFonts w:hint="eastAsia" w:cs="Times New Roman"/>
                <w:kern w:val="2"/>
                <w:sz w:val="24"/>
                <w:szCs w:val="24"/>
                <w:u w:val="single"/>
                <w:lang w:val="en-US" w:eastAsia="zh-CN" w:bidi="ar-SA"/>
              </w:rPr>
              <w:t>。拟</w:t>
            </w:r>
            <w:r>
              <w:rPr>
                <w:rFonts w:hint="eastAsia"/>
                <w:u w:val="single"/>
              </w:rPr>
              <w:t>将已建厂房</w:t>
            </w:r>
            <w:r>
              <w:rPr>
                <w:rFonts w:hint="eastAsia"/>
                <w:u w:val="single"/>
                <w:lang w:eastAsia="zh-CN"/>
              </w:rPr>
              <w:t>、</w:t>
            </w:r>
            <w:r>
              <w:rPr>
                <w:rFonts w:hint="eastAsia"/>
                <w:u w:val="single"/>
              </w:rPr>
              <w:t>综合办公楼</w:t>
            </w:r>
            <w:r>
              <w:rPr>
                <w:rFonts w:hint="eastAsia"/>
                <w:u w:val="single"/>
                <w:lang w:eastAsia="zh-CN"/>
              </w:rPr>
              <w:t>等现有工程全部</w:t>
            </w:r>
            <w:r>
              <w:rPr>
                <w:rFonts w:hint="eastAsia"/>
                <w:u w:val="single"/>
              </w:rPr>
              <w:t>拆除，并将已建沉淀池填平，新建厂房、环保设施、</w:t>
            </w:r>
            <w:r>
              <w:rPr>
                <w:rFonts w:hint="eastAsia"/>
                <w:bCs/>
                <w:u w:val="single"/>
              </w:rPr>
              <w:t>原料成品堆场</w:t>
            </w:r>
            <w:r>
              <w:rPr>
                <w:rFonts w:hint="eastAsia"/>
                <w:u w:val="single"/>
              </w:rPr>
              <w:t>及综合办公楼等</w:t>
            </w:r>
            <w:r>
              <w:rPr>
                <w:u w:val="single"/>
              </w:rPr>
              <w:t>。</w:t>
            </w:r>
            <w:r>
              <w:rPr>
                <w:rFonts w:hint="eastAsia"/>
                <w:u w:val="single"/>
              </w:rPr>
              <w:t>公司于2023年3月7日在湖南省投资项目在线审批平台备案，项目代码为2105-431229-04-05-671267</w:t>
            </w:r>
            <w:r>
              <w:rPr>
                <w:rFonts w:hint="eastAsia"/>
                <w:u w:val="single" w:color="auto"/>
                <w:lang w:eastAsia="zh-CN"/>
              </w:rPr>
              <w:t>，且本项目于</w:t>
            </w:r>
            <w:r>
              <w:rPr>
                <w:rFonts w:hint="eastAsia"/>
                <w:u w:val="single" w:color="auto"/>
                <w:lang w:val="en-US" w:eastAsia="zh-CN"/>
              </w:rPr>
              <w:t>2024年5月23日取得《怀化市人民政府农用地转用审批单》（2024政农转字第21号）（见附件7），</w:t>
            </w:r>
            <w:r>
              <w:rPr>
                <w:rFonts w:hint="eastAsia" w:ascii="Times New Roman" w:hAnsi="Times New Roman" w:eastAsia="宋体" w:cs="Times New Roman"/>
                <w:color w:val="auto"/>
                <w:spacing w:val="-7"/>
                <w:sz w:val="24"/>
                <w:szCs w:val="24"/>
                <w:u w:val="single" w:color="auto"/>
                <w:lang w:val="en-US" w:eastAsia="zh-CN"/>
              </w:rPr>
              <w:t>明确本项目用地性质为工业用地</w:t>
            </w:r>
            <w:r>
              <w:rPr>
                <w:rFonts w:hint="eastAsia"/>
                <w:u w:val="single" w:color="auto"/>
              </w:rPr>
              <w:t>。</w:t>
            </w:r>
          </w:p>
          <w:p w14:paraId="45FCE4D2">
            <w:pPr>
              <w:ind w:firstLine="480" w:firstLineChars="200"/>
            </w:pPr>
            <w:r>
              <w:rPr>
                <w:u w:val="single"/>
              </w:rPr>
              <w:t>根据《中华人民共和国环境影响评价法》、国务院令第 682 号《建设项目环境保护管理条例》和中华人民共和国生态环境部令第 16 号《建设项目环境影响评价分类管理名录（2021 年版）》，本建设项目</w:t>
            </w:r>
            <w:r>
              <w:rPr>
                <w:rFonts w:hint="default" w:ascii="Times New Roman" w:hAnsi="Times New Roman" w:eastAsia="宋体" w:cs="Times New Roman"/>
                <w:kern w:val="2"/>
                <w:sz w:val="24"/>
                <w:szCs w:val="24"/>
                <w:u w:val="single"/>
                <w:lang w:val="en-US" w:eastAsia="zh-CN" w:bidi="ar-SA"/>
              </w:rPr>
              <w:t>路沿石生产线</w:t>
            </w:r>
            <w:r>
              <w:rPr>
                <w:rFonts w:hint="eastAsia" w:cs="Times New Roman"/>
                <w:kern w:val="2"/>
                <w:sz w:val="24"/>
                <w:szCs w:val="24"/>
                <w:u w:val="single"/>
                <w:lang w:val="en-US" w:eastAsia="zh-CN" w:bidi="ar-SA"/>
              </w:rPr>
              <w:t>、</w:t>
            </w:r>
            <w:r>
              <w:rPr>
                <w:rFonts w:hint="eastAsia" w:ascii="Times New Roman" w:hAnsi="Times New Roman" w:eastAsia="宋体" w:cs="Times New Roman"/>
                <w:kern w:val="2"/>
                <w:sz w:val="24"/>
                <w:szCs w:val="24"/>
                <w:u w:val="single"/>
                <w:lang w:val="en-US" w:eastAsia="zh-CN" w:bidi="ar-SA"/>
              </w:rPr>
              <w:t>墓碑及附属产品和其他板材生产线</w:t>
            </w:r>
            <w:r>
              <w:rPr>
                <w:rFonts w:hint="default" w:ascii="Times New Roman" w:hAnsi="Times New Roman" w:eastAsia="宋体" w:cs="Times New Roman"/>
                <w:kern w:val="2"/>
                <w:sz w:val="24"/>
                <w:szCs w:val="24"/>
                <w:u w:val="single"/>
                <w:lang w:val="en-US" w:eastAsia="zh-CN" w:bidi="ar-SA"/>
              </w:rPr>
              <w:t>及透水砖、路面砖等生产线</w:t>
            </w:r>
            <w:r>
              <w:rPr>
                <w:rFonts w:hint="eastAsia"/>
                <w:u w:val="single"/>
              </w:rPr>
              <w:t>属于《建设项目环境影响评价分类管理名录（2021年版）》</w:t>
            </w:r>
            <w:r>
              <w:rPr>
                <w:rFonts w:ascii="宋体" w:hAnsi="宋体"/>
                <w:u w:val="single"/>
              </w:rPr>
              <w:t>“</w:t>
            </w:r>
            <w:r>
              <w:rPr>
                <w:u w:val="single"/>
              </w:rPr>
              <w:t>二十七、非金属矿物制品业30，56砖瓦、石材等建筑材料制造303</w:t>
            </w:r>
            <w:r>
              <w:rPr>
                <w:rFonts w:ascii="宋体" w:hAnsi="宋体"/>
                <w:u w:val="single"/>
              </w:rPr>
              <w:t>”</w:t>
            </w:r>
            <w:r>
              <w:rPr>
                <w:u w:val="single"/>
              </w:rPr>
              <w:t>中的</w:t>
            </w:r>
            <w:r>
              <w:rPr>
                <w:rFonts w:ascii="宋体" w:hAnsi="宋体"/>
                <w:u w:val="single"/>
              </w:rPr>
              <w:t>“</w:t>
            </w:r>
            <w:r>
              <w:rPr>
                <w:u w:val="single"/>
              </w:rPr>
              <w:t>粘土砖瓦及建筑砌块制造；建筑用石加工；防水建筑材料制造；隔热、隔音材料制造；其他建筑材料制造（含干粉砂浆搅拌站）以上均不含利用石材板材切割、打磨、成型的</w:t>
            </w:r>
            <w:r>
              <w:rPr>
                <w:rFonts w:ascii="宋体" w:hAnsi="宋体"/>
                <w:u w:val="single"/>
              </w:rPr>
              <w:t>”</w:t>
            </w:r>
            <w:r>
              <w:rPr>
                <w:rFonts w:hint="eastAsia"/>
                <w:u w:val="single"/>
              </w:rPr>
              <w:t>以及“</w:t>
            </w:r>
            <w:r>
              <w:rPr>
                <w:u w:val="single"/>
              </w:rPr>
              <w:t>二十七、非金属矿物制品业30，5</w:t>
            </w:r>
            <w:r>
              <w:rPr>
                <w:rFonts w:hint="eastAsia"/>
                <w:u w:val="single"/>
              </w:rPr>
              <w:t>5石膏、水泥制品及类似制品制造 302”中的“商品混凝土；砼结构构件制造；水泥制品制造”</w:t>
            </w:r>
            <w:r>
              <w:rPr>
                <w:rFonts w:hint="eastAsia"/>
                <w:u w:val="single"/>
                <w:lang w:eastAsia="zh-CN"/>
              </w:rPr>
              <w:t>，</w:t>
            </w:r>
            <w:r>
              <w:rPr>
                <w:u w:val="single"/>
              </w:rPr>
              <w:t>应编制环境影响报告表</w:t>
            </w:r>
            <w:r>
              <w:rPr>
                <w:rFonts w:hint="eastAsia"/>
                <w:u w:val="single"/>
              </w:rPr>
              <w:t>。</w:t>
            </w:r>
            <w:r>
              <w:rPr>
                <w:u w:val="single"/>
              </w:rPr>
              <w:t>受</w:t>
            </w:r>
            <w:r>
              <w:rPr>
                <w:rFonts w:hint="eastAsia"/>
                <w:u w:val="single"/>
              </w:rPr>
              <w:t>靖州县鑫宏石材加工有限公司</w:t>
            </w:r>
            <w:r>
              <w:rPr>
                <w:u w:val="single"/>
              </w:rPr>
              <w:t>委托，</w:t>
            </w:r>
            <w:r>
              <w:rPr>
                <w:rFonts w:hint="eastAsia"/>
                <w:u w:val="single"/>
              </w:rPr>
              <w:t>湖南新瑞智环境科技有限责任公司（以下简称</w:t>
            </w:r>
            <w:r>
              <w:rPr>
                <w:u w:val="single"/>
              </w:rPr>
              <w:t>我公司</w:t>
            </w:r>
            <w:r>
              <w:rPr>
                <w:rFonts w:hint="eastAsia"/>
                <w:u w:val="single"/>
              </w:rPr>
              <w:t>）</w:t>
            </w:r>
            <w:r>
              <w:rPr>
                <w:u w:val="single"/>
              </w:rPr>
              <w:t>承担该项目的环境影响评价工作。接受委托后，我公司及时组织技术人员对现场进行踏勘，并对有关资料进行分析研究后，按照建设项目环境影响评价导则的技术要求，完成该项目环境影响报告表的编制工作。</w:t>
            </w:r>
          </w:p>
          <w:p w14:paraId="7C649FAA">
            <w:pPr>
              <w:pStyle w:val="30"/>
              <w:numPr>
                <w:ilvl w:val="0"/>
                <w:numId w:val="3"/>
              </w:numPr>
              <w:ind w:left="284"/>
            </w:pPr>
            <w:r>
              <w:t>工程概况</w:t>
            </w:r>
          </w:p>
          <w:p w14:paraId="32BF9DD0">
            <w:pPr>
              <w:pStyle w:val="30"/>
              <w:numPr>
                <w:ilvl w:val="1"/>
                <w:numId w:val="0"/>
              </w:numPr>
              <w:ind w:left="284"/>
            </w:pPr>
            <w:r>
              <w:t>2.1项目概况</w:t>
            </w:r>
            <w:bookmarkEnd w:id="15"/>
            <w:bookmarkEnd w:id="16"/>
          </w:p>
          <w:p w14:paraId="0D93A308">
            <w:pPr>
              <w:ind w:firstLine="480" w:firstLineChars="200"/>
            </w:pPr>
            <w:r>
              <w:t>项目名称：</w:t>
            </w:r>
            <w:r>
              <w:rPr>
                <w:rFonts w:hint="eastAsia"/>
              </w:rPr>
              <w:t>靖州县鑫宏石材雕刻加工生产</w:t>
            </w:r>
            <w:r>
              <w:t>项目</w:t>
            </w:r>
          </w:p>
          <w:p w14:paraId="36A9A141">
            <w:pPr>
              <w:ind w:firstLine="480" w:firstLineChars="200"/>
            </w:pPr>
            <w:r>
              <w:t>建设单位：</w:t>
            </w:r>
            <w:r>
              <w:rPr>
                <w:rFonts w:hint="eastAsia"/>
              </w:rPr>
              <w:t>靖州县鑫宏石材加工有限公司</w:t>
            </w:r>
          </w:p>
          <w:p w14:paraId="7B36D6B6">
            <w:pPr>
              <w:ind w:firstLine="480" w:firstLineChars="200"/>
            </w:pPr>
            <w:r>
              <w:t>建设地点：湖南省</w:t>
            </w:r>
            <w:r>
              <w:rPr>
                <w:rFonts w:hint="eastAsia"/>
              </w:rPr>
              <w:t>怀化市靖州苗族侗族自治县渠阳镇高桥村七坡冲</w:t>
            </w:r>
            <w:r>
              <w:t>，地理坐标：E1</w:t>
            </w:r>
            <w:r>
              <w:rPr>
                <w:rFonts w:hint="eastAsia"/>
              </w:rPr>
              <w:t>09</w:t>
            </w:r>
            <w:r>
              <w:t>°</w:t>
            </w:r>
            <w:r>
              <w:rPr>
                <w:rFonts w:hint="eastAsia"/>
              </w:rPr>
              <w:t>38</w:t>
            </w:r>
            <w:r>
              <w:t>'</w:t>
            </w:r>
            <w:r>
              <w:rPr>
                <w:rFonts w:hint="eastAsia"/>
              </w:rPr>
              <w:t>2.046</w:t>
            </w:r>
            <w:r>
              <w:t>"，N2</w:t>
            </w:r>
            <w:r>
              <w:rPr>
                <w:rFonts w:hint="eastAsia"/>
              </w:rPr>
              <w:t>6</w:t>
            </w:r>
            <w:r>
              <w:t>°</w:t>
            </w:r>
            <w:r>
              <w:rPr>
                <w:rFonts w:hint="eastAsia"/>
              </w:rPr>
              <w:t>33</w:t>
            </w:r>
            <w:r>
              <w:t>'</w:t>
            </w:r>
            <w:r>
              <w:rPr>
                <w:rFonts w:hint="eastAsia"/>
              </w:rPr>
              <w:t>32.832</w:t>
            </w:r>
            <w:r>
              <w:t>"。</w:t>
            </w:r>
          </w:p>
          <w:p w14:paraId="6B349B11">
            <w:pPr>
              <w:ind w:firstLine="480" w:firstLineChars="200"/>
            </w:pPr>
            <w:r>
              <w:t>项目性质：</w:t>
            </w:r>
            <w:r>
              <w:rPr>
                <w:rFonts w:hint="eastAsia"/>
                <w:bCs/>
                <w:lang w:eastAsia="zh-CN"/>
              </w:rPr>
              <w:t>改</w:t>
            </w:r>
            <w:r>
              <w:rPr>
                <w:rFonts w:hint="eastAsia"/>
                <w:lang w:eastAsia="zh-CN"/>
              </w:rPr>
              <w:t>扩</w:t>
            </w:r>
            <w:r>
              <w:t>建</w:t>
            </w:r>
          </w:p>
          <w:p w14:paraId="41EB1F4F">
            <w:pPr>
              <w:widowControl/>
              <w:adjustRightInd w:val="0"/>
              <w:snapToGrid w:val="0"/>
              <w:ind w:firstLine="480" w:firstLineChars="200"/>
              <w:rPr>
                <w:color w:val="0000C7"/>
              </w:rPr>
            </w:pPr>
            <w:r>
              <w:t>总投资：</w:t>
            </w:r>
            <w:r>
              <w:rPr>
                <w:rFonts w:hint="eastAsia"/>
              </w:rPr>
              <w:t>200</w:t>
            </w:r>
            <w:r>
              <w:t>万元。</w:t>
            </w:r>
          </w:p>
          <w:p w14:paraId="5E573886">
            <w:pPr>
              <w:pStyle w:val="30"/>
              <w:numPr>
                <w:ilvl w:val="1"/>
                <w:numId w:val="0"/>
              </w:numPr>
              <w:ind w:left="284"/>
            </w:pPr>
            <w:bookmarkStart w:id="17" w:name="_Toc68160351"/>
            <w:bookmarkStart w:id="18" w:name="_Toc7441"/>
            <w:r>
              <w:t>2.2 建设内容及规模</w:t>
            </w:r>
            <w:bookmarkEnd w:id="17"/>
            <w:bookmarkEnd w:id="18"/>
          </w:p>
          <w:p w14:paraId="522D5BF1">
            <w:pPr>
              <w:adjustRightInd w:val="0"/>
              <w:snapToGrid w:val="0"/>
              <w:ind w:firstLine="480" w:firstLineChars="200"/>
            </w:pPr>
            <w:r>
              <w:t>项目位于湖南省</w:t>
            </w:r>
            <w:r>
              <w:rPr>
                <w:rFonts w:hint="eastAsia"/>
              </w:rPr>
              <w:t>怀化市靖州苗族侗族自治县渠阳镇高桥村七坡冲</w:t>
            </w:r>
            <w:r>
              <w:t>，项目总用地面积</w:t>
            </w:r>
            <w:r>
              <w:rPr>
                <w:rFonts w:hint="eastAsia"/>
              </w:rPr>
              <w:t>10642.28</w:t>
            </w:r>
            <w:r>
              <w:t>m</w:t>
            </w:r>
            <w:r>
              <w:rPr>
                <w:vertAlign w:val="superscript"/>
              </w:rPr>
              <w:t>2</w:t>
            </w:r>
            <w:r>
              <w:t>，</w:t>
            </w:r>
            <w:r>
              <w:rPr>
                <w:rFonts w:hint="eastAsia"/>
                <w:u w:val="single"/>
              </w:rPr>
              <w:t>已建设完成</w:t>
            </w:r>
            <w:r>
              <w:rPr>
                <w:u w:val="single"/>
              </w:rPr>
              <w:t>一条</w:t>
            </w:r>
            <w:r>
              <w:rPr>
                <w:rFonts w:hint="eastAsia" w:ascii="Times New Roman" w:hAnsi="Times New Roman" w:eastAsia="宋体" w:cs="Times New Roman"/>
                <w:kern w:val="2"/>
                <w:sz w:val="24"/>
                <w:szCs w:val="24"/>
                <w:u w:val="single"/>
                <w:lang w:val="en-US" w:eastAsia="zh-CN" w:bidi="ar-SA"/>
              </w:rPr>
              <w:t>年产300m</w:t>
            </w:r>
            <w:r>
              <w:rPr>
                <w:rFonts w:hint="eastAsia" w:ascii="Times New Roman" w:hAnsi="Times New Roman" w:eastAsia="宋体" w:cs="Times New Roman"/>
                <w:kern w:val="2"/>
                <w:sz w:val="24"/>
                <w:szCs w:val="24"/>
                <w:u w:val="single"/>
                <w:vertAlign w:val="superscript"/>
                <w:lang w:val="en-US" w:eastAsia="zh-CN" w:bidi="ar-SA"/>
              </w:rPr>
              <w:t>3</w:t>
            </w:r>
            <w:r>
              <w:rPr>
                <w:rFonts w:hint="eastAsia" w:ascii="Times New Roman" w:hAnsi="Times New Roman" w:eastAsia="宋体" w:cs="Times New Roman"/>
                <w:kern w:val="2"/>
                <w:sz w:val="24"/>
                <w:szCs w:val="24"/>
                <w:u w:val="single"/>
                <w:lang w:val="en-US" w:eastAsia="zh-CN" w:bidi="ar-SA"/>
              </w:rPr>
              <w:t>墓碑及附属产品和其他板材生产线</w:t>
            </w:r>
            <w:r>
              <w:rPr>
                <w:rFonts w:hint="eastAsia"/>
                <w:u w:val="single"/>
                <w:lang w:eastAsia="zh-CN"/>
              </w:rPr>
              <w:t>，拟建设</w:t>
            </w:r>
            <w:r>
              <w:rPr>
                <w:rFonts w:hint="eastAsia" w:ascii="Times New Roman" w:hAnsi="Times New Roman" w:eastAsia="宋体" w:cs="Times New Roman"/>
                <w:kern w:val="2"/>
                <w:sz w:val="24"/>
                <w:szCs w:val="24"/>
                <w:u w:val="single"/>
                <w:lang w:val="en-US" w:eastAsia="zh-CN" w:bidi="ar-SA"/>
              </w:rPr>
              <w:t>一条年产100m</w:t>
            </w:r>
            <w:r>
              <w:rPr>
                <w:rFonts w:hint="eastAsia" w:ascii="Times New Roman" w:hAnsi="Times New Roman" w:eastAsia="宋体" w:cs="Times New Roman"/>
                <w:kern w:val="2"/>
                <w:sz w:val="24"/>
                <w:szCs w:val="24"/>
                <w:u w:val="single"/>
                <w:vertAlign w:val="superscript"/>
                <w:lang w:val="en-US" w:eastAsia="zh-CN" w:bidi="ar-SA"/>
              </w:rPr>
              <w:t>3</w:t>
            </w:r>
            <w:r>
              <w:rPr>
                <w:rFonts w:hint="eastAsia" w:ascii="Times New Roman" w:hAnsi="Times New Roman" w:eastAsia="宋体" w:cs="Times New Roman"/>
                <w:kern w:val="2"/>
                <w:sz w:val="24"/>
                <w:szCs w:val="24"/>
                <w:u w:val="single"/>
                <w:lang w:val="en-US" w:eastAsia="zh-CN" w:bidi="ar-SA"/>
              </w:rPr>
              <w:t>路沿石生产线及一条年产1500m</w:t>
            </w:r>
            <w:r>
              <w:rPr>
                <w:rFonts w:hint="eastAsia" w:ascii="Times New Roman" w:hAnsi="Times New Roman" w:eastAsia="宋体" w:cs="Times New Roman"/>
                <w:kern w:val="2"/>
                <w:sz w:val="24"/>
                <w:szCs w:val="24"/>
                <w:u w:val="single"/>
                <w:vertAlign w:val="superscript"/>
                <w:lang w:val="en-US" w:eastAsia="zh-CN" w:bidi="ar-SA"/>
              </w:rPr>
              <w:t>3</w:t>
            </w:r>
            <w:r>
              <w:rPr>
                <w:rFonts w:hint="eastAsia" w:ascii="Times New Roman" w:hAnsi="Times New Roman" w:eastAsia="宋体" w:cs="Times New Roman"/>
                <w:kern w:val="2"/>
                <w:sz w:val="24"/>
                <w:szCs w:val="24"/>
                <w:u w:val="single"/>
                <w:lang w:val="en-US" w:eastAsia="zh-CN" w:bidi="ar-SA"/>
              </w:rPr>
              <w:t>透水砖、路面砖等生产线</w:t>
            </w:r>
            <w:r>
              <w:rPr>
                <w:rFonts w:hint="eastAsia" w:cs="Times New Roman"/>
                <w:kern w:val="2"/>
                <w:sz w:val="24"/>
                <w:szCs w:val="24"/>
                <w:u w:val="single"/>
                <w:lang w:val="en-US" w:eastAsia="zh-CN" w:bidi="ar-SA"/>
              </w:rPr>
              <w:t>，</w:t>
            </w:r>
            <w:r>
              <w:rPr>
                <w:rFonts w:hint="eastAsia"/>
                <w:u w:val="single"/>
                <w:lang w:eastAsia="zh-CN"/>
              </w:rPr>
              <w:t>原</w:t>
            </w:r>
            <w:r>
              <w:rPr>
                <w:rFonts w:hint="eastAsia" w:ascii="Times New Roman" w:hAnsi="Times New Roman" w:eastAsia="宋体" w:cs="Times New Roman"/>
                <w:kern w:val="2"/>
                <w:sz w:val="24"/>
                <w:szCs w:val="24"/>
                <w:u w:val="single"/>
                <w:lang w:val="en-US" w:eastAsia="zh-CN" w:bidi="ar-SA"/>
              </w:rPr>
              <w:t>墓碑及附属产品和其他板材生产线</w:t>
            </w:r>
            <w:r>
              <w:rPr>
                <w:rFonts w:hint="eastAsia"/>
                <w:u w:val="single"/>
              </w:rPr>
              <w:t>生产规模</w:t>
            </w:r>
            <w:r>
              <w:rPr>
                <w:rFonts w:hint="eastAsia" w:ascii="Times New Roman" w:hAnsi="Times New Roman" w:eastAsia="宋体" w:cs="Times New Roman"/>
                <w:kern w:val="2"/>
                <w:sz w:val="24"/>
                <w:szCs w:val="24"/>
                <w:u w:val="single"/>
                <w:lang w:val="en-US" w:eastAsia="zh-CN" w:bidi="ar-SA"/>
              </w:rPr>
              <w:t>保持不变</w:t>
            </w:r>
            <w:r>
              <w:rPr>
                <w:rFonts w:hint="eastAsia" w:cs="Times New Roman"/>
                <w:kern w:val="2"/>
                <w:sz w:val="24"/>
                <w:szCs w:val="24"/>
                <w:u w:val="single"/>
                <w:lang w:val="en-US" w:eastAsia="zh-CN" w:bidi="ar-SA"/>
              </w:rPr>
              <w:t>，</w:t>
            </w:r>
            <w:r>
              <w:rPr>
                <w:rFonts w:hint="eastAsia" w:ascii="Times New Roman" w:hAnsi="Times New Roman" w:eastAsia="宋体" w:cs="Times New Roman"/>
                <w:kern w:val="2"/>
                <w:sz w:val="24"/>
                <w:szCs w:val="24"/>
                <w:u w:val="single"/>
                <w:lang w:val="en-US" w:eastAsia="zh-CN" w:bidi="ar-SA"/>
              </w:rPr>
              <w:t>墓碑生产线部分产品增加</w:t>
            </w:r>
            <w:r>
              <w:rPr>
                <w:rFonts w:hint="eastAsia" w:cs="Times New Roman"/>
                <w:kern w:val="2"/>
                <w:sz w:val="24"/>
                <w:szCs w:val="24"/>
                <w:u w:val="single"/>
                <w:lang w:val="en-US" w:eastAsia="zh-CN" w:bidi="ar-SA"/>
              </w:rPr>
              <w:t>打</w:t>
            </w:r>
            <w:r>
              <w:rPr>
                <w:rFonts w:hint="eastAsia" w:ascii="Times New Roman" w:hAnsi="Times New Roman" w:eastAsia="宋体" w:cs="Times New Roman"/>
                <w:kern w:val="2"/>
                <w:sz w:val="24"/>
                <w:szCs w:val="24"/>
                <w:u w:val="single"/>
                <w:lang w:val="en-US" w:eastAsia="zh-CN" w:bidi="ar-SA"/>
              </w:rPr>
              <w:t>蜡工艺</w:t>
            </w:r>
            <w:r>
              <w:rPr>
                <w:u w:val="single"/>
              </w:rPr>
              <w:t>。</w:t>
            </w:r>
            <w:r>
              <w:rPr>
                <w:rFonts w:hint="eastAsia"/>
              </w:rPr>
              <w:t>目前</w:t>
            </w:r>
            <w:r>
              <w:t>主要建设内容</w:t>
            </w:r>
            <w:r>
              <w:rPr>
                <w:rFonts w:hint="eastAsia"/>
              </w:rPr>
              <w:t>为将已建厂房</w:t>
            </w:r>
            <w:r>
              <w:rPr>
                <w:rFonts w:hint="eastAsia"/>
                <w:lang w:eastAsia="zh-CN"/>
              </w:rPr>
              <w:t>、</w:t>
            </w:r>
            <w:r>
              <w:rPr>
                <w:rFonts w:hint="eastAsia"/>
                <w:lang w:val="en-US" w:eastAsia="zh-CN"/>
              </w:rPr>
              <w:t>生产线</w:t>
            </w:r>
            <w:r>
              <w:rPr>
                <w:rFonts w:hint="eastAsia"/>
                <w:lang w:eastAsia="zh-CN"/>
              </w:rPr>
              <w:t>、</w:t>
            </w:r>
            <w:r>
              <w:rPr>
                <w:rFonts w:hint="eastAsia"/>
              </w:rPr>
              <w:t>综合办公楼</w:t>
            </w:r>
            <w:r>
              <w:rPr>
                <w:rFonts w:hint="eastAsia"/>
                <w:lang w:eastAsia="zh-CN"/>
              </w:rPr>
              <w:t>等全部</w:t>
            </w:r>
            <w:r>
              <w:rPr>
                <w:rFonts w:hint="eastAsia"/>
              </w:rPr>
              <w:t>拆除，新建厂房、原料成品堆场、初期雨水池及综合办公楼等</w:t>
            </w:r>
            <w:r>
              <w:t>，</w:t>
            </w:r>
            <w:r>
              <w:rPr>
                <w:rFonts w:hint="eastAsia"/>
              </w:rPr>
              <w:t>以达到相关环保要求，项目建设内容</w:t>
            </w:r>
            <w:r>
              <w:t>详见</w:t>
            </w:r>
            <w:r>
              <w:rPr>
                <w:rFonts w:hint="eastAsia"/>
              </w:rPr>
              <w:t>下表</w:t>
            </w:r>
            <w:r>
              <w:t>。</w:t>
            </w:r>
          </w:p>
          <w:p w14:paraId="27ECD629">
            <w:pPr>
              <w:adjustRightInd w:val="0"/>
              <w:snapToGrid w:val="0"/>
              <w:spacing w:line="240" w:lineRule="auto"/>
              <w:jc w:val="center"/>
            </w:pPr>
            <w:r>
              <w:rPr>
                <w:b/>
                <w:bCs/>
                <w:sz w:val="21"/>
                <w:szCs w:val="21"/>
                <w:u w:val="single"/>
              </w:rPr>
              <w:t>表2-1  建设项目工程内容及规模</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427"/>
              <w:gridCol w:w="426"/>
              <w:gridCol w:w="1831"/>
              <w:gridCol w:w="629"/>
              <w:gridCol w:w="3685"/>
              <w:gridCol w:w="952"/>
            </w:tblGrid>
            <w:tr w14:paraId="0500DE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254" w:type="pct"/>
                  <w:shd w:val="clear" w:color="auto" w:fill="auto"/>
                  <w:vAlign w:val="center"/>
                </w:tcPr>
                <w:p w14:paraId="72A84E7E">
                  <w:pPr>
                    <w:spacing w:line="240" w:lineRule="auto"/>
                    <w:jc w:val="center"/>
                    <w:rPr>
                      <w:b/>
                      <w:bCs/>
                      <w:sz w:val="21"/>
                      <w:szCs w:val="21"/>
                      <w:u w:val="single"/>
                    </w:rPr>
                  </w:pPr>
                  <w:r>
                    <w:rPr>
                      <w:b/>
                      <w:bCs/>
                      <w:sz w:val="21"/>
                      <w:szCs w:val="21"/>
                      <w:u w:val="single"/>
                    </w:rPr>
                    <w:t>序号</w:t>
                  </w:r>
                </w:p>
              </w:tc>
              <w:tc>
                <w:tcPr>
                  <w:tcW w:w="254" w:type="pct"/>
                  <w:shd w:val="clear" w:color="auto" w:fill="auto"/>
                  <w:vAlign w:val="center"/>
                </w:tcPr>
                <w:p w14:paraId="2CB483D8">
                  <w:pPr>
                    <w:spacing w:line="240" w:lineRule="auto"/>
                    <w:jc w:val="center"/>
                    <w:rPr>
                      <w:b/>
                      <w:bCs/>
                      <w:sz w:val="21"/>
                      <w:szCs w:val="21"/>
                      <w:u w:val="single"/>
                    </w:rPr>
                  </w:pPr>
                  <w:r>
                    <w:rPr>
                      <w:b/>
                      <w:bCs/>
                      <w:sz w:val="21"/>
                      <w:szCs w:val="21"/>
                      <w:u w:val="single"/>
                    </w:rPr>
                    <w:t>工程组成</w:t>
                  </w:r>
                </w:p>
              </w:tc>
              <w:tc>
                <w:tcPr>
                  <w:tcW w:w="1347" w:type="pct"/>
                  <w:gridSpan w:val="2"/>
                  <w:shd w:val="clear" w:color="auto" w:fill="auto"/>
                  <w:vAlign w:val="center"/>
                </w:tcPr>
                <w:p w14:paraId="62359421">
                  <w:pPr>
                    <w:spacing w:line="240" w:lineRule="auto"/>
                    <w:jc w:val="center"/>
                    <w:rPr>
                      <w:rFonts w:hint="eastAsia" w:eastAsia="宋体"/>
                      <w:b/>
                      <w:bCs/>
                      <w:sz w:val="21"/>
                      <w:szCs w:val="21"/>
                      <w:u w:val="single"/>
                      <w:lang w:eastAsia="zh-CN"/>
                    </w:rPr>
                  </w:pPr>
                  <w:r>
                    <w:rPr>
                      <w:rFonts w:hint="eastAsia"/>
                      <w:b/>
                      <w:bCs/>
                      <w:sz w:val="21"/>
                      <w:szCs w:val="21"/>
                      <w:u w:val="single"/>
                      <w:lang w:eastAsia="zh-CN"/>
                    </w:rPr>
                    <w:t>拟拆除工程内容</w:t>
                  </w:r>
                </w:p>
              </w:tc>
              <w:tc>
                <w:tcPr>
                  <w:tcW w:w="2574" w:type="pct"/>
                  <w:gridSpan w:val="2"/>
                  <w:shd w:val="clear" w:color="auto" w:fill="auto"/>
                  <w:vAlign w:val="center"/>
                </w:tcPr>
                <w:p w14:paraId="00276641">
                  <w:pPr>
                    <w:spacing w:line="240" w:lineRule="auto"/>
                    <w:jc w:val="center"/>
                    <w:rPr>
                      <w:b/>
                      <w:bCs/>
                      <w:sz w:val="21"/>
                      <w:szCs w:val="21"/>
                      <w:u w:val="single"/>
                    </w:rPr>
                  </w:pPr>
                  <w:r>
                    <w:rPr>
                      <w:rFonts w:hint="eastAsia"/>
                      <w:b/>
                      <w:bCs/>
                      <w:sz w:val="21"/>
                      <w:szCs w:val="21"/>
                      <w:u w:val="single"/>
                      <w:lang w:eastAsia="zh-CN"/>
                    </w:rPr>
                    <w:t>拟新建</w:t>
                  </w:r>
                  <w:r>
                    <w:rPr>
                      <w:b/>
                      <w:bCs/>
                      <w:sz w:val="21"/>
                      <w:szCs w:val="21"/>
                      <w:u w:val="single"/>
                    </w:rPr>
                    <w:t>工程内容</w:t>
                  </w:r>
                </w:p>
              </w:tc>
              <w:tc>
                <w:tcPr>
                  <w:tcW w:w="568" w:type="pct"/>
                  <w:shd w:val="clear" w:color="auto" w:fill="auto"/>
                  <w:vAlign w:val="center"/>
                </w:tcPr>
                <w:p w14:paraId="7FDE3AA9">
                  <w:pPr>
                    <w:spacing w:line="240" w:lineRule="auto"/>
                    <w:jc w:val="center"/>
                    <w:rPr>
                      <w:rFonts w:hint="eastAsia"/>
                      <w:b/>
                      <w:bCs/>
                      <w:sz w:val="21"/>
                      <w:szCs w:val="21"/>
                      <w:u w:val="single"/>
                      <w:lang w:eastAsia="zh-CN"/>
                    </w:rPr>
                  </w:pPr>
                  <w:r>
                    <w:rPr>
                      <w:rFonts w:hint="eastAsia"/>
                      <w:b/>
                      <w:bCs/>
                      <w:sz w:val="21"/>
                      <w:szCs w:val="21"/>
                      <w:u w:val="single"/>
                      <w:lang w:eastAsia="zh-CN"/>
                    </w:rPr>
                    <w:t>是否有依托关系</w:t>
                  </w:r>
                </w:p>
              </w:tc>
            </w:tr>
            <w:tr w14:paraId="45CDA1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254" w:type="pct"/>
                  <w:vMerge w:val="restart"/>
                  <w:shd w:val="clear" w:color="auto" w:fill="auto"/>
                  <w:vAlign w:val="center"/>
                </w:tcPr>
                <w:p w14:paraId="4B1A39EB">
                  <w:pPr>
                    <w:spacing w:line="240" w:lineRule="auto"/>
                    <w:jc w:val="center"/>
                    <w:rPr>
                      <w:sz w:val="21"/>
                      <w:szCs w:val="21"/>
                      <w:u w:val="single"/>
                    </w:rPr>
                  </w:pPr>
                  <w:r>
                    <w:rPr>
                      <w:sz w:val="21"/>
                      <w:szCs w:val="21"/>
                      <w:u w:val="single"/>
                    </w:rPr>
                    <w:t>1</w:t>
                  </w:r>
                </w:p>
              </w:tc>
              <w:tc>
                <w:tcPr>
                  <w:tcW w:w="254" w:type="pct"/>
                  <w:vMerge w:val="restart"/>
                  <w:shd w:val="clear" w:color="auto" w:fill="auto"/>
                  <w:vAlign w:val="center"/>
                </w:tcPr>
                <w:p w14:paraId="72E6BEDF">
                  <w:pPr>
                    <w:spacing w:line="240" w:lineRule="auto"/>
                    <w:jc w:val="center"/>
                    <w:rPr>
                      <w:sz w:val="21"/>
                      <w:szCs w:val="21"/>
                      <w:u w:val="single"/>
                    </w:rPr>
                  </w:pPr>
                  <w:r>
                    <w:rPr>
                      <w:sz w:val="21"/>
                      <w:szCs w:val="21"/>
                      <w:u w:val="single"/>
                    </w:rPr>
                    <w:t>主体工程</w:t>
                  </w:r>
                </w:p>
              </w:tc>
              <w:tc>
                <w:tcPr>
                  <w:tcW w:w="254" w:type="pct"/>
                  <w:vMerge w:val="restart"/>
                  <w:shd w:val="clear" w:color="auto" w:fill="auto"/>
                  <w:vAlign w:val="center"/>
                </w:tcPr>
                <w:p w14:paraId="5AE1D421">
                  <w:pPr>
                    <w:pStyle w:val="36"/>
                    <w:adjustRightInd w:val="0"/>
                    <w:snapToGrid w:val="0"/>
                    <w:spacing w:line="240" w:lineRule="auto"/>
                    <w:ind w:firstLine="0" w:firstLineChars="0"/>
                    <w:jc w:val="center"/>
                    <w:rPr>
                      <w:sz w:val="21"/>
                      <w:szCs w:val="21"/>
                      <w:u w:val="single"/>
                    </w:rPr>
                  </w:pPr>
                  <w:r>
                    <w:rPr>
                      <w:rFonts w:hint="eastAsia" w:ascii="Times New Roman" w:cs="Times New Roman" w:eastAsiaTheme="minorEastAsia"/>
                      <w:b w:val="0"/>
                      <w:bCs w:val="0"/>
                      <w:sz w:val="21"/>
                      <w:szCs w:val="21"/>
                      <w:u w:val="single"/>
                      <w:vertAlign w:val="baseline"/>
                      <w:lang w:val="en-US" w:eastAsia="zh-CN"/>
                    </w:rPr>
                    <w:t>6</w:t>
                  </w:r>
                  <w:r>
                    <w:rPr>
                      <w:rFonts w:hint="eastAsia"/>
                      <w:sz w:val="21"/>
                      <w:szCs w:val="21"/>
                      <w:u w:val="single"/>
                    </w:rPr>
                    <w:t>#</w:t>
                  </w:r>
                  <w:r>
                    <w:rPr>
                      <w:rFonts w:hint="eastAsia"/>
                      <w:sz w:val="21"/>
                      <w:szCs w:val="21"/>
                      <w:u w:val="single"/>
                      <w:lang w:eastAsia="zh-CN"/>
                    </w:rPr>
                    <w:t>厂房</w:t>
                  </w:r>
                </w:p>
              </w:tc>
              <w:tc>
                <w:tcPr>
                  <w:tcW w:w="1093" w:type="pct"/>
                  <w:vMerge w:val="restart"/>
                  <w:shd w:val="clear" w:color="auto" w:fill="auto"/>
                  <w:vAlign w:val="center"/>
                </w:tcPr>
                <w:p w14:paraId="01D6001F">
                  <w:pPr>
                    <w:pStyle w:val="36"/>
                    <w:adjustRightInd w:val="0"/>
                    <w:snapToGrid w:val="0"/>
                    <w:spacing w:line="240" w:lineRule="auto"/>
                    <w:ind w:firstLine="0" w:firstLineChars="0"/>
                    <w:jc w:val="center"/>
                    <w:rPr>
                      <w:sz w:val="21"/>
                      <w:szCs w:val="21"/>
                      <w:u w:val="single"/>
                    </w:rPr>
                  </w:pPr>
                  <w:r>
                    <w:rPr>
                      <w:rFonts w:hint="default" w:ascii="Times New Roman" w:eastAsia="宋体" w:cs="Times New Roman"/>
                      <w:b w:val="0"/>
                      <w:bCs w:val="0"/>
                      <w:kern w:val="2"/>
                      <w:sz w:val="21"/>
                      <w:szCs w:val="21"/>
                      <w:u w:val="single"/>
                      <w:vertAlign w:val="baseline"/>
                      <w:lang w:val="en-US" w:eastAsia="zh-CN"/>
                    </w:rPr>
                    <w:t>6</w:t>
                  </w:r>
                  <w:r>
                    <w:rPr>
                      <w:rFonts w:hint="default" w:ascii="Times New Roman"/>
                      <w:kern w:val="2"/>
                      <w:sz w:val="21"/>
                      <w:szCs w:val="21"/>
                      <w:u w:val="single"/>
                    </w:rPr>
                    <w:t>#</w:t>
                  </w:r>
                  <w:r>
                    <w:rPr>
                      <w:rFonts w:hint="default" w:ascii="Times New Roman"/>
                      <w:kern w:val="2"/>
                      <w:sz w:val="21"/>
                      <w:szCs w:val="21"/>
                      <w:u w:val="single"/>
                      <w:lang w:eastAsia="zh-CN"/>
                    </w:rPr>
                    <w:t>厂房为雕刻、小切及大切车间，占地</w:t>
                  </w:r>
                  <w:r>
                    <w:rPr>
                      <w:rFonts w:hint="default" w:ascii="Times New Roman"/>
                      <w:kern w:val="2"/>
                      <w:sz w:val="21"/>
                      <w:szCs w:val="21"/>
                      <w:u w:val="single"/>
                    </w:rPr>
                    <w:t>面积约为1</w:t>
                  </w:r>
                  <w:r>
                    <w:rPr>
                      <w:rFonts w:hint="default" w:ascii="Times New Roman"/>
                      <w:kern w:val="2"/>
                      <w:sz w:val="21"/>
                      <w:szCs w:val="21"/>
                      <w:u w:val="single"/>
                      <w:lang w:val="en-US" w:eastAsia="zh-CN"/>
                    </w:rPr>
                    <w:t>2</w:t>
                  </w:r>
                  <w:r>
                    <w:rPr>
                      <w:rFonts w:hint="default" w:ascii="Times New Roman"/>
                      <w:kern w:val="2"/>
                      <w:sz w:val="21"/>
                      <w:szCs w:val="21"/>
                      <w:u w:val="single"/>
                    </w:rPr>
                    <w:t>00m</w:t>
                  </w:r>
                  <w:r>
                    <w:rPr>
                      <w:rFonts w:hint="default" w:ascii="Times New Roman"/>
                      <w:kern w:val="2"/>
                      <w:sz w:val="21"/>
                      <w:szCs w:val="21"/>
                      <w:u w:val="single"/>
                      <w:vertAlign w:val="superscript"/>
                    </w:rPr>
                    <w:t>2</w:t>
                  </w:r>
                  <w:r>
                    <w:rPr>
                      <w:rFonts w:hint="default" w:ascii="Times New Roman"/>
                      <w:kern w:val="2"/>
                      <w:sz w:val="21"/>
                      <w:szCs w:val="21"/>
                      <w:u w:val="single"/>
                    </w:rPr>
                    <w:t>，轻钢结构，1F，层高6m</w:t>
                  </w:r>
                  <w:r>
                    <w:rPr>
                      <w:rFonts w:hint="default" w:ascii="Times New Roman"/>
                      <w:kern w:val="2"/>
                      <w:sz w:val="21"/>
                      <w:szCs w:val="21"/>
                      <w:u w:val="single"/>
                      <w:lang w:eastAsia="zh-CN"/>
                    </w:rPr>
                    <w:t>，位于厂区北部</w:t>
                  </w:r>
                </w:p>
              </w:tc>
              <w:tc>
                <w:tcPr>
                  <w:tcW w:w="376" w:type="pct"/>
                  <w:shd w:val="clear" w:color="auto" w:fill="auto"/>
                  <w:vAlign w:val="center"/>
                </w:tcPr>
                <w:p w14:paraId="3C7B3AD8">
                  <w:pPr>
                    <w:spacing w:line="240" w:lineRule="auto"/>
                    <w:jc w:val="center"/>
                    <w:rPr>
                      <w:sz w:val="21"/>
                      <w:szCs w:val="21"/>
                      <w:u w:val="single"/>
                    </w:rPr>
                  </w:pPr>
                  <w:r>
                    <w:rPr>
                      <w:rFonts w:hint="eastAsia"/>
                      <w:sz w:val="21"/>
                      <w:szCs w:val="21"/>
                      <w:u w:val="single"/>
                    </w:rPr>
                    <w:t>1#厂房</w:t>
                  </w:r>
                </w:p>
              </w:tc>
              <w:tc>
                <w:tcPr>
                  <w:tcW w:w="2197" w:type="pct"/>
                  <w:shd w:val="clear" w:color="auto" w:fill="auto"/>
                  <w:vAlign w:val="center"/>
                </w:tcPr>
                <w:p w14:paraId="64E73FDB">
                  <w:pPr>
                    <w:spacing w:line="240" w:lineRule="auto"/>
                    <w:jc w:val="center"/>
                    <w:rPr>
                      <w:sz w:val="21"/>
                      <w:szCs w:val="21"/>
                      <w:u w:val="single"/>
                    </w:rPr>
                  </w:pPr>
                  <w:r>
                    <w:rPr>
                      <w:rFonts w:hint="eastAsia"/>
                      <w:sz w:val="21"/>
                      <w:szCs w:val="21"/>
                      <w:u w:val="single"/>
                    </w:rPr>
                    <w:t>1#厂房为打砂车间，建筑面积约为750m</w:t>
                  </w:r>
                  <w:r>
                    <w:rPr>
                      <w:rFonts w:hint="eastAsia"/>
                      <w:sz w:val="21"/>
                      <w:szCs w:val="21"/>
                      <w:u w:val="single"/>
                      <w:vertAlign w:val="superscript"/>
                    </w:rPr>
                    <w:t>2</w:t>
                  </w:r>
                  <w:r>
                    <w:rPr>
                      <w:rFonts w:hint="eastAsia"/>
                      <w:sz w:val="21"/>
                      <w:szCs w:val="21"/>
                      <w:u w:val="single"/>
                    </w:rPr>
                    <w:t>，轻钢结构，1F，层高6m，位于厂区西北面。</w:t>
                  </w:r>
                </w:p>
              </w:tc>
              <w:tc>
                <w:tcPr>
                  <w:tcW w:w="568" w:type="pct"/>
                  <w:shd w:val="clear" w:color="auto" w:fill="auto"/>
                  <w:vAlign w:val="center"/>
                </w:tcPr>
                <w:p w14:paraId="3912F087">
                  <w:pPr>
                    <w:spacing w:line="240" w:lineRule="auto"/>
                    <w:jc w:val="center"/>
                    <w:rPr>
                      <w:rFonts w:hint="eastAsia" w:eastAsia="宋体"/>
                      <w:sz w:val="21"/>
                      <w:szCs w:val="21"/>
                      <w:u w:val="single"/>
                      <w:lang w:eastAsia="zh-CN"/>
                    </w:rPr>
                  </w:pPr>
                  <w:r>
                    <w:rPr>
                      <w:rFonts w:hint="eastAsia"/>
                      <w:sz w:val="21"/>
                      <w:szCs w:val="21"/>
                      <w:u w:val="single"/>
                      <w:lang w:eastAsia="zh-CN"/>
                    </w:rPr>
                    <w:t>否</w:t>
                  </w:r>
                </w:p>
              </w:tc>
            </w:tr>
            <w:tr w14:paraId="4F45B5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254" w:type="pct"/>
                  <w:vMerge w:val="continue"/>
                  <w:shd w:val="clear" w:color="auto" w:fill="auto"/>
                  <w:vAlign w:val="center"/>
                </w:tcPr>
                <w:p w14:paraId="389884DA">
                  <w:pPr>
                    <w:spacing w:line="240" w:lineRule="auto"/>
                    <w:jc w:val="center"/>
                    <w:rPr>
                      <w:color w:val="0000C7"/>
                      <w:sz w:val="21"/>
                      <w:szCs w:val="21"/>
                      <w:u w:val="single"/>
                    </w:rPr>
                  </w:pPr>
                </w:p>
              </w:tc>
              <w:tc>
                <w:tcPr>
                  <w:tcW w:w="254" w:type="pct"/>
                  <w:vMerge w:val="continue"/>
                  <w:shd w:val="clear" w:color="auto" w:fill="auto"/>
                  <w:vAlign w:val="center"/>
                </w:tcPr>
                <w:p w14:paraId="4C34D6B7">
                  <w:pPr>
                    <w:spacing w:line="240" w:lineRule="auto"/>
                    <w:jc w:val="center"/>
                    <w:rPr>
                      <w:color w:val="0000C7"/>
                      <w:sz w:val="21"/>
                      <w:szCs w:val="21"/>
                      <w:u w:val="single"/>
                    </w:rPr>
                  </w:pPr>
                </w:p>
              </w:tc>
              <w:tc>
                <w:tcPr>
                  <w:tcW w:w="254" w:type="pct"/>
                  <w:vMerge w:val="continue"/>
                  <w:shd w:val="clear" w:color="auto" w:fill="auto"/>
                  <w:vAlign w:val="center"/>
                </w:tcPr>
                <w:p w14:paraId="3C5D25EF">
                  <w:pPr>
                    <w:spacing w:line="240" w:lineRule="auto"/>
                    <w:jc w:val="center"/>
                    <w:rPr>
                      <w:color w:val="0000C7"/>
                      <w:sz w:val="21"/>
                      <w:szCs w:val="21"/>
                      <w:u w:val="single"/>
                    </w:rPr>
                  </w:pPr>
                </w:p>
              </w:tc>
              <w:tc>
                <w:tcPr>
                  <w:tcW w:w="1093" w:type="pct"/>
                  <w:vMerge w:val="continue"/>
                  <w:shd w:val="clear" w:color="auto" w:fill="auto"/>
                  <w:vAlign w:val="center"/>
                </w:tcPr>
                <w:p w14:paraId="1905CB49">
                  <w:pPr>
                    <w:spacing w:line="240" w:lineRule="auto"/>
                    <w:jc w:val="center"/>
                    <w:rPr>
                      <w:color w:val="0000C7"/>
                      <w:sz w:val="21"/>
                      <w:szCs w:val="21"/>
                      <w:u w:val="single"/>
                    </w:rPr>
                  </w:pPr>
                </w:p>
              </w:tc>
              <w:tc>
                <w:tcPr>
                  <w:tcW w:w="376" w:type="pct"/>
                  <w:shd w:val="clear" w:color="auto" w:fill="auto"/>
                  <w:vAlign w:val="center"/>
                </w:tcPr>
                <w:p w14:paraId="2EE89E1A">
                  <w:pPr>
                    <w:spacing w:line="240" w:lineRule="auto"/>
                    <w:jc w:val="center"/>
                    <w:rPr>
                      <w:sz w:val="21"/>
                      <w:szCs w:val="21"/>
                      <w:u w:val="single"/>
                    </w:rPr>
                  </w:pPr>
                  <w:r>
                    <w:rPr>
                      <w:rFonts w:hint="eastAsia"/>
                      <w:sz w:val="21"/>
                      <w:szCs w:val="21"/>
                      <w:u w:val="single"/>
                    </w:rPr>
                    <w:t>2#厂房</w:t>
                  </w:r>
                </w:p>
              </w:tc>
              <w:tc>
                <w:tcPr>
                  <w:tcW w:w="2197" w:type="pct"/>
                  <w:shd w:val="clear" w:color="auto" w:fill="auto"/>
                  <w:vAlign w:val="center"/>
                </w:tcPr>
                <w:p w14:paraId="5EE9DCDC">
                  <w:pPr>
                    <w:spacing w:line="240" w:lineRule="auto"/>
                    <w:jc w:val="center"/>
                    <w:rPr>
                      <w:sz w:val="21"/>
                      <w:szCs w:val="21"/>
                      <w:u w:val="single"/>
                    </w:rPr>
                  </w:pPr>
                  <w:r>
                    <w:rPr>
                      <w:rFonts w:hint="eastAsia"/>
                      <w:sz w:val="21"/>
                      <w:szCs w:val="21"/>
                      <w:u w:val="single"/>
                    </w:rPr>
                    <w:t>2#厂房为制砖车间，建筑面积约为800m</w:t>
                  </w:r>
                  <w:r>
                    <w:rPr>
                      <w:rFonts w:hint="eastAsia"/>
                      <w:sz w:val="21"/>
                      <w:szCs w:val="21"/>
                      <w:u w:val="single"/>
                      <w:vertAlign w:val="superscript"/>
                    </w:rPr>
                    <w:t>2</w:t>
                  </w:r>
                  <w:r>
                    <w:rPr>
                      <w:rFonts w:hint="eastAsia"/>
                      <w:sz w:val="21"/>
                      <w:szCs w:val="21"/>
                      <w:u w:val="single"/>
                    </w:rPr>
                    <w:t>，轻钢结构，1F，层高6m，位于厂区西北面。</w:t>
                  </w:r>
                </w:p>
              </w:tc>
              <w:tc>
                <w:tcPr>
                  <w:tcW w:w="568" w:type="pct"/>
                  <w:shd w:val="clear" w:color="auto" w:fill="auto"/>
                  <w:vAlign w:val="center"/>
                </w:tcPr>
                <w:p w14:paraId="7D8F71F9">
                  <w:pPr>
                    <w:spacing w:line="240" w:lineRule="auto"/>
                    <w:jc w:val="center"/>
                    <w:rPr>
                      <w:rFonts w:hint="eastAsia"/>
                      <w:sz w:val="21"/>
                      <w:szCs w:val="21"/>
                      <w:u w:val="single"/>
                    </w:rPr>
                  </w:pPr>
                  <w:r>
                    <w:rPr>
                      <w:rFonts w:hint="eastAsia"/>
                      <w:sz w:val="21"/>
                      <w:szCs w:val="21"/>
                      <w:u w:val="single"/>
                      <w:lang w:eastAsia="zh-CN"/>
                    </w:rPr>
                    <w:t>否</w:t>
                  </w:r>
                </w:p>
              </w:tc>
            </w:tr>
            <w:tr w14:paraId="228650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254" w:type="pct"/>
                  <w:vMerge w:val="continue"/>
                  <w:shd w:val="clear" w:color="auto" w:fill="auto"/>
                  <w:vAlign w:val="center"/>
                </w:tcPr>
                <w:p w14:paraId="700EFD99">
                  <w:pPr>
                    <w:spacing w:line="240" w:lineRule="auto"/>
                    <w:jc w:val="center"/>
                    <w:rPr>
                      <w:color w:val="0000C7"/>
                      <w:sz w:val="21"/>
                      <w:szCs w:val="21"/>
                      <w:u w:val="single"/>
                    </w:rPr>
                  </w:pPr>
                </w:p>
              </w:tc>
              <w:tc>
                <w:tcPr>
                  <w:tcW w:w="254" w:type="pct"/>
                  <w:vMerge w:val="continue"/>
                  <w:shd w:val="clear" w:color="auto" w:fill="auto"/>
                  <w:vAlign w:val="center"/>
                </w:tcPr>
                <w:p w14:paraId="2CCF75BF">
                  <w:pPr>
                    <w:spacing w:line="240" w:lineRule="auto"/>
                    <w:jc w:val="center"/>
                    <w:rPr>
                      <w:color w:val="0000C7"/>
                      <w:sz w:val="21"/>
                      <w:szCs w:val="21"/>
                      <w:u w:val="single"/>
                    </w:rPr>
                  </w:pPr>
                </w:p>
              </w:tc>
              <w:tc>
                <w:tcPr>
                  <w:tcW w:w="254" w:type="pct"/>
                  <w:vMerge w:val="continue"/>
                  <w:shd w:val="clear" w:color="auto" w:fill="auto"/>
                  <w:vAlign w:val="center"/>
                </w:tcPr>
                <w:p w14:paraId="47B6CA9F">
                  <w:pPr>
                    <w:spacing w:line="240" w:lineRule="auto"/>
                    <w:jc w:val="center"/>
                    <w:rPr>
                      <w:color w:val="0000C7"/>
                      <w:sz w:val="21"/>
                      <w:szCs w:val="21"/>
                      <w:u w:val="single"/>
                    </w:rPr>
                  </w:pPr>
                </w:p>
              </w:tc>
              <w:tc>
                <w:tcPr>
                  <w:tcW w:w="1093" w:type="pct"/>
                  <w:vMerge w:val="continue"/>
                  <w:shd w:val="clear" w:color="auto" w:fill="auto"/>
                  <w:vAlign w:val="center"/>
                </w:tcPr>
                <w:p w14:paraId="1671E047">
                  <w:pPr>
                    <w:spacing w:line="240" w:lineRule="auto"/>
                    <w:jc w:val="center"/>
                    <w:rPr>
                      <w:color w:val="0000C7"/>
                      <w:sz w:val="21"/>
                      <w:szCs w:val="21"/>
                      <w:u w:val="single"/>
                    </w:rPr>
                  </w:pPr>
                </w:p>
              </w:tc>
              <w:tc>
                <w:tcPr>
                  <w:tcW w:w="376" w:type="pct"/>
                  <w:shd w:val="clear" w:color="auto" w:fill="auto"/>
                  <w:vAlign w:val="center"/>
                </w:tcPr>
                <w:p w14:paraId="599F70D9">
                  <w:pPr>
                    <w:spacing w:line="240" w:lineRule="auto"/>
                    <w:jc w:val="center"/>
                    <w:rPr>
                      <w:sz w:val="21"/>
                      <w:szCs w:val="21"/>
                      <w:u w:val="single"/>
                    </w:rPr>
                  </w:pPr>
                  <w:r>
                    <w:rPr>
                      <w:rFonts w:hint="eastAsia"/>
                      <w:sz w:val="21"/>
                      <w:szCs w:val="21"/>
                      <w:u w:val="single"/>
                    </w:rPr>
                    <w:t>3#厂房</w:t>
                  </w:r>
                </w:p>
              </w:tc>
              <w:tc>
                <w:tcPr>
                  <w:tcW w:w="2197" w:type="pct"/>
                  <w:shd w:val="clear" w:color="auto" w:fill="auto"/>
                  <w:vAlign w:val="center"/>
                </w:tcPr>
                <w:p w14:paraId="415EF4BD">
                  <w:pPr>
                    <w:spacing w:line="240" w:lineRule="auto"/>
                    <w:jc w:val="center"/>
                    <w:rPr>
                      <w:color w:val="0000C7"/>
                      <w:sz w:val="21"/>
                      <w:szCs w:val="21"/>
                      <w:u w:val="single"/>
                    </w:rPr>
                  </w:pPr>
                  <w:r>
                    <w:rPr>
                      <w:rFonts w:hint="eastAsia"/>
                      <w:sz w:val="21"/>
                      <w:szCs w:val="21"/>
                      <w:u w:val="single"/>
                    </w:rPr>
                    <w:t>3#厂房为雕刻车间，建筑面积约为1000m</w:t>
                  </w:r>
                  <w:r>
                    <w:rPr>
                      <w:rFonts w:hint="eastAsia"/>
                      <w:sz w:val="21"/>
                      <w:szCs w:val="21"/>
                      <w:u w:val="single"/>
                      <w:vertAlign w:val="superscript"/>
                    </w:rPr>
                    <w:t>2</w:t>
                  </w:r>
                  <w:r>
                    <w:rPr>
                      <w:rFonts w:hint="eastAsia"/>
                      <w:sz w:val="21"/>
                      <w:szCs w:val="21"/>
                      <w:u w:val="single"/>
                    </w:rPr>
                    <w:t>，轻钢结构，1F，层高6m，位于厂区中部。</w:t>
                  </w:r>
                </w:p>
              </w:tc>
              <w:tc>
                <w:tcPr>
                  <w:tcW w:w="568" w:type="pct"/>
                  <w:shd w:val="clear" w:color="auto" w:fill="auto"/>
                  <w:vAlign w:val="center"/>
                </w:tcPr>
                <w:p w14:paraId="2909F8B4">
                  <w:pPr>
                    <w:spacing w:line="240" w:lineRule="auto"/>
                    <w:jc w:val="center"/>
                    <w:rPr>
                      <w:rFonts w:hint="eastAsia"/>
                      <w:sz w:val="21"/>
                      <w:szCs w:val="21"/>
                      <w:u w:val="single"/>
                    </w:rPr>
                  </w:pPr>
                  <w:r>
                    <w:rPr>
                      <w:rFonts w:hint="eastAsia"/>
                      <w:sz w:val="21"/>
                      <w:szCs w:val="21"/>
                      <w:u w:val="single"/>
                      <w:lang w:eastAsia="zh-CN"/>
                    </w:rPr>
                    <w:t>否</w:t>
                  </w:r>
                </w:p>
              </w:tc>
            </w:tr>
            <w:tr w14:paraId="589071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254" w:type="pct"/>
                  <w:vMerge w:val="continue"/>
                  <w:shd w:val="clear" w:color="auto" w:fill="auto"/>
                  <w:vAlign w:val="center"/>
                </w:tcPr>
                <w:p w14:paraId="50B95169">
                  <w:pPr>
                    <w:spacing w:line="240" w:lineRule="auto"/>
                    <w:jc w:val="center"/>
                    <w:rPr>
                      <w:color w:val="0000C7"/>
                      <w:sz w:val="21"/>
                      <w:szCs w:val="21"/>
                      <w:u w:val="single"/>
                    </w:rPr>
                  </w:pPr>
                </w:p>
              </w:tc>
              <w:tc>
                <w:tcPr>
                  <w:tcW w:w="254" w:type="pct"/>
                  <w:vMerge w:val="continue"/>
                  <w:shd w:val="clear" w:color="auto" w:fill="auto"/>
                  <w:vAlign w:val="center"/>
                </w:tcPr>
                <w:p w14:paraId="3940BDA0">
                  <w:pPr>
                    <w:spacing w:line="240" w:lineRule="auto"/>
                    <w:jc w:val="center"/>
                    <w:rPr>
                      <w:color w:val="0000C7"/>
                      <w:sz w:val="21"/>
                      <w:szCs w:val="21"/>
                      <w:u w:val="single"/>
                    </w:rPr>
                  </w:pPr>
                </w:p>
              </w:tc>
              <w:tc>
                <w:tcPr>
                  <w:tcW w:w="254" w:type="pct"/>
                  <w:vMerge w:val="continue"/>
                  <w:shd w:val="clear" w:color="auto" w:fill="auto"/>
                  <w:vAlign w:val="center"/>
                </w:tcPr>
                <w:p w14:paraId="17A854A5">
                  <w:pPr>
                    <w:spacing w:line="240" w:lineRule="auto"/>
                    <w:jc w:val="center"/>
                    <w:rPr>
                      <w:color w:val="0000C7"/>
                      <w:sz w:val="21"/>
                      <w:szCs w:val="21"/>
                      <w:u w:val="single"/>
                    </w:rPr>
                  </w:pPr>
                </w:p>
              </w:tc>
              <w:tc>
                <w:tcPr>
                  <w:tcW w:w="1093" w:type="pct"/>
                  <w:vMerge w:val="continue"/>
                  <w:shd w:val="clear" w:color="auto" w:fill="auto"/>
                  <w:vAlign w:val="center"/>
                </w:tcPr>
                <w:p w14:paraId="1289C2A9">
                  <w:pPr>
                    <w:spacing w:line="240" w:lineRule="auto"/>
                    <w:jc w:val="center"/>
                    <w:rPr>
                      <w:color w:val="0000C7"/>
                      <w:sz w:val="21"/>
                      <w:szCs w:val="21"/>
                      <w:u w:val="single"/>
                    </w:rPr>
                  </w:pPr>
                </w:p>
              </w:tc>
              <w:tc>
                <w:tcPr>
                  <w:tcW w:w="376" w:type="pct"/>
                  <w:shd w:val="clear" w:color="auto" w:fill="auto"/>
                  <w:vAlign w:val="center"/>
                </w:tcPr>
                <w:p w14:paraId="64B27DDB">
                  <w:pPr>
                    <w:spacing w:line="240" w:lineRule="auto"/>
                    <w:jc w:val="center"/>
                    <w:rPr>
                      <w:color w:val="0000C7"/>
                      <w:sz w:val="21"/>
                      <w:szCs w:val="21"/>
                      <w:u w:val="single"/>
                    </w:rPr>
                  </w:pPr>
                  <w:r>
                    <w:rPr>
                      <w:rFonts w:hint="eastAsia"/>
                      <w:sz w:val="21"/>
                      <w:szCs w:val="21"/>
                      <w:u w:val="single"/>
                    </w:rPr>
                    <w:t>4#厂房</w:t>
                  </w:r>
                </w:p>
              </w:tc>
              <w:tc>
                <w:tcPr>
                  <w:tcW w:w="2197" w:type="pct"/>
                  <w:shd w:val="clear" w:color="auto" w:fill="auto"/>
                  <w:vAlign w:val="center"/>
                </w:tcPr>
                <w:p w14:paraId="58070849">
                  <w:pPr>
                    <w:spacing w:line="240" w:lineRule="auto"/>
                    <w:jc w:val="center"/>
                    <w:rPr>
                      <w:sz w:val="21"/>
                      <w:szCs w:val="21"/>
                      <w:u w:val="single"/>
                    </w:rPr>
                  </w:pPr>
                  <w:r>
                    <w:rPr>
                      <w:rFonts w:hint="eastAsia"/>
                      <w:sz w:val="21"/>
                      <w:szCs w:val="21"/>
                      <w:u w:val="single"/>
                    </w:rPr>
                    <w:t>4#厂房为小切车间，建筑面积约为1100m</w:t>
                  </w:r>
                  <w:r>
                    <w:rPr>
                      <w:rFonts w:hint="eastAsia"/>
                      <w:sz w:val="21"/>
                      <w:szCs w:val="21"/>
                      <w:u w:val="single"/>
                      <w:vertAlign w:val="superscript"/>
                    </w:rPr>
                    <w:t>2</w:t>
                  </w:r>
                  <w:r>
                    <w:rPr>
                      <w:rFonts w:hint="eastAsia"/>
                      <w:sz w:val="21"/>
                      <w:szCs w:val="21"/>
                      <w:u w:val="single"/>
                    </w:rPr>
                    <w:t>，轻钢结构，1F，层高6m，位于厂区中部。</w:t>
                  </w:r>
                </w:p>
              </w:tc>
              <w:tc>
                <w:tcPr>
                  <w:tcW w:w="568" w:type="pct"/>
                  <w:shd w:val="clear" w:color="auto" w:fill="auto"/>
                  <w:vAlign w:val="center"/>
                </w:tcPr>
                <w:p w14:paraId="464E790D">
                  <w:pPr>
                    <w:spacing w:line="240" w:lineRule="auto"/>
                    <w:jc w:val="center"/>
                    <w:rPr>
                      <w:rFonts w:hint="eastAsia"/>
                      <w:sz w:val="21"/>
                      <w:szCs w:val="21"/>
                      <w:u w:val="single"/>
                    </w:rPr>
                  </w:pPr>
                  <w:r>
                    <w:rPr>
                      <w:rFonts w:hint="eastAsia"/>
                      <w:sz w:val="21"/>
                      <w:szCs w:val="21"/>
                      <w:u w:val="single"/>
                      <w:lang w:eastAsia="zh-CN"/>
                    </w:rPr>
                    <w:t>否</w:t>
                  </w:r>
                </w:p>
              </w:tc>
            </w:tr>
            <w:tr w14:paraId="19CEDE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9" w:hRule="atLeast"/>
                <w:jc w:val="center"/>
              </w:trPr>
              <w:tc>
                <w:tcPr>
                  <w:tcW w:w="254" w:type="pct"/>
                  <w:vMerge w:val="continue"/>
                  <w:shd w:val="clear" w:color="auto" w:fill="auto"/>
                  <w:vAlign w:val="center"/>
                </w:tcPr>
                <w:p w14:paraId="1BEA4402">
                  <w:pPr>
                    <w:spacing w:line="240" w:lineRule="auto"/>
                    <w:jc w:val="center"/>
                    <w:rPr>
                      <w:color w:val="0000C7"/>
                      <w:sz w:val="21"/>
                      <w:szCs w:val="21"/>
                      <w:u w:val="single"/>
                    </w:rPr>
                  </w:pPr>
                </w:p>
              </w:tc>
              <w:tc>
                <w:tcPr>
                  <w:tcW w:w="254" w:type="pct"/>
                  <w:vMerge w:val="continue"/>
                  <w:shd w:val="clear" w:color="auto" w:fill="auto"/>
                  <w:vAlign w:val="center"/>
                </w:tcPr>
                <w:p w14:paraId="40266118">
                  <w:pPr>
                    <w:spacing w:line="240" w:lineRule="auto"/>
                    <w:jc w:val="center"/>
                    <w:rPr>
                      <w:color w:val="0000C7"/>
                      <w:sz w:val="21"/>
                      <w:szCs w:val="21"/>
                      <w:u w:val="single"/>
                    </w:rPr>
                  </w:pPr>
                </w:p>
              </w:tc>
              <w:tc>
                <w:tcPr>
                  <w:tcW w:w="254" w:type="pct"/>
                  <w:shd w:val="clear" w:color="auto" w:fill="auto"/>
                  <w:vAlign w:val="center"/>
                </w:tcPr>
                <w:p w14:paraId="04C931F6">
                  <w:pPr>
                    <w:pStyle w:val="36"/>
                    <w:adjustRightInd w:val="0"/>
                    <w:snapToGrid w:val="0"/>
                    <w:spacing w:line="240" w:lineRule="auto"/>
                    <w:ind w:firstLine="0" w:firstLineChars="0"/>
                    <w:jc w:val="center"/>
                    <w:rPr>
                      <w:color w:val="0000C7"/>
                      <w:sz w:val="21"/>
                      <w:szCs w:val="21"/>
                      <w:u w:val="single"/>
                    </w:rPr>
                  </w:pPr>
                  <w:r>
                    <w:rPr>
                      <w:rFonts w:hint="eastAsia" w:ascii="Times New Roman" w:cs="Times New Roman" w:eastAsiaTheme="minorEastAsia"/>
                      <w:b w:val="0"/>
                      <w:bCs w:val="0"/>
                      <w:sz w:val="21"/>
                      <w:szCs w:val="21"/>
                      <w:u w:val="single"/>
                      <w:vertAlign w:val="baseline"/>
                      <w:lang w:val="en-US" w:eastAsia="zh-CN"/>
                    </w:rPr>
                    <w:t>7</w:t>
                  </w:r>
                  <w:r>
                    <w:rPr>
                      <w:rFonts w:hint="eastAsia"/>
                      <w:sz w:val="21"/>
                      <w:szCs w:val="21"/>
                      <w:u w:val="single"/>
                    </w:rPr>
                    <w:t>#</w:t>
                  </w:r>
                  <w:r>
                    <w:rPr>
                      <w:rFonts w:hint="eastAsia"/>
                      <w:sz w:val="21"/>
                      <w:szCs w:val="21"/>
                      <w:u w:val="single"/>
                      <w:lang w:eastAsia="zh-CN"/>
                    </w:rPr>
                    <w:t>厂房</w:t>
                  </w:r>
                </w:p>
              </w:tc>
              <w:tc>
                <w:tcPr>
                  <w:tcW w:w="1093" w:type="pct"/>
                  <w:shd w:val="clear" w:color="auto" w:fill="auto"/>
                  <w:vAlign w:val="center"/>
                </w:tcPr>
                <w:p w14:paraId="63A89082">
                  <w:pPr>
                    <w:pStyle w:val="36"/>
                    <w:adjustRightInd w:val="0"/>
                    <w:snapToGrid w:val="0"/>
                    <w:spacing w:line="240" w:lineRule="auto"/>
                    <w:ind w:firstLine="0" w:firstLineChars="0"/>
                    <w:jc w:val="center"/>
                    <w:rPr>
                      <w:color w:val="0000C7"/>
                      <w:sz w:val="21"/>
                      <w:szCs w:val="21"/>
                      <w:u w:val="single"/>
                    </w:rPr>
                  </w:pPr>
                  <w:r>
                    <w:rPr>
                      <w:rFonts w:hint="default" w:ascii="Times New Roman" w:eastAsia="宋体" w:cs="Times New Roman"/>
                      <w:b w:val="0"/>
                      <w:bCs w:val="0"/>
                      <w:kern w:val="2"/>
                      <w:sz w:val="21"/>
                      <w:szCs w:val="21"/>
                      <w:u w:val="single"/>
                      <w:vertAlign w:val="baseline"/>
                      <w:lang w:val="en-US" w:eastAsia="zh-CN"/>
                    </w:rPr>
                    <w:t>7#厂房为打砂、制砖车间，</w:t>
                  </w:r>
                  <w:r>
                    <w:rPr>
                      <w:rFonts w:hint="default" w:ascii="Times New Roman"/>
                      <w:kern w:val="2"/>
                      <w:sz w:val="21"/>
                      <w:szCs w:val="21"/>
                      <w:u w:val="single"/>
                      <w:lang w:eastAsia="zh-CN"/>
                    </w:rPr>
                    <w:t>占地</w:t>
                  </w:r>
                  <w:r>
                    <w:rPr>
                      <w:rFonts w:hint="default" w:ascii="Times New Roman"/>
                      <w:kern w:val="2"/>
                      <w:sz w:val="21"/>
                      <w:szCs w:val="21"/>
                      <w:u w:val="single"/>
                    </w:rPr>
                    <w:t>面积约为</w:t>
                  </w:r>
                  <w:r>
                    <w:rPr>
                      <w:rFonts w:hint="default" w:ascii="Times New Roman"/>
                      <w:kern w:val="2"/>
                      <w:sz w:val="21"/>
                      <w:szCs w:val="21"/>
                      <w:u w:val="single"/>
                      <w:lang w:val="en-US" w:eastAsia="zh-CN"/>
                    </w:rPr>
                    <w:t>30</w:t>
                  </w:r>
                  <w:r>
                    <w:rPr>
                      <w:rFonts w:hint="default" w:ascii="Times New Roman"/>
                      <w:kern w:val="2"/>
                      <w:sz w:val="21"/>
                      <w:szCs w:val="21"/>
                      <w:u w:val="single"/>
                    </w:rPr>
                    <w:t>m</w:t>
                  </w:r>
                  <w:r>
                    <w:rPr>
                      <w:rFonts w:hint="default" w:ascii="Times New Roman"/>
                      <w:kern w:val="2"/>
                      <w:sz w:val="21"/>
                      <w:szCs w:val="21"/>
                      <w:u w:val="single"/>
                      <w:vertAlign w:val="superscript"/>
                    </w:rPr>
                    <w:t>2</w:t>
                  </w:r>
                  <w:r>
                    <w:rPr>
                      <w:rFonts w:hint="default" w:ascii="Times New Roman"/>
                      <w:kern w:val="2"/>
                      <w:sz w:val="21"/>
                      <w:szCs w:val="21"/>
                      <w:u w:val="single"/>
                    </w:rPr>
                    <w:t>，轻钢结构，1F，层高6m</w:t>
                  </w:r>
                  <w:r>
                    <w:rPr>
                      <w:rFonts w:hint="default" w:ascii="Times New Roman"/>
                      <w:kern w:val="2"/>
                      <w:sz w:val="21"/>
                      <w:szCs w:val="21"/>
                      <w:u w:val="single"/>
                      <w:lang w:eastAsia="zh-CN"/>
                    </w:rPr>
                    <w:t>，位于厂区北部</w:t>
                  </w:r>
                </w:p>
              </w:tc>
              <w:tc>
                <w:tcPr>
                  <w:tcW w:w="376" w:type="pct"/>
                  <w:shd w:val="clear" w:color="auto" w:fill="auto"/>
                  <w:vAlign w:val="center"/>
                </w:tcPr>
                <w:p w14:paraId="27879B09">
                  <w:pPr>
                    <w:spacing w:line="240" w:lineRule="auto"/>
                    <w:jc w:val="center"/>
                    <w:rPr>
                      <w:color w:val="0000C7"/>
                      <w:sz w:val="21"/>
                      <w:szCs w:val="21"/>
                      <w:u w:val="single"/>
                    </w:rPr>
                  </w:pPr>
                  <w:r>
                    <w:rPr>
                      <w:rFonts w:hint="eastAsia"/>
                      <w:sz w:val="21"/>
                      <w:szCs w:val="21"/>
                      <w:u w:val="single"/>
                    </w:rPr>
                    <w:t>5#厂房</w:t>
                  </w:r>
                </w:p>
              </w:tc>
              <w:tc>
                <w:tcPr>
                  <w:tcW w:w="2197" w:type="pct"/>
                  <w:shd w:val="clear" w:color="auto" w:fill="auto"/>
                  <w:vAlign w:val="center"/>
                </w:tcPr>
                <w:p w14:paraId="7D29FFF0">
                  <w:pPr>
                    <w:spacing w:line="240" w:lineRule="auto"/>
                    <w:jc w:val="center"/>
                    <w:rPr>
                      <w:sz w:val="21"/>
                      <w:szCs w:val="21"/>
                      <w:u w:val="single"/>
                    </w:rPr>
                  </w:pPr>
                  <w:r>
                    <w:rPr>
                      <w:rFonts w:hint="eastAsia"/>
                      <w:sz w:val="21"/>
                      <w:szCs w:val="21"/>
                      <w:u w:val="single"/>
                    </w:rPr>
                    <w:t>5#厂房为大切车间，建筑面积约为1130m</w:t>
                  </w:r>
                  <w:r>
                    <w:rPr>
                      <w:rFonts w:hint="eastAsia"/>
                      <w:sz w:val="21"/>
                      <w:szCs w:val="21"/>
                      <w:u w:val="single"/>
                      <w:vertAlign w:val="superscript"/>
                    </w:rPr>
                    <w:t>2</w:t>
                  </w:r>
                  <w:r>
                    <w:rPr>
                      <w:rFonts w:hint="eastAsia"/>
                      <w:sz w:val="21"/>
                      <w:szCs w:val="21"/>
                      <w:u w:val="single"/>
                    </w:rPr>
                    <w:t>，轻钢结构，1F，层高6m，位于厂区南部。</w:t>
                  </w:r>
                </w:p>
              </w:tc>
              <w:tc>
                <w:tcPr>
                  <w:tcW w:w="568" w:type="pct"/>
                  <w:shd w:val="clear" w:color="auto" w:fill="auto"/>
                  <w:vAlign w:val="center"/>
                </w:tcPr>
                <w:p w14:paraId="7C05C193">
                  <w:pPr>
                    <w:spacing w:line="240" w:lineRule="auto"/>
                    <w:jc w:val="center"/>
                    <w:rPr>
                      <w:rFonts w:hint="eastAsia"/>
                      <w:sz w:val="21"/>
                      <w:szCs w:val="21"/>
                      <w:u w:val="single"/>
                    </w:rPr>
                  </w:pPr>
                  <w:r>
                    <w:rPr>
                      <w:rFonts w:hint="eastAsia"/>
                      <w:sz w:val="21"/>
                      <w:szCs w:val="21"/>
                      <w:u w:val="single"/>
                      <w:lang w:eastAsia="zh-CN"/>
                    </w:rPr>
                    <w:t>否</w:t>
                  </w:r>
                </w:p>
              </w:tc>
            </w:tr>
            <w:tr w14:paraId="044927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254" w:type="pct"/>
                  <w:vMerge w:val="restart"/>
                  <w:shd w:val="clear" w:color="auto" w:fill="auto"/>
                  <w:vAlign w:val="center"/>
                </w:tcPr>
                <w:p w14:paraId="3198ECFE">
                  <w:pPr>
                    <w:spacing w:line="240" w:lineRule="auto"/>
                    <w:jc w:val="center"/>
                    <w:rPr>
                      <w:sz w:val="21"/>
                      <w:szCs w:val="21"/>
                      <w:u w:val="single"/>
                    </w:rPr>
                  </w:pPr>
                  <w:r>
                    <w:rPr>
                      <w:rFonts w:hint="eastAsia"/>
                      <w:sz w:val="21"/>
                      <w:szCs w:val="21"/>
                      <w:u w:val="single"/>
                    </w:rPr>
                    <w:t>2</w:t>
                  </w:r>
                </w:p>
              </w:tc>
              <w:tc>
                <w:tcPr>
                  <w:tcW w:w="254" w:type="pct"/>
                  <w:vMerge w:val="restart"/>
                  <w:shd w:val="clear" w:color="auto" w:fill="auto"/>
                  <w:vAlign w:val="center"/>
                </w:tcPr>
                <w:p w14:paraId="4E269DB0">
                  <w:pPr>
                    <w:spacing w:line="240" w:lineRule="auto"/>
                    <w:jc w:val="center"/>
                    <w:rPr>
                      <w:u w:val="single"/>
                    </w:rPr>
                  </w:pPr>
                  <w:r>
                    <w:rPr>
                      <w:rFonts w:hint="eastAsia"/>
                      <w:sz w:val="21"/>
                      <w:szCs w:val="21"/>
                      <w:u w:val="single"/>
                    </w:rPr>
                    <w:t>储运工程</w:t>
                  </w:r>
                </w:p>
              </w:tc>
              <w:tc>
                <w:tcPr>
                  <w:tcW w:w="254" w:type="pct"/>
                  <w:shd w:val="clear" w:color="auto" w:fill="auto"/>
                  <w:vAlign w:val="center"/>
                </w:tcPr>
                <w:p w14:paraId="15720328">
                  <w:pPr>
                    <w:spacing w:line="240" w:lineRule="auto"/>
                    <w:jc w:val="center"/>
                    <w:rPr>
                      <w:rFonts w:hint="eastAsia"/>
                      <w:sz w:val="21"/>
                      <w:szCs w:val="21"/>
                      <w:u w:val="single"/>
                    </w:rPr>
                  </w:pPr>
                  <w:r>
                    <w:rPr>
                      <w:rFonts w:hint="eastAsia"/>
                      <w:sz w:val="21"/>
                      <w:szCs w:val="21"/>
                      <w:u w:val="single"/>
                    </w:rPr>
                    <w:t>成品</w:t>
                  </w:r>
                  <w:r>
                    <w:rPr>
                      <w:sz w:val="21"/>
                      <w:szCs w:val="21"/>
                      <w:u w:val="single"/>
                    </w:rPr>
                    <w:t>堆场</w:t>
                  </w:r>
                </w:p>
              </w:tc>
              <w:tc>
                <w:tcPr>
                  <w:tcW w:w="1093" w:type="pct"/>
                  <w:shd w:val="clear" w:color="auto" w:fill="auto"/>
                  <w:vAlign w:val="center"/>
                </w:tcPr>
                <w:p w14:paraId="6ED5425D">
                  <w:pPr>
                    <w:spacing w:line="240" w:lineRule="auto"/>
                    <w:jc w:val="center"/>
                    <w:rPr>
                      <w:rFonts w:hint="eastAsia"/>
                      <w:sz w:val="21"/>
                      <w:szCs w:val="21"/>
                      <w:u w:val="single"/>
                    </w:rPr>
                  </w:pPr>
                  <w:r>
                    <w:rPr>
                      <w:rFonts w:hint="eastAsia"/>
                      <w:sz w:val="21"/>
                      <w:szCs w:val="21"/>
                      <w:u w:val="single"/>
                      <w:lang w:eastAsia="zh-CN"/>
                    </w:rPr>
                    <w:t>临时</w:t>
                  </w:r>
                  <w:r>
                    <w:rPr>
                      <w:sz w:val="21"/>
                      <w:szCs w:val="21"/>
                      <w:u w:val="single"/>
                    </w:rPr>
                    <w:t>堆存产品</w:t>
                  </w:r>
                  <w:r>
                    <w:rPr>
                      <w:rFonts w:hint="eastAsia"/>
                      <w:sz w:val="21"/>
                      <w:szCs w:val="21"/>
                      <w:u w:val="single"/>
                    </w:rPr>
                    <w:t>，</w:t>
                  </w:r>
                  <w:r>
                    <w:rPr>
                      <w:sz w:val="21"/>
                      <w:szCs w:val="21"/>
                      <w:u w:val="single"/>
                    </w:rPr>
                    <w:t>占地面积</w:t>
                  </w:r>
                  <w:r>
                    <w:rPr>
                      <w:rFonts w:hint="eastAsia"/>
                      <w:sz w:val="21"/>
                      <w:szCs w:val="21"/>
                      <w:u w:val="single"/>
                      <w:lang w:val="en-US" w:eastAsia="zh-CN"/>
                    </w:rPr>
                    <w:t>19</w:t>
                  </w:r>
                  <w:r>
                    <w:rPr>
                      <w:rFonts w:hint="eastAsia"/>
                      <w:sz w:val="21"/>
                      <w:szCs w:val="21"/>
                      <w:u w:val="single"/>
                    </w:rPr>
                    <w:t>00</w:t>
                  </w:r>
                  <w:r>
                    <w:rPr>
                      <w:sz w:val="21"/>
                      <w:szCs w:val="21"/>
                      <w:u w:val="single"/>
                    </w:rPr>
                    <w:t>m</w:t>
                  </w:r>
                  <w:r>
                    <w:rPr>
                      <w:sz w:val="21"/>
                      <w:szCs w:val="21"/>
                      <w:u w:val="single"/>
                      <w:vertAlign w:val="superscript"/>
                    </w:rPr>
                    <w:t>2</w:t>
                  </w:r>
                  <w:r>
                    <w:rPr>
                      <w:sz w:val="21"/>
                      <w:szCs w:val="21"/>
                      <w:u w:val="single"/>
                    </w:rPr>
                    <w:t>。</w:t>
                  </w:r>
                </w:p>
              </w:tc>
              <w:tc>
                <w:tcPr>
                  <w:tcW w:w="376" w:type="pct"/>
                  <w:shd w:val="clear" w:color="auto" w:fill="auto"/>
                  <w:vAlign w:val="center"/>
                </w:tcPr>
                <w:p w14:paraId="799A255F">
                  <w:pPr>
                    <w:spacing w:line="240" w:lineRule="auto"/>
                    <w:jc w:val="center"/>
                    <w:rPr>
                      <w:sz w:val="21"/>
                      <w:szCs w:val="21"/>
                      <w:u w:val="single"/>
                    </w:rPr>
                  </w:pPr>
                  <w:r>
                    <w:rPr>
                      <w:rFonts w:hint="eastAsia"/>
                      <w:sz w:val="21"/>
                      <w:szCs w:val="21"/>
                      <w:u w:val="single"/>
                    </w:rPr>
                    <w:t>成品</w:t>
                  </w:r>
                  <w:r>
                    <w:rPr>
                      <w:sz w:val="21"/>
                      <w:szCs w:val="21"/>
                      <w:u w:val="single"/>
                    </w:rPr>
                    <w:t>堆场</w:t>
                  </w:r>
                </w:p>
              </w:tc>
              <w:tc>
                <w:tcPr>
                  <w:tcW w:w="2197" w:type="pct"/>
                  <w:shd w:val="clear" w:color="auto" w:fill="auto"/>
                  <w:vAlign w:val="center"/>
                </w:tcPr>
                <w:p w14:paraId="5C0769A7">
                  <w:pPr>
                    <w:spacing w:line="240" w:lineRule="auto"/>
                    <w:jc w:val="center"/>
                    <w:rPr>
                      <w:sz w:val="21"/>
                      <w:szCs w:val="21"/>
                      <w:u w:val="single"/>
                    </w:rPr>
                  </w:pPr>
                  <w:r>
                    <w:rPr>
                      <w:rFonts w:hint="eastAsia"/>
                      <w:sz w:val="21"/>
                      <w:szCs w:val="21"/>
                      <w:u w:val="single"/>
                    </w:rPr>
                    <w:t>分区</w:t>
                  </w:r>
                  <w:r>
                    <w:rPr>
                      <w:sz w:val="21"/>
                      <w:szCs w:val="21"/>
                      <w:u w:val="single"/>
                    </w:rPr>
                    <w:t>堆存产品，</w:t>
                  </w:r>
                  <w:r>
                    <w:rPr>
                      <w:rFonts w:hint="eastAsia"/>
                      <w:sz w:val="21"/>
                      <w:szCs w:val="21"/>
                      <w:u w:val="single"/>
                    </w:rPr>
                    <w:t>设置顶棚，三面围挡，防风防雨，</w:t>
                  </w:r>
                  <w:r>
                    <w:rPr>
                      <w:sz w:val="21"/>
                      <w:szCs w:val="21"/>
                      <w:u w:val="single"/>
                    </w:rPr>
                    <w:t>占地面积</w:t>
                  </w:r>
                  <w:r>
                    <w:rPr>
                      <w:rFonts w:hint="eastAsia"/>
                      <w:sz w:val="21"/>
                      <w:szCs w:val="21"/>
                      <w:u w:val="single"/>
                    </w:rPr>
                    <w:t>700</w:t>
                  </w:r>
                  <w:r>
                    <w:rPr>
                      <w:sz w:val="21"/>
                      <w:szCs w:val="21"/>
                      <w:u w:val="single"/>
                    </w:rPr>
                    <w:t>m</w:t>
                  </w:r>
                  <w:r>
                    <w:rPr>
                      <w:sz w:val="21"/>
                      <w:szCs w:val="21"/>
                      <w:u w:val="single"/>
                      <w:vertAlign w:val="superscript"/>
                    </w:rPr>
                    <w:t>2</w:t>
                  </w:r>
                  <w:r>
                    <w:rPr>
                      <w:sz w:val="21"/>
                      <w:szCs w:val="21"/>
                      <w:u w:val="single"/>
                    </w:rPr>
                    <w:t>。</w:t>
                  </w:r>
                </w:p>
              </w:tc>
              <w:tc>
                <w:tcPr>
                  <w:tcW w:w="568" w:type="pct"/>
                  <w:shd w:val="clear" w:color="auto" w:fill="auto"/>
                  <w:vAlign w:val="center"/>
                </w:tcPr>
                <w:p w14:paraId="620D4807">
                  <w:pPr>
                    <w:spacing w:line="240" w:lineRule="auto"/>
                    <w:jc w:val="center"/>
                    <w:rPr>
                      <w:rFonts w:hint="eastAsia"/>
                      <w:sz w:val="21"/>
                      <w:szCs w:val="21"/>
                      <w:u w:val="single"/>
                    </w:rPr>
                  </w:pPr>
                  <w:r>
                    <w:rPr>
                      <w:rFonts w:hint="eastAsia"/>
                      <w:sz w:val="21"/>
                      <w:szCs w:val="21"/>
                      <w:u w:val="single"/>
                      <w:lang w:eastAsia="zh-CN"/>
                    </w:rPr>
                    <w:t>否</w:t>
                  </w:r>
                </w:p>
              </w:tc>
            </w:tr>
            <w:tr w14:paraId="209CCE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54" w:type="pct"/>
                  <w:vMerge w:val="continue"/>
                  <w:shd w:val="clear" w:color="auto" w:fill="auto"/>
                  <w:vAlign w:val="center"/>
                </w:tcPr>
                <w:p w14:paraId="30601273">
                  <w:pPr>
                    <w:spacing w:line="240" w:lineRule="auto"/>
                    <w:jc w:val="center"/>
                    <w:rPr>
                      <w:u w:val="single"/>
                    </w:rPr>
                  </w:pPr>
                </w:p>
              </w:tc>
              <w:tc>
                <w:tcPr>
                  <w:tcW w:w="254" w:type="pct"/>
                  <w:vMerge w:val="continue"/>
                  <w:shd w:val="clear" w:color="auto" w:fill="auto"/>
                  <w:vAlign w:val="center"/>
                </w:tcPr>
                <w:p w14:paraId="74412C67">
                  <w:pPr>
                    <w:spacing w:line="240" w:lineRule="auto"/>
                    <w:jc w:val="center"/>
                    <w:rPr>
                      <w:u w:val="single"/>
                    </w:rPr>
                  </w:pPr>
                </w:p>
              </w:tc>
              <w:tc>
                <w:tcPr>
                  <w:tcW w:w="254" w:type="pct"/>
                  <w:shd w:val="clear" w:color="auto" w:fill="auto"/>
                  <w:vAlign w:val="center"/>
                </w:tcPr>
                <w:p w14:paraId="5CF5A555">
                  <w:pPr>
                    <w:spacing w:line="240" w:lineRule="auto"/>
                    <w:jc w:val="center"/>
                    <w:rPr>
                      <w:u w:val="single"/>
                    </w:rPr>
                  </w:pPr>
                  <w:r>
                    <w:rPr>
                      <w:sz w:val="21"/>
                      <w:szCs w:val="21"/>
                      <w:u w:val="single"/>
                    </w:rPr>
                    <w:t>原料堆场</w:t>
                  </w:r>
                </w:p>
              </w:tc>
              <w:tc>
                <w:tcPr>
                  <w:tcW w:w="1093" w:type="pct"/>
                  <w:shd w:val="clear" w:color="auto" w:fill="auto"/>
                  <w:vAlign w:val="center"/>
                </w:tcPr>
                <w:p w14:paraId="77160BBD">
                  <w:pPr>
                    <w:spacing w:line="240" w:lineRule="auto"/>
                    <w:jc w:val="center"/>
                    <w:rPr>
                      <w:u w:val="single"/>
                    </w:rPr>
                  </w:pPr>
                  <w:r>
                    <w:rPr>
                      <w:sz w:val="21"/>
                      <w:szCs w:val="21"/>
                      <w:u w:val="single"/>
                    </w:rPr>
                    <w:t>用于</w:t>
                  </w:r>
                  <w:r>
                    <w:rPr>
                      <w:rFonts w:hint="eastAsia"/>
                      <w:sz w:val="21"/>
                      <w:szCs w:val="21"/>
                      <w:u w:val="single"/>
                      <w:lang w:eastAsia="zh-CN"/>
                    </w:rPr>
                    <w:t>暂存</w:t>
                  </w:r>
                  <w:r>
                    <w:rPr>
                      <w:sz w:val="21"/>
                      <w:szCs w:val="21"/>
                      <w:u w:val="single"/>
                    </w:rPr>
                    <w:t>原料，占地面积</w:t>
                  </w:r>
                  <w:r>
                    <w:rPr>
                      <w:rFonts w:hint="eastAsia"/>
                      <w:sz w:val="21"/>
                      <w:szCs w:val="21"/>
                      <w:u w:val="single"/>
                      <w:lang w:val="en-US" w:eastAsia="zh-CN"/>
                    </w:rPr>
                    <w:t>46</w:t>
                  </w:r>
                  <w:r>
                    <w:rPr>
                      <w:rFonts w:hint="eastAsia"/>
                      <w:sz w:val="21"/>
                      <w:szCs w:val="21"/>
                      <w:u w:val="single"/>
                    </w:rPr>
                    <w:t>0</w:t>
                  </w:r>
                  <w:r>
                    <w:rPr>
                      <w:sz w:val="21"/>
                      <w:szCs w:val="21"/>
                      <w:u w:val="single"/>
                    </w:rPr>
                    <w:t>m</w:t>
                  </w:r>
                  <w:r>
                    <w:rPr>
                      <w:sz w:val="21"/>
                      <w:szCs w:val="21"/>
                      <w:u w:val="single"/>
                      <w:vertAlign w:val="superscript"/>
                    </w:rPr>
                    <w:t>2</w:t>
                  </w:r>
                  <w:r>
                    <w:rPr>
                      <w:sz w:val="21"/>
                      <w:szCs w:val="21"/>
                      <w:u w:val="single"/>
                    </w:rPr>
                    <w:t>。</w:t>
                  </w:r>
                </w:p>
              </w:tc>
              <w:tc>
                <w:tcPr>
                  <w:tcW w:w="376" w:type="pct"/>
                  <w:shd w:val="clear" w:color="auto" w:fill="auto"/>
                  <w:vAlign w:val="center"/>
                </w:tcPr>
                <w:p w14:paraId="44B684EF">
                  <w:pPr>
                    <w:spacing w:line="240" w:lineRule="auto"/>
                    <w:jc w:val="center"/>
                    <w:rPr>
                      <w:color w:val="0000C7"/>
                      <w:sz w:val="21"/>
                      <w:szCs w:val="21"/>
                      <w:u w:val="single"/>
                    </w:rPr>
                  </w:pPr>
                  <w:r>
                    <w:rPr>
                      <w:sz w:val="21"/>
                      <w:szCs w:val="21"/>
                      <w:u w:val="single"/>
                    </w:rPr>
                    <w:t>原料堆场</w:t>
                  </w:r>
                </w:p>
              </w:tc>
              <w:tc>
                <w:tcPr>
                  <w:tcW w:w="2197" w:type="pct"/>
                  <w:shd w:val="clear" w:color="auto" w:fill="auto"/>
                  <w:vAlign w:val="center"/>
                </w:tcPr>
                <w:p w14:paraId="0C4E4F57">
                  <w:pPr>
                    <w:spacing w:line="240" w:lineRule="auto"/>
                    <w:jc w:val="center"/>
                    <w:rPr>
                      <w:sz w:val="21"/>
                      <w:szCs w:val="21"/>
                      <w:u w:val="single"/>
                    </w:rPr>
                  </w:pPr>
                  <w:r>
                    <w:rPr>
                      <w:sz w:val="21"/>
                      <w:szCs w:val="21"/>
                      <w:u w:val="single"/>
                    </w:rPr>
                    <w:t>用于</w:t>
                  </w:r>
                  <w:r>
                    <w:rPr>
                      <w:rFonts w:hint="eastAsia"/>
                      <w:sz w:val="21"/>
                      <w:szCs w:val="21"/>
                      <w:u w:val="single"/>
                      <w:lang w:eastAsia="zh-CN"/>
                    </w:rPr>
                    <w:t>暂存</w:t>
                  </w:r>
                  <w:r>
                    <w:rPr>
                      <w:sz w:val="21"/>
                      <w:szCs w:val="21"/>
                      <w:u w:val="single"/>
                    </w:rPr>
                    <w:t>原料，</w:t>
                  </w:r>
                  <w:r>
                    <w:rPr>
                      <w:rFonts w:hint="eastAsia"/>
                      <w:sz w:val="21"/>
                      <w:szCs w:val="21"/>
                      <w:u w:val="single"/>
                    </w:rPr>
                    <w:t>设置顶棚，三面围挡，防风防雨，</w:t>
                  </w:r>
                  <w:r>
                    <w:rPr>
                      <w:sz w:val="21"/>
                      <w:szCs w:val="21"/>
                      <w:u w:val="single"/>
                    </w:rPr>
                    <w:t>占地面积</w:t>
                  </w:r>
                  <w:r>
                    <w:rPr>
                      <w:rFonts w:hint="eastAsia"/>
                      <w:sz w:val="21"/>
                      <w:szCs w:val="21"/>
                      <w:u w:val="single"/>
                    </w:rPr>
                    <w:t>800</w:t>
                  </w:r>
                  <w:r>
                    <w:rPr>
                      <w:sz w:val="21"/>
                      <w:szCs w:val="21"/>
                      <w:u w:val="single"/>
                    </w:rPr>
                    <w:t>m</w:t>
                  </w:r>
                  <w:r>
                    <w:rPr>
                      <w:sz w:val="21"/>
                      <w:szCs w:val="21"/>
                      <w:u w:val="single"/>
                      <w:vertAlign w:val="superscript"/>
                    </w:rPr>
                    <w:t>2</w:t>
                  </w:r>
                  <w:r>
                    <w:rPr>
                      <w:rFonts w:hint="eastAsia"/>
                      <w:sz w:val="21"/>
                      <w:szCs w:val="21"/>
                      <w:u w:val="single"/>
                      <w:vertAlign w:val="baseline"/>
                      <w:lang w:eastAsia="zh-CN"/>
                    </w:rPr>
                    <w:t>，</w:t>
                  </w:r>
                  <w:r>
                    <w:rPr>
                      <w:rFonts w:hint="eastAsia"/>
                      <w:sz w:val="21"/>
                      <w:szCs w:val="21"/>
                      <w:u w:val="single"/>
                      <w:vertAlign w:val="baseline"/>
                      <w:lang w:val="en-US" w:eastAsia="zh-CN"/>
                    </w:rPr>
                    <w:t>其中</w:t>
                  </w:r>
                  <w:r>
                    <w:rPr>
                      <w:rFonts w:hint="eastAsia"/>
                      <w:sz w:val="21"/>
                      <w:szCs w:val="21"/>
                      <w:u w:val="single"/>
                    </w:rPr>
                    <w:t>荒料、边角料</w:t>
                  </w:r>
                  <w:r>
                    <w:rPr>
                      <w:rFonts w:hint="eastAsia"/>
                      <w:sz w:val="21"/>
                      <w:szCs w:val="21"/>
                      <w:u w:val="single"/>
                      <w:lang w:eastAsia="zh-CN"/>
                    </w:rPr>
                    <w:t>及不合格产品</w:t>
                  </w:r>
                  <w:r>
                    <w:rPr>
                      <w:rFonts w:hint="eastAsia"/>
                      <w:sz w:val="21"/>
                      <w:szCs w:val="21"/>
                      <w:u w:val="single"/>
                    </w:rPr>
                    <w:t>堆区400m</w:t>
                  </w:r>
                  <w:r>
                    <w:rPr>
                      <w:rFonts w:hint="eastAsia"/>
                      <w:sz w:val="21"/>
                      <w:szCs w:val="21"/>
                      <w:u w:val="single"/>
                      <w:vertAlign w:val="superscript"/>
                    </w:rPr>
                    <w:t>2</w:t>
                  </w:r>
                  <w:r>
                    <w:rPr>
                      <w:rFonts w:hint="eastAsia"/>
                      <w:sz w:val="21"/>
                      <w:szCs w:val="21"/>
                      <w:u w:val="single"/>
                    </w:rPr>
                    <w:t>、压滤泥饼堆放区200m</w:t>
                  </w:r>
                  <w:r>
                    <w:rPr>
                      <w:rFonts w:hint="eastAsia"/>
                      <w:sz w:val="21"/>
                      <w:szCs w:val="21"/>
                      <w:u w:val="single"/>
                      <w:vertAlign w:val="superscript"/>
                    </w:rPr>
                    <w:t>2</w:t>
                  </w:r>
                  <w:r>
                    <w:rPr>
                      <w:rFonts w:hint="eastAsia"/>
                      <w:sz w:val="21"/>
                      <w:szCs w:val="21"/>
                      <w:u w:val="single"/>
                    </w:rPr>
                    <w:t>及</w:t>
                  </w:r>
                  <w:r>
                    <w:rPr>
                      <w:rFonts w:hint="eastAsia" w:ascii="Times New Roman" w:hAnsi="Times New Roman" w:eastAsia="宋体" w:cs="Times New Roman"/>
                      <w:kern w:val="2"/>
                      <w:sz w:val="21"/>
                      <w:szCs w:val="21"/>
                      <w:u w:val="single"/>
                      <w:lang w:val="en-US" w:eastAsia="zh-CN" w:bidi="ar-SA"/>
                    </w:rPr>
                    <w:t>透水砖、路面砖</w:t>
                  </w:r>
                  <w:r>
                    <w:rPr>
                      <w:rFonts w:hint="eastAsia"/>
                      <w:sz w:val="21"/>
                      <w:szCs w:val="21"/>
                      <w:u w:val="single"/>
                    </w:rPr>
                    <w:t>所用原材料区200m</w:t>
                  </w:r>
                  <w:r>
                    <w:rPr>
                      <w:rFonts w:hint="eastAsia"/>
                      <w:sz w:val="21"/>
                      <w:szCs w:val="21"/>
                      <w:u w:val="single"/>
                      <w:vertAlign w:val="superscript"/>
                    </w:rPr>
                    <w:t>2</w:t>
                  </w:r>
                  <w:r>
                    <w:rPr>
                      <w:sz w:val="21"/>
                      <w:szCs w:val="21"/>
                      <w:u w:val="single"/>
                    </w:rPr>
                    <w:t>。</w:t>
                  </w:r>
                </w:p>
              </w:tc>
              <w:tc>
                <w:tcPr>
                  <w:tcW w:w="568" w:type="pct"/>
                  <w:shd w:val="clear" w:color="auto" w:fill="auto"/>
                  <w:vAlign w:val="center"/>
                </w:tcPr>
                <w:p w14:paraId="72760E70">
                  <w:pPr>
                    <w:spacing w:line="240" w:lineRule="auto"/>
                    <w:jc w:val="center"/>
                    <w:rPr>
                      <w:sz w:val="21"/>
                      <w:szCs w:val="21"/>
                      <w:u w:val="single"/>
                    </w:rPr>
                  </w:pPr>
                  <w:r>
                    <w:rPr>
                      <w:rFonts w:hint="eastAsia"/>
                      <w:sz w:val="21"/>
                      <w:szCs w:val="21"/>
                      <w:u w:val="single"/>
                      <w:lang w:eastAsia="zh-CN"/>
                    </w:rPr>
                    <w:t>否</w:t>
                  </w:r>
                </w:p>
              </w:tc>
            </w:tr>
            <w:tr w14:paraId="4D7FCE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62" w:hRule="atLeast"/>
                <w:jc w:val="center"/>
              </w:trPr>
              <w:tc>
                <w:tcPr>
                  <w:tcW w:w="254" w:type="pct"/>
                  <w:shd w:val="clear" w:color="auto" w:fill="auto"/>
                  <w:vAlign w:val="center"/>
                </w:tcPr>
                <w:p w14:paraId="39BE6815">
                  <w:pPr>
                    <w:spacing w:line="240" w:lineRule="auto"/>
                    <w:jc w:val="center"/>
                    <w:rPr>
                      <w:sz w:val="21"/>
                      <w:szCs w:val="21"/>
                      <w:u w:val="single"/>
                    </w:rPr>
                  </w:pPr>
                  <w:r>
                    <w:rPr>
                      <w:rFonts w:hint="eastAsia"/>
                      <w:sz w:val="21"/>
                      <w:szCs w:val="21"/>
                      <w:u w:val="single"/>
                    </w:rPr>
                    <w:t>3</w:t>
                  </w:r>
                </w:p>
              </w:tc>
              <w:tc>
                <w:tcPr>
                  <w:tcW w:w="254" w:type="pct"/>
                  <w:shd w:val="clear" w:color="auto" w:fill="auto"/>
                  <w:vAlign w:val="center"/>
                </w:tcPr>
                <w:p w14:paraId="32CCC5A3">
                  <w:pPr>
                    <w:spacing w:line="240" w:lineRule="auto"/>
                    <w:jc w:val="center"/>
                    <w:rPr>
                      <w:sz w:val="21"/>
                      <w:szCs w:val="21"/>
                      <w:u w:val="single"/>
                    </w:rPr>
                  </w:pPr>
                  <w:r>
                    <w:rPr>
                      <w:sz w:val="21"/>
                      <w:szCs w:val="21"/>
                      <w:u w:val="single"/>
                    </w:rPr>
                    <w:t>辅助工程</w:t>
                  </w:r>
                </w:p>
              </w:tc>
              <w:tc>
                <w:tcPr>
                  <w:tcW w:w="254" w:type="pct"/>
                  <w:shd w:val="clear" w:color="auto" w:fill="auto"/>
                  <w:vAlign w:val="center"/>
                </w:tcPr>
                <w:p w14:paraId="5DC1E0F4">
                  <w:pPr>
                    <w:pStyle w:val="36"/>
                    <w:adjustRightInd w:val="0"/>
                    <w:snapToGrid w:val="0"/>
                    <w:spacing w:line="240" w:lineRule="auto"/>
                    <w:ind w:firstLine="0" w:firstLineChars="0"/>
                    <w:jc w:val="center"/>
                    <w:rPr>
                      <w:sz w:val="21"/>
                      <w:szCs w:val="21"/>
                      <w:u w:val="single"/>
                    </w:rPr>
                  </w:pPr>
                  <w:r>
                    <w:rPr>
                      <w:rFonts w:hint="eastAsia"/>
                      <w:sz w:val="21"/>
                      <w:szCs w:val="21"/>
                      <w:u w:val="single"/>
                    </w:rPr>
                    <w:t>综合办公楼</w:t>
                  </w:r>
                </w:p>
              </w:tc>
              <w:tc>
                <w:tcPr>
                  <w:tcW w:w="1093" w:type="pct"/>
                  <w:shd w:val="clear" w:color="auto" w:fill="auto"/>
                  <w:vAlign w:val="center"/>
                </w:tcPr>
                <w:p w14:paraId="2839C0DF">
                  <w:pPr>
                    <w:pStyle w:val="36"/>
                    <w:adjustRightInd w:val="0"/>
                    <w:snapToGrid w:val="0"/>
                    <w:spacing w:line="240" w:lineRule="auto"/>
                    <w:ind w:firstLine="0" w:firstLineChars="0"/>
                    <w:jc w:val="center"/>
                    <w:rPr>
                      <w:sz w:val="21"/>
                      <w:szCs w:val="21"/>
                      <w:u w:val="single"/>
                    </w:rPr>
                  </w:pPr>
                  <w:r>
                    <w:rPr>
                      <w:rFonts w:ascii="Times New Roman"/>
                      <w:kern w:val="2"/>
                      <w:sz w:val="21"/>
                      <w:szCs w:val="21"/>
                      <w:u w:val="single"/>
                    </w:rPr>
                    <w:t>一栋</w:t>
                  </w:r>
                  <w:r>
                    <w:rPr>
                      <w:rFonts w:hint="default" w:ascii="Times New Roman"/>
                      <w:kern w:val="2"/>
                      <w:sz w:val="21"/>
                      <w:szCs w:val="21"/>
                      <w:u w:val="single"/>
                      <w:lang w:val="en-US" w:eastAsia="zh-CN"/>
                    </w:rPr>
                    <w:t>1</w:t>
                  </w:r>
                  <w:r>
                    <w:rPr>
                      <w:rFonts w:ascii="Times New Roman"/>
                      <w:kern w:val="2"/>
                      <w:sz w:val="21"/>
                      <w:szCs w:val="21"/>
                      <w:u w:val="single"/>
                    </w:rPr>
                    <w:t>F</w:t>
                  </w:r>
                  <w:r>
                    <w:rPr>
                      <w:rFonts w:hint="default" w:ascii="Times New Roman"/>
                      <w:kern w:val="2"/>
                      <w:sz w:val="21"/>
                      <w:szCs w:val="21"/>
                      <w:u w:val="single"/>
                    </w:rPr>
                    <w:t>综合办公楼</w:t>
                  </w:r>
                  <w:r>
                    <w:rPr>
                      <w:rFonts w:ascii="Times New Roman"/>
                      <w:kern w:val="2"/>
                      <w:sz w:val="21"/>
                      <w:szCs w:val="21"/>
                      <w:u w:val="single"/>
                    </w:rPr>
                    <w:t>，设置值班室、</w:t>
                  </w:r>
                  <w:r>
                    <w:rPr>
                      <w:rFonts w:hint="default" w:ascii="Times New Roman"/>
                      <w:kern w:val="2"/>
                      <w:sz w:val="21"/>
                      <w:szCs w:val="21"/>
                      <w:u w:val="single"/>
                    </w:rPr>
                    <w:t>仓库、</w:t>
                  </w:r>
                  <w:r>
                    <w:rPr>
                      <w:rFonts w:ascii="Times New Roman"/>
                      <w:kern w:val="2"/>
                      <w:sz w:val="21"/>
                      <w:szCs w:val="21"/>
                      <w:u w:val="single"/>
                    </w:rPr>
                    <w:t>食堂、</w:t>
                  </w:r>
                  <w:r>
                    <w:rPr>
                      <w:rFonts w:hint="default" w:ascii="Times New Roman"/>
                      <w:kern w:val="2"/>
                      <w:sz w:val="21"/>
                      <w:szCs w:val="21"/>
                      <w:u w:val="single"/>
                    </w:rPr>
                    <w:t>宿舍、</w:t>
                  </w:r>
                  <w:r>
                    <w:rPr>
                      <w:rFonts w:ascii="Times New Roman"/>
                      <w:kern w:val="2"/>
                      <w:sz w:val="21"/>
                      <w:szCs w:val="21"/>
                      <w:u w:val="single"/>
                    </w:rPr>
                    <w:t>工具房</w:t>
                  </w:r>
                  <w:r>
                    <w:rPr>
                      <w:rFonts w:hint="default" w:ascii="Times New Roman"/>
                      <w:kern w:val="2"/>
                      <w:sz w:val="21"/>
                      <w:szCs w:val="21"/>
                      <w:u w:val="single"/>
                      <w:lang w:eastAsia="zh-CN"/>
                    </w:rPr>
                    <w:t>等，</w:t>
                  </w:r>
                  <w:r>
                    <w:rPr>
                      <w:rFonts w:ascii="Times New Roman"/>
                      <w:kern w:val="2"/>
                      <w:sz w:val="21"/>
                      <w:szCs w:val="21"/>
                      <w:u w:val="single"/>
                    </w:rPr>
                    <w:t>占地面积约</w:t>
                  </w:r>
                  <w:r>
                    <w:rPr>
                      <w:rFonts w:hint="default" w:ascii="Times New Roman"/>
                      <w:kern w:val="2"/>
                      <w:sz w:val="21"/>
                      <w:szCs w:val="21"/>
                      <w:u w:val="single"/>
                      <w:lang w:val="en-US" w:eastAsia="zh-CN"/>
                    </w:rPr>
                    <w:t>38</w:t>
                  </w:r>
                  <w:r>
                    <w:rPr>
                      <w:rFonts w:hint="default" w:ascii="Times New Roman"/>
                      <w:kern w:val="2"/>
                      <w:sz w:val="21"/>
                      <w:szCs w:val="21"/>
                      <w:u w:val="single"/>
                    </w:rPr>
                    <w:t>0</w:t>
                  </w:r>
                  <w:r>
                    <w:rPr>
                      <w:rFonts w:ascii="Times New Roman"/>
                      <w:kern w:val="2"/>
                      <w:sz w:val="21"/>
                      <w:szCs w:val="21"/>
                      <w:u w:val="single"/>
                    </w:rPr>
                    <w:t>m</w:t>
                  </w:r>
                  <w:r>
                    <w:rPr>
                      <w:rFonts w:ascii="Times New Roman"/>
                      <w:kern w:val="2"/>
                      <w:sz w:val="21"/>
                      <w:szCs w:val="21"/>
                      <w:u w:val="single"/>
                      <w:vertAlign w:val="superscript"/>
                    </w:rPr>
                    <w:t>2</w:t>
                  </w:r>
                  <w:r>
                    <w:rPr>
                      <w:rFonts w:ascii="Times New Roman"/>
                      <w:kern w:val="2"/>
                      <w:sz w:val="21"/>
                      <w:szCs w:val="21"/>
                      <w:u w:val="single"/>
                    </w:rPr>
                    <w:t>。</w:t>
                  </w:r>
                </w:p>
              </w:tc>
              <w:tc>
                <w:tcPr>
                  <w:tcW w:w="376" w:type="pct"/>
                  <w:shd w:val="clear" w:color="auto" w:fill="auto"/>
                  <w:vAlign w:val="center"/>
                </w:tcPr>
                <w:p w14:paraId="68BB65E3">
                  <w:pPr>
                    <w:spacing w:line="240" w:lineRule="auto"/>
                    <w:jc w:val="center"/>
                    <w:rPr>
                      <w:color w:val="0000C7"/>
                      <w:sz w:val="21"/>
                      <w:szCs w:val="21"/>
                      <w:u w:val="single"/>
                    </w:rPr>
                  </w:pPr>
                  <w:r>
                    <w:rPr>
                      <w:rFonts w:hint="eastAsia"/>
                      <w:sz w:val="21"/>
                      <w:szCs w:val="21"/>
                      <w:u w:val="single"/>
                    </w:rPr>
                    <w:t>综合办公楼</w:t>
                  </w:r>
                </w:p>
              </w:tc>
              <w:tc>
                <w:tcPr>
                  <w:tcW w:w="2197" w:type="pct"/>
                  <w:shd w:val="clear" w:color="auto" w:fill="auto"/>
                  <w:vAlign w:val="center"/>
                </w:tcPr>
                <w:p w14:paraId="1854D885">
                  <w:pPr>
                    <w:spacing w:line="240" w:lineRule="auto"/>
                    <w:jc w:val="center"/>
                    <w:rPr>
                      <w:color w:val="0000C7"/>
                      <w:sz w:val="21"/>
                      <w:szCs w:val="21"/>
                      <w:u w:val="single"/>
                    </w:rPr>
                  </w:pPr>
                  <w:r>
                    <w:rPr>
                      <w:sz w:val="21"/>
                      <w:szCs w:val="21"/>
                      <w:u w:val="single"/>
                    </w:rPr>
                    <w:t>一栋</w:t>
                  </w:r>
                  <w:r>
                    <w:rPr>
                      <w:rFonts w:hint="eastAsia"/>
                      <w:sz w:val="21"/>
                      <w:szCs w:val="21"/>
                      <w:u w:val="single"/>
                    </w:rPr>
                    <w:t>3</w:t>
                  </w:r>
                  <w:r>
                    <w:rPr>
                      <w:sz w:val="21"/>
                      <w:szCs w:val="21"/>
                      <w:u w:val="single"/>
                    </w:rPr>
                    <w:t>F</w:t>
                  </w:r>
                  <w:r>
                    <w:rPr>
                      <w:rFonts w:hint="eastAsia"/>
                      <w:sz w:val="21"/>
                      <w:szCs w:val="21"/>
                      <w:u w:val="single"/>
                    </w:rPr>
                    <w:t>综合办公楼</w:t>
                  </w:r>
                  <w:r>
                    <w:rPr>
                      <w:sz w:val="21"/>
                      <w:szCs w:val="21"/>
                      <w:u w:val="single"/>
                    </w:rPr>
                    <w:t>，设置值班室、</w:t>
                  </w:r>
                  <w:r>
                    <w:rPr>
                      <w:rFonts w:hint="eastAsia"/>
                      <w:sz w:val="21"/>
                      <w:szCs w:val="21"/>
                      <w:u w:val="single"/>
                    </w:rPr>
                    <w:t>仓库、</w:t>
                  </w:r>
                  <w:r>
                    <w:rPr>
                      <w:sz w:val="21"/>
                      <w:szCs w:val="21"/>
                      <w:u w:val="single"/>
                    </w:rPr>
                    <w:t>食堂、</w:t>
                  </w:r>
                  <w:r>
                    <w:rPr>
                      <w:rFonts w:hint="eastAsia"/>
                      <w:sz w:val="21"/>
                      <w:szCs w:val="21"/>
                      <w:u w:val="single"/>
                    </w:rPr>
                    <w:t>宿舍、</w:t>
                  </w:r>
                  <w:r>
                    <w:rPr>
                      <w:sz w:val="21"/>
                      <w:szCs w:val="21"/>
                      <w:u w:val="single"/>
                    </w:rPr>
                    <w:t>工具房</w:t>
                  </w:r>
                  <w:r>
                    <w:rPr>
                      <w:rFonts w:hint="eastAsia"/>
                      <w:sz w:val="21"/>
                      <w:szCs w:val="21"/>
                      <w:u w:val="single"/>
                    </w:rPr>
                    <w:t>以及固废间（3m³）等</w:t>
                  </w:r>
                  <w:r>
                    <w:rPr>
                      <w:sz w:val="21"/>
                      <w:szCs w:val="21"/>
                      <w:u w:val="single"/>
                    </w:rPr>
                    <w:t>，占地面积约</w:t>
                  </w:r>
                  <w:r>
                    <w:rPr>
                      <w:rFonts w:hint="eastAsia"/>
                      <w:sz w:val="21"/>
                      <w:szCs w:val="21"/>
                      <w:u w:val="single"/>
                    </w:rPr>
                    <w:t>950</w:t>
                  </w:r>
                  <w:r>
                    <w:rPr>
                      <w:sz w:val="21"/>
                      <w:szCs w:val="21"/>
                      <w:u w:val="single"/>
                    </w:rPr>
                    <w:t>m</w:t>
                  </w:r>
                  <w:r>
                    <w:rPr>
                      <w:sz w:val="21"/>
                      <w:szCs w:val="21"/>
                      <w:u w:val="single"/>
                      <w:vertAlign w:val="superscript"/>
                    </w:rPr>
                    <w:t>2</w:t>
                  </w:r>
                  <w:r>
                    <w:rPr>
                      <w:sz w:val="21"/>
                      <w:szCs w:val="21"/>
                      <w:u w:val="single"/>
                    </w:rPr>
                    <w:t>。</w:t>
                  </w:r>
                </w:p>
              </w:tc>
              <w:tc>
                <w:tcPr>
                  <w:tcW w:w="568" w:type="pct"/>
                  <w:shd w:val="clear" w:color="auto" w:fill="auto"/>
                  <w:vAlign w:val="center"/>
                </w:tcPr>
                <w:p w14:paraId="266E27E8">
                  <w:pPr>
                    <w:spacing w:line="240" w:lineRule="auto"/>
                    <w:jc w:val="center"/>
                    <w:rPr>
                      <w:sz w:val="21"/>
                      <w:szCs w:val="21"/>
                      <w:u w:val="single"/>
                    </w:rPr>
                  </w:pPr>
                  <w:r>
                    <w:rPr>
                      <w:rFonts w:hint="eastAsia"/>
                      <w:sz w:val="21"/>
                      <w:szCs w:val="21"/>
                      <w:u w:val="single"/>
                      <w:lang w:eastAsia="zh-CN"/>
                    </w:rPr>
                    <w:t>否</w:t>
                  </w:r>
                </w:p>
              </w:tc>
            </w:tr>
            <w:tr w14:paraId="5F8AA1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7" w:hRule="atLeast"/>
                <w:jc w:val="center"/>
              </w:trPr>
              <w:tc>
                <w:tcPr>
                  <w:tcW w:w="254" w:type="pct"/>
                  <w:vMerge w:val="restart"/>
                  <w:shd w:val="clear" w:color="auto" w:fill="auto"/>
                  <w:vAlign w:val="center"/>
                </w:tcPr>
                <w:p w14:paraId="38C9AC12">
                  <w:pPr>
                    <w:spacing w:line="240" w:lineRule="auto"/>
                    <w:jc w:val="center"/>
                    <w:rPr>
                      <w:sz w:val="21"/>
                      <w:szCs w:val="21"/>
                      <w:u w:val="single"/>
                    </w:rPr>
                  </w:pPr>
                  <w:r>
                    <w:rPr>
                      <w:rFonts w:hint="eastAsia"/>
                      <w:sz w:val="21"/>
                      <w:szCs w:val="21"/>
                      <w:u w:val="single"/>
                    </w:rPr>
                    <w:t>4</w:t>
                  </w:r>
                </w:p>
              </w:tc>
              <w:tc>
                <w:tcPr>
                  <w:tcW w:w="254" w:type="pct"/>
                  <w:vMerge w:val="restart"/>
                  <w:shd w:val="clear" w:color="auto" w:fill="auto"/>
                  <w:vAlign w:val="center"/>
                </w:tcPr>
                <w:p w14:paraId="3407DF77">
                  <w:pPr>
                    <w:spacing w:line="240" w:lineRule="auto"/>
                    <w:jc w:val="center"/>
                    <w:rPr>
                      <w:sz w:val="21"/>
                      <w:szCs w:val="21"/>
                      <w:u w:val="single"/>
                    </w:rPr>
                  </w:pPr>
                  <w:r>
                    <w:rPr>
                      <w:sz w:val="21"/>
                      <w:szCs w:val="21"/>
                      <w:u w:val="single"/>
                    </w:rPr>
                    <w:t>公用工程</w:t>
                  </w:r>
                </w:p>
              </w:tc>
              <w:tc>
                <w:tcPr>
                  <w:tcW w:w="254" w:type="pct"/>
                  <w:shd w:val="clear" w:color="auto" w:fill="auto"/>
                  <w:vAlign w:val="center"/>
                </w:tcPr>
                <w:p w14:paraId="29F8AC30">
                  <w:pPr>
                    <w:spacing w:line="240" w:lineRule="auto"/>
                    <w:jc w:val="center"/>
                    <w:rPr>
                      <w:sz w:val="21"/>
                      <w:szCs w:val="21"/>
                      <w:u w:val="single"/>
                    </w:rPr>
                  </w:pPr>
                  <w:r>
                    <w:rPr>
                      <w:sz w:val="21"/>
                      <w:szCs w:val="21"/>
                      <w:u w:val="single"/>
                    </w:rPr>
                    <w:t>供水</w:t>
                  </w:r>
                </w:p>
              </w:tc>
              <w:tc>
                <w:tcPr>
                  <w:tcW w:w="1093" w:type="pct"/>
                  <w:shd w:val="clear" w:color="auto" w:fill="auto"/>
                  <w:vAlign w:val="center"/>
                </w:tcPr>
                <w:p w14:paraId="0FD3649D">
                  <w:pPr>
                    <w:spacing w:line="240" w:lineRule="auto"/>
                    <w:jc w:val="center"/>
                    <w:rPr>
                      <w:rFonts w:hint="eastAsia" w:eastAsia="宋体"/>
                      <w:sz w:val="21"/>
                      <w:szCs w:val="21"/>
                      <w:u w:val="single"/>
                      <w:lang w:val="en-US" w:eastAsia="zh-CN"/>
                    </w:rPr>
                  </w:pPr>
                  <w:r>
                    <w:rPr>
                      <w:rFonts w:hint="eastAsia"/>
                      <w:sz w:val="21"/>
                      <w:szCs w:val="21"/>
                      <w:u w:val="single"/>
                      <w:lang w:val="en-US" w:eastAsia="zh-CN"/>
                    </w:rPr>
                    <w:t>/</w:t>
                  </w:r>
                </w:p>
              </w:tc>
              <w:tc>
                <w:tcPr>
                  <w:tcW w:w="376" w:type="pct"/>
                  <w:shd w:val="clear" w:color="auto" w:fill="auto"/>
                  <w:vAlign w:val="center"/>
                </w:tcPr>
                <w:p w14:paraId="2B4CA077">
                  <w:pPr>
                    <w:spacing w:line="240" w:lineRule="auto"/>
                    <w:jc w:val="center"/>
                    <w:rPr>
                      <w:sz w:val="21"/>
                      <w:szCs w:val="21"/>
                      <w:u w:val="single"/>
                    </w:rPr>
                  </w:pPr>
                  <w:r>
                    <w:rPr>
                      <w:sz w:val="21"/>
                      <w:szCs w:val="21"/>
                      <w:u w:val="single"/>
                    </w:rPr>
                    <w:t>供水</w:t>
                  </w:r>
                </w:p>
              </w:tc>
              <w:tc>
                <w:tcPr>
                  <w:tcW w:w="2197" w:type="pct"/>
                  <w:shd w:val="clear" w:color="auto" w:fill="auto"/>
                  <w:vAlign w:val="center"/>
                </w:tcPr>
                <w:p w14:paraId="4F7855CB">
                  <w:pPr>
                    <w:pStyle w:val="9"/>
                    <w:numPr>
                      <w:ilvl w:val="3"/>
                      <w:numId w:val="0"/>
                    </w:numPr>
                    <w:jc w:val="center"/>
                    <w:rPr>
                      <w:rFonts w:hint="eastAsia" w:ascii="Times New Roman" w:hAnsi="Times New Roman" w:eastAsia="宋体" w:cs="Times New Roman"/>
                      <w:szCs w:val="21"/>
                      <w:u w:val="single"/>
                      <w:lang w:eastAsia="zh-CN"/>
                    </w:rPr>
                  </w:pPr>
                  <w:r>
                    <w:rPr>
                      <w:rFonts w:hint="eastAsia" w:ascii="Times New Roman" w:hAnsi="Times New Roman" w:eastAsia="宋体" w:cs="Times New Roman"/>
                      <w:szCs w:val="21"/>
                      <w:u w:val="single"/>
                    </w:rPr>
                    <w:t>生产用水及</w:t>
                  </w:r>
                  <w:r>
                    <w:rPr>
                      <w:rFonts w:ascii="Times New Roman" w:hAnsi="Times New Roman" w:eastAsia="宋体" w:cs="Times New Roman"/>
                      <w:szCs w:val="21"/>
                      <w:u w:val="single"/>
                    </w:rPr>
                    <w:t>生活用水等用水</w:t>
                  </w:r>
                  <w:r>
                    <w:rPr>
                      <w:rFonts w:hint="eastAsia" w:ascii="Times New Roman" w:hAnsi="Times New Roman" w:eastAsia="宋体" w:cs="Times New Roman"/>
                      <w:szCs w:val="21"/>
                      <w:u w:val="single"/>
                    </w:rPr>
                    <w:t>直接从厂区内井水中抽取</w:t>
                  </w:r>
                  <w:r>
                    <w:rPr>
                      <w:rFonts w:ascii="Times New Roman" w:hAnsi="Times New Roman" w:eastAsia="宋体" w:cs="Times New Roman"/>
                      <w:szCs w:val="21"/>
                      <w:u w:val="single"/>
                    </w:rPr>
                    <w:t>。</w:t>
                  </w:r>
                  <w:r>
                    <w:rPr>
                      <w:rFonts w:hint="eastAsia" w:ascii="Times New Roman" w:hAnsi="Times New Roman" w:eastAsia="宋体" w:cs="Times New Roman"/>
                      <w:szCs w:val="21"/>
                      <w:u w:val="single"/>
                      <w:lang w:eastAsia="zh-CN"/>
                    </w:rPr>
                    <w:t>（</w:t>
                  </w:r>
                  <w:r>
                    <w:rPr>
                      <w:rFonts w:hint="eastAsia"/>
                      <w:sz w:val="21"/>
                      <w:szCs w:val="21"/>
                      <w:u w:val="single"/>
                      <w:lang w:eastAsia="zh-CN"/>
                    </w:rPr>
                    <w:t>水井</w:t>
                  </w:r>
                  <w:r>
                    <w:rPr>
                      <w:sz w:val="21"/>
                      <w:szCs w:val="21"/>
                      <w:u w:val="single"/>
                    </w:rPr>
                    <w:t>已建</w:t>
                  </w:r>
                  <w:r>
                    <w:rPr>
                      <w:rFonts w:hint="eastAsia"/>
                      <w:sz w:val="21"/>
                      <w:szCs w:val="21"/>
                      <w:u w:val="single"/>
                      <w:lang w:eastAsia="zh-CN"/>
                    </w:rPr>
                    <w:t>，其他新建</w:t>
                  </w:r>
                  <w:r>
                    <w:rPr>
                      <w:rFonts w:hint="eastAsia" w:ascii="Times New Roman" w:hAnsi="Times New Roman" w:eastAsia="宋体" w:cs="Times New Roman"/>
                      <w:szCs w:val="21"/>
                      <w:u w:val="single"/>
                      <w:lang w:eastAsia="zh-CN"/>
                    </w:rPr>
                    <w:t>）</w:t>
                  </w:r>
                </w:p>
              </w:tc>
              <w:tc>
                <w:tcPr>
                  <w:tcW w:w="568" w:type="pct"/>
                  <w:shd w:val="clear" w:color="auto" w:fill="auto"/>
                  <w:vAlign w:val="center"/>
                </w:tcPr>
                <w:p w14:paraId="2C5E01EE">
                  <w:pPr>
                    <w:pStyle w:val="9"/>
                    <w:numPr>
                      <w:ilvl w:val="3"/>
                      <w:numId w:val="0"/>
                    </w:numPr>
                    <w:jc w:val="center"/>
                    <w:rPr>
                      <w:rFonts w:hint="eastAsia" w:ascii="Times New Roman" w:hAnsi="Times New Roman" w:eastAsia="宋体" w:cs="Times New Roman"/>
                      <w:szCs w:val="21"/>
                      <w:u w:val="single"/>
                    </w:rPr>
                  </w:pPr>
                  <w:r>
                    <w:rPr>
                      <w:rFonts w:hint="eastAsia"/>
                      <w:sz w:val="21"/>
                      <w:szCs w:val="21"/>
                      <w:u w:val="single"/>
                      <w:lang w:eastAsia="zh-CN"/>
                    </w:rPr>
                    <w:t>是</w:t>
                  </w:r>
                </w:p>
              </w:tc>
            </w:tr>
            <w:tr w14:paraId="669A7D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254" w:type="pct"/>
                  <w:vMerge w:val="continue"/>
                  <w:shd w:val="clear" w:color="auto" w:fill="auto"/>
                  <w:vAlign w:val="center"/>
                </w:tcPr>
                <w:p w14:paraId="10B5D303">
                  <w:pPr>
                    <w:spacing w:line="240" w:lineRule="auto"/>
                    <w:jc w:val="center"/>
                    <w:rPr>
                      <w:sz w:val="21"/>
                      <w:szCs w:val="21"/>
                      <w:u w:val="single"/>
                    </w:rPr>
                  </w:pPr>
                </w:p>
              </w:tc>
              <w:tc>
                <w:tcPr>
                  <w:tcW w:w="254" w:type="pct"/>
                  <w:vMerge w:val="continue"/>
                  <w:shd w:val="clear" w:color="auto" w:fill="auto"/>
                  <w:vAlign w:val="center"/>
                </w:tcPr>
                <w:p w14:paraId="5B6A351E">
                  <w:pPr>
                    <w:spacing w:line="240" w:lineRule="auto"/>
                    <w:jc w:val="center"/>
                    <w:rPr>
                      <w:sz w:val="21"/>
                      <w:szCs w:val="21"/>
                      <w:u w:val="single"/>
                    </w:rPr>
                  </w:pPr>
                </w:p>
              </w:tc>
              <w:tc>
                <w:tcPr>
                  <w:tcW w:w="254" w:type="pct"/>
                  <w:shd w:val="clear" w:color="auto" w:fill="auto"/>
                  <w:vAlign w:val="center"/>
                </w:tcPr>
                <w:p w14:paraId="29A42FD3">
                  <w:pPr>
                    <w:spacing w:line="240" w:lineRule="auto"/>
                    <w:jc w:val="center"/>
                    <w:rPr>
                      <w:sz w:val="21"/>
                      <w:szCs w:val="21"/>
                      <w:u w:val="single"/>
                    </w:rPr>
                  </w:pPr>
                  <w:r>
                    <w:rPr>
                      <w:sz w:val="21"/>
                      <w:szCs w:val="21"/>
                      <w:u w:val="single"/>
                    </w:rPr>
                    <w:t>供电</w:t>
                  </w:r>
                </w:p>
              </w:tc>
              <w:tc>
                <w:tcPr>
                  <w:tcW w:w="1093" w:type="pct"/>
                  <w:shd w:val="clear" w:color="auto" w:fill="auto"/>
                  <w:vAlign w:val="center"/>
                </w:tcPr>
                <w:p w14:paraId="002E5804">
                  <w:pPr>
                    <w:spacing w:line="240" w:lineRule="auto"/>
                    <w:jc w:val="center"/>
                    <w:rPr>
                      <w:rFonts w:hint="eastAsia" w:eastAsia="宋体"/>
                      <w:sz w:val="21"/>
                      <w:szCs w:val="21"/>
                      <w:u w:val="single"/>
                      <w:lang w:val="en-US" w:eastAsia="zh-CN"/>
                    </w:rPr>
                  </w:pPr>
                  <w:r>
                    <w:rPr>
                      <w:rFonts w:hint="eastAsia"/>
                      <w:sz w:val="21"/>
                      <w:szCs w:val="21"/>
                      <w:u w:val="single"/>
                      <w:lang w:val="en-US" w:eastAsia="zh-CN"/>
                    </w:rPr>
                    <w:t>/</w:t>
                  </w:r>
                </w:p>
              </w:tc>
              <w:tc>
                <w:tcPr>
                  <w:tcW w:w="376" w:type="pct"/>
                  <w:shd w:val="clear" w:color="auto" w:fill="auto"/>
                  <w:vAlign w:val="center"/>
                </w:tcPr>
                <w:p w14:paraId="57033E8D">
                  <w:pPr>
                    <w:spacing w:line="240" w:lineRule="auto"/>
                    <w:jc w:val="center"/>
                    <w:rPr>
                      <w:sz w:val="21"/>
                      <w:szCs w:val="21"/>
                      <w:u w:val="single"/>
                    </w:rPr>
                  </w:pPr>
                  <w:r>
                    <w:rPr>
                      <w:sz w:val="21"/>
                      <w:szCs w:val="21"/>
                      <w:u w:val="single"/>
                    </w:rPr>
                    <w:t>供电</w:t>
                  </w:r>
                </w:p>
              </w:tc>
              <w:tc>
                <w:tcPr>
                  <w:tcW w:w="2197" w:type="pct"/>
                  <w:shd w:val="clear" w:color="auto" w:fill="auto"/>
                  <w:vAlign w:val="center"/>
                </w:tcPr>
                <w:p w14:paraId="6D125C88">
                  <w:pPr>
                    <w:spacing w:line="240" w:lineRule="auto"/>
                    <w:jc w:val="center"/>
                    <w:rPr>
                      <w:rFonts w:hint="eastAsia" w:eastAsia="宋体"/>
                      <w:sz w:val="21"/>
                      <w:szCs w:val="21"/>
                      <w:u w:val="single"/>
                      <w:lang w:eastAsia="zh-CN"/>
                    </w:rPr>
                  </w:pPr>
                  <w:r>
                    <w:rPr>
                      <w:sz w:val="21"/>
                      <w:szCs w:val="21"/>
                      <w:u w:val="single"/>
                    </w:rPr>
                    <w:t>生产、生活电源来自附近变电站，架设一条输变线路引至配电室。</w:t>
                  </w:r>
                  <w:r>
                    <w:rPr>
                      <w:rFonts w:hint="eastAsia"/>
                      <w:sz w:val="21"/>
                      <w:szCs w:val="21"/>
                      <w:u w:val="single"/>
                      <w:lang w:eastAsia="zh-CN"/>
                    </w:rPr>
                    <w:t>（已建设）</w:t>
                  </w:r>
                </w:p>
              </w:tc>
              <w:tc>
                <w:tcPr>
                  <w:tcW w:w="568" w:type="pct"/>
                  <w:shd w:val="clear" w:color="auto" w:fill="auto"/>
                  <w:vAlign w:val="center"/>
                </w:tcPr>
                <w:p w14:paraId="284DA09C">
                  <w:pPr>
                    <w:spacing w:line="240" w:lineRule="auto"/>
                    <w:jc w:val="center"/>
                    <w:rPr>
                      <w:sz w:val="21"/>
                      <w:szCs w:val="21"/>
                      <w:u w:val="single"/>
                    </w:rPr>
                  </w:pPr>
                  <w:r>
                    <w:rPr>
                      <w:rFonts w:hint="eastAsia"/>
                      <w:sz w:val="21"/>
                      <w:szCs w:val="21"/>
                      <w:u w:val="single"/>
                      <w:lang w:eastAsia="zh-CN"/>
                    </w:rPr>
                    <w:t>是</w:t>
                  </w:r>
                </w:p>
              </w:tc>
            </w:tr>
            <w:tr w14:paraId="67B356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254" w:type="pct"/>
                  <w:vMerge w:val="restart"/>
                  <w:shd w:val="clear" w:color="auto" w:fill="auto"/>
                  <w:vAlign w:val="center"/>
                </w:tcPr>
                <w:p w14:paraId="32E8DAA6">
                  <w:pPr>
                    <w:spacing w:line="240" w:lineRule="auto"/>
                    <w:jc w:val="center"/>
                    <w:rPr>
                      <w:sz w:val="21"/>
                      <w:szCs w:val="21"/>
                      <w:u w:val="single"/>
                    </w:rPr>
                  </w:pPr>
                  <w:r>
                    <w:rPr>
                      <w:rFonts w:hint="eastAsia"/>
                      <w:sz w:val="21"/>
                      <w:szCs w:val="21"/>
                      <w:u w:val="single"/>
                    </w:rPr>
                    <w:t>5</w:t>
                  </w:r>
                </w:p>
              </w:tc>
              <w:tc>
                <w:tcPr>
                  <w:tcW w:w="254" w:type="pct"/>
                  <w:vMerge w:val="restart"/>
                  <w:shd w:val="clear" w:color="auto" w:fill="auto"/>
                  <w:vAlign w:val="center"/>
                </w:tcPr>
                <w:p w14:paraId="68177C88">
                  <w:pPr>
                    <w:spacing w:line="240" w:lineRule="auto"/>
                    <w:jc w:val="center"/>
                    <w:rPr>
                      <w:sz w:val="21"/>
                      <w:szCs w:val="21"/>
                      <w:u w:val="single"/>
                    </w:rPr>
                  </w:pPr>
                  <w:r>
                    <w:rPr>
                      <w:sz w:val="21"/>
                      <w:szCs w:val="21"/>
                      <w:u w:val="single"/>
                    </w:rPr>
                    <w:t>环保工程</w:t>
                  </w:r>
                </w:p>
              </w:tc>
              <w:tc>
                <w:tcPr>
                  <w:tcW w:w="254" w:type="pct"/>
                  <w:vMerge w:val="restart"/>
                  <w:shd w:val="clear" w:color="auto" w:fill="auto"/>
                  <w:vAlign w:val="center"/>
                </w:tcPr>
                <w:p w14:paraId="30DEA991">
                  <w:pPr>
                    <w:spacing w:line="240" w:lineRule="auto"/>
                    <w:jc w:val="center"/>
                    <w:rPr>
                      <w:sz w:val="21"/>
                      <w:szCs w:val="21"/>
                      <w:u w:val="single"/>
                    </w:rPr>
                  </w:pPr>
                  <w:r>
                    <w:rPr>
                      <w:sz w:val="21"/>
                      <w:szCs w:val="21"/>
                      <w:u w:val="single"/>
                    </w:rPr>
                    <w:t>废气处理</w:t>
                  </w:r>
                </w:p>
              </w:tc>
              <w:tc>
                <w:tcPr>
                  <w:tcW w:w="1093" w:type="pct"/>
                  <w:vMerge w:val="restart"/>
                  <w:shd w:val="clear" w:color="auto" w:fill="auto"/>
                  <w:vAlign w:val="center"/>
                </w:tcPr>
                <w:p w14:paraId="50634C4B">
                  <w:pPr>
                    <w:spacing w:line="240" w:lineRule="auto"/>
                    <w:jc w:val="center"/>
                    <w:rPr>
                      <w:rFonts w:hint="eastAsia"/>
                      <w:sz w:val="21"/>
                      <w:szCs w:val="21"/>
                      <w:u w:val="single"/>
                    </w:rPr>
                  </w:pPr>
                  <w:r>
                    <w:rPr>
                      <w:rFonts w:hint="eastAsia"/>
                      <w:b w:val="0"/>
                      <w:bCs w:val="0"/>
                      <w:kern w:val="2"/>
                      <w:sz w:val="21"/>
                      <w:szCs w:val="21"/>
                      <w:u w:val="single"/>
                      <w:lang w:eastAsia="zh-CN" w:bidi="ar"/>
                    </w:rPr>
                    <w:t>墓碑</w:t>
                  </w:r>
                  <w:r>
                    <w:rPr>
                      <w:rFonts w:hint="eastAsia" w:ascii="Times New Roman" w:hAnsi="Times New Roman" w:eastAsia="宋体" w:cs="Times New Roman"/>
                      <w:b w:val="0"/>
                      <w:bCs w:val="0"/>
                      <w:kern w:val="2"/>
                      <w:sz w:val="21"/>
                      <w:szCs w:val="21"/>
                      <w:u w:val="single"/>
                      <w:lang w:val="en-US" w:eastAsia="zh-CN" w:bidi="ar"/>
                    </w:rPr>
                    <w:t>及附属产品和其他板材</w:t>
                  </w:r>
                  <w:r>
                    <w:rPr>
                      <w:rFonts w:hint="eastAsia"/>
                      <w:sz w:val="21"/>
                      <w:szCs w:val="21"/>
                      <w:u w:val="single"/>
                    </w:rPr>
                    <w:t>加工工序采用湿式作业，</w:t>
                  </w:r>
                  <w:r>
                    <w:rPr>
                      <w:rFonts w:hint="eastAsia"/>
                      <w:sz w:val="21"/>
                      <w:szCs w:val="21"/>
                      <w:u w:val="single"/>
                      <w:lang w:eastAsia="zh-CN"/>
                    </w:rPr>
                    <w:t>粉尘无组织排放</w:t>
                  </w:r>
                  <w:r>
                    <w:rPr>
                      <w:rFonts w:hint="eastAsia"/>
                      <w:sz w:val="21"/>
                      <w:szCs w:val="21"/>
                      <w:u w:val="single"/>
                    </w:rPr>
                    <w:t>；</w:t>
                  </w:r>
                </w:p>
              </w:tc>
              <w:tc>
                <w:tcPr>
                  <w:tcW w:w="376" w:type="pct"/>
                  <w:vMerge w:val="restart"/>
                  <w:shd w:val="clear" w:color="auto" w:fill="auto"/>
                  <w:vAlign w:val="center"/>
                </w:tcPr>
                <w:p w14:paraId="64D81BDB">
                  <w:pPr>
                    <w:spacing w:line="240" w:lineRule="auto"/>
                    <w:jc w:val="center"/>
                    <w:rPr>
                      <w:sz w:val="21"/>
                      <w:szCs w:val="21"/>
                      <w:u w:val="single"/>
                    </w:rPr>
                  </w:pPr>
                  <w:r>
                    <w:rPr>
                      <w:sz w:val="21"/>
                      <w:szCs w:val="21"/>
                      <w:u w:val="single"/>
                    </w:rPr>
                    <w:t>废气处理</w:t>
                  </w:r>
                </w:p>
              </w:tc>
              <w:tc>
                <w:tcPr>
                  <w:tcW w:w="2197" w:type="pct"/>
                  <w:shd w:val="clear" w:color="auto" w:fill="auto"/>
                  <w:vAlign w:val="center"/>
                </w:tcPr>
                <w:p w14:paraId="3E8D7243">
                  <w:pPr>
                    <w:spacing w:line="240" w:lineRule="auto"/>
                    <w:jc w:val="center"/>
                    <w:rPr>
                      <w:sz w:val="21"/>
                      <w:szCs w:val="21"/>
                      <w:u w:val="single"/>
                    </w:rPr>
                  </w:pPr>
                  <w:r>
                    <w:rPr>
                      <w:rFonts w:hint="eastAsia"/>
                      <w:sz w:val="21"/>
                      <w:szCs w:val="21"/>
                      <w:u w:val="single"/>
                    </w:rPr>
                    <w:t>原料</w:t>
                  </w:r>
                  <w:r>
                    <w:rPr>
                      <w:sz w:val="21"/>
                      <w:szCs w:val="21"/>
                      <w:u w:val="single"/>
                    </w:rPr>
                    <w:t>堆场采取</w:t>
                  </w:r>
                  <w:r>
                    <w:rPr>
                      <w:rFonts w:hint="eastAsia"/>
                      <w:snapToGrid w:val="0"/>
                      <w:spacing w:val="4"/>
                      <w:sz w:val="21"/>
                      <w:szCs w:val="21"/>
                      <w:u w:val="single"/>
                    </w:rPr>
                    <w:t>洒水喷淋</w:t>
                  </w:r>
                  <w:r>
                    <w:rPr>
                      <w:rFonts w:hint="eastAsia"/>
                      <w:snapToGrid w:val="0"/>
                      <w:spacing w:val="4"/>
                      <w:sz w:val="21"/>
                      <w:szCs w:val="21"/>
                      <w:u w:val="single"/>
                      <w:lang w:eastAsia="zh-CN"/>
                    </w:rPr>
                    <w:t>抑尘</w:t>
                  </w:r>
                  <w:r>
                    <w:rPr>
                      <w:sz w:val="21"/>
                      <w:szCs w:val="21"/>
                      <w:u w:val="single"/>
                    </w:rPr>
                    <w:t>、定期清扫地面保持整洁、尽量减少物料在厂区暂存周期等防尘措施后，</w:t>
                  </w:r>
                  <w:r>
                    <w:rPr>
                      <w:rFonts w:hint="eastAsia"/>
                      <w:sz w:val="21"/>
                      <w:szCs w:val="21"/>
                      <w:u w:val="single"/>
                    </w:rPr>
                    <w:t>无组织排放</w:t>
                  </w:r>
                  <w:r>
                    <w:rPr>
                      <w:sz w:val="21"/>
                      <w:szCs w:val="21"/>
                      <w:u w:val="single"/>
                    </w:rPr>
                    <w:t>；</w:t>
                  </w:r>
                </w:p>
              </w:tc>
              <w:tc>
                <w:tcPr>
                  <w:tcW w:w="568" w:type="pct"/>
                  <w:shd w:val="clear" w:color="auto" w:fill="auto"/>
                  <w:vAlign w:val="center"/>
                </w:tcPr>
                <w:p w14:paraId="243A5EDB">
                  <w:pPr>
                    <w:spacing w:line="240" w:lineRule="auto"/>
                    <w:jc w:val="center"/>
                    <w:rPr>
                      <w:rFonts w:hint="eastAsia"/>
                      <w:sz w:val="21"/>
                      <w:szCs w:val="21"/>
                      <w:u w:val="single"/>
                    </w:rPr>
                  </w:pPr>
                  <w:r>
                    <w:rPr>
                      <w:rFonts w:hint="eastAsia"/>
                      <w:sz w:val="21"/>
                      <w:szCs w:val="21"/>
                      <w:u w:val="single"/>
                      <w:lang w:eastAsia="zh-CN"/>
                    </w:rPr>
                    <w:t>否</w:t>
                  </w:r>
                </w:p>
              </w:tc>
            </w:tr>
            <w:tr w14:paraId="1023E2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254" w:type="pct"/>
                  <w:vMerge w:val="continue"/>
                  <w:shd w:val="clear" w:color="auto" w:fill="auto"/>
                  <w:vAlign w:val="center"/>
                </w:tcPr>
                <w:p w14:paraId="77CC8976">
                  <w:pPr>
                    <w:spacing w:line="240" w:lineRule="auto"/>
                    <w:jc w:val="center"/>
                    <w:rPr>
                      <w:u w:val="single"/>
                    </w:rPr>
                  </w:pPr>
                </w:p>
              </w:tc>
              <w:tc>
                <w:tcPr>
                  <w:tcW w:w="254" w:type="pct"/>
                  <w:vMerge w:val="continue"/>
                  <w:shd w:val="clear" w:color="auto" w:fill="auto"/>
                  <w:vAlign w:val="center"/>
                </w:tcPr>
                <w:p w14:paraId="19B26F21">
                  <w:pPr>
                    <w:spacing w:line="240" w:lineRule="auto"/>
                    <w:jc w:val="center"/>
                    <w:rPr>
                      <w:u w:val="single"/>
                    </w:rPr>
                  </w:pPr>
                </w:p>
              </w:tc>
              <w:tc>
                <w:tcPr>
                  <w:tcW w:w="254" w:type="pct"/>
                  <w:vMerge w:val="continue"/>
                  <w:shd w:val="clear" w:color="auto" w:fill="auto"/>
                  <w:vAlign w:val="center"/>
                </w:tcPr>
                <w:p w14:paraId="5EC810EC">
                  <w:pPr>
                    <w:spacing w:line="240" w:lineRule="auto"/>
                    <w:jc w:val="center"/>
                    <w:rPr>
                      <w:u w:val="single"/>
                    </w:rPr>
                  </w:pPr>
                </w:p>
              </w:tc>
              <w:tc>
                <w:tcPr>
                  <w:tcW w:w="1093" w:type="pct"/>
                  <w:vMerge w:val="continue"/>
                  <w:shd w:val="clear" w:color="auto" w:fill="auto"/>
                  <w:vAlign w:val="center"/>
                </w:tcPr>
                <w:p w14:paraId="0D2ADDD2">
                  <w:pPr>
                    <w:spacing w:line="240" w:lineRule="auto"/>
                    <w:jc w:val="center"/>
                    <w:rPr>
                      <w:u w:val="single"/>
                    </w:rPr>
                  </w:pPr>
                </w:p>
              </w:tc>
              <w:tc>
                <w:tcPr>
                  <w:tcW w:w="376" w:type="pct"/>
                  <w:vMerge w:val="continue"/>
                  <w:shd w:val="clear" w:color="auto" w:fill="auto"/>
                  <w:vAlign w:val="center"/>
                </w:tcPr>
                <w:p w14:paraId="288BF34E">
                  <w:pPr>
                    <w:spacing w:line="240" w:lineRule="auto"/>
                    <w:jc w:val="center"/>
                    <w:rPr>
                      <w:u w:val="single"/>
                    </w:rPr>
                  </w:pPr>
                </w:p>
              </w:tc>
              <w:tc>
                <w:tcPr>
                  <w:tcW w:w="2197" w:type="pct"/>
                  <w:shd w:val="clear" w:color="auto" w:fill="auto"/>
                  <w:vAlign w:val="center"/>
                </w:tcPr>
                <w:p w14:paraId="495159C8">
                  <w:pPr>
                    <w:spacing w:line="240" w:lineRule="auto"/>
                    <w:jc w:val="center"/>
                    <w:rPr>
                      <w:rFonts w:hint="eastAsia"/>
                      <w:sz w:val="21"/>
                      <w:szCs w:val="21"/>
                      <w:u w:val="single"/>
                    </w:rPr>
                  </w:pPr>
                  <w:r>
                    <w:rPr>
                      <w:rFonts w:hint="eastAsia"/>
                      <w:sz w:val="21"/>
                      <w:szCs w:val="21"/>
                      <w:u w:val="single"/>
                    </w:rPr>
                    <w:t>成品堆场</w:t>
                  </w:r>
                  <w:r>
                    <w:rPr>
                      <w:sz w:val="21"/>
                      <w:szCs w:val="21"/>
                      <w:u w:val="single"/>
                    </w:rPr>
                    <w:t>设置</w:t>
                  </w:r>
                  <w:r>
                    <w:rPr>
                      <w:rFonts w:hint="eastAsia"/>
                      <w:sz w:val="21"/>
                      <w:szCs w:val="21"/>
                      <w:u w:val="single"/>
                    </w:rPr>
                    <w:t>顶棚，三面围挡，防风防雨，项目</w:t>
                  </w:r>
                  <w:r>
                    <w:rPr>
                      <w:sz w:val="21"/>
                      <w:szCs w:val="21"/>
                      <w:u w:val="single"/>
                    </w:rPr>
                    <w:t>成品一般不会在厂区内长期贮存，短期贮存扬尘可忽略不计；</w:t>
                  </w:r>
                </w:p>
              </w:tc>
              <w:tc>
                <w:tcPr>
                  <w:tcW w:w="568" w:type="pct"/>
                  <w:shd w:val="clear" w:color="auto" w:fill="auto"/>
                  <w:vAlign w:val="center"/>
                </w:tcPr>
                <w:p w14:paraId="5A711A45">
                  <w:pPr>
                    <w:spacing w:line="240" w:lineRule="auto"/>
                    <w:jc w:val="center"/>
                    <w:rPr>
                      <w:rFonts w:hint="eastAsia"/>
                      <w:sz w:val="21"/>
                      <w:szCs w:val="21"/>
                      <w:u w:val="single"/>
                    </w:rPr>
                  </w:pPr>
                  <w:r>
                    <w:rPr>
                      <w:rFonts w:hint="eastAsia"/>
                      <w:sz w:val="21"/>
                      <w:szCs w:val="21"/>
                      <w:u w:val="single"/>
                      <w:lang w:eastAsia="zh-CN"/>
                    </w:rPr>
                    <w:t>否</w:t>
                  </w:r>
                </w:p>
              </w:tc>
            </w:tr>
            <w:tr w14:paraId="4099BC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254" w:type="pct"/>
                  <w:vMerge w:val="continue"/>
                  <w:shd w:val="clear" w:color="auto" w:fill="auto"/>
                  <w:vAlign w:val="center"/>
                </w:tcPr>
                <w:p w14:paraId="6DABB798">
                  <w:pPr>
                    <w:spacing w:line="240" w:lineRule="auto"/>
                    <w:jc w:val="center"/>
                    <w:rPr>
                      <w:u w:val="single"/>
                    </w:rPr>
                  </w:pPr>
                </w:p>
              </w:tc>
              <w:tc>
                <w:tcPr>
                  <w:tcW w:w="254" w:type="pct"/>
                  <w:vMerge w:val="continue"/>
                  <w:shd w:val="clear" w:color="auto" w:fill="auto"/>
                  <w:vAlign w:val="center"/>
                </w:tcPr>
                <w:p w14:paraId="11D0B322">
                  <w:pPr>
                    <w:spacing w:line="240" w:lineRule="auto"/>
                    <w:jc w:val="center"/>
                    <w:rPr>
                      <w:u w:val="single"/>
                    </w:rPr>
                  </w:pPr>
                </w:p>
              </w:tc>
              <w:tc>
                <w:tcPr>
                  <w:tcW w:w="254" w:type="pct"/>
                  <w:vMerge w:val="continue"/>
                  <w:shd w:val="clear" w:color="auto" w:fill="auto"/>
                  <w:vAlign w:val="center"/>
                </w:tcPr>
                <w:p w14:paraId="5BC4283A">
                  <w:pPr>
                    <w:spacing w:line="240" w:lineRule="auto"/>
                    <w:jc w:val="center"/>
                    <w:rPr>
                      <w:u w:val="single"/>
                    </w:rPr>
                  </w:pPr>
                </w:p>
              </w:tc>
              <w:tc>
                <w:tcPr>
                  <w:tcW w:w="1093" w:type="pct"/>
                  <w:vMerge w:val="continue"/>
                  <w:shd w:val="clear" w:color="auto" w:fill="auto"/>
                  <w:vAlign w:val="center"/>
                </w:tcPr>
                <w:p w14:paraId="7337D10A">
                  <w:pPr>
                    <w:spacing w:line="240" w:lineRule="auto"/>
                    <w:jc w:val="center"/>
                    <w:rPr>
                      <w:u w:val="single"/>
                    </w:rPr>
                  </w:pPr>
                </w:p>
              </w:tc>
              <w:tc>
                <w:tcPr>
                  <w:tcW w:w="376" w:type="pct"/>
                  <w:vMerge w:val="continue"/>
                  <w:shd w:val="clear" w:color="auto" w:fill="auto"/>
                  <w:vAlign w:val="center"/>
                </w:tcPr>
                <w:p w14:paraId="1ED639FA">
                  <w:pPr>
                    <w:spacing w:line="240" w:lineRule="auto"/>
                    <w:jc w:val="center"/>
                    <w:rPr>
                      <w:u w:val="single"/>
                    </w:rPr>
                  </w:pPr>
                </w:p>
              </w:tc>
              <w:tc>
                <w:tcPr>
                  <w:tcW w:w="2197" w:type="pct"/>
                  <w:shd w:val="clear" w:color="auto" w:fill="auto"/>
                  <w:vAlign w:val="center"/>
                </w:tcPr>
                <w:p w14:paraId="2AE71A46">
                  <w:pPr>
                    <w:spacing w:line="240" w:lineRule="auto"/>
                    <w:jc w:val="center"/>
                    <w:rPr>
                      <w:rFonts w:hint="eastAsia"/>
                      <w:sz w:val="21"/>
                      <w:szCs w:val="21"/>
                      <w:u w:val="single"/>
                    </w:rPr>
                  </w:pPr>
                  <w:r>
                    <w:rPr>
                      <w:rFonts w:hint="eastAsia"/>
                      <w:sz w:val="21"/>
                      <w:szCs w:val="21"/>
                      <w:u w:val="single"/>
                    </w:rPr>
                    <w:t>路沿石</w:t>
                  </w:r>
                  <w:r>
                    <w:rPr>
                      <w:sz w:val="21"/>
                      <w:szCs w:val="21"/>
                      <w:u w:val="single"/>
                    </w:rPr>
                    <w:t>加工工艺采用湿法作业，</w:t>
                  </w:r>
                  <w:r>
                    <w:rPr>
                      <w:rFonts w:hint="eastAsia"/>
                      <w:sz w:val="21"/>
                      <w:szCs w:val="21"/>
                      <w:u w:val="single"/>
                    </w:rPr>
                    <w:t>粉尘无组织排放；</w:t>
                  </w:r>
                </w:p>
              </w:tc>
              <w:tc>
                <w:tcPr>
                  <w:tcW w:w="568" w:type="pct"/>
                  <w:shd w:val="clear" w:color="auto" w:fill="auto"/>
                  <w:vAlign w:val="center"/>
                </w:tcPr>
                <w:p w14:paraId="1A5F7A1B">
                  <w:pPr>
                    <w:spacing w:line="240" w:lineRule="auto"/>
                    <w:jc w:val="center"/>
                    <w:rPr>
                      <w:rFonts w:hint="eastAsia"/>
                      <w:sz w:val="21"/>
                      <w:szCs w:val="21"/>
                      <w:u w:val="single"/>
                    </w:rPr>
                  </w:pPr>
                  <w:r>
                    <w:rPr>
                      <w:rFonts w:hint="eastAsia"/>
                      <w:sz w:val="21"/>
                      <w:szCs w:val="21"/>
                      <w:u w:val="single"/>
                      <w:lang w:eastAsia="zh-CN"/>
                    </w:rPr>
                    <w:t>否</w:t>
                  </w:r>
                </w:p>
              </w:tc>
            </w:tr>
            <w:tr w14:paraId="6A595F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254" w:type="pct"/>
                  <w:vMerge w:val="continue"/>
                  <w:shd w:val="clear" w:color="auto" w:fill="auto"/>
                  <w:vAlign w:val="center"/>
                </w:tcPr>
                <w:p w14:paraId="22283A67">
                  <w:pPr>
                    <w:spacing w:line="240" w:lineRule="auto"/>
                    <w:jc w:val="center"/>
                    <w:rPr>
                      <w:rFonts w:hint="eastAsia"/>
                      <w:sz w:val="21"/>
                      <w:szCs w:val="21"/>
                      <w:u w:val="single"/>
                    </w:rPr>
                  </w:pPr>
                </w:p>
              </w:tc>
              <w:tc>
                <w:tcPr>
                  <w:tcW w:w="254" w:type="pct"/>
                  <w:vMerge w:val="continue"/>
                  <w:shd w:val="clear" w:color="auto" w:fill="auto"/>
                  <w:vAlign w:val="center"/>
                </w:tcPr>
                <w:p w14:paraId="0A5A3428">
                  <w:pPr>
                    <w:spacing w:line="240" w:lineRule="auto"/>
                    <w:jc w:val="center"/>
                    <w:rPr>
                      <w:rFonts w:hint="eastAsia"/>
                      <w:sz w:val="21"/>
                      <w:szCs w:val="21"/>
                      <w:u w:val="single"/>
                    </w:rPr>
                  </w:pPr>
                </w:p>
              </w:tc>
              <w:tc>
                <w:tcPr>
                  <w:tcW w:w="254" w:type="pct"/>
                  <w:vMerge w:val="continue"/>
                  <w:shd w:val="clear" w:color="auto" w:fill="auto"/>
                  <w:vAlign w:val="center"/>
                </w:tcPr>
                <w:p w14:paraId="4F592858">
                  <w:pPr>
                    <w:spacing w:line="240" w:lineRule="auto"/>
                    <w:jc w:val="center"/>
                    <w:rPr>
                      <w:rFonts w:hint="eastAsia"/>
                      <w:sz w:val="21"/>
                      <w:szCs w:val="21"/>
                      <w:u w:val="single"/>
                    </w:rPr>
                  </w:pPr>
                </w:p>
              </w:tc>
              <w:tc>
                <w:tcPr>
                  <w:tcW w:w="1093" w:type="pct"/>
                  <w:vMerge w:val="continue"/>
                  <w:shd w:val="clear" w:color="auto" w:fill="auto"/>
                  <w:vAlign w:val="center"/>
                </w:tcPr>
                <w:p w14:paraId="42927AF8">
                  <w:pPr>
                    <w:spacing w:line="240" w:lineRule="auto"/>
                    <w:jc w:val="center"/>
                    <w:rPr>
                      <w:rFonts w:hint="eastAsia"/>
                      <w:sz w:val="21"/>
                      <w:szCs w:val="21"/>
                      <w:u w:val="single"/>
                    </w:rPr>
                  </w:pPr>
                </w:p>
              </w:tc>
              <w:tc>
                <w:tcPr>
                  <w:tcW w:w="376" w:type="pct"/>
                  <w:vMerge w:val="continue"/>
                  <w:shd w:val="clear" w:color="auto" w:fill="auto"/>
                  <w:vAlign w:val="center"/>
                </w:tcPr>
                <w:p w14:paraId="5DB43272">
                  <w:pPr>
                    <w:spacing w:line="240" w:lineRule="auto"/>
                    <w:jc w:val="center"/>
                    <w:rPr>
                      <w:rFonts w:hint="eastAsia"/>
                      <w:sz w:val="21"/>
                      <w:szCs w:val="21"/>
                      <w:u w:val="single"/>
                    </w:rPr>
                  </w:pPr>
                </w:p>
              </w:tc>
              <w:tc>
                <w:tcPr>
                  <w:tcW w:w="2197" w:type="pct"/>
                  <w:shd w:val="clear" w:color="auto" w:fill="auto"/>
                  <w:vAlign w:val="center"/>
                </w:tcPr>
                <w:p w14:paraId="04A386AE">
                  <w:pPr>
                    <w:spacing w:line="240" w:lineRule="auto"/>
                    <w:jc w:val="center"/>
                    <w:rPr>
                      <w:rFonts w:hint="eastAsia"/>
                      <w:sz w:val="21"/>
                      <w:szCs w:val="21"/>
                      <w:u w:val="single"/>
                    </w:rPr>
                  </w:pPr>
                  <w:r>
                    <w:rPr>
                      <w:rFonts w:hint="eastAsia" w:ascii="Times New Roman" w:hAnsi="Times New Roman" w:eastAsia="宋体" w:cs="Times New Roman"/>
                      <w:bCs w:val="0"/>
                      <w:kern w:val="2"/>
                      <w:sz w:val="21"/>
                      <w:szCs w:val="21"/>
                      <w:u w:val="single"/>
                      <w:lang w:val="en-US" w:eastAsia="zh-CN" w:bidi="ar-SA"/>
                    </w:rPr>
                    <w:t>墓碑及附属产品和其他板材</w:t>
                  </w:r>
                  <w:r>
                    <w:rPr>
                      <w:rFonts w:hint="eastAsia"/>
                      <w:sz w:val="21"/>
                      <w:szCs w:val="21"/>
                      <w:u w:val="single"/>
                    </w:rPr>
                    <w:t>加工工序采用湿式作业，</w:t>
                  </w:r>
                  <w:r>
                    <w:rPr>
                      <w:rFonts w:hint="eastAsia"/>
                      <w:sz w:val="21"/>
                      <w:szCs w:val="21"/>
                      <w:u w:val="single"/>
                      <w:lang w:eastAsia="zh-CN"/>
                    </w:rPr>
                    <w:t>粉尘无组织排放</w:t>
                  </w:r>
                  <w:r>
                    <w:rPr>
                      <w:rFonts w:hint="eastAsia"/>
                      <w:sz w:val="21"/>
                      <w:szCs w:val="21"/>
                      <w:u w:val="single"/>
                    </w:rPr>
                    <w:t>；</w:t>
                  </w:r>
                </w:p>
              </w:tc>
              <w:tc>
                <w:tcPr>
                  <w:tcW w:w="568" w:type="pct"/>
                  <w:shd w:val="clear" w:color="auto" w:fill="auto"/>
                  <w:vAlign w:val="center"/>
                </w:tcPr>
                <w:p w14:paraId="13079526">
                  <w:pPr>
                    <w:spacing w:line="240" w:lineRule="auto"/>
                    <w:jc w:val="center"/>
                    <w:rPr>
                      <w:rFonts w:hint="eastAsia" w:ascii="Times New Roman" w:hAnsi="Times New Roman" w:eastAsia="宋体" w:cs="Times New Roman"/>
                      <w:bCs w:val="0"/>
                      <w:kern w:val="2"/>
                      <w:sz w:val="21"/>
                      <w:szCs w:val="21"/>
                      <w:u w:val="single"/>
                      <w:lang w:val="en-US" w:eastAsia="zh-CN" w:bidi="ar-SA"/>
                    </w:rPr>
                  </w:pPr>
                  <w:r>
                    <w:rPr>
                      <w:rFonts w:hint="eastAsia"/>
                      <w:sz w:val="21"/>
                      <w:szCs w:val="21"/>
                      <w:u w:val="single"/>
                      <w:lang w:eastAsia="zh-CN"/>
                    </w:rPr>
                    <w:t>否</w:t>
                  </w:r>
                </w:p>
              </w:tc>
            </w:tr>
            <w:tr w14:paraId="3F5E9A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254" w:type="pct"/>
                  <w:vMerge w:val="continue"/>
                  <w:shd w:val="clear" w:color="auto" w:fill="auto"/>
                  <w:vAlign w:val="center"/>
                </w:tcPr>
                <w:p w14:paraId="56BAD6B8">
                  <w:pPr>
                    <w:spacing w:line="240" w:lineRule="auto"/>
                    <w:jc w:val="center"/>
                    <w:rPr>
                      <w:rFonts w:hint="eastAsia"/>
                      <w:sz w:val="21"/>
                      <w:szCs w:val="21"/>
                      <w:u w:val="single"/>
                    </w:rPr>
                  </w:pPr>
                </w:p>
              </w:tc>
              <w:tc>
                <w:tcPr>
                  <w:tcW w:w="254" w:type="pct"/>
                  <w:vMerge w:val="continue"/>
                  <w:shd w:val="clear" w:color="auto" w:fill="auto"/>
                  <w:vAlign w:val="center"/>
                </w:tcPr>
                <w:p w14:paraId="0D671653">
                  <w:pPr>
                    <w:spacing w:line="240" w:lineRule="auto"/>
                    <w:jc w:val="center"/>
                    <w:rPr>
                      <w:rFonts w:hint="eastAsia"/>
                      <w:sz w:val="21"/>
                      <w:szCs w:val="21"/>
                      <w:u w:val="single"/>
                    </w:rPr>
                  </w:pPr>
                </w:p>
              </w:tc>
              <w:tc>
                <w:tcPr>
                  <w:tcW w:w="254" w:type="pct"/>
                  <w:vMerge w:val="continue"/>
                  <w:shd w:val="clear" w:color="auto" w:fill="auto"/>
                  <w:vAlign w:val="center"/>
                </w:tcPr>
                <w:p w14:paraId="30725E47">
                  <w:pPr>
                    <w:spacing w:line="240" w:lineRule="auto"/>
                    <w:jc w:val="center"/>
                    <w:rPr>
                      <w:rFonts w:hint="eastAsia"/>
                      <w:sz w:val="21"/>
                      <w:szCs w:val="21"/>
                      <w:u w:val="single"/>
                    </w:rPr>
                  </w:pPr>
                </w:p>
              </w:tc>
              <w:tc>
                <w:tcPr>
                  <w:tcW w:w="1093" w:type="pct"/>
                  <w:vMerge w:val="continue"/>
                  <w:shd w:val="clear" w:color="auto" w:fill="auto"/>
                  <w:vAlign w:val="center"/>
                </w:tcPr>
                <w:p w14:paraId="2F9804EC">
                  <w:pPr>
                    <w:spacing w:line="240" w:lineRule="auto"/>
                    <w:jc w:val="center"/>
                    <w:rPr>
                      <w:rFonts w:hint="eastAsia"/>
                      <w:b w:val="0"/>
                      <w:bCs w:val="0"/>
                      <w:kern w:val="2"/>
                      <w:sz w:val="21"/>
                      <w:szCs w:val="21"/>
                      <w:u w:val="single"/>
                      <w:lang w:eastAsia="zh-CN" w:bidi="ar"/>
                    </w:rPr>
                  </w:pPr>
                </w:p>
              </w:tc>
              <w:tc>
                <w:tcPr>
                  <w:tcW w:w="376" w:type="pct"/>
                  <w:vMerge w:val="continue"/>
                  <w:shd w:val="clear" w:color="auto" w:fill="auto"/>
                  <w:vAlign w:val="center"/>
                </w:tcPr>
                <w:p w14:paraId="63F9C754">
                  <w:pPr>
                    <w:spacing w:line="240" w:lineRule="auto"/>
                    <w:jc w:val="center"/>
                    <w:rPr>
                      <w:rFonts w:hint="eastAsia"/>
                      <w:sz w:val="21"/>
                      <w:szCs w:val="21"/>
                      <w:u w:val="single"/>
                    </w:rPr>
                  </w:pPr>
                </w:p>
              </w:tc>
              <w:tc>
                <w:tcPr>
                  <w:tcW w:w="2197" w:type="pct"/>
                  <w:shd w:val="clear" w:color="auto" w:fill="auto"/>
                  <w:vAlign w:val="center"/>
                </w:tcPr>
                <w:p w14:paraId="684EB583">
                  <w:pPr>
                    <w:spacing w:line="240" w:lineRule="auto"/>
                    <w:jc w:val="center"/>
                    <w:rPr>
                      <w:rFonts w:hint="eastAsia" w:ascii="Times New Roman" w:hAnsi="Times New Roman" w:eastAsia="宋体" w:cs="Times New Roman"/>
                      <w:bCs w:val="0"/>
                      <w:kern w:val="2"/>
                      <w:sz w:val="21"/>
                      <w:szCs w:val="21"/>
                      <w:u w:val="single"/>
                      <w:lang w:val="en-US" w:eastAsia="zh-CN" w:bidi="ar-SA"/>
                    </w:rPr>
                  </w:pPr>
                  <w:r>
                    <w:rPr>
                      <w:rFonts w:hint="eastAsia"/>
                      <w:b w:val="0"/>
                      <w:bCs w:val="0"/>
                      <w:kern w:val="2"/>
                      <w:sz w:val="21"/>
                      <w:szCs w:val="21"/>
                      <w:u w:val="single"/>
                      <w:lang w:eastAsia="zh-CN" w:bidi="ar"/>
                    </w:rPr>
                    <w:t>墓碑打蜡及风干工序产生少量有机废气，生产区加强通风；</w:t>
                  </w:r>
                </w:p>
              </w:tc>
              <w:tc>
                <w:tcPr>
                  <w:tcW w:w="568" w:type="pct"/>
                  <w:shd w:val="clear" w:color="auto" w:fill="auto"/>
                  <w:vAlign w:val="center"/>
                </w:tcPr>
                <w:p w14:paraId="4094EE6D">
                  <w:pPr>
                    <w:spacing w:line="240" w:lineRule="auto"/>
                    <w:jc w:val="center"/>
                    <w:rPr>
                      <w:rFonts w:hint="eastAsia"/>
                      <w:b w:val="0"/>
                      <w:bCs w:val="0"/>
                      <w:kern w:val="2"/>
                      <w:sz w:val="21"/>
                      <w:szCs w:val="21"/>
                      <w:u w:val="single"/>
                      <w:lang w:eastAsia="zh-CN" w:bidi="ar"/>
                    </w:rPr>
                  </w:pPr>
                  <w:r>
                    <w:rPr>
                      <w:rFonts w:hint="eastAsia"/>
                      <w:sz w:val="21"/>
                      <w:szCs w:val="21"/>
                      <w:u w:val="single"/>
                      <w:lang w:eastAsia="zh-CN"/>
                    </w:rPr>
                    <w:t>否</w:t>
                  </w:r>
                </w:p>
              </w:tc>
            </w:tr>
            <w:tr w14:paraId="432722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254" w:type="pct"/>
                  <w:vMerge w:val="continue"/>
                  <w:shd w:val="clear" w:color="auto" w:fill="auto"/>
                  <w:vAlign w:val="center"/>
                </w:tcPr>
                <w:p w14:paraId="146DA6B8">
                  <w:pPr>
                    <w:spacing w:line="240" w:lineRule="auto"/>
                    <w:jc w:val="center"/>
                    <w:rPr>
                      <w:rFonts w:hint="eastAsia"/>
                      <w:sz w:val="21"/>
                      <w:szCs w:val="21"/>
                      <w:u w:val="single"/>
                    </w:rPr>
                  </w:pPr>
                </w:p>
              </w:tc>
              <w:tc>
                <w:tcPr>
                  <w:tcW w:w="254" w:type="pct"/>
                  <w:vMerge w:val="continue"/>
                  <w:shd w:val="clear" w:color="auto" w:fill="auto"/>
                  <w:vAlign w:val="center"/>
                </w:tcPr>
                <w:p w14:paraId="469DDAC1">
                  <w:pPr>
                    <w:spacing w:line="240" w:lineRule="auto"/>
                    <w:jc w:val="center"/>
                    <w:rPr>
                      <w:rFonts w:hint="eastAsia"/>
                      <w:sz w:val="21"/>
                      <w:szCs w:val="21"/>
                      <w:u w:val="single"/>
                    </w:rPr>
                  </w:pPr>
                </w:p>
              </w:tc>
              <w:tc>
                <w:tcPr>
                  <w:tcW w:w="254" w:type="pct"/>
                  <w:vMerge w:val="continue"/>
                  <w:shd w:val="clear" w:color="auto" w:fill="auto"/>
                  <w:vAlign w:val="center"/>
                </w:tcPr>
                <w:p w14:paraId="56927B2E">
                  <w:pPr>
                    <w:spacing w:line="240" w:lineRule="auto"/>
                    <w:jc w:val="center"/>
                    <w:rPr>
                      <w:rFonts w:hint="eastAsia"/>
                      <w:sz w:val="21"/>
                      <w:szCs w:val="21"/>
                      <w:u w:val="single"/>
                    </w:rPr>
                  </w:pPr>
                </w:p>
              </w:tc>
              <w:tc>
                <w:tcPr>
                  <w:tcW w:w="1093" w:type="pct"/>
                  <w:vMerge w:val="continue"/>
                  <w:shd w:val="clear" w:color="auto" w:fill="auto"/>
                  <w:vAlign w:val="center"/>
                </w:tcPr>
                <w:p w14:paraId="67B1D54A">
                  <w:pPr>
                    <w:spacing w:line="240" w:lineRule="auto"/>
                    <w:jc w:val="center"/>
                    <w:rPr>
                      <w:rFonts w:hint="eastAsia"/>
                      <w:sz w:val="21"/>
                      <w:szCs w:val="21"/>
                      <w:u w:val="single"/>
                    </w:rPr>
                  </w:pPr>
                </w:p>
              </w:tc>
              <w:tc>
                <w:tcPr>
                  <w:tcW w:w="376" w:type="pct"/>
                  <w:vMerge w:val="continue"/>
                  <w:shd w:val="clear" w:color="auto" w:fill="auto"/>
                  <w:vAlign w:val="center"/>
                </w:tcPr>
                <w:p w14:paraId="1851599B">
                  <w:pPr>
                    <w:spacing w:line="240" w:lineRule="auto"/>
                    <w:jc w:val="center"/>
                    <w:rPr>
                      <w:rFonts w:hint="eastAsia"/>
                      <w:sz w:val="21"/>
                      <w:szCs w:val="21"/>
                      <w:u w:val="single"/>
                    </w:rPr>
                  </w:pPr>
                </w:p>
              </w:tc>
              <w:tc>
                <w:tcPr>
                  <w:tcW w:w="2197" w:type="pct"/>
                  <w:shd w:val="clear" w:color="auto" w:fill="auto"/>
                  <w:vAlign w:val="center"/>
                </w:tcPr>
                <w:p w14:paraId="2E6EEFF2">
                  <w:pPr>
                    <w:spacing w:line="240" w:lineRule="auto"/>
                    <w:jc w:val="center"/>
                    <w:rPr>
                      <w:rFonts w:hint="eastAsia"/>
                      <w:sz w:val="21"/>
                      <w:szCs w:val="21"/>
                      <w:u w:val="single"/>
                    </w:rPr>
                  </w:pPr>
                  <w:r>
                    <w:rPr>
                      <w:rFonts w:hint="eastAsia" w:ascii="Times New Roman" w:hAnsi="Times New Roman" w:eastAsia="宋体" w:cs="Times New Roman"/>
                      <w:kern w:val="2"/>
                      <w:sz w:val="21"/>
                      <w:szCs w:val="21"/>
                      <w:u w:val="single"/>
                      <w:lang w:val="en-US" w:eastAsia="zh-CN" w:bidi="ar-SA"/>
                    </w:rPr>
                    <w:t>透水砖、路面砖</w:t>
                  </w:r>
                  <w:r>
                    <w:rPr>
                      <w:rFonts w:hint="eastAsia"/>
                      <w:sz w:val="21"/>
                      <w:szCs w:val="21"/>
                      <w:u w:val="single"/>
                      <w:lang w:eastAsia="zh-CN"/>
                    </w:rPr>
                    <w:t>所用原料</w:t>
                  </w:r>
                  <w:r>
                    <w:rPr>
                      <w:sz w:val="21"/>
                      <w:szCs w:val="21"/>
                      <w:u w:val="single"/>
                    </w:rPr>
                    <w:t>生产过程中</w:t>
                  </w:r>
                  <w:r>
                    <w:rPr>
                      <w:rFonts w:hint="eastAsia"/>
                      <w:sz w:val="21"/>
                      <w:szCs w:val="21"/>
                      <w:u w:val="single"/>
                    </w:rPr>
                    <w:t>采用</w:t>
                  </w:r>
                  <w:r>
                    <w:rPr>
                      <w:rFonts w:hint="eastAsia"/>
                      <w:snapToGrid w:val="0"/>
                      <w:spacing w:val="4"/>
                      <w:sz w:val="21"/>
                      <w:szCs w:val="21"/>
                      <w:u w:val="single"/>
                      <w:lang w:eastAsia="zh-CN"/>
                    </w:rPr>
                    <w:t>干法作业</w:t>
                  </w:r>
                  <w:r>
                    <w:rPr>
                      <w:rFonts w:hint="eastAsia"/>
                      <w:sz w:val="21"/>
                      <w:szCs w:val="21"/>
                      <w:u w:val="single"/>
                    </w:rPr>
                    <w:t>生产工艺，</w:t>
                  </w:r>
                  <w:r>
                    <w:rPr>
                      <w:rFonts w:hint="eastAsia"/>
                      <w:kern w:val="2"/>
                      <w:sz w:val="21"/>
                      <w:szCs w:val="21"/>
                      <w:u w:val="single"/>
                      <w:lang w:eastAsia="zh-CN"/>
                    </w:rPr>
                    <w:t>采取喷淋降尘</w:t>
                  </w:r>
                  <w:r>
                    <w:rPr>
                      <w:rFonts w:hint="eastAsia"/>
                      <w:kern w:val="2"/>
                      <w:sz w:val="21"/>
                      <w:szCs w:val="21"/>
                      <w:u w:val="single"/>
                    </w:rPr>
                    <w:t>，</w:t>
                  </w:r>
                  <w:r>
                    <w:rPr>
                      <w:rFonts w:hint="eastAsia"/>
                      <w:sz w:val="21"/>
                      <w:szCs w:val="21"/>
                      <w:u w:val="single"/>
                    </w:rPr>
                    <w:t>同时</w:t>
                  </w:r>
                  <w:r>
                    <w:rPr>
                      <w:rFonts w:hint="eastAsia"/>
                      <w:kern w:val="2"/>
                      <w:sz w:val="21"/>
                      <w:szCs w:val="21"/>
                      <w:u w:val="single"/>
                      <w:lang w:eastAsia="zh-CN"/>
                    </w:rPr>
                    <w:t>采用密闭生产工序</w:t>
                  </w:r>
                  <w:r>
                    <w:rPr>
                      <w:rFonts w:hint="eastAsia"/>
                      <w:sz w:val="21"/>
                      <w:szCs w:val="21"/>
                      <w:u w:val="single"/>
                    </w:rPr>
                    <w:t>，</w:t>
                  </w:r>
                  <w:r>
                    <w:rPr>
                      <w:sz w:val="21"/>
                      <w:szCs w:val="21"/>
                      <w:u w:val="single"/>
                    </w:rPr>
                    <w:t>产生的破碎筛分</w:t>
                  </w:r>
                  <w:r>
                    <w:rPr>
                      <w:rFonts w:hint="eastAsia"/>
                      <w:sz w:val="21"/>
                      <w:szCs w:val="21"/>
                      <w:u w:val="single"/>
                    </w:rPr>
                    <w:t>制砂</w:t>
                  </w:r>
                  <w:r>
                    <w:rPr>
                      <w:sz w:val="21"/>
                      <w:szCs w:val="21"/>
                      <w:u w:val="single"/>
                    </w:rPr>
                    <w:t>粉尘</w:t>
                  </w:r>
                  <w:r>
                    <w:rPr>
                      <w:rFonts w:hint="eastAsia"/>
                      <w:sz w:val="21"/>
                      <w:szCs w:val="21"/>
                      <w:u w:val="single"/>
                    </w:rPr>
                    <w:t>无组织排放；</w:t>
                  </w:r>
                </w:p>
              </w:tc>
              <w:tc>
                <w:tcPr>
                  <w:tcW w:w="568" w:type="pct"/>
                  <w:shd w:val="clear" w:color="auto" w:fill="auto"/>
                  <w:vAlign w:val="center"/>
                </w:tcPr>
                <w:p w14:paraId="368F530A">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eastAsia="zh-CN"/>
                    </w:rPr>
                    <w:t>否</w:t>
                  </w:r>
                </w:p>
              </w:tc>
            </w:tr>
            <w:tr w14:paraId="5E4EF1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254" w:type="pct"/>
                  <w:vMerge w:val="continue"/>
                  <w:shd w:val="clear" w:color="auto" w:fill="auto"/>
                  <w:vAlign w:val="center"/>
                </w:tcPr>
                <w:p w14:paraId="2341691E">
                  <w:pPr>
                    <w:spacing w:line="240" w:lineRule="auto"/>
                    <w:jc w:val="center"/>
                    <w:rPr>
                      <w:rFonts w:hint="eastAsia"/>
                      <w:sz w:val="21"/>
                      <w:szCs w:val="21"/>
                      <w:u w:val="single"/>
                    </w:rPr>
                  </w:pPr>
                </w:p>
              </w:tc>
              <w:tc>
                <w:tcPr>
                  <w:tcW w:w="254" w:type="pct"/>
                  <w:vMerge w:val="continue"/>
                  <w:shd w:val="clear" w:color="auto" w:fill="auto"/>
                  <w:vAlign w:val="center"/>
                </w:tcPr>
                <w:p w14:paraId="47EB4327">
                  <w:pPr>
                    <w:spacing w:line="240" w:lineRule="auto"/>
                    <w:jc w:val="center"/>
                    <w:rPr>
                      <w:rFonts w:hint="eastAsia"/>
                      <w:sz w:val="21"/>
                      <w:szCs w:val="21"/>
                      <w:u w:val="single"/>
                    </w:rPr>
                  </w:pPr>
                </w:p>
              </w:tc>
              <w:tc>
                <w:tcPr>
                  <w:tcW w:w="254" w:type="pct"/>
                  <w:vMerge w:val="continue"/>
                  <w:shd w:val="clear" w:color="auto" w:fill="auto"/>
                  <w:vAlign w:val="center"/>
                </w:tcPr>
                <w:p w14:paraId="34154C8B">
                  <w:pPr>
                    <w:spacing w:line="240" w:lineRule="auto"/>
                    <w:jc w:val="center"/>
                    <w:rPr>
                      <w:rFonts w:hint="eastAsia"/>
                      <w:sz w:val="21"/>
                      <w:szCs w:val="21"/>
                      <w:u w:val="single"/>
                    </w:rPr>
                  </w:pPr>
                </w:p>
              </w:tc>
              <w:tc>
                <w:tcPr>
                  <w:tcW w:w="1093" w:type="pct"/>
                  <w:vMerge w:val="continue"/>
                  <w:shd w:val="clear" w:color="auto" w:fill="auto"/>
                  <w:vAlign w:val="center"/>
                </w:tcPr>
                <w:p w14:paraId="1DF4C1CF">
                  <w:pPr>
                    <w:spacing w:line="240" w:lineRule="auto"/>
                    <w:jc w:val="center"/>
                    <w:rPr>
                      <w:rFonts w:hint="eastAsia"/>
                      <w:sz w:val="21"/>
                      <w:szCs w:val="21"/>
                      <w:u w:val="single"/>
                    </w:rPr>
                  </w:pPr>
                </w:p>
              </w:tc>
              <w:tc>
                <w:tcPr>
                  <w:tcW w:w="376" w:type="pct"/>
                  <w:vMerge w:val="continue"/>
                  <w:shd w:val="clear" w:color="auto" w:fill="auto"/>
                  <w:vAlign w:val="center"/>
                </w:tcPr>
                <w:p w14:paraId="042D628A">
                  <w:pPr>
                    <w:spacing w:line="240" w:lineRule="auto"/>
                    <w:jc w:val="center"/>
                    <w:rPr>
                      <w:rFonts w:hint="eastAsia"/>
                      <w:sz w:val="21"/>
                      <w:szCs w:val="21"/>
                      <w:u w:val="single"/>
                    </w:rPr>
                  </w:pPr>
                </w:p>
              </w:tc>
              <w:tc>
                <w:tcPr>
                  <w:tcW w:w="2197" w:type="pct"/>
                  <w:shd w:val="clear" w:color="auto" w:fill="auto"/>
                  <w:vAlign w:val="center"/>
                </w:tcPr>
                <w:p w14:paraId="68546C70">
                  <w:pPr>
                    <w:spacing w:line="240" w:lineRule="auto"/>
                    <w:jc w:val="center"/>
                    <w:rPr>
                      <w:rFonts w:hint="eastAsia"/>
                      <w:sz w:val="21"/>
                      <w:szCs w:val="21"/>
                      <w:u w:val="single"/>
                    </w:rPr>
                  </w:pPr>
                  <w:r>
                    <w:rPr>
                      <w:rFonts w:hint="eastAsia"/>
                      <w:sz w:val="21"/>
                      <w:szCs w:val="21"/>
                      <w:u w:val="single"/>
                    </w:rPr>
                    <w:t>投配料、搅拌工序工作时，启动喷淋装置进行洒水抑尘后，</w:t>
                  </w:r>
                  <w:r>
                    <w:rPr>
                      <w:rFonts w:hint="eastAsia" w:ascii="Times New Roman" w:hAnsi="Times New Roman" w:eastAsia="宋体" w:cs="Times New Roman"/>
                      <w:kern w:val="2"/>
                      <w:sz w:val="21"/>
                      <w:szCs w:val="21"/>
                      <w:u w:val="single"/>
                      <w:lang w:val="en-US" w:eastAsia="zh-CN" w:bidi="ar-SA"/>
                    </w:rPr>
                    <w:t>透水砖、路面砖</w:t>
                  </w:r>
                  <w:r>
                    <w:rPr>
                      <w:sz w:val="21"/>
                      <w:szCs w:val="21"/>
                      <w:u w:val="single"/>
                    </w:rPr>
                    <w:t>生产</w:t>
                  </w:r>
                  <w:r>
                    <w:rPr>
                      <w:rFonts w:hint="eastAsia"/>
                      <w:sz w:val="21"/>
                      <w:szCs w:val="21"/>
                      <w:u w:val="single"/>
                    </w:rPr>
                    <w:t>线投料、输送及搅拌</w:t>
                  </w:r>
                  <w:r>
                    <w:rPr>
                      <w:sz w:val="21"/>
                      <w:szCs w:val="21"/>
                      <w:u w:val="single"/>
                    </w:rPr>
                    <w:t>粉尘</w:t>
                  </w:r>
                  <w:r>
                    <w:rPr>
                      <w:rFonts w:hint="eastAsia"/>
                      <w:sz w:val="21"/>
                      <w:szCs w:val="21"/>
                      <w:u w:val="single"/>
                    </w:rPr>
                    <w:t>无组织排放；</w:t>
                  </w:r>
                </w:p>
              </w:tc>
              <w:tc>
                <w:tcPr>
                  <w:tcW w:w="568" w:type="pct"/>
                  <w:shd w:val="clear" w:color="auto" w:fill="auto"/>
                  <w:vAlign w:val="center"/>
                </w:tcPr>
                <w:p w14:paraId="2BB9F231">
                  <w:pPr>
                    <w:spacing w:line="240" w:lineRule="auto"/>
                    <w:jc w:val="center"/>
                    <w:rPr>
                      <w:rFonts w:hint="eastAsia"/>
                      <w:sz w:val="21"/>
                      <w:szCs w:val="21"/>
                      <w:u w:val="single"/>
                    </w:rPr>
                  </w:pPr>
                  <w:r>
                    <w:rPr>
                      <w:rFonts w:hint="eastAsia"/>
                      <w:sz w:val="21"/>
                      <w:szCs w:val="21"/>
                      <w:u w:val="single"/>
                      <w:lang w:eastAsia="zh-CN"/>
                    </w:rPr>
                    <w:t>否</w:t>
                  </w:r>
                </w:p>
              </w:tc>
            </w:tr>
            <w:tr w14:paraId="0B6CA2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254" w:type="pct"/>
                  <w:vMerge w:val="continue"/>
                  <w:shd w:val="clear" w:color="auto" w:fill="auto"/>
                  <w:vAlign w:val="center"/>
                </w:tcPr>
                <w:p w14:paraId="0BC2D212">
                  <w:pPr>
                    <w:spacing w:line="240" w:lineRule="auto"/>
                    <w:jc w:val="center"/>
                    <w:rPr>
                      <w:rFonts w:hint="eastAsia"/>
                      <w:sz w:val="21"/>
                      <w:szCs w:val="21"/>
                      <w:u w:val="single"/>
                    </w:rPr>
                  </w:pPr>
                </w:p>
              </w:tc>
              <w:tc>
                <w:tcPr>
                  <w:tcW w:w="254" w:type="pct"/>
                  <w:vMerge w:val="continue"/>
                  <w:shd w:val="clear" w:color="auto" w:fill="auto"/>
                  <w:vAlign w:val="center"/>
                </w:tcPr>
                <w:p w14:paraId="5FDD5155">
                  <w:pPr>
                    <w:spacing w:line="240" w:lineRule="auto"/>
                    <w:jc w:val="center"/>
                    <w:rPr>
                      <w:rFonts w:hint="eastAsia"/>
                      <w:sz w:val="21"/>
                      <w:szCs w:val="21"/>
                      <w:u w:val="single"/>
                    </w:rPr>
                  </w:pPr>
                </w:p>
              </w:tc>
              <w:tc>
                <w:tcPr>
                  <w:tcW w:w="254" w:type="pct"/>
                  <w:vMerge w:val="continue"/>
                  <w:shd w:val="clear" w:color="auto" w:fill="auto"/>
                  <w:vAlign w:val="center"/>
                </w:tcPr>
                <w:p w14:paraId="1D4E95DC">
                  <w:pPr>
                    <w:spacing w:line="240" w:lineRule="auto"/>
                    <w:jc w:val="center"/>
                    <w:rPr>
                      <w:rFonts w:hint="eastAsia"/>
                      <w:sz w:val="21"/>
                      <w:szCs w:val="21"/>
                      <w:u w:val="single"/>
                    </w:rPr>
                  </w:pPr>
                </w:p>
              </w:tc>
              <w:tc>
                <w:tcPr>
                  <w:tcW w:w="1093" w:type="pct"/>
                  <w:vMerge w:val="restart"/>
                  <w:shd w:val="clear" w:color="auto" w:fill="auto"/>
                  <w:vAlign w:val="center"/>
                </w:tcPr>
                <w:p w14:paraId="03042EB8">
                  <w:pPr>
                    <w:spacing w:line="240" w:lineRule="auto"/>
                    <w:jc w:val="center"/>
                    <w:rPr>
                      <w:rFonts w:hint="eastAsia"/>
                      <w:sz w:val="21"/>
                      <w:szCs w:val="21"/>
                      <w:u w:val="single"/>
                    </w:rPr>
                  </w:pPr>
                  <w:r>
                    <w:rPr>
                      <w:sz w:val="21"/>
                      <w:szCs w:val="21"/>
                      <w:u w:val="single"/>
                    </w:rPr>
                    <w:t>厨房设置油烟净化器。</w:t>
                  </w:r>
                </w:p>
              </w:tc>
              <w:tc>
                <w:tcPr>
                  <w:tcW w:w="376" w:type="pct"/>
                  <w:vMerge w:val="continue"/>
                  <w:shd w:val="clear" w:color="auto" w:fill="auto"/>
                  <w:vAlign w:val="center"/>
                </w:tcPr>
                <w:p w14:paraId="6E1DD3A7">
                  <w:pPr>
                    <w:spacing w:line="240" w:lineRule="auto"/>
                    <w:jc w:val="center"/>
                    <w:rPr>
                      <w:rFonts w:hint="eastAsia"/>
                      <w:sz w:val="21"/>
                      <w:szCs w:val="21"/>
                      <w:u w:val="single"/>
                    </w:rPr>
                  </w:pPr>
                </w:p>
              </w:tc>
              <w:tc>
                <w:tcPr>
                  <w:tcW w:w="2197" w:type="pct"/>
                  <w:shd w:val="clear" w:color="auto" w:fill="auto"/>
                  <w:vAlign w:val="center"/>
                </w:tcPr>
                <w:p w14:paraId="166D8782">
                  <w:pPr>
                    <w:spacing w:line="240" w:lineRule="auto"/>
                    <w:jc w:val="center"/>
                    <w:rPr>
                      <w:rFonts w:hint="eastAsia"/>
                      <w:sz w:val="21"/>
                      <w:szCs w:val="21"/>
                      <w:u w:val="single"/>
                    </w:rPr>
                  </w:pPr>
                  <w:r>
                    <w:rPr>
                      <w:rFonts w:hint="default"/>
                      <w:kern w:val="2"/>
                      <w:sz w:val="21"/>
                      <w:szCs w:val="21"/>
                      <w:u w:val="single"/>
                      <w:lang w:val="en-US" w:eastAsia="zh-CN"/>
                    </w:rPr>
                    <w:t>水泥筒仓</w:t>
                  </w:r>
                  <w:r>
                    <w:rPr>
                      <w:sz w:val="21"/>
                      <w:szCs w:val="21"/>
                      <w:u w:val="single"/>
                    </w:rPr>
                    <w:t>顶部配套高效仓顶除尘器</w:t>
                  </w:r>
                  <w:r>
                    <w:rPr>
                      <w:rFonts w:hint="eastAsia"/>
                      <w:sz w:val="21"/>
                      <w:szCs w:val="21"/>
                      <w:u w:val="single"/>
                    </w:rPr>
                    <w:t>后</w:t>
                  </w:r>
                  <w:r>
                    <w:rPr>
                      <w:rFonts w:hint="default"/>
                      <w:kern w:val="2"/>
                      <w:sz w:val="21"/>
                      <w:szCs w:val="21"/>
                      <w:u w:val="single"/>
                      <w:lang w:val="en-US" w:eastAsia="zh-CN"/>
                    </w:rPr>
                    <w:t>水泥筒仓</w:t>
                  </w:r>
                  <w:r>
                    <w:rPr>
                      <w:sz w:val="21"/>
                      <w:szCs w:val="21"/>
                      <w:u w:val="single"/>
                    </w:rPr>
                    <w:t>呼吸孔粉尘以无组织形式排放</w:t>
                  </w:r>
                  <w:r>
                    <w:rPr>
                      <w:rFonts w:hint="eastAsia"/>
                      <w:sz w:val="21"/>
                      <w:szCs w:val="21"/>
                      <w:u w:val="single"/>
                    </w:rPr>
                    <w:t>；</w:t>
                  </w:r>
                </w:p>
              </w:tc>
              <w:tc>
                <w:tcPr>
                  <w:tcW w:w="568" w:type="pct"/>
                  <w:shd w:val="clear" w:color="auto" w:fill="auto"/>
                  <w:vAlign w:val="center"/>
                </w:tcPr>
                <w:p w14:paraId="0BF4F386">
                  <w:pPr>
                    <w:spacing w:line="240" w:lineRule="auto"/>
                    <w:jc w:val="center"/>
                    <w:rPr>
                      <w:rFonts w:hint="default"/>
                      <w:kern w:val="2"/>
                      <w:sz w:val="21"/>
                      <w:szCs w:val="21"/>
                      <w:u w:val="single"/>
                      <w:lang w:val="en-US" w:eastAsia="zh-CN"/>
                    </w:rPr>
                  </w:pPr>
                  <w:r>
                    <w:rPr>
                      <w:rFonts w:hint="eastAsia"/>
                      <w:sz w:val="21"/>
                      <w:szCs w:val="21"/>
                      <w:u w:val="single"/>
                      <w:lang w:eastAsia="zh-CN"/>
                    </w:rPr>
                    <w:t>否</w:t>
                  </w:r>
                </w:p>
              </w:tc>
            </w:tr>
            <w:tr w14:paraId="662D5D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254" w:type="pct"/>
                  <w:vMerge w:val="continue"/>
                  <w:shd w:val="clear" w:color="auto" w:fill="auto"/>
                  <w:vAlign w:val="center"/>
                </w:tcPr>
                <w:p w14:paraId="6EFE2F49">
                  <w:pPr>
                    <w:spacing w:line="240" w:lineRule="auto"/>
                    <w:jc w:val="center"/>
                    <w:rPr>
                      <w:rFonts w:hint="eastAsia"/>
                      <w:sz w:val="21"/>
                      <w:szCs w:val="21"/>
                      <w:u w:val="single"/>
                    </w:rPr>
                  </w:pPr>
                </w:p>
              </w:tc>
              <w:tc>
                <w:tcPr>
                  <w:tcW w:w="254" w:type="pct"/>
                  <w:vMerge w:val="continue"/>
                  <w:shd w:val="clear" w:color="auto" w:fill="auto"/>
                  <w:vAlign w:val="center"/>
                </w:tcPr>
                <w:p w14:paraId="24CA86E0">
                  <w:pPr>
                    <w:spacing w:line="240" w:lineRule="auto"/>
                    <w:jc w:val="center"/>
                    <w:rPr>
                      <w:rFonts w:hint="eastAsia"/>
                      <w:sz w:val="21"/>
                      <w:szCs w:val="21"/>
                      <w:u w:val="single"/>
                    </w:rPr>
                  </w:pPr>
                </w:p>
              </w:tc>
              <w:tc>
                <w:tcPr>
                  <w:tcW w:w="254" w:type="pct"/>
                  <w:vMerge w:val="continue"/>
                  <w:shd w:val="clear" w:color="auto" w:fill="auto"/>
                  <w:vAlign w:val="center"/>
                </w:tcPr>
                <w:p w14:paraId="45C5BD2B">
                  <w:pPr>
                    <w:spacing w:line="240" w:lineRule="auto"/>
                    <w:jc w:val="center"/>
                    <w:rPr>
                      <w:rFonts w:hint="eastAsia"/>
                      <w:sz w:val="21"/>
                      <w:szCs w:val="21"/>
                      <w:u w:val="single"/>
                    </w:rPr>
                  </w:pPr>
                </w:p>
              </w:tc>
              <w:tc>
                <w:tcPr>
                  <w:tcW w:w="1093" w:type="pct"/>
                  <w:vMerge w:val="continue"/>
                  <w:shd w:val="clear" w:color="auto" w:fill="auto"/>
                  <w:vAlign w:val="center"/>
                </w:tcPr>
                <w:p w14:paraId="1DC4F377">
                  <w:pPr>
                    <w:spacing w:line="240" w:lineRule="auto"/>
                    <w:jc w:val="center"/>
                    <w:rPr>
                      <w:rFonts w:hint="eastAsia"/>
                      <w:sz w:val="21"/>
                      <w:szCs w:val="21"/>
                      <w:u w:val="single"/>
                    </w:rPr>
                  </w:pPr>
                </w:p>
              </w:tc>
              <w:tc>
                <w:tcPr>
                  <w:tcW w:w="376" w:type="pct"/>
                  <w:vMerge w:val="continue"/>
                  <w:shd w:val="clear" w:color="auto" w:fill="auto"/>
                  <w:vAlign w:val="center"/>
                </w:tcPr>
                <w:p w14:paraId="5C36378F">
                  <w:pPr>
                    <w:spacing w:line="240" w:lineRule="auto"/>
                    <w:jc w:val="center"/>
                    <w:rPr>
                      <w:rFonts w:hint="eastAsia"/>
                      <w:sz w:val="21"/>
                      <w:szCs w:val="21"/>
                      <w:u w:val="single"/>
                    </w:rPr>
                  </w:pPr>
                </w:p>
              </w:tc>
              <w:tc>
                <w:tcPr>
                  <w:tcW w:w="2197" w:type="pct"/>
                  <w:shd w:val="clear" w:color="auto" w:fill="auto"/>
                  <w:vAlign w:val="center"/>
                </w:tcPr>
                <w:p w14:paraId="514F629D">
                  <w:pPr>
                    <w:spacing w:line="240" w:lineRule="auto"/>
                    <w:jc w:val="center"/>
                    <w:rPr>
                      <w:rFonts w:hint="eastAsia"/>
                      <w:sz w:val="21"/>
                      <w:szCs w:val="21"/>
                      <w:u w:val="single"/>
                    </w:rPr>
                  </w:pPr>
                  <w:r>
                    <w:rPr>
                      <w:sz w:val="21"/>
                      <w:szCs w:val="21"/>
                      <w:u w:val="single"/>
                    </w:rPr>
                    <w:t>厨房设置油烟净化器。</w:t>
                  </w:r>
                </w:p>
              </w:tc>
              <w:tc>
                <w:tcPr>
                  <w:tcW w:w="568" w:type="pct"/>
                  <w:shd w:val="clear" w:color="auto" w:fill="auto"/>
                  <w:vAlign w:val="center"/>
                </w:tcPr>
                <w:p w14:paraId="4110F3B8">
                  <w:pPr>
                    <w:spacing w:line="240" w:lineRule="auto"/>
                    <w:jc w:val="center"/>
                    <w:rPr>
                      <w:sz w:val="21"/>
                      <w:szCs w:val="21"/>
                      <w:u w:val="single"/>
                    </w:rPr>
                  </w:pPr>
                  <w:r>
                    <w:rPr>
                      <w:rFonts w:hint="eastAsia"/>
                      <w:sz w:val="21"/>
                      <w:szCs w:val="21"/>
                      <w:u w:val="single"/>
                      <w:lang w:eastAsia="zh-CN"/>
                    </w:rPr>
                    <w:t>否</w:t>
                  </w:r>
                </w:p>
              </w:tc>
            </w:tr>
            <w:tr w14:paraId="27B682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254" w:type="pct"/>
                  <w:vMerge w:val="continue"/>
                  <w:shd w:val="clear" w:color="auto" w:fill="auto"/>
                  <w:vAlign w:val="center"/>
                </w:tcPr>
                <w:p w14:paraId="13CB0538">
                  <w:pPr>
                    <w:spacing w:line="240" w:lineRule="auto"/>
                    <w:jc w:val="center"/>
                    <w:rPr>
                      <w:color w:val="0000C7"/>
                      <w:sz w:val="21"/>
                      <w:szCs w:val="21"/>
                      <w:u w:val="single"/>
                    </w:rPr>
                  </w:pPr>
                </w:p>
              </w:tc>
              <w:tc>
                <w:tcPr>
                  <w:tcW w:w="254" w:type="pct"/>
                  <w:vMerge w:val="continue"/>
                  <w:shd w:val="clear" w:color="auto" w:fill="auto"/>
                  <w:vAlign w:val="center"/>
                </w:tcPr>
                <w:p w14:paraId="181207EC">
                  <w:pPr>
                    <w:spacing w:line="240" w:lineRule="auto"/>
                    <w:jc w:val="center"/>
                    <w:rPr>
                      <w:color w:val="0000C7"/>
                      <w:sz w:val="21"/>
                      <w:szCs w:val="21"/>
                      <w:u w:val="single"/>
                    </w:rPr>
                  </w:pPr>
                </w:p>
              </w:tc>
              <w:tc>
                <w:tcPr>
                  <w:tcW w:w="254" w:type="pct"/>
                  <w:vMerge w:val="restart"/>
                  <w:shd w:val="clear" w:color="auto" w:fill="auto"/>
                  <w:vAlign w:val="center"/>
                </w:tcPr>
                <w:p w14:paraId="2045AD1F">
                  <w:pPr>
                    <w:spacing w:line="240" w:lineRule="auto"/>
                    <w:jc w:val="center"/>
                    <w:rPr>
                      <w:color w:val="0000C7"/>
                      <w:sz w:val="21"/>
                      <w:szCs w:val="21"/>
                      <w:u w:val="single"/>
                    </w:rPr>
                  </w:pPr>
                  <w:r>
                    <w:rPr>
                      <w:sz w:val="21"/>
                      <w:szCs w:val="21"/>
                      <w:u w:val="single"/>
                    </w:rPr>
                    <w:t>废水处理</w:t>
                  </w:r>
                </w:p>
              </w:tc>
              <w:tc>
                <w:tcPr>
                  <w:tcW w:w="1093" w:type="pct"/>
                  <w:shd w:val="clear" w:color="auto" w:fill="auto"/>
                  <w:vAlign w:val="center"/>
                </w:tcPr>
                <w:p w14:paraId="1F8D7731">
                  <w:pPr>
                    <w:spacing w:line="240" w:lineRule="auto"/>
                    <w:jc w:val="center"/>
                    <w:rPr>
                      <w:color w:val="0000C7"/>
                      <w:sz w:val="21"/>
                      <w:szCs w:val="21"/>
                      <w:u w:val="single"/>
                    </w:rPr>
                  </w:pPr>
                  <w:r>
                    <w:rPr>
                      <w:sz w:val="21"/>
                      <w:szCs w:val="21"/>
                      <w:u w:val="single"/>
                    </w:rPr>
                    <w:t>本项目</w:t>
                  </w:r>
                  <w:r>
                    <w:rPr>
                      <w:rFonts w:hint="eastAsia"/>
                      <w:b w:val="0"/>
                      <w:bCs w:val="0"/>
                      <w:kern w:val="2"/>
                      <w:sz w:val="21"/>
                      <w:szCs w:val="21"/>
                      <w:u w:val="single"/>
                      <w:lang w:eastAsia="zh-CN" w:bidi="ar"/>
                    </w:rPr>
                    <w:t>墓碑</w:t>
                  </w:r>
                  <w:r>
                    <w:rPr>
                      <w:rFonts w:hint="eastAsia" w:ascii="Times New Roman" w:hAnsi="Times New Roman" w:eastAsia="宋体" w:cs="Times New Roman"/>
                      <w:b w:val="0"/>
                      <w:bCs w:val="0"/>
                      <w:kern w:val="2"/>
                      <w:sz w:val="21"/>
                      <w:szCs w:val="21"/>
                      <w:u w:val="single"/>
                      <w:lang w:val="en-US" w:eastAsia="zh-CN" w:bidi="ar"/>
                    </w:rPr>
                    <w:t>及附属产品和其他板材</w:t>
                  </w:r>
                  <w:r>
                    <w:rPr>
                      <w:sz w:val="21"/>
                      <w:szCs w:val="21"/>
                      <w:u w:val="single"/>
                    </w:rPr>
                    <w:t>加工过程中</w:t>
                  </w:r>
                  <w:r>
                    <w:rPr>
                      <w:rFonts w:hint="eastAsia"/>
                      <w:sz w:val="21"/>
                      <w:szCs w:val="21"/>
                      <w:u w:val="single"/>
                    </w:rPr>
                    <w:t>切割、磨光、雕刻</w:t>
                  </w:r>
                  <w:r>
                    <w:rPr>
                      <w:sz w:val="21"/>
                      <w:szCs w:val="21"/>
                      <w:u w:val="single"/>
                    </w:rPr>
                    <w:t>等工序产生的废水经</w:t>
                  </w:r>
                  <w:r>
                    <w:rPr>
                      <w:rFonts w:hint="eastAsia"/>
                      <w:sz w:val="21"/>
                      <w:szCs w:val="21"/>
                      <w:u w:val="single"/>
                      <w:lang w:val="en-US" w:eastAsia="zh-CN"/>
                    </w:rPr>
                    <w:t>三级</w:t>
                  </w:r>
                  <w:r>
                    <w:rPr>
                      <w:sz w:val="21"/>
                      <w:szCs w:val="21"/>
                      <w:u w:val="single"/>
                    </w:rPr>
                    <w:t>沉淀</w:t>
                  </w:r>
                  <w:r>
                    <w:rPr>
                      <w:rFonts w:hint="eastAsia"/>
                      <w:sz w:val="21"/>
                      <w:szCs w:val="21"/>
                      <w:u w:val="single"/>
                    </w:rPr>
                    <w:t>池（</w:t>
                  </w:r>
                  <w:r>
                    <w:rPr>
                      <w:rFonts w:hint="eastAsia"/>
                      <w:sz w:val="21"/>
                      <w:szCs w:val="21"/>
                      <w:u w:val="single"/>
                      <w:lang w:val="en-US" w:eastAsia="zh-CN"/>
                    </w:rPr>
                    <w:t>17</w:t>
                  </w:r>
                  <w:r>
                    <w:rPr>
                      <w:rFonts w:hint="eastAsia"/>
                      <w:sz w:val="21"/>
                      <w:szCs w:val="21"/>
                      <w:u w:val="single"/>
                    </w:rPr>
                    <w:t>m³）</w:t>
                  </w:r>
                  <w:r>
                    <w:rPr>
                      <w:sz w:val="21"/>
                      <w:szCs w:val="21"/>
                      <w:u w:val="single"/>
                    </w:rPr>
                    <w:t>处理后循环使用，不外排；</w:t>
                  </w:r>
                </w:p>
              </w:tc>
              <w:tc>
                <w:tcPr>
                  <w:tcW w:w="376" w:type="pct"/>
                  <w:vMerge w:val="restart"/>
                  <w:shd w:val="clear" w:color="auto" w:fill="auto"/>
                  <w:vAlign w:val="center"/>
                </w:tcPr>
                <w:p w14:paraId="4CEB580C">
                  <w:pPr>
                    <w:spacing w:line="240" w:lineRule="auto"/>
                    <w:jc w:val="center"/>
                    <w:rPr>
                      <w:sz w:val="21"/>
                      <w:szCs w:val="21"/>
                      <w:u w:val="single"/>
                    </w:rPr>
                  </w:pPr>
                  <w:r>
                    <w:rPr>
                      <w:sz w:val="21"/>
                      <w:szCs w:val="21"/>
                      <w:u w:val="single"/>
                    </w:rPr>
                    <w:t>废水处理</w:t>
                  </w:r>
                </w:p>
              </w:tc>
              <w:tc>
                <w:tcPr>
                  <w:tcW w:w="2197" w:type="pct"/>
                  <w:shd w:val="clear" w:color="auto" w:fill="auto"/>
                  <w:vAlign w:val="center"/>
                </w:tcPr>
                <w:p w14:paraId="7E30E722">
                  <w:pPr>
                    <w:spacing w:line="240" w:lineRule="auto"/>
                    <w:jc w:val="center"/>
                    <w:rPr>
                      <w:color w:val="0000C7"/>
                      <w:sz w:val="21"/>
                      <w:szCs w:val="21"/>
                      <w:u w:val="single"/>
                    </w:rPr>
                  </w:pPr>
                  <w:r>
                    <w:rPr>
                      <w:sz w:val="21"/>
                      <w:szCs w:val="21"/>
                      <w:u w:val="single"/>
                    </w:rPr>
                    <w:t>本项目</w:t>
                  </w:r>
                  <w:r>
                    <w:rPr>
                      <w:rFonts w:hint="eastAsia"/>
                      <w:sz w:val="21"/>
                      <w:szCs w:val="21"/>
                      <w:u w:val="single"/>
                    </w:rPr>
                    <w:t>路沿石、</w:t>
                  </w:r>
                  <w:r>
                    <w:rPr>
                      <w:rFonts w:hint="eastAsia" w:ascii="Times New Roman" w:hAnsi="Times New Roman" w:eastAsia="宋体" w:cs="Times New Roman"/>
                      <w:bCs w:val="0"/>
                      <w:kern w:val="2"/>
                      <w:sz w:val="21"/>
                      <w:szCs w:val="21"/>
                      <w:u w:val="single"/>
                      <w:lang w:val="en-US" w:eastAsia="zh-CN" w:bidi="ar-SA"/>
                    </w:rPr>
                    <w:t>墓碑及附属产品和其他板材</w:t>
                  </w:r>
                  <w:r>
                    <w:rPr>
                      <w:sz w:val="21"/>
                      <w:szCs w:val="21"/>
                      <w:u w:val="single"/>
                    </w:rPr>
                    <w:t>加工过程中</w:t>
                  </w:r>
                  <w:r>
                    <w:rPr>
                      <w:rFonts w:hint="eastAsia"/>
                      <w:sz w:val="21"/>
                      <w:szCs w:val="21"/>
                      <w:u w:val="single"/>
                    </w:rPr>
                    <w:t>切割、磨光、雕刻</w:t>
                  </w:r>
                  <w:r>
                    <w:rPr>
                      <w:sz w:val="21"/>
                      <w:szCs w:val="21"/>
                      <w:u w:val="single"/>
                    </w:rPr>
                    <w:t>等工序产生的废水经</w:t>
                  </w:r>
                  <w:r>
                    <w:rPr>
                      <w:rFonts w:hint="eastAsia"/>
                      <w:sz w:val="21"/>
                      <w:szCs w:val="21"/>
                      <w:u w:val="single"/>
                      <w:lang w:val="en-US" w:eastAsia="zh-CN"/>
                    </w:rPr>
                    <w:t>三级</w:t>
                  </w:r>
                  <w:r>
                    <w:rPr>
                      <w:sz w:val="21"/>
                      <w:szCs w:val="21"/>
                      <w:u w:val="single"/>
                    </w:rPr>
                    <w:t>沉淀</w:t>
                  </w:r>
                  <w:r>
                    <w:rPr>
                      <w:rFonts w:hint="eastAsia"/>
                      <w:sz w:val="21"/>
                      <w:szCs w:val="21"/>
                      <w:u w:val="single"/>
                    </w:rPr>
                    <w:t>池（</w:t>
                  </w:r>
                  <w:r>
                    <w:rPr>
                      <w:rFonts w:hint="eastAsia"/>
                      <w:sz w:val="21"/>
                      <w:szCs w:val="21"/>
                      <w:u w:val="single"/>
                      <w:lang w:val="en-US" w:eastAsia="zh-CN"/>
                    </w:rPr>
                    <w:t>20</w:t>
                  </w:r>
                  <w:r>
                    <w:rPr>
                      <w:rFonts w:hint="eastAsia"/>
                      <w:sz w:val="21"/>
                      <w:szCs w:val="21"/>
                      <w:u w:val="single"/>
                    </w:rPr>
                    <w:t>m³）</w:t>
                  </w:r>
                  <w:r>
                    <w:rPr>
                      <w:sz w:val="21"/>
                      <w:szCs w:val="21"/>
                      <w:u w:val="single"/>
                    </w:rPr>
                    <w:t>处理后循环使用，不外排；</w:t>
                  </w:r>
                </w:p>
              </w:tc>
              <w:tc>
                <w:tcPr>
                  <w:tcW w:w="568" w:type="pct"/>
                  <w:shd w:val="clear" w:color="auto" w:fill="auto"/>
                  <w:vAlign w:val="center"/>
                </w:tcPr>
                <w:p w14:paraId="5CE282D1">
                  <w:pPr>
                    <w:spacing w:line="240" w:lineRule="auto"/>
                    <w:jc w:val="center"/>
                    <w:rPr>
                      <w:sz w:val="21"/>
                      <w:szCs w:val="21"/>
                      <w:u w:val="single"/>
                    </w:rPr>
                  </w:pPr>
                  <w:r>
                    <w:rPr>
                      <w:rFonts w:hint="eastAsia"/>
                      <w:sz w:val="21"/>
                      <w:szCs w:val="21"/>
                      <w:u w:val="single"/>
                      <w:lang w:eastAsia="zh-CN"/>
                    </w:rPr>
                    <w:t>否</w:t>
                  </w:r>
                </w:p>
              </w:tc>
            </w:tr>
            <w:tr w14:paraId="5BE467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254" w:type="pct"/>
                  <w:vMerge w:val="continue"/>
                  <w:shd w:val="clear" w:color="auto" w:fill="auto"/>
                  <w:vAlign w:val="center"/>
                </w:tcPr>
                <w:p w14:paraId="5ADD25A5">
                  <w:pPr>
                    <w:spacing w:line="240" w:lineRule="auto"/>
                    <w:jc w:val="center"/>
                    <w:rPr>
                      <w:sz w:val="21"/>
                      <w:szCs w:val="21"/>
                      <w:u w:val="single"/>
                    </w:rPr>
                  </w:pPr>
                </w:p>
              </w:tc>
              <w:tc>
                <w:tcPr>
                  <w:tcW w:w="254" w:type="pct"/>
                  <w:vMerge w:val="continue"/>
                  <w:shd w:val="clear" w:color="auto" w:fill="auto"/>
                  <w:vAlign w:val="center"/>
                </w:tcPr>
                <w:p w14:paraId="559F400A">
                  <w:pPr>
                    <w:spacing w:line="240" w:lineRule="auto"/>
                    <w:jc w:val="center"/>
                    <w:rPr>
                      <w:sz w:val="21"/>
                      <w:szCs w:val="21"/>
                      <w:u w:val="single"/>
                    </w:rPr>
                  </w:pPr>
                </w:p>
              </w:tc>
              <w:tc>
                <w:tcPr>
                  <w:tcW w:w="254" w:type="pct"/>
                  <w:vMerge w:val="continue"/>
                  <w:shd w:val="clear" w:color="auto" w:fill="auto"/>
                  <w:vAlign w:val="center"/>
                </w:tcPr>
                <w:p w14:paraId="3AED4655">
                  <w:pPr>
                    <w:spacing w:line="240" w:lineRule="auto"/>
                    <w:jc w:val="center"/>
                    <w:rPr>
                      <w:sz w:val="21"/>
                      <w:szCs w:val="21"/>
                      <w:u w:val="single"/>
                    </w:rPr>
                  </w:pPr>
                </w:p>
              </w:tc>
              <w:tc>
                <w:tcPr>
                  <w:tcW w:w="1093" w:type="pct"/>
                  <w:vMerge w:val="restart"/>
                  <w:shd w:val="clear" w:color="auto" w:fill="auto"/>
                  <w:vAlign w:val="center"/>
                </w:tcPr>
                <w:p w14:paraId="32466FFA">
                  <w:pPr>
                    <w:spacing w:line="240" w:lineRule="auto"/>
                    <w:jc w:val="center"/>
                    <w:rPr>
                      <w:sz w:val="21"/>
                      <w:szCs w:val="21"/>
                      <w:u w:val="single"/>
                    </w:rPr>
                  </w:pPr>
                  <w:r>
                    <w:rPr>
                      <w:sz w:val="21"/>
                      <w:szCs w:val="21"/>
                      <w:u w:val="single"/>
                    </w:rPr>
                    <w:t>生活污水</w:t>
                  </w:r>
                  <w:r>
                    <w:rPr>
                      <w:kern w:val="0"/>
                      <w:sz w:val="21"/>
                      <w:szCs w:val="21"/>
                      <w:u w:val="single"/>
                    </w:rPr>
                    <w:t>经</w:t>
                  </w:r>
                  <w:r>
                    <w:rPr>
                      <w:rFonts w:hint="eastAsia"/>
                      <w:kern w:val="0"/>
                      <w:sz w:val="21"/>
                      <w:szCs w:val="21"/>
                      <w:u w:val="single"/>
                    </w:rPr>
                    <w:t>隔油</w:t>
                  </w:r>
                  <w:r>
                    <w:rPr>
                      <w:kern w:val="0"/>
                      <w:sz w:val="21"/>
                      <w:szCs w:val="21"/>
                      <w:u w:val="single"/>
                    </w:rPr>
                    <w:t>化粪池</w:t>
                  </w:r>
                  <w:r>
                    <w:rPr>
                      <w:rFonts w:hint="eastAsia"/>
                      <w:kern w:val="0"/>
                      <w:sz w:val="21"/>
                      <w:szCs w:val="21"/>
                      <w:u w:val="single"/>
                    </w:rPr>
                    <w:t>（</w:t>
                  </w:r>
                  <w:r>
                    <w:rPr>
                      <w:rFonts w:hint="eastAsia"/>
                      <w:kern w:val="0"/>
                      <w:sz w:val="21"/>
                      <w:szCs w:val="21"/>
                      <w:u w:val="single"/>
                      <w:lang w:val="en-US" w:eastAsia="zh-CN"/>
                    </w:rPr>
                    <w:t>5</w:t>
                  </w:r>
                  <w:r>
                    <w:rPr>
                      <w:sz w:val="21"/>
                      <w:szCs w:val="21"/>
                      <w:u w:val="single"/>
                    </w:rPr>
                    <w:t>m</w:t>
                  </w:r>
                  <w:r>
                    <w:rPr>
                      <w:sz w:val="21"/>
                      <w:szCs w:val="21"/>
                      <w:u w:val="single"/>
                      <w:vertAlign w:val="superscript"/>
                    </w:rPr>
                    <w:t>3</w:t>
                  </w:r>
                  <w:r>
                    <w:rPr>
                      <w:rFonts w:hint="eastAsia"/>
                      <w:kern w:val="0"/>
                      <w:sz w:val="21"/>
                      <w:szCs w:val="21"/>
                      <w:u w:val="single"/>
                    </w:rPr>
                    <w:t>）</w:t>
                  </w:r>
                  <w:r>
                    <w:rPr>
                      <w:kern w:val="0"/>
                      <w:sz w:val="21"/>
                      <w:szCs w:val="21"/>
                      <w:u w:val="single"/>
                    </w:rPr>
                    <w:t>处理用于周边林地、</w:t>
                  </w:r>
                  <w:r>
                    <w:rPr>
                      <w:rFonts w:hint="eastAsia"/>
                      <w:kern w:val="0"/>
                      <w:sz w:val="21"/>
                      <w:szCs w:val="21"/>
                      <w:u w:val="single"/>
                    </w:rPr>
                    <w:t>菜地</w:t>
                  </w:r>
                  <w:r>
                    <w:rPr>
                      <w:kern w:val="0"/>
                      <w:sz w:val="21"/>
                      <w:szCs w:val="21"/>
                      <w:u w:val="single"/>
                    </w:rPr>
                    <w:t>浇灌，不外排</w:t>
                  </w:r>
                  <w:r>
                    <w:rPr>
                      <w:rFonts w:hint="eastAsia"/>
                      <w:kern w:val="0"/>
                      <w:sz w:val="21"/>
                      <w:szCs w:val="21"/>
                      <w:u w:val="single"/>
                    </w:rPr>
                    <w:t>；</w:t>
                  </w:r>
                </w:p>
              </w:tc>
              <w:tc>
                <w:tcPr>
                  <w:tcW w:w="376" w:type="pct"/>
                  <w:vMerge w:val="continue"/>
                  <w:shd w:val="clear" w:color="auto" w:fill="auto"/>
                  <w:vAlign w:val="center"/>
                </w:tcPr>
                <w:p w14:paraId="040D08EB">
                  <w:pPr>
                    <w:spacing w:line="240" w:lineRule="auto"/>
                    <w:jc w:val="center"/>
                    <w:rPr>
                      <w:sz w:val="21"/>
                      <w:szCs w:val="21"/>
                      <w:u w:val="single"/>
                    </w:rPr>
                  </w:pPr>
                </w:p>
              </w:tc>
              <w:tc>
                <w:tcPr>
                  <w:tcW w:w="2197" w:type="pct"/>
                  <w:shd w:val="clear" w:color="auto" w:fill="auto"/>
                  <w:vAlign w:val="center"/>
                </w:tcPr>
                <w:p w14:paraId="0A01BF2E">
                  <w:pPr>
                    <w:spacing w:line="240" w:lineRule="auto"/>
                    <w:jc w:val="center"/>
                    <w:rPr>
                      <w:sz w:val="21"/>
                      <w:szCs w:val="21"/>
                      <w:u w:val="single"/>
                    </w:rPr>
                  </w:pPr>
                  <w:r>
                    <w:rPr>
                      <w:sz w:val="21"/>
                      <w:szCs w:val="21"/>
                      <w:u w:val="single"/>
                    </w:rPr>
                    <w:t>生活污水</w:t>
                  </w:r>
                  <w:r>
                    <w:rPr>
                      <w:kern w:val="0"/>
                      <w:sz w:val="21"/>
                      <w:szCs w:val="21"/>
                      <w:u w:val="single"/>
                    </w:rPr>
                    <w:t>经</w:t>
                  </w:r>
                  <w:r>
                    <w:rPr>
                      <w:rFonts w:hint="eastAsia"/>
                      <w:kern w:val="0"/>
                      <w:sz w:val="21"/>
                      <w:szCs w:val="21"/>
                      <w:u w:val="single"/>
                    </w:rPr>
                    <w:t>隔油</w:t>
                  </w:r>
                  <w:r>
                    <w:rPr>
                      <w:kern w:val="0"/>
                      <w:sz w:val="21"/>
                      <w:szCs w:val="21"/>
                      <w:u w:val="single"/>
                    </w:rPr>
                    <w:t>化粪池</w:t>
                  </w:r>
                  <w:r>
                    <w:rPr>
                      <w:rFonts w:hint="eastAsia"/>
                      <w:kern w:val="0"/>
                      <w:sz w:val="21"/>
                      <w:szCs w:val="21"/>
                      <w:u w:val="single"/>
                    </w:rPr>
                    <w:t>（</w:t>
                  </w:r>
                  <w:r>
                    <w:rPr>
                      <w:rFonts w:hint="eastAsia"/>
                      <w:kern w:val="0"/>
                      <w:sz w:val="21"/>
                      <w:szCs w:val="21"/>
                      <w:u w:val="single"/>
                      <w:lang w:val="en-US" w:eastAsia="zh-CN"/>
                    </w:rPr>
                    <w:t>10</w:t>
                  </w:r>
                  <w:r>
                    <w:rPr>
                      <w:sz w:val="21"/>
                      <w:szCs w:val="21"/>
                      <w:u w:val="single"/>
                    </w:rPr>
                    <w:t>m</w:t>
                  </w:r>
                  <w:r>
                    <w:rPr>
                      <w:sz w:val="21"/>
                      <w:szCs w:val="21"/>
                      <w:u w:val="single"/>
                      <w:vertAlign w:val="superscript"/>
                    </w:rPr>
                    <w:t>3</w:t>
                  </w:r>
                  <w:r>
                    <w:rPr>
                      <w:rFonts w:hint="eastAsia"/>
                      <w:kern w:val="0"/>
                      <w:sz w:val="21"/>
                      <w:szCs w:val="21"/>
                      <w:u w:val="single"/>
                    </w:rPr>
                    <w:t>）</w:t>
                  </w:r>
                  <w:r>
                    <w:rPr>
                      <w:kern w:val="0"/>
                      <w:sz w:val="21"/>
                      <w:szCs w:val="21"/>
                      <w:u w:val="single"/>
                    </w:rPr>
                    <w:t>处理用于周边林地、</w:t>
                  </w:r>
                  <w:r>
                    <w:rPr>
                      <w:rFonts w:hint="eastAsia"/>
                      <w:kern w:val="0"/>
                      <w:sz w:val="21"/>
                      <w:szCs w:val="21"/>
                      <w:u w:val="single"/>
                    </w:rPr>
                    <w:t>菜地</w:t>
                  </w:r>
                  <w:r>
                    <w:rPr>
                      <w:kern w:val="0"/>
                      <w:sz w:val="21"/>
                      <w:szCs w:val="21"/>
                      <w:u w:val="single"/>
                    </w:rPr>
                    <w:t>浇灌，不外排</w:t>
                  </w:r>
                  <w:r>
                    <w:rPr>
                      <w:rFonts w:hint="eastAsia"/>
                      <w:kern w:val="0"/>
                      <w:sz w:val="21"/>
                      <w:szCs w:val="21"/>
                      <w:u w:val="single"/>
                    </w:rPr>
                    <w:t>；</w:t>
                  </w:r>
                </w:p>
              </w:tc>
              <w:tc>
                <w:tcPr>
                  <w:tcW w:w="568" w:type="pct"/>
                  <w:shd w:val="clear" w:color="auto" w:fill="auto"/>
                  <w:vAlign w:val="center"/>
                </w:tcPr>
                <w:p w14:paraId="2822B979">
                  <w:pPr>
                    <w:spacing w:line="240" w:lineRule="auto"/>
                    <w:jc w:val="center"/>
                    <w:rPr>
                      <w:sz w:val="21"/>
                      <w:szCs w:val="21"/>
                      <w:u w:val="single"/>
                    </w:rPr>
                  </w:pPr>
                  <w:r>
                    <w:rPr>
                      <w:rFonts w:hint="eastAsia"/>
                      <w:sz w:val="21"/>
                      <w:szCs w:val="21"/>
                      <w:u w:val="single"/>
                      <w:lang w:eastAsia="zh-CN"/>
                    </w:rPr>
                    <w:t>否</w:t>
                  </w:r>
                </w:p>
              </w:tc>
            </w:tr>
            <w:tr w14:paraId="561B27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254" w:type="pct"/>
                  <w:vMerge w:val="continue"/>
                  <w:shd w:val="clear" w:color="auto" w:fill="auto"/>
                  <w:vAlign w:val="center"/>
                </w:tcPr>
                <w:p w14:paraId="481C2315">
                  <w:pPr>
                    <w:spacing w:line="240" w:lineRule="auto"/>
                    <w:jc w:val="center"/>
                    <w:rPr>
                      <w:sz w:val="21"/>
                      <w:szCs w:val="21"/>
                      <w:u w:val="single"/>
                    </w:rPr>
                  </w:pPr>
                </w:p>
              </w:tc>
              <w:tc>
                <w:tcPr>
                  <w:tcW w:w="254" w:type="pct"/>
                  <w:vMerge w:val="continue"/>
                  <w:shd w:val="clear" w:color="auto" w:fill="auto"/>
                  <w:vAlign w:val="center"/>
                </w:tcPr>
                <w:p w14:paraId="6AD8CA63">
                  <w:pPr>
                    <w:spacing w:line="240" w:lineRule="auto"/>
                    <w:jc w:val="center"/>
                    <w:rPr>
                      <w:sz w:val="21"/>
                      <w:szCs w:val="21"/>
                      <w:u w:val="single"/>
                    </w:rPr>
                  </w:pPr>
                </w:p>
              </w:tc>
              <w:tc>
                <w:tcPr>
                  <w:tcW w:w="254" w:type="pct"/>
                  <w:vMerge w:val="continue"/>
                  <w:shd w:val="clear" w:color="auto" w:fill="auto"/>
                  <w:vAlign w:val="center"/>
                </w:tcPr>
                <w:p w14:paraId="5A57B994">
                  <w:pPr>
                    <w:spacing w:line="240" w:lineRule="auto"/>
                    <w:jc w:val="center"/>
                    <w:rPr>
                      <w:sz w:val="21"/>
                      <w:szCs w:val="21"/>
                      <w:u w:val="single"/>
                    </w:rPr>
                  </w:pPr>
                </w:p>
              </w:tc>
              <w:tc>
                <w:tcPr>
                  <w:tcW w:w="1093" w:type="pct"/>
                  <w:vMerge w:val="continue"/>
                  <w:shd w:val="clear" w:color="auto" w:fill="auto"/>
                  <w:vAlign w:val="center"/>
                </w:tcPr>
                <w:p w14:paraId="435ABBE5">
                  <w:pPr>
                    <w:spacing w:line="240" w:lineRule="auto"/>
                    <w:jc w:val="center"/>
                    <w:rPr>
                      <w:sz w:val="21"/>
                      <w:szCs w:val="21"/>
                      <w:u w:val="single"/>
                    </w:rPr>
                  </w:pPr>
                </w:p>
              </w:tc>
              <w:tc>
                <w:tcPr>
                  <w:tcW w:w="376" w:type="pct"/>
                  <w:vMerge w:val="continue"/>
                  <w:shd w:val="clear" w:color="auto" w:fill="auto"/>
                  <w:vAlign w:val="center"/>
                </w:tcPr>
                <w:p w14:paraId="205B5550">
                  <w:pPr>
                    <w:spacing w:line="240" w:lineRule="auto"/>
                    <w:jc w:val="center"/>
                    <w:rPr>
                      <w:sz w:val="21"/>
                      <w:szCs w:val="21"/>
                      <w:u w:val="single"/>
                    </w:rPr>
                  </w:pPr>
                </w:p>
              </w:tc>
              <w:tc>
                <w:tcPr>
                  <w:tcW w:w="2197" w:type="pct"/>
                  <w:shd w:val="clear" w:color="auto" w:fill="auto"/>
                  <w:vAlign w:val="center"/>
                </w:tcPr>
                <w:p w14:paraId="72C11B63">
                  <w:pPr>
                    <w:spacing w:line="240" w:lineRule="auto"/>
                    <w:jc w:val="center"/>
                    <w:rPr>
                      <w:sz w:val="21"/>
                      <w:szCs w:val="21"/>
                      <w:u w:val="single"/>
                    </w:rPr>
                  </w:pPr>
                  <w:r>
                    <w:rPr>
                      <w:rFonts w:hint="eastAsia"/>
                      <w:sz w:val="21"/>
                      <w:szCs w:val="21"/>
                      <w:u w:val="single"/>
                    </w:rPr>
                    <w:t>初期</w:t>
                  </w:r>
                  <w:r>
                    <w:rPr>
                      <w:sz w:val="21"/>
                      <w:szCs w:val="21"/>
                      <w:u w:val="single"/>
                    </w:rPr>
                    <w:t>雨水经</w:t>
                  </w:r>
                  <w:r>
                    <w:rPr>
                      <w:rFonts w:hint="eastAsia"/>
                      <w:sz w:val="21"/>
                      <w:szCs w:val="21"/>
                      <w:u w:val="single"/>
                    </w:rPr>
                    <w:t>初期雨水收集池</w:t>
                  </w:r>
                  <w:r>
                    <w:rPr>
                      <w:rFonts w:hint="eastAsia"/>
                      <w:kern w:val="0"/>
                      <w:sz w:val="21"/>
                      <w:szCs w:val="21"/>
                      <w:u w:val="single"/>
                    </w:rPr>
                    <w:t>（</w:t>
                  </w:r>
                  <w:r>
                    <w:rPr>
                      <w:rFonts w:hint="eastAsia"/>
                      <w:kern w:val="0"/>
                      <w:sz w:val="21"/>
                      <w:szCs w:val="21"/>
                      <w:u w:val="single"/>
                      <w:lang w:eastAsia="zh-CN"/>
                    </w:rPr>
                    <w:t>不小于</w:t>
                  </w:r>
                  <w:r>
                    <w:rPr>
                      <w:rFonts w:hint="eastAsia"/>
                      <w:kern w:val="0"/>
                      <w:sz w:val="21"/>
                      <w:szCs w:val="21"/>
                      <w:u w:val="single"/>
                    </w:rPr>
                    <w:t>33</w:t>
                  </w:r>
                  <w:r>
                    <w:rPr>
                      <w:sz w:val="21"/>
                      <w:szCs w:val="21"/>
                      <w:u w:val="single"/>
                    </w:rPr>
                    <w:t>m</w:t>
                  </w:r>
                  <w:r>
                    <w:rPr>
                      <w:sz w:val="21"/>
                      <w:szCs w:val="21"/>
                      <w:u w:val="single"/>
                      <w:vertAlign w:val="superscript"/>
                    </w:rPr>
                    <w:t>3</w:t>
                  </w:r>
                  <w:r>
                    <w:rPr>
                      <w:rFonts w:hint="eastAsia"/>
                      <w:kern w:val="0"/>
                      <w:sz w:val="21"/>
                      <w:szCs w:val="21"/>
                      <w:u w:val="single"/>
                    </w:rPr>
                    <w:t>）</w:t>
                  </w:r>
                  <w:r>
                    <w:rPr>
                      <w:sz w:val="21"/>
                      <w:szCs w:val="21"/>
                      <w:u w:val="single"/>
                    </w:rPr>
                    <w:t>沉淀后回用于厂区降尘洒水</w:t>
                  </w:r>
                  <w:r>
                    <w:rPr>
                      <w:rFonts w:hint="eastAsia"/>
                      <w:sz w:val="21"/>
                      <w:szCs w:val="21"/>
                      <w:u w:val="single"/>
                    </w:rPr>
                    <w:t>。</w:t>
                  </w:r>
                </w:p>
              </w:tc>
              <w:tc>
                <w:tcPr>
                  <w:tcW w:w="568" w:type="pct"/>
                  <w:shd w:val="clear" w:color="auto" w:fill="auto"/>
                  <w:vAlign w:val="center"/>
                </w:tcPr>
                <w:p w14:paraId="601C77C4">
                  <w:pPr>
                    <w:spacing w:line="240" w:lineRule="auto"/>
                    <w:jc w:val="center"/>
                    <w:rPr>
                      <w:rFonts w:hint="eastAsia"/>
                      <w:sz w:val="21"/>
                      <w:szCs w:val="21"/>
                      <w:u w:val="single"/>
                    </w:rPr>
                  </w:pPr>
                  <w:r>
                    <w:rPr>
                      <w:rFonts w:hint="eastAsia"/>
                      <w:sz w:val="21"/>
                      <w:szCs w:val="21"/>
                      <w:u w:val="single"/>
                      <w:lang w:eastAsia="zh-CN"/>
                    </w:rPr>
                    <w:t>否</w:t>
                  </w:r>
                </w:p>
              </w:tc>
            </w:tr>
            <w:tr w14:paraId="740CFB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254" w:type="pct"/>
                  <w:vMerge w:val="continue"/>
                  <w:shd w:val="clear" w:color="auto" w:fill="auto"/>
                  <w:vAlign w:val="center"/>
                </w:tcPr>
                <w:p w14:paraId="34A3A379">
                  <w:pPr>
                    <w:spacing w:line="240" w:lineRule="auto"/>
                    <w:jc w:val="center"/>
                    <w:rPr>
                      <w:color w:val="0000C7"/>
                      <w:sz w:val="21"/>
                      <w:szCs w:val="21"/>
                      <w:u w:val="single"/>
                    </w:rPr>
                  </w:pPr>
                </w:p>
              </w:tc>
              <w:tc>
                <w:tcPr>
                  <w:tcW w:w="254" w:type="pct"/>
                  <w:vMerge w:val="continue"/>
                  <w:shd w:val="clear" w:color="auto" w:fill="auto"/>
                  <w:vAlign w:val="center"/>
                </w:tcPr>
                <w:p w14:paraId="29B4F631">
                  <w:pPr>
                    <w:spacing w:line="240" w:lineRule="auto"/>
                    <w:jc w:val="center"/>
                    <w:rPr>
                      <w:color w:val="0000C7"/>
                      <w:sz w:val="21"/>
                      <w:szCs w:val="21"/>
                      <w:u w:val="single"/>
                    </w:rPr>
                  </w:pPr>
                </w:p>
              </w:tc>
              <w:tc>
                <w:tcPr>
                  <w:tcW w:w="254" w:type="pct"/>
                  <w:shd w:val="clear" w:color="auto" w:fill="auto"/>
                  <w:vAlign w:val="center"/>
                </w:tcPr>
                <w:p w14:paraId="432916A1">
                  <w:pPr>
                    <w:spacing w:line="240" w:lineRule="auto"/>
                    <w:jc w:val="center"/>
                    <w:rPr>
                      <w:color w:val="0000C7"/>
                      <w:sz w:val="21"/>
                      <w:szCs w:val="21"/>
                      <w:u w:val="single"/>
                    </w:rPr>
                  </w:pPr>
                  <w:r>
                    <w:rPr>
                      <w:sz w:val="21"/>
                      <w:szCs w:val="21"/>
                      <w:u w:val="single"/>
                    </w:rPr>
                    <w:t>噪声处理</w:t>
                  </w:r>
                </w:p>
              </w:tc>
              <w:tc>
                <w:tcPr>
                  <w:tcW w:w="1093" w:type="pct"/>
                  <w:shd w:val="clear" w:color="auto" w:fill="auto"/>
                  <w:vAlign w:val="center"/>
                </w:tcPr>
                <w:p w14:paraId="6C60E3C3">
                  <w:pPr>
                    <w:spacing w:line="240" w:lineRule="auto"/>
                    <w:jc w:val="center"/>
                    <w:rPr>
                      <w:color w:val="0000C7"/>
                      <w:sz w:val="21"/>
                      <w:szCs w:val="21"/>
                      <w:u w:val="single"/>
                    </w:rPr>
                  </w:pPr>
                  <w:r>
                    <w:rPr>
                      <w:sz w:val="21"/>
                      <w:szCs w:val="21"/>
                      <w:u w:val="single"/>
                    </w:rPr>
                    <w:t>优化布局、加强设备维护、对加工设备安装减震垫、消声器、隔声罩、绿化</w:t>
                  </w:r>
                  <w:r>
                    <w:rPr>
                      <w:rFonts w:hint="eastAsia"/>
                      <w:sz w:val="21"/>
                      <w:szCs w:val="21"/>
                      <w:u w:val="single"/>
                    </w:rPr>
                    <w:t>。</w:t>
                  </w:r>
                </w:p>
              </w:tc>
              <w:tc>
                <w:tcPr>
                  <w:tcW w:w="376" w:type="pct"/>
                  <w:shd w:val="clear" w:color="auto" w:fill="auto"/>
                  <w:vAlign w:val="center"/>
                </w:tcPr>
                <w:p w14:paraId="02F447C2">
                  <w:pPr>
                    <w:spacing w:line="240" w:lineRule="auto"/>
                    <w:jc w:val="center"/>
                    <w:rPr>
                      <w:sz w:val="21"/>
                      <w:szCs w:val="21"/>
                      <w:u w:val="single"/>
                    </w:rPr>
                  </w:pPr>
                  <w:r>
                    <w:rPr>
                      <w:sz w:val="21"/>
                      <w:szCs w:val="21"/>
                      <w:u w:val="single"/>
                    </w:rPr>
                    <w:t>噪声处理</w:t>
                  </w:r>
                </w:p>
              </w:tc>
              <w:tc>
                <w:tcPr>
                  <w:tcW w:w="2197" w:type="pct"/>
                  <w:shd w:val="clear" w:color="auto" w:fill="auto"/>
                  <w:vAlign w:val="center"/>
                </w:tcPr>
                <w:p w14:paraId="5094C5CD">
                  <w:pPr>
                    <w:spacing w:line="240" w:lineRule="auto"/>
                    <w:jc w:val="center"/>
                    <w:rPr>
                      <w:sz w:val="21"/>
                      <w:szCs w:val="21"/>
                      <w:u w:val="single"/>
                    </w:rPr>
                  </w:pPr>
                  <w:r>
                    <w:rPr>
                      <w:sz w:val="21"/>
                      <w:szCs w:val="21"/>
                      <w:u w:val="single"/>
                    </w:rPr>
                    <w:t>优化布局、加强设备维护、对加工设备安装减震垫、消声器、隔声罩、绿化</w:t>
                  </w:r>
                  <w:r>
                    <w:rPr>
                      <w:rFonts w:hint="eastAsia"/>
                      <w:sz w:val="21"/>
                      <w:szCs w:val="21"/>
                      <w:u w:val="single"/>
                    </w:rPr>
                    <w:t>。</w:t>
                  </w:r>
                </w:p>
              </w:tc>
              <w:tc>
                <w:tcPr>
                  <w:tcW w:w="568" w:type="pct"/>
                  <w:shd w:val="clear" w:color="auto" w:fill="auto"/>
                  <w:vAlign w:val="center"/>
                </w:tcPr>
                <w:p w14:paraId="0737847B">
                  <w:pPr>
                    <w:spacing w:line="240" w:lineRule="auto"/>
                    <w:jc w:val="center"/>
                    <w:rPr>
                      <w:sz w:val="21"/>
                      <w:szCs w:val="21"/>
                      <w:u w:val="single"/>
                    </w:rPr>
                  </w:pPr>
                  <w:r>
                    <w:rPr>
                      <w:rFonts w:hint="eastAsia"/>
                      <w:sz w:val="21"/>
                      <w:szCs w:val="21"/>
                      <w:u w:val="single"/>
                      <w:lang w:eastAsia="zh-CN"/>
                    </w:rPr>
                    <w:t>否</w:t>
                  </w:r>
                </w:p>
              </w:tc>
            </w:tr>
            <w:tr w14:paraId="3C8CBC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254" w:type="pct"/>
                  <w:vMerge w:val="continue"/>
                  <w:shd w:val="clear" w:color="auto" w:fill="auto"/>
                  <w:vAlign w:val="center"/>
                </w:tcPr>
                <w:p w14:paraId="34622B74">
                  <w:pPr>
                    <w:spacing w:line="240" w:lineRule="auto"/>
                    <w:jc w:val="center"/>
                    <w:rPr>
                      <w:color w:val="0000C7"/>
                      <w:sz w:val="21"/>
                      <w:szCs w:val="21"/>
                      <w:u w:val="single"/>
                    </w:rPr>
                  </w:pPr>
                </w:p>
              </w:tc>
              <w:tc>
                <w:tcPr>
                  <w:tcW w:w="254" w:type="pct"/>
                  <w:vMerge w:val="continue"/>
                  <w:shd w:val="clear" w:color="auto" w:fill="auto"/>
                  <w:vAlign w:val="center"/>
                </w:tcPr>
                <w:p w14:paraId="634A2A81">
                  <w:pPr>
                    <w:spacing w:line="240" w:lineRule="auto"/>
                    <w:jc w:val="center"/>
                    <w:rPr>
                      <w:color w:val="0000C7"/>
                      <w:sz w:val="21"/>
                      <w:szCs w:val="21"/>
                      <w:u w:val="single"/>
                    </w:rPr>
                  </w:pPr>
                </w:p>
              </w:tc>
              <w:tc>
                <w:tcPr>
                  <w:tcW w:w="254" w:type="pct"/>
                  <w:shd w:val="clear" w:color="auto" w:fill="auto"/>
                  <w:vAlign w:val="center"/>
                </w:tcPr>
                <w:p w14:paraId="78A6AEAA">
                  <w:pPr>
                    <w:spacing w:line="240" w:lineRule="auto"/>
                    <w:jc w:val="center"/>
                    <w:rPr>
                      <w:color w:val="0000C7"/>
                      <w:sz w:val="21"/>
                      <w:szCs w:val="21"/>
                      <w:u w:val="single"/>
                    </w:rPr>
                  </w:pPr>
                  <w:r>
                    <w:rPr>
                      <w:sz w:val="21"/>
                      <w:szCs w:val="21"/>
                      <w:u w:val="single"/>
                    </w:rPr>
                    <w:t>固体废物</w:t>
                  </w:r>
                </w:p>
              </w:tc>
              <w:tc>
                <w:tcPr>
                  <w:tcW w:w="1093" w:type="pct"/>
                  <w:shd w:val="clear" w:color="auto" w:fill="auto"/>
                  <w:vAlign w:val="center"/>
                </w:tcPr>
                <w:p w14:paraId="744A9558">
                  <w:pPr>
                    <w:spacing w:line="240" w:lineRule="auto"/>
                    <w:jc w:val="center"/>
                    <w:rPr>
                      <w:rFonts w:hint="eastAsia" w:eastAsia="宋体"/>
                      <w:color w:val="0000C7"/>
                      <w:sz w:val="21"/>
                      <w:szCs w:val="21"/>
                      <w:u w:val="single"/>
                      <w:lang w:eastAsia="zh-CN"/>
                    </w:rPr>
                  </w:pPr>
                  <w:r>
                    <w:rPr>
                      <w:sz w:val="21"/>
                      <w:szCs w:val="21"/>
                      <w:u w:val="single"/>
                    </w:rPr>
                    <w:t>切割磨光及雕刻</w:t>
                  </w:r>
                  <w:r>
                    <w:rPr>
                      <w:rFonts w:hint="eastAsia"/>
                      <w:sz w:val="21"/>
                      <w:szCs w:val="21"/>
                      <w:u w:val="single"/>
                    </w:rPr>
                    <w:t>沉淀污泥</w:t>
                  </w:r>
                  <w:r>
                    <w:rPr>
                      <w:rFonts w:hint="eastAsia"/>
                      <w:sz w:val="21"/>
                      <w:szCs w:val="21"/>
                      <w:u w:val="single"/>
                      <w:lang w:eastAsia="zh-CN"/>
                    </w:rPr>
                    <w:t>收集</w:t>
                  </w:r>
                  <w:r>
                    <w:rPr>
                      <w:sz w:val="21"/>
                      <w:szCs w:val="21"/>
                      <w:u w:val="single"/>
                    </w:rPr>
                    <w:t>后</w:t>
                  </w:r>
                  <w:r>
                    <w:rPr>
                      <w:rFonts w:hint="eastAsia"/>
                      <w:sz w:val="21"/>
                      <w:szCs w:val="21"/>
                      <w:u w:val="single"/>
                      <w:lang w:eastAsia="zh-CN"/>
                    </w:rPr>
                    <w:t>外售</w:t>
                  </w:r>
                  <w:r>
                    <w:rPr>
                      <w:rFonts w:hint="eastAsia"/>
                      <w:sz w:val="21"/>
                      <w:szCs w:val="21"/>
                      <w:u w:val="single"/>
                    </w:rPr>
                    <w:t>；废包装材料暂存于一般固废间（</w:t>
                  </w:r>
                  <w:r>
                    <w:rPr>
                      <w:rFonts w:hint="eastAsia"/>
                      <w:sz w:val="21"/>
                      <w:szCs w:val="21"/>
                      <w:u w:val="single"/>
                      <w:lang w:val="en-US" w:eastAsia="zh-CN"/>
                    </w:rPr>
                    <w:t>1</w:t>
                  </w:r>
                  <w:r>
                    <w:rPr>
                      <w:rFonts w:hint="eastAsia"/>
                      <w:sz w:val="21"/>
                      <w:szCs w:val="21"/>
                      <w:u w:val="single"/>
                    </w:rPr>
                    <w:t>m</w:t>
                  </w:r>
                  <w:r>
                    <w:rPr>
                      <w:rFonts w:hint="eastAsia"/>
                      <w:sz w:val="21"/>
                      <w:szCs w:val="21"/>
                      <w:u w:val="single"/>
                      <w:vertAlign w:val="superscript"/>
                    </w:rPr>
                    <w:t>3</w:t>
                  </w:r>
                  <w:r>
                    <w:rPr>
                      <w:rFonts w:hint="eastAsia"/>
                      <w:sz w:val="21"/>
                      <w:szCs w:val="21"/>
                      <w:u w:val="single"/>
                    </w:rPr>
                    <w:t>）后交由环卫部门统一清理；废边角料</w:t>
                  </w:r>
                  <w:r>
                    <w:rPr>
                      <w:rFonts w:hint="eastAsia"/>
                      <w:sz w:val="21"/>
                      <w:szCs w:val="21"/>
                      <w:u w:val="single"/>
                      <w:lang w:eastAsia="zh-CN"/>
                    </w:rPr>
                    <w:t>及不合格产品</w:t>
                  </w:r>
                  <w:r>
                    <w:rPr>
                      <w:sz w:val="21"/>
                      <w:szCs w:val="21"/>
                      <w:u w:val="single"/>
                    </w:rPr>
                    <w:t>收集后</w:t>
                  </w:r>
                  <w:r>
                    <w:rPr>
                      <w:rFonts w:hint="eastAsia"/>
                      <w:sz w:val="21"/>
                      <w:szCs w:val="21"/>
                      <w:u w:val="single"/>
                      <w:lang w:eastAsia="zh-CN"/>
                    </w:rPr>
                    <w:t>外售</w:t>
                  </w:r>
                  <w:r>
                    <w:rPr>
                      <w:rFonts w:hint="eastAsia"/>
                      <w:sz w:val="21"/>
                      <w:szCs w:val="21"/>
                      <w:u w:val="single"/>
                    </w:rPr>
                    <w:t>；生活垃圾</w:t>
                  </w:r>
                  <w:r>
                    <w:rPr>
                      <w:bCs/>
                      <w:sz w:val="21"/>
                      <w:szCs w:val="21"/>
                      <w:u w:val="single"/>
                    </w:rPr>
                    <w:t>收集后送</w:t>
                  </w:r>
                  <w:r>
                    <w:rPr>
                      <w:rFonts w:hint="eastAsia"/>
                      <w:bCs/>
                      <w:sz w:val="21"/>
                      <w:szCs w:val="21"/>
                      <w:u w:val="single"/>
                    </w:rPr>
                    <w:t>附近</w:t>
                  </w:r>
                  <w:r>
                    <w:rPr>
                      <w:bCs/>
                      <w:sz w:val="21"/>
                      <w:szCs w:val="21"/>
                      <w:u w:val="single"/>
                    </w:rPr>
                    <w:t>垃圾处置点处理</w:t>
                  </w:r>
                  <w:r>
                    <w:rPr>
                      <w:rFonts w:hint="eastAsia"/>
                      <w:bCs/>
                      <w:sz w:val="21"/>
                      <w:szCs w:val="21"/>
                      <w:u w:val="single"/>
                      <w:lang w:eastAsia="zh-CN"/>
                    </w:rPr>
                    <w:t>。</w:t>
                  </w:r>
                </w:p>
              </w:tc>
              <w:tc>
                <w:tcPr>
                  <w:tcW w:w="376" w:type="pct"/>
                  <w:shd w:val="clear" w:color="auto" w:fill="auto"/>
                  <w:vAlign w:val="center"/>
                </w:tcPr>
                <w:p w14:paraId="7178F525">
                  <w:pPr>
                    <w:spacing w:line="240" w:lineRule="auto"/>
                    <w:jc w:val="center"/>
                    <w:rPr>
                      <w:sz w:val="21"/>
                      <w:szCs w:val="21"/>
                      <w:u w:val="single"/>
                    </w:rPr>
                  </w:pPr>
                  <w:r>
                    <w:rPr>
                      <w:sz w:val="21"/>
                      <w:szCs w:val="21"/>
                      <w:u w:val="single"/>
                    </w:rPr>
                    <w:t>固体废物</w:t>
                  </w:r>
                </w:p>
              </w:tc>
              <w:tc>
                <w:tcPr>
                  <w:tcW w:w="2197" w:type="pct"/>
                  <w:shd w:val="clear" w:color="auto" w:fill="auto"/>
                  <w:vAlign w:val="center"/>
                </w:tcPr>
                <w:p w14:paraId="4156BE05">
                  <w:pPr>
                    <w:spacing w:line="240" w:lineRule="auto"/>
                    <w:jc w:val="center"/>
                    <w:rPr>
                      <w:color w:val="0000C7"/>
                      <w:sz w:val="21"/>
                      <w:szCs w:val="21"/>
                      <w:u w:val="single"/>
                    </w:rPr>
                  </w:pPr>
                  <w:r>
                    <w:rPr>
                      <w:sz w:val="21"/>
                      <w:szCs w:val="21"/>
                      <w:u w:val="single"/>
                    </w:rPr>
                    <w:t>切割磨光及雕刻</w:t>
                  </w:r>
                  <w:r>
                    <w:rPr>
                      <w:rFonts w:hint="eastAsia"/>
                      <w:sz w:val="21"/>
                      <w:szCs w:val="21"/>
                      <w:u w:val="single"/>
                    </w:rPr>
                    <w:t>沉淀污泥</w:t>
                  </w:r>
                  <w:r>
                    <w:rPr>
                      <w:sz w:val="21"/>
                      <w:szCs w:val="21"/>
                      <w:u w:val="single"/>
                    </w:rPr>
                    <w:t>通过板框压滤机压滤脱水后在场区</w:t>
                  </w:r>
                  <w:r>
                    <w:rPr>
                      <w:rFonts w:hint="eastAsia"/>
                      <w:sz w:val="21"/>
                      <w:szCs w:val="21"/>
                      <w:u w:val="single"/>
                    </w:rPr>
                    <w:t>原料区</w:t>
                  </w:r>
                  <w:r>
                    <w:rPr>
                      <w:sz w:val="21"/>
                      <w:szCs w:val="21"/>
                      <w:u w:val="single"/>
                    </w:rPr>
                    <w:t>暂存后</w:t>
                  </w:r>
                  <w:r>
                    <w:rPr>
                      <w:rFonts w:hint="eastAsia"/>
                      <w:sz w:val="21"/>
                      <w:szCs w:val="21"/>
                      <w:u w:val="single"/>
                    </w:rPr>
                    <w:t>回用于项目</w:t>
                  </w:r>
                  <w:r>
                    <w:rPr>
                      <w:sz w:val="21"/>
                      <w:szCs w:val="21"/>
                      <w:u w:val="single"/>
                    </w:rPr>
                    <w:t>制砖</w:t>
                  </w:r>
                  <w:r>
                    <w:rPr>
                      <w:rFonts w:hint="eastAsia"/>
                      <w:sz w:val="21"/>
                      <w:szCs w:val="21"/>
                      <w:u w:val="single"/>
                    </w:rPr>
                    <w:t>；废包装材料</w:t>
                  </w:r>
                  <w:r>
                    <w:rPr>
                      <w:rFonts w:hint="eastAsia"/>
                      <w:sz w:val="21"/>
                      <w:szCs w:val="21"/>
                      <w:u w:val="single"/>
                      <w:lang w:eastAsia="zh-CN"/>
                    </w:rPr>
                    <w:t>、废抛光布</w:t>
                  </w:r>
                  <w:r>
                    <w:rPr>
                      <w:rFonts w:hint="eastAsia"/>
                      <w:sz w:val="21"/>
                      <w:szCs w:val="21"/>
                      <w:u w:val="single"/>
                    </w:rPr>
                    <w:t>暂存于一般固废间（3m</w:t>
                  </w:r>
                  <w:r>
                    <w:rPr>
                      <w:rFonts w:hint="eastAsia"/>
                      <w:sz w:val="21"/>
                      <w:szCs w:val="21"/>
                      <w:u w:val="single"/>
                      <w:vertAlign w:val="superscript"/>
                    </w:rPr>
                    <w:t>3</w:t>
                  </w:r>
                  <w:r>
                    <w:rPr>
                      <w:rFonts w:hint="eastAsia"/>
                      <w:sz w:val="21"/>
                      <w:szCs w:val="21"/>
                      <w:u w:val="single"/>
                    </w:rPr>
                    <w:t>）后交由环卫部门统一清理；废边角料</w:t>
                  </w:r>
                  <w:r>
                    <w:rPr>
                      <w:rFonts w:hint="eastAsia"/>
                      <w:sz w:val="21"/>
                      <w:szCs w:val="21"/>
                      <w:u w:val="single"/>
                      <w:lang w:eastAsia="zh-CN"/>
                    </w:rPr>
                    <w:t>及不合格产品</w:t>
                  </w:r>
                  <w:r>
                    <w:rPr>
                      <w:sz w:val="21"/>
                      <w:szCs w:val="21"/>
                      <w:u w:val="single"/>
                    </w:rPr>
                    <w:t>收集后作为本企业的</w:t>
                  </w:r>
                  <w:r>
                    <w:rPr>
                      <w:rFonts w:hint="default" w:ascii="Times New Roman" w:hAnsi="Times New Roman" w:eastAsia="宋体" w:cs="Times New Roman"/>
                      <w:kern w:val="2"/>
                      <w:sz w:val="21"/>
                      <w:szCs w:val="21"/>
                      <w:u w:val="single"/>
                      <w:lang w:val="en-US" w:eastAsia="zh-CN" w:bidi="ar-SA"/>
                    </w:rPr>
                    <w:t>透水砖、路面砖</w:t>
                  </w:r>
                  <w:r>
                    <w:rPr>
                      <w:sz w:val="21"/>
                      <w:szCs w:val="21"/>
                      <w:u w:val="single"/>
                    </w:rPr>
                    <w:t>生产的原料</w:t>
                  </w:r>
                  <w:r>
                    <w:rPr>
                      <w:rFonts w:hint="eastAsia"/>
                      <w:sz w:val="21"/>
                      <w:szCs w:val="21"/>
                      <w:u w:val="single"/>
                    </w:rPr>
                    <w:t>；生活垃圾</w:t>
                  </w:r>
                  <w:r>
                    <w:rPr>
                      <w:bCs w:val="0"/>
                      <w:sz w:val="21"/>
                      <w:szCs w:val="21"/>
                      <w:u w:val="single"/>
                    </w:rPr>
                    <w:t>收集</w:t>
                  </w:r>
                  <w:r>
                    <w:rPr>
                      <w:bCs/>
                      <w:sz w:val="21"/>
                      <w:szCs w:val="21"/>
                      <w:u w:val="single"/>
                    </w:rPr>
                    <w:t>后送</w:t>
                  </w:r>
                  <w:r>
                    <w:rPr>
                      <w:rFonts w:hint="eastAsia"/>
                      <w:bCs/>
                      <w:sz w:val="21"/>
                      <w:szCs w:val="21"/>
                      <w:u w:val="single"/>
                    </w:rPr>
                    <w:t>附近</w:t>
                  </w:r>
                  <w:r>
                    <w:rPr>
                      <w:bCs/>
                      <w:sz w:val="21"/>
                      <w:szCs w:val="21"/>
                      <w:u w:val="single"/>
                    </w:rPr>
                    <w:t>垃圾处置点处理</w:t>
                  </w:r>
                  <w:r>
                    <w:rPr>
                      <w:rFonts w:hint="eastAsia"/>
                      <w:bCs/>
                      <w:sz w:val="21"/>
                      <w:szCs w:val="21"/>
                      <w:u w:val="single"/>
                      <w:lang w:eastAsia="zh-CN"/>
                    </w:rPr>
                    <w:t>。</w:t>
                  </w:r>
                </w:p>
              </w:tc>
              <w:tc>
                <w:tcPr>
                  <w:tcW w:w="568" w:type="pct"/>
                  <w:shd w:val="clear" w:color="auto" w:fill="auto"/>
                  <w:vAlign w:val="center"/>
                </w:tcPr>
                <w:p w14:paraId="2D827D19">
                  <w:pPr>
                    <w:spacing w:line="240" w:lineRule="auto"/>
                    <w:jc w:val="center"/>
                    <w:rPr>
                      <w:sz w:val="21"/>
                      <w:szCs w:val="21"/>
                      <w:u w:val="single"/>
                    </w:rPr>
                  </w:pPr>
                  <w:r>
                    <w:rPr>
                      <w:rFonts w:hint="eastAsia"/>
                      <w:sz w:val="21"/>
                      <w:szCs w:val="21"/>
                      <w:u w:val="single"/>
                      <w:lang w:eastAsia="zh-CN"/>
                    </w:rPr>
                    <w:t>否</w:t>
                  </w:r>
                </w:p>
              </w:tc>
            </w:tr>
          </w:tbl>
          <w:p w14:paraId="2D9A98C1">
            <w:pPr>
              <w:pStyle w:val="30"/>
              <w:numPr>
                <w:ilvl w:val="1"/>
                <w:numId w:val="0"/>
              </w:numPr>
              <w:ind w:left="284"/>
            </w:pPr>
            <w:bookmarkStart w:id="19" w:name="_Toc2882"/>
            <w:bookmarkStart w:id="20" w:name="_Toc68160352"/>
            <w:r>
              <w:t>2.3产品规模及产品方案</w:t>
            </w:r>
            <w:bookmarkEnd w:id="19"/>
            <w:bookmarkEnd w:id="20"/>
          </w:p>
          <w:p w14:paraId="77E1F753">
            <w:pPr>
              <w:adjustRightInd w:val="0"/>
              <w:snapToGrid w:val="0"/>
              <w:ind w:firstLine="480" w:firstLineChars="200"/>
            </w:pPr>
            <w:r>
              <w:rPr>
                <w:rFonts w:hint="eastAsia"/>
              </w:rPr>
              <w:t>本项目</w:t>
            </w:r>
            <w:r>
              <w:rPr>
                <w:rFonts w:hint="eastAsia"/>
                <w:bCs/>
                <w:lang w:eastAsia="zh-CN"/>
              </w:rPr>
              <w:t>改</w:t>
            </w:r>
            <w:r>
              <w:rPr>
                <w:rFonts w:hint="eastAsia"/>
                <w:lang w:eastAsia="zh-CN"/>
              </w:rPr>
              <w:t>扩建前后</w:t>
            </w:r>
            <w:r>
              <w:t>产品方案如下：</w:t>
            </w:r>
          </w:p>
          <w:p w14:paraId="33DBC081">
            <w:pPr>
              <w:adjustRightInd w:val="0"/>
              <w:snapToGrid w:val="0"/>
              <w:spacing w:line="240" w:lineRule="auto"/>
              <w:jc w:val="center"/>
              <w:rPr>
                <w:b/>
                <w:bCs/>
                <w:sz w:val="21"/>
                <w:szCs w:val="21"/>
              </w:rPr>
            </w:pPr>
            <w:r>
              <w:rPr>
                <w:b/>
                <w:bCs/>
                <w:sz w:val="21"/>
                <w:szCs w:val="21"/>
              </w:rPr>
              <w:t xml:space="preserve">表2-2 </w:t>
            </w:r>
            <w:r>
              <w:rPr>
                <w:rFonts w:hint="eastAsia"/>
                <w:b/>
                <w:bCs/>
                <w:sz w:val="21"/>
                <w:szCs w:val="21"/>
                <w:lang w:eastAsia="zh-CN"/>
              </w:rPr>
              <w:t>改扩建前后</w:t>
            </w:r>
            <w:r>
              <w:rPr>
                <w:b/>
                <w:bCs/>
                <w:sz w:val="21"/>
                <w:szCs w:val="21"/>
              </w:rPr>
              <w:t>产品方案</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713"/>
              <w:gridCol w:w="1178"/>
              <w:gridCol w:w="723"/>
              <w:gridCol w:w="1178"/>
              <w:gridCol w:w="1062"/>
              <w:gridCol w:w="1529"/>
              <w:gridCol w:w="1137"/>
            </w:tblGrid>
            <w:tr w14:paraId="6301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43" w:type="pct"/>
                  <w:vAlign w:val="center"/>
                </w:tcPr>
                <w:p w14:paraId="308217BC">
                  <w:pPr>
                    <w:widowControl/>
                    <w:spacing w:line="240" w:lineRule="auto"/>
                    <w:jc w:val="center"/>
                    <w:rPr>
                      <w:rFonts w:eastAsiaTheme="minorEastAsia"/>
                      <w:b/>
                      <w:kern w:val="0"/>
                      <w:sz w:val="21"/>
                      <w:szCs w:val="21"/>
                      <w:u w:val="single"/>
                    </w:rPr>
                  </w:pPr>
                  <w:r>
                    <w:rPr>
                      <w:rFonts w:eastAsiaTheme="minorEastAsia"/>
                      <w:b/>
                      <w:kern w:val="0"/>
                      <w:sz w:val="21"/>
                      <w:szCs w:val="21"/>
                      <w:u w:val="single"/>
                    </w:rPr>
                    <w:t>生产线名称</w:t>
                  </w:r>
                </w:p>
              </w:tc>
              <w:tc>
                <w:tcPr>
                  <w:tcW w:w="457" w:type="pct"/>
                  <w:vAlign w:val="center"/>
                </w:tcPr>
                <w:p w14:paraId="05433F40">
                  <w:pPr>
                    <w:widowControl/>
                    <w:spacing w:line="240" w:lineRule="auto"/>
                    <w:jc w:val="center"/>
                    <w:rPr>
                      <w:rFonts w:eastAsiaTheme="minorEastAsia"/>
                      <w:b/>
                      <w:kern w:val="0"/>
                      <w:sz w:val="21"/>
                      <w:szCs w:val="21"/>
                      <w:u w:val="single"/>
                    </w:rPr>
                  </w:pPr>
                  <w:r>
                    <w:rPr>
                      <w:rFonts w:eastAsiaTheme="minorEastAsia"/>
                      <w:b/>
                      <w:kern w:val="0"/>
                      <w:sz w:val="21"/>
                      <w:szCs w:val="21"/>
                      <w:u w:val="single"/>
                    </w:rPr>
                    <w:t>产品名称</w:t>
                  </w:r>
                </w:p>
              </w:tc>
              <w:tc>
                <w:tcPr>
                  <w:tcW w:w="1070" w:type="pct"/>
                  <w:gridSpan w:val="2"/>
                  <w:vAlign w:val="center"/>
                </w:tcPr>
                <w:p w14:paraId="082258F8">
                  <w:pPr>
                    <w:widowControl/>
                    <w:spacing w:line="240" w:lineRule="auto"/>
                    <w:jc w:val="center"/>
                    <w:rPr>
                      <w:rFonts w:hint="eastAsia" w:eastAsiaTheme="minorEastAsia"/>
                      <w:b/>
                      <w:kern w:val="0"/>
                      <w:sz w:val="21"/>
                      <w:szCs w:val="21"/>
                      <w:u w:val="single"/>
                    </w:rPr>
                  </w:pPr>
                  <w:r>
                    <w:rPr>
                      <w:rFonts w:hint="eastAsia" w:eastAsiaTheme="minorEastAsia"/>
                      <w:b/>
                      <w:bCs w:val="0"/>
                      <w:kern w:val="0"/>
                      <w:sz w:val="21"/>
                      <w:szCs w:val="21"/>
                      <w:u w:val="single"/>
                      <w:lang w:eastAsia="zh-CN"/>
                    </w:rPr>
                    <w:t>改</w:t>
                  </w:r>
                  <w:r>
                    <w:rPr>
                      <w:rFonts w:hint="eastAsia" w:eastAsiaTheme="minorEastAsia"/>
                      <w:b/>
                      <w:kern w:val="0"/>
                      <w:sz w:val="21"/>
                      <w:szCs w:val="21"/>
                      <w:u w:val="single"/>
                      <w:lang w:eastAsia="zh-CN"/>
                    </w:rPr>
                    <w:t>扩建前</w:t>
                  </w:r>
                  <w:r>
                    <w:rPr>
                      <w:rFonts w:hint="eastAsia" w:eastAsiaTheme="minorEastAsia"/>
                      <w:b/>
                      <w:kern w:val="0"/>
                      <w:sz w:val="21"/>
                      <w:szCs w:val="21"/>
                      <w:u w:val="single"/>
                    </w:rPr>
                    <w:t>年产量</w:t>
                  </w:r>
                </w:p>
              </w:tc>
              <w:tc>
                <w:tcPr>
                  <w:tcW w:w="1337" w:type="pct"/>
                  <w:gridSpan w:val="2"/>
                  <w:vAlign w:val="center"/>
                </w:tcPr>
                <w:p w14:paraId="491C4891">
                  <w:pPr>
                    <w:widowControl/>
                    <w:spacing w:line="240" w:lineRule="auto"/>
                    <w:jc w:val="center"/>
                    <w:rPr>
                      <w:rFonts w:hint="eastAsia" w:eastAsiaTheme="minorEastAsia"/>
                      <w:b/>
                      <w:kern w:val="0"/>
                      <w:sz w:val="21"/>
                      <w:szCs w:val="21"/>
                      <w:u w:val="single"/>
                    </w:rPr>
                  </w:pPr>
                  <w:r>
                    <w:rPr>
                      <w:rFonts w:hint="eastAsia" w:eastAsiaTheme="minorEastAsia"/>
                      <w:b/>
                      <w:bCs w:val="0"/>
                      <w:kern w:val="0"/>
                      <w:sz w:val="21"/>
                      <w:szCs w:val="21"/>
                      <w:u w:val="single"/>
                      <w:lang w:eastAsia="zh-CN"/>
                    </w:rPr>
                    <w:t>改</w:t>
                  </w:r>
                  <w:r>
                    <w:rPr>
                      <w:rFonts w:hint="eastAsia" w:eastAsiaTheme="minorEastAsia"/>
                      <w:b/>
                      <w:kern w:val="0"/>
                      <w:sz w:val="21"/>
                      <w:szCs w:val="21"/>
                      <w:u w:val="single"/>
                      <w:lang w:eastAsia="zh-CN"/>
                    </w:rPr>
                    <w:t>扩建后</w:t>
                  </w:r>
                  <w:r>
                    <w:rPr>
                      <w:rFonts w:hint="eastAsia" w:eastAsiaTheme="minorEastAsia"/>
                      <w:b/>
                      <w:kern w:val="0"/>
                      <w:sz w:val="21"/>
                      <w:szCs w:val="21"/>
                      <w:u w:val="single"/>
                    </w:rPr>
                    <w:t>年产量</w:t>
                  </w:r>
                </w:p>
              </w:tc>
              <w:tc>
                <w:tcPr>
                  <w:tcW w:w="912" w:type="pct"/>
                  <w:vAlign w:val="center"/>
                </w:tcPr>
                <w:p w14:paraId="58E761B2">
                  <w:pPr>
                    <w:widowControl/>
                    <w:spacing w:line="240" w:lineRule="auto"/>
                    <w:jc w:val="center"/>
                    <w:rPr>
                      <w:rFonts w:eastAsiaTheme="minorEastAsia"/>
                      <w:b/>
                      <w:kern w:val="0"/>
                      <w:sz w:val="21"/>
                      <w:szCs w:val="21"/>
                      <w:u w:val="single"/>
                    </w:rPr>
                  </w:pPr>
                  <w:r>
                    <w:rPr>
                      <w:rFonts w:eastAsiaTheme="minorEastAsia"/>
                      <w:b/>
                      <w:kern w:val="0"/>
                      <w:sz w:val="21"/>
                      <w:szCs w:val="21"/>
                      <w:u w:val="single"/>
                    </w:rPr>
                    <w:t>规格（m）</w:t>
                  </w:r>
                </w:p>
              </w:tc>
              <w:tc>
                <w:tcPr>
                  <w:tcW w:w="678" w:type="pct"/>
                  <w:vAlign w:val="center"/>
                </w:tcPr>
                <w:p w14:paraId="32A75843">
                  <w:pPr>
                    <w:widowControl/>
                    <w:spacing w:line="240" w:lineRule="auto"/>
                    <w:jc w:val="center"/>
                    <w:rPr>
                      <w:b/>
                      <w:kern w:val="0"/>
                      <w:sz w:val="21"/>
                      <w:szCs w:val="21"/>
                      <w:u w:val="single"/>
                    </w:rPr>
                  </w:pPr>
                  <w:r>
                    <w:rPr>
                      <w:b/>
                      <w:kern w:val="0"/>
                      <w:sz w:val="21"/>
                      <w:szCs w:val="21"/>
                      <w:u w:val="single"/>
                    </w:rPr>
                    <w:t>备注</w:t>
                  </w:r>
                </w:p>
              </w:tc>
            </w:tr>
            <w:tr w14:paraId="48AC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43" w:type="pct"/>
                  <w:vMerge w:val="restart"/>
                  <w:vAlign w:val="center"/>
                </w:tcPr>
                <w:p w14:paraId="3DB7412C">
                  <w:pPr>
                    <w:widowControl/>
                    <w:spacing w:line="240" w:lineRule="auto"/>
                    <w:jc w:val="center"/>
                    <w:rPr>
                      <w:rFonts w:eastAsiaTheme="minorEastAsia"/>
                      <w:sz w:val="21"/>
                      <w:szCs w:val="21"/>
                      <w:u w:val="single"/>
                    </w:rPr>
                  </w:pPr>
                  <w:r>
                    <w:rPr>
                      <w:rFonts w:hint="default" w:ascii="Times New Roman" w:hAnsi="Times New Roman" w:cs="Times New Roman" w:eastAsiaTheme="minorEastAsia"/>
                      <w:bCs/>
                      <w:kern w:val="0"/>
                      <w:sz w:val="21"/>
                      <w:szCs w:val="21"/>
                      <w:u w:val="single"/>
                      <w:lang w:val="en-US" w:eastAsia="zh-CN" w:bidi="ar-SA"/>
                    </w:rPr>
                    <w:t>墓碑及附属产品和其他板材</w:t>
                  </w:r>
                  <w:r>
                    <w:rPr>
                      <w:rFonts w:eastAsiaTheme="minorEastAsia"/>
                      <w:bCs/>
                      <w:kern w:val="0"/>
                      <w:sz w:val="21"/>
                      <w:szCs w:val="21"/>
                      <w:u w:val="single"/>
                    </w:rPr>
                    <w:t>生产线</w:t>
                  </w:r>
                </w:p>
              </w:tc>
              <w:tc>
                <w:tcPr>
                  <w:tcW w:w="457" w:type="pct"/>
                  <w:vAlign w:val="center"/>
                </w:tcPr>
                <w:p w14:paraId="12A089A3">
                  <w:pPr>
                    <w:widowControl/>
                    <w:spacing w:line="240" w:lineRule="auto"/>
                    <w:jc w:val="center"/>
                    <w:rPr>
                      <w:rFonts w:eastAsiaTheme="minorEastAsia"/>
                      <w:b/>
                      <w:kern w:val="0"/>
                      <w:sz w:val="21"/>
                      <w:szCs w:val="21"/>
                      <w:u w:val="single"/>
                    </w:rPr>
                  </w:pPr>
                  <w:r>
                    <w:rPr>
                      <w:rFonts w:eastAsiaTheme="minorEastAsia"/>
                      <w:sz w:val="21"/>
                      <w:szCs w:val="21"/>
                      <w:u w:val="single"/>
                    </w:rPr>
                    <w:t>墓碑</w:t>
                  </w:r>
                </w:p>
              </w:tc>
              <w:tc>
                <w:tcPr>
                  <w:tcW w:w="895" w:type="dxa"/>
                  <w:vAlign w:val="center"/>
                </w:tcPr>
                <w:p w14:paraId="37C3A453">
                  <w:pPr>
                    <w:widowControl/>
                    <w:spacing w:line="240" w:lineRule="auto"/>
                    <w:jc w:val="center"/>
                    <w:rPr>
                      <w:rFonts w:eastAsiaTheme="minorEastAsia"/>
                      <w:sz w:val="21"/>
                      <w:szCs w:val="21"/>
                      <w:u w:val="single"/>
                    </w:rPr>
                  </w:pPr>
                  <w:r>
                    <w:rPr>
                      <w:rFonts w:eastAsiaTheme="minorEastAsia"/>
                      <w:sz w:val="21"/>
                      <w:szCs w:val="21"/>
                      <w:u w:val="single"/>
                    </w:rPr>
                    <w:t>14286㎡（100m³）</w:t>
                  </w:r>
                </w:p>
              </w:tc>
              <w:tc>
                <w:tcPr>
                  <w:tcW w:w="898" w:type="dxa"/>
                  <w:vAlign w:val="center"/>
                </w:tcPr>
                <w:p w14:paraId="1874D3C3">
                  <w:pPr>
                    <w:widowControl/>
                    <w:spacing w:line="240" w:lineRule="auto"/>
                    <w:jc w:val="center"/>
                    <w:rPr>
                      <w:rFonts w:eastAsiaTheme="minorEastAsia"/>
                      <w:sz w:val="21"/>
                      <w:szCs w:val="21"/>
                      <w:u w:val="single"/>
                    </w:rPr>
                  </w:pPr>
                  <w:r>
                    <w:rPr>
                      <w:rFonts w:eastAsiaTheme="minorEastAsia"/>
                      <w:sz w:val="21"/>
                      <w:szCs w:val="21"/>
                      <w:u w:val="single"/>
                    </w:rPr>
                    <w:t>262t</w:t>
                  </w:r>
                </w:p>
              </w:tc>
              <w:tc>
                <w:tcPr>
                  <w:tcW w:w="703" w:type="pct"/>
                  <w:vAlign w:val="center"/>
                </w:tcPr>
                <w:p w14:paraId="4A3223B5">
                  <w:pPr>
                    <w:widowControl/>
                    <w:spacing w:line="240" w:lineRule="auto"/>
                    <w:jc w:val="center"/>
                    <w:rPr>
                      <w:rFonts w:eastAsiaTheme="minorEastAsia"/>
                      <w:sz w:val="21"/>
                      <w:szCs w:val="21"/>
                      <w:u w:val="single"/>
                    </w:rPr>
                  </w:pPr>
                  <w:r>
                    <w:rPr>
                      <w:rFonts w:eastAsiaTheme="minorEastAsia"/>
                      <w:sz w:val="21"/>
                      <w:szCs w:val="21"/>
                      <w:u w:val="single"/>
                    </w:rPr>
                    <w:t>14286㎡（100m³）</w:t>
                  </w:r>
                </w:p>
              </w:tc>
              <w:tc>
                <w:tcPr>
                  <w:tcW w:w="633" w:type="pct"/>
                  <w:vAlign w:val="center"/>
                </w:tcPr>
                <w:p w14:paraId="61AC7C4B">
                  <w:pPr>
                    <w:widowControl/>
                    <w:spacing w:line="240" w:lineRule="auto"/>
                    <w:jc w:val="center"/>
                    <w:rPr>
                      <w:rFonts w:eastAsiaTheme="minorEastAsia"/>
                      <w:sz w:val="21"/>
                      <w:szCs w:val="21"/>
                      <w:u w:val="single"/>
                    </w:rPr>
                  </w:pPr>
                  <w:r>
                    <w:rPr>
                      <w:rFonts w:eastAsiaTheme="minorEastAsia"/>
                      <w:sz w:val="21"/>
                      <w:szCs w:val="21"/>
                      <w:u w:val="single"/>
                    </w:rPr>
                    <w:t>262t</w:t>
                  </w:r>
                </w:p>
              </w:tc>
              <w:tc>
                <w:tcPr>
                  <w:tcW w:w="912" w:type="pct"/>
                  <w:vAlign w:val="center"/>
                </w:tcPr>
                <w:p w14:paraId="2B79C10C">
                  <w:pPr>
                    <w:widowControl/>
                    <w:spacing w:line="240" w:lineRule="auto"/>
                    <w:jc w:val="center"/>
                    <w:rPr>
                      <w:rFonts w:eastAsiaTheme="minorEastAsia"/>
                      <w:b/>
                      <w:kern w:val="0"/>
                      <w:sz w:val="21"/>
                      <w:szCs w:val="21"/>
                      <w:u w:val="single"/>
                    </w:rPr>
                  </w:pPr>
                  <w:r>
                    <w:rPr>
                      <w:rFonts w:eastAsiaTheme="minorEastAsia"/>
                      <w:sz w:val="21"/>
                      <w:szCs w:val="21"/>
                      <w:u w:val="single"/>
                    </w:rPr>
                    <w:t>1.3x0.86x0.007</w:t>
                  </w:r>
                </w:p>
              </w:tc>
              <w:tc>
                <w:tcPr>
                  <w:tcW w:w="678" w:type="pct"/>
                  <w:vMerge w:val="restart"/>
                  <w:vAlign w:val="center"/>
                </w:tcPr>
                <w:p w14:paraId="0D39A060">
                  <w:pPr>
                    <w:widowControl/>
                    <w:spacing w:line="240" w:lineRule="auto"/>
                    <w:jc w:val="center"/>
                    <w:rPr>
                      <w:bCs/>
                      <w:sz w:val="21"/>
                      <w:szCs w:val="21"/>
                      <w:u w:val="single"/>
                    </w:rPr>
                  </w:pPr>
                  <w:r>
                    <w:rPr>
                      <w:bCs/>
                      <w:sz w:val="21"/>
                      <w:szCs w:val="21"/>
                      <w:u w:val="single"/>
                    </w:rPr>
                    <w:t>密度2.6</w:t>
                  </w:r>
                  <w:r>
                    <w:rPr>
                      <w:rFonts w:hint="eastAsia"/>
                      <w:bCs/>
                      <w:sz w:val="21"/>
                      <w:szCs w:val="21"/>
                      <w:u w:val="single"/>
                    </w:rPr>
                    <w:t>2</w:t>
                  </w:r>
                  <w:r>
                    <w:rPr>
                      <w:bCs/>
                      <w:sz w:val="21"/>
                      <w:szCs w:val="21"/>
                      <w:u w:val="single"/>
                    </w:rPr>
                    <w:t>t/m³</w:t>
                  </w:r>
                </w:p>
              </w:tc>
            </w:tr>
            <w:tr w14:paraId="4CF0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43" w:type="pct"/>
                  <w:vMerge w:val="continue"/>
                  <w:vAlign w:val="center"/>
                </w:tcPr>
                <w:p w14:paraId="05F39104">
                  <w:pPr>
                    <w:widowControl/>
                    <w:spacing w:line="240" w:lineRule="auto"/>
                    <w:jc w:val="center"/>
                    <w:rPr>
                      <w:rFonts w:eastAsiaTheme="minorEastAsia"/>
                      <w:bCs/>
                      <w:kern w:val="0"/>
                      <w:sz w:val="21"/>
                      <w:szCs w:val="21"/>
                      <w:u w:val="single"/>
                    </w:rPr>
                  </w:pPr>
                </w:p>
              </w:tc>
              <w:tc>
                <w:tcPr>
                  <w:tcW w:w="457" w:type="pct"/>
                  <w:vAlign w:val="center"/>
                </w:tcPr>
                <w:p w14:paraId="49DDD8D2">
                  <w:pPr>
                    <w:widowControl/>
                    <w:spacing w:line="240" w:lineRule="auto"/>
                    <w:jc w:val="center"/>
                    <w:rPr>
                      <w:rFonts w:eastAsiaTheme="minorEastAsia"/>
                      <w:bCs/>
                      <w:kern w:val="0"/>
                      <w:sz w:val="21"/>
                      <w:szCs w:val="21"/>
                      <w:u w:val="single"/>
                    </w:rPr>
                  </w:pPr>
                  <w:r>
                    <w:rPr>
                      <w:rFonts w:eastAsiaTheme="minorEastAsia"/>
                      <w:bCs/>
                      <w:kern w:val="0"/>
                      <w:sz w:val="21"/>
                      <w:szCs w:val="21"/>
                      <w:u w:val="single"/>
                    </w:rPr>
                    <w:t>龙柱</w:t>
                  </w:r>
                </w:p>
              </w:tc>
              <w:tc>
                <w:tcPr>
                  <w:tcW w:w="895" w:type="dxa"/>
                  <w:vAlign w:val="center"/>
                </w:tcPr>
                <w:p w14:paraId="4F048FED">
                  <w:pPr>
                    <w:widowControl/>
                    <w:spacing w:line="240" w:lineRule="auto"/>
                    <w:jc w:val="center"/>
                    <w:rPr>
                      <w:rFonts w:eastAsiaTheme="minorEastAsia"/>
                      <w:bCs/>
                      <w:kern w:val="0"/>
                      <w:sz w:val="21"/>
                      <w:szCs w:val="21"/>
                      <w:u w:val="single"/>
                    </w:rPr>
                  </w:pPr>
                  <w:r>
                    <w:rPr>
                      <w:rFonts w:eastAsiaTheme="minorEastAsia"/>
                      <w:bCs/>
                      <w:kern w:val="0"/>
                      <w:sz w:val="21"/>
                      <w:szCs w:val="21"/>
                      <w:u w:val="single"/>
                    </w:rPr>
                    <w:t>1</w:t>
                  </w:r>
                  <w:r>
                    <w:rPr>
                      <w:rFonts w:hint="eastAsia" w:eastAsiaTheme="minorEastAsia"/>
                      <w:bCs/>
                      <w:kern w:val="0"/>
                      <w:sz w:val="21"/>
                      <w:szCs w:val="21"/>
                      <w:u w:val="single"/>
                      <w:lang w:val="en-US" w:eastAsia="zh-CN"/>
                    </w:rPr>
                    <w:t>250</w:t>
                  </w:r>
                  <w:r>
                    <w:rPr>
                      <w:rFonts w:eastAsiaTheme="minorEastAsia"/>
                      <w:bCs w:val="0"/>
                      <w:kern w:val="2"/>
                      <w:sz w:val="21"/>
                      <w:szCs w:val="21"/>
                      <w:u w:val="single"/>
                    </w:rPr>
                    <w:t>㎡</w:t>
                  </w:r>
                  <w:r>
                    <w:rPr>
                      <w:rFonts w:eastAsiaTheme="minorEastAsia"/>
                      <w:bCs/>
                      <w:kern w:val="0"/>
                      <w:sz w:val="21"/>
                      <w:szCs w:val="21"/>
                      <w:u w:val="single"/>
                    </w:rPr>
                    <w:t>（</w:t>
                  </w:r>
                  <w:r>
                    <w:rPr>
                      <w:rFonts w:hint="eastAsia" w:eastAsiaTheme="minorEastAsia"/>
                      <w:bCs/>
                      <w:kern w:val="0"/>
                      <w:sz w:val="21"/>
                      <w:szCs w:val="21"/>
                      <w:u w:val="single"/>
                      <w:lang w:val="en-US" w:eastAsia="zh-CN"/>
                    </w:rPr>
                    <w:t>150</w:t>
                  </w:r>
                  <w:r>
                    <w:rPr>
                      <w:rFonts w:eastAsiaTheme="minorEastAsia"/>
                      <w:bCs/>
                      <w:kern w:val="0"/>
                      <w:sz w:val="21"/>
                      <w:szCs w:val="21"/>
                      <w:u w:val="single"/>
                    </w:rPr>
                    <w:t>m³）</w:t>
                  </w:r>
                </w:p>
              </w:tc>
              <w:tc>
                <w:tcPr>
                  <w:tcW w:w="898" w:type="dxa"/>
                  <w:vAlign w:val="center"/>
                </w:tcPr>
                <w:p w14:paraId="7B4373C9">
                  <w:pPr>
                    <w:widowControl/>
                    <w:spacing w:line="240" w:lineRule="auto"/>
                    <w:jc w:val="center"/>
                    <w:rPr>
                      <w:rFonts w:eastAsiaTheme="minorEastAsia"/>
                      <w:bCs/>
                      <w:kern w:val="0"/>
                      <w:sz w:val="21"/>
                      <w:szCs w:val="21"/>
                      <w:u w:val="single"/>
                    </w:rPr>
                  </w:pPr>
                  <w:r>
                    <w:rPr>
                      <w:rFonts w:hint="eastAsia" w:eastAsiaTheme="minorEastAsia"/>
                      <w:bCs/>
                      <w:kern w:val="0"/>
                      <w:sz w:val="21"/>
                      <w:szCs w:val="21"/>
                      <w:u w:val="single"/>
                      <w:lang w:val="en-US" w:eastAsia="zh-CN"/>
                    </w:rPr>
                    <w:t>393</w:t>
                  </w:r>
                  <w:r>
                    <w:rPr>
                      <w:rFonts w:eastAsiaTheme="minorEastAsia"/>
                      <w:bCs/>
                      <w:kern w:val="0"/>
                      <w:sz w:val="21"/>
                      <w:szCs w:val="21"/>
                      <w:u w:val="single"/>
                    </w:rPr>
                    <w:t>t</w:t>
                  </w:r>
                </w:p>
              </w:tc>
              <w:tc>
                <w:tcPr>
                  <w:tcW w:w="703" w:type="pct"/>
                  <w:vAlign w:val="center"/>
                </w:tcPr>
                <w:p w14:paraId="70CF0E64">
                  <w:pPr>
                    <w:widowControl/>
                    <w:spacing w:line="240" w:lineRule="auto"/>
                    <w:jc w:val="center"/>
                    <w:rPr>
                      <w:rFonts w:eastAsiaTheme="minorEastAsia"/>
                      <w:bCs/>
                      <w:kern w:val="0"/>
                      <w:sz w:val="21"/>
                      <w:szCs w:val="21"/>
                      <w:u w:val="single"/>
                    </w:rPr>
                  </w:pPr>
                  <w:r>
                    <w:rPr>
                      <w:rFonts w:eastAsiaTheme="minorEastAsia"/>
                      <w:bCs/>
                      <w:kern w:val="0"/>
                      <w:sz w:val="21"/>
                      <w:szCs w:val="21"/>
                      <w:u w:val="single"/>
                    </w:rPr>
                    <w:t>1</w:t>
                  </w:r>
                  <w:r>
                    <w:rPr>
                      <w:rFonts w:hint="eastAsia" w:eastAsiaTheme="minorEastAsia"/>
                      <w:bCs/>
                      <w:kern w:val="0"/>
                      <w:sz w:val="21"/>
                      <w:szCs w:val="21"/>
                      <w:u w:val="single"/>
                      <w:lang w:val="en-US" w:eastAsia="zh-CN"/>
                    </w:rPr>
                    <w:t>250</w:t>
                  </w:r>
                  <w:r>
                    <w:rPr>
                      <w:rFonts w:eastAsiaTheme="minorEastAsia"/>
                      <w:bCs/>
                      <w:kern w:val="0"/>
                      <w:sz w:val="21"/>
                      <w:szCs w:val="21"/>
                      <w:u w:val="single"/>
                    </w:rPr>
                    <w:t>㎡（</w:t>
                  </w:r>
                  <w:r>
                    <w:rPr>
                      <w:rFonts w:hint="eastAsia" w:eastAsiaTheme="minorEastAsia"/>
                      <w:bCs/>
                      <w:kern w:val="0"/>
                      <w:sz w:val="21"/>
                      <w:szCs w:val="21"/>
                      <w:u w:val="single"/>
                      <w:lang w:val="en-US" w:eastAsia="zh-CN"/>
                    </w:rPr>
                    <w:t>150</w:t>
                  </w:r>
                  <w:r>
                    <w:rPr>
                      <w:rFonts w:eastAsiaTheme="minorEastAsia"/>
                      <w:bCs/>
                      <w:kern w:val="0"/>
                      <w:sz w:val="21"/>
                      <w:szCs w:val="21"/>
                      <w:u w:val="single"/>
                    </w:rPr>
                    <w:t>m³）</w:t>
                  </w:r>
                </w:p>
              </w:tc>
              <w:tc>
                <w:tcPr>
                  <w:tcW w:w="633" w:type="pct"/>
                  <w:vAlign w:val="center"/>
                </w:tcPr>
                <w:p w14:paraId="0A18F38A">
                  <w:pPr>
                    <w:widowControl/>
                    <w:spacing w:line="240" w:lineRule="auto"/>
                    <w:jc w:val="center"/>
                    <w:rPr>
                      <w:rFonts w:eastAsiaTheme="minorEastAsia"/>
                      <w:bCs/>
                      <w:kern w:val="0"/>
                      <w:sz w:val="21"/>
                      <w:szCs w:val="21"/>
                      <w:u w:val="single"/>
                    </w:rPr>
                  </w:pPr>
                  <w:r>
                    <w:rPr>
                      <w:rFonts w:hint="eastAsia" w:eastAsiaTheme="minorEastAsia"/>
                      <w:bCs/>
                      <w:kern w:val="0"/>
                      <w:sz w:val="21"/>
                      <w:szCs w:val="21"/>
                      <w:u w:val="single"/>
                      <w:lang w:val="en-US" w:eastAsia="zh-CN"/>
                    </w:rPr>
                    <w:t>393</w:t>
                  </w:r>
                  <w:r>
                    <w:rPr>
                      <w:rFonts w:eastAsiaTheme="minorEastAsia"/>
                      <w:bCs/>
                      <w:kern w:val="0"/>
                      <w:sz w:val="21"/>
                      <w:szCs w:val="21"/>
                      <w:u w:val="single"/>
                    </w:rPr>
                    <w:t>t</w:t>
                  </w:r>
                </w:p>
              </w:tc>
              <w:tc>
                <w:tcPr>
                  <w:tcW w:w="912" w:type="pct"/>
                  <w:vAlign w:val="center"/>
                </w:tcPr>
                <w:p w14:paraId="5DBC7C80">
                  <w:pPr>
                    <w:widowControl/>
                    <w:spacing w:line="240" w:lineRule="auto"/>
                    <w:jc w:val="center"/>
                    <w:rPr>
                      <w:rFonts w:eastAsiaTheme="minorEastAsia"/>
                      <w:bCs/>
                      <w:kern w:val="0"/>
                      <w:sz w:val="21"/>
                      <w:szCs w:val="21"/>
                      <w:u w:val="single"/>
                    </w:rPr>
                  </w:pPr>
                  <w:r>
                    <w:rPr>
                      <w:rFonts w:eastAsiaTheme="minorEastAsia"/>
                      <w:sz w:val="21"/>
                      <w:szCs w:val="21"/>
                      <w:u w:val="single"/>
                    </w:rPr>
                    <w:t>1.5x0.32x0.12</w:t>
                  </w:r>
                </w:p>
              </w:tc>
              <w:tc>
                <w:tcPr>
                  <w:tcW w:w="678" w:type="pct"/>
                  <w:vMerge w:val="continue"/>
                  <w:vAlign w:val="center"/>
                </w:tcPr>
                <w:p w14:paraId="1F7DC720">
                  <w:pPr>
                    <w:widowControl/>
                    <w:spacing w:line="240" w:lineRule="auto"/>
                    <w:jc w:val="center"/>
                    <w:rPr>
                      <w:bCs/>
                      <w:kern w:val="0"/>
                      <w:sz w:val="21"/>
                      <w:szCs w:val="21"/>
                      <w:u w:val="single"/>
                    </w:rPr>
                  </w:pPr>
                </w:p>
              </w:tc>
            </w:tr>
            <w:tr w14:paraId="51D1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543" w:type="pct"/>
                  <w:vMerge w:val="continue"/>
                  <w:vAlign w:val="center"/>
                </w:tcPr>
                <w:p w14:paraId="359E1F12">
                  <w:pPr>
                    <w:widowControl/>
                    <w:spacing w:line="240" w:lineRule="auto"/>
                    <w:jc w:val="center"/>
                    <w:rPr>
                      <w:rFonts w:eastAsiaTheme="minorEastAsia"/>
                      <w:bCs/>
                      <w:kern w:val="0"/>
                      <w:sz w:val="21"/>
                      <w:szCs w:val="21"/>
                      <w:u w:val="single"/>
                    </w:rPr>
                  </w:pPr>
                </w:p>
              </w:tc>
              <w:tc>
                <w:tcPr>
                  <w:tcW w:w="457" w:type="pct"/>
                  <w:vAlign w:val="center"/>
                </w:tcPr>
                <w:p w14:paraId="6BC0CD44">
                  <w:pPr>
                    <w:widowControl/>
                    <w:spacing w:line="240" w:lineRule="auto"/>
                    <w:jc w:val="center"/>
                    <w:rPr>
                      <w:rFonts w:hint="eastAsia" w:eastAsiaTheme="minorEastAsia"/>
                      <w:bCs/>
                      <w:kern w:val="0"/>
                      <w:sz w:val="21"/>
                      <w:szCs w:val="21"/>
                      <w:u w:val="single"/>
                      <w:lang w:eastAsia="zh-CN"/>
                    </w:rPr>
                  </w:pPr>
                  <w:r>
                    <w:rPr>
                      <w:rFonts w:hint="eastAsia" w:eastAsiaTheme="minorEastAsia"/>
                      <w:bCs/>
                      <w:kern w:val="0"/>
                      <w:sz w:val="21"/>
                      <w:szCs w:val="21"/>
                      <w:u w:val="single"/>
                      <w:lang w:eastAsia="zh-CN"/>
                    </w:rPr>
                    <w:t>其他板材</w:t>
                  </w:r>
                </w:p>
              </w:tc>
              <w:tc>
                <w:tcPr>
                  <w:tcW w:w="895" w:type="dxa"/>
                  <w:vAlign w:val="center"/>
                </w:tcPr>
                <w:p w14:paraId="0CE51FFE">
                  <w:pPr>
                    <w:widowControl/>
                    <w:spacing w:line="240" w:lineRule="auto"/>
                    <w:jc w:val="center"/>
                    <w:rPr>
                      <w:rFonts w:hint="eastAsia" w:eastAsiaTheme="minorEastAsia"/>
                      <w:bCs/>
                      <w:kern w:val="0"/>
                      <w:sz w:val="21"/>
                      <w:szCs w:val="21"/>
                      <w:u w:val="single"/>
                      <w:lang w:val="en-US" w:eastAsia="zh-CN"/>
                    </w:rPr>
                  </w:pPr>
                  <w:r>
                    <w:rPr>
                      <w:rFonts w:hint="eastAsia" w:eastAsiaTheme="minorEastAsia"/>
                      <w:bCs/>
                      <w:kern w:val="0"/>
                      <w:sz w:val="21"/>
                      <w:szCs w:val="21"/>
                      <w:u w:val="single"/>
                      <w:lang w:val="en-US" w:eastAsia="zh-CN"/>
                    </w:rPr>
                    <w:t>917</w:t>
                  </w:r>
                  <w:r>
                    <w:rPr>
                      <w:rFonts w:eastAsiaTheme="minorEastAsia"/>
                      <w:bCs/>
                      <w:kern w:val="0"/>
                      <w:sz w:val="21"/>
                      <w:szCs w:val="21"/>
                      <w:u w:val="single"/>
                    </w:rPr>
                    <w:t>㎡</w:t>
                  </w:r>
                </w:p>
                <w:p w14:paraId="0EA2F0F0">
                  <w:pPr>
                    <w:widowControl/>
                    <w:spacing w:line="240" w:lineRule="auto"/>
                    <w:jc w:val="center"/>
                    <w:rPr>
                      <w:rFonts w:hint="eastAsia" w:eastAsiaTheme="minorEastAsia"/>
                      <w:bCs/>
                      <w:kern w:val="0"/>
                      <w:sz w:val="21"/>
                      <w:szCs w:val="21"/>
                      <w:u w:val="single"/>
                      <w:lang w:eastAsia="zh-CN"/>
                    </w:rPr>
                  </w:pPr>
                  <w:r>
                    <w:rPr>
                      <w:rFonts w:hint="eastAsia" w:eastAsiaTheme="minorEastAsia"/>
                      <w:bCs/>
                      <w:kern w:val="0"/>
                      <w:sz w:val="21"/>
                      <w:szCs w:val="21"/>
                      <w:u w:val="single"/>
                      <w:lang w:val="en-US" w:eastAsia="zh-CN"/>
                    </w:rPr>
                    <w:t>（50</w:t>
                  </w:r>
                  <w:r>
                    <w:rPr>
                      <w:rFonts w:eastAsiaTheme="minorEastAsia"/>
                      <w:bCs/>
                      <w:kern w:val="0"/>
                      <w:sz w:val="21"/>
                      <w:szCs w:val="21"/>
                      <w:u w:val="single"/>
                    </w:rPr>
                    <w:t>m³</w:t>
                  </w:r>
                  <w:r>
                    <w:rPr>
                      <w:rFonts w:hint="eastAsia" w:eastAsiaTheme="minorEastAsia"/>
                      <w:bCs/>
                      <w:kern w:val="0"/>
                      <w:sz w:val="21"/>
                      <w:szCs w:val="21"/>
                      <w:u w:val="single"/>
                      <w:lang w:val="en-US" w:eastAsia="zh-CN"/>
                    </w:rPr>
                    <w:t>）</w:t>
                  </w:r>
                </w:p>
              </w:tc>
              <w:tc>
                <w:tcPr>
                  <w:tcW w:w="898" w:type="dxa"/>
                  <w:vAlign w:val="center"/>
                </w:tcPr>
                <w:p w14:paraId="1B9CAC23">
                  <w:pPr>
                    <w:widowControl/>
                    <w:spacing w:line="240" w:lineRule="auto"/>
                    <w:jc w:val="center"/>
                    <w:rPr>
                      <w:rFonts w:hint="eastAsia" w:eastAsiaTheme="minorEastAsia"/>
                      <w:bCs/>
                      <w:kern w:val="0"/>
                      <w:sz w:val="21"/>
                      <w:szCs w:val="21"/>
                      <w:u w:val="single"/>
                      <w:lang w:eastAsia="zh-CN"/>
                    </w:rPr>
                  </w:pPr>
                  <w:r>
                    <w:rPr>
                      <w:rFonts w:hint="eastAsia" w:eastAsiaTheme="minorEastAsia"/>
                      <w:bCs/>
                      <w:kern w:val="0"/>
                      <w:sz w:val="21"/>
                      <w:szCs w:val="21"/>
                      <w:u w:val="single"/>
                      <w:lang w:val="en-US" w:eastAsia="zh-CN"/>
                    </w:rPr>
                    <w:t>131</w:t>
                  </w:r>
                  <w:r>
                    <w:rPr>
                      <w:rFonts w:eastAsiaTheme="minorEastAsia"/>
                      <w:bCs/>
                      <w:kern w:val="0"/>
                      <w:sz w:val="21"/>
                      <w:szCs w:val="21"/>
                      <w:u w:val="single"/>
                    </w:rPr>
                    <w:t>t</w:t>
                  </w:r>
                </w:p>
              </w:tc>
              <w:tc>
                <w:tcPr>
                  <w:tcW w:w="703" w:type="pct"/>
                  <w:vAlign w:val="center"/>
                </w:tcPr>
                <w:p w14:paraId="501E12AB">
                  <w:pPr>
                    <w:widowControl/>
                    <w:spacing w:line="240" w:lineRule="auto"/>
                    <w:jc w:val="center"/>
                    <w:rPr>
                      <w:rFonts w:hint="eastAsia" w:eastAsiaTheme="minorEastAsia"/>
                      <w:bCs/>
                      <w:kern w:val="0"/>
                      <w:sz w:val="21"/>
                      <w:szCs w:val="21"/>
                      <w:u w:val="single"/>
                      <w:lang w:val="en-US" w:eastAsia="zh-CN"/>
                    </w:rPr>
                  </w:pPr>
                  <w:r>
                    <w:rPr>
                      <w:rFonts w:hint="eastAsia" w:eastAsiaTheme="minorEastAsia"/>
                      <w:bCs/>
                      <w:kern w:val="0"/>
                      <w:sz w:val="21"/>
                      <w:szCs w:val="21"/>
                      <w:u w:val="single"/>
                      <w:lang w:val="en-US" w:eastAsia="zh-CN"/>
                    </w:rPr>
                    <w:t>917</w:t>
                  </w:r>
                  <w:r>
                    <w:rPr>
                      <w:rFonts w:eastAsiaTheme="minorEastAsia"/>
                      <w:bCs/>
                      <w:kern w:val="0"/>
                      <w:sz w:val="21"/>
                      <w:szCs w:val="21"/>
                      <w:u w:val="single"/>
                    </w:rPr>
                    <w:t>㎡</w:t>
                  </w:r>
                </w:p>
                <w:p w14:paraId="79F61612">
                  <w:pPr>
                    <w:widowControl/>
                    <w:spacing w:line="240" w:lineRule="auto"/>
                    <w:jc w:val="center"/>
                    <w:rPr>
                      <w:rFonts w:eastAsiaTheme="minorEastAsia"/>
                      <w:bCs/>
                      <w:kern w:val="0"/>
                      <w:sz w:val="21"/>
                      <w:szCs w:val="21"/>
                      <w:u w:val="single"/>
                    </w:rPr>
                  </w:pPr>
                  <w:r>
                    <w:rPr>
                      <w:rFonts w:hint="eastAsia" w:eastAsiaTheme="minorEastAsia"/>
                      <w:bCs/>
                      <w:kern w:val="0"/>
                      <w:sz w:val="21"/>
                      <w:szCs w:val="21"/>
                      <w:u w:val="single"/>
                      <w:lang w:val="en-US" w:eastAsia="zh-CN"/>
                    </w:rPr>
                    <w:t>（50</w:t>
                  </w:r>
                  <w:r>
                    <w:rPr>
                      <w:rFonts w:eastAsiaTheme="minorEastAsia"/>
                      <w:bCs/>
                      <w:kern w:val="0"/>
                      <w:sz w:val="21"/>
                      <w:szCs w:val="21"/>
                      <w:u w:val="single"/>
                    </w:rPr>
                    <w:t>m³</w:t>
                  </w:r>
                  <w:r>
                    <w:rPr>
                      <w:rFonts w:hint="eastAsia" w:eastAsiaTheme="minorEastAsia"/>
                      <w:bCs/>
                      <w:kern w:val="0"/>
                      <w:sz w:val="21"/>
                      <w:szCs w:val="21"/>
                      <w:u w:val="single"/>
                      <w:lang w:val="en-US" w:eastAsia="zh-CN"/>
                    </w:rPr>
                    <w:t>）</w:t>
                  </w:r>
                </w:p>
              </w:tc>
              <w:tc>
                <w:tcPr>
                  <w:tcW w:w="633" w:type="pct"/>
                  <w:vAlign w:val="center"/>
                </w:tcPr>
                <w:p w14:paraId="34FD776C">
                  <w:pPr>
                    <w:widowControl/>
                    <w:spacing w:line="240" w:lineRule="auto"/>
                    <w:jc w:val="center"/>
                    <w:rPr>
                      <w:rFonts w:hint="default" w:eastAsiaTheme="minorEastAsia"/>
                      <w:bCs/>
                      <w:kern w:val="0"/>
                      <w:sz w:val="21"/>
                      <w:szCs w:val="21"/>
                      <w:u w:val="single"/>
                      <w:lang w:val="en-US" w:eastAsia="zh-CN"/>
                    </w:rPr>
                  </w:pPr>
                  <w:r>
                    <w:rPr>
                      <w:rFonts w:hint="eastAsia" w:eastAsiaTheme="minorEastAsia"/>
                      <w:bCs/>
                      <w:kern w:val="0"/>
                      <w:sz w:val="21"/>
                      <w:szCs w:val="21"/>
                      <w:u w:val="single"/>
                      <w:lang w:val="en-US" w:eastAsia="zh-CN"/>
                    </w:rPr>
                    <w:t>131</w:t>
                  </w:r>
                  <w:r>
                    <w:rPr>
                      <w:rFonts w:eastAsiaTheme="minorEastAsia"/>
                      <w:bCs/>
                      <w:kern w:val="0"/>
                      <w:sz w:val="21"/>
                      <w:szCs w:val="21"/>
                      <w:u w:val="single"/>
                    </w:rPr>
                    <w:t>t</w:t>
                  </w:r>
                </w:p>
              </w:tc>
              <w:tc>
                <w:tcPr>
                  <w:tcW w:w="912" w:type="pct"/>
                  <w:vAlign w:val="center"/>
                </w:tcPr>
                <w:p w14:paraId="46693992">
                  <w:pPr>
                    <w:widowControl/>
                    <w:spacing w:line="240" w:lineRule="auto"/>
                    <w:jc w:val="center"/>
                    <w:rPr>
                      <w:rFonts w:hint="eastAsia" w:eastAsiaTheme="minorEastAsia"/>
                      <w:sz w:val="21"/>
                      <w:szCs w:val="21"/>
                      <w:u w:val="single"/>
                      <w:lang w:val="en-US" w:eastAsia="zh-CN"/>
                    </w:rPr>
                  </w:pPr>
                  <w:r>
                    <w:rPr>
                      <w:rFonts w:eastAsiaTheme="minorEastAsia"/>
                      <w:sz w:val="21"/>
                      <w:szCs w:val="21"/>
                      <w:u w:val="single"/>
                    </w:rPr>
                    <w:t>1.5x0.32x0.12</w:t>
                  </w:r>
                </w:p>
              </w:tc>
              <w:tc>
                <w:tcPr>
                  <w:tcW w:w="678" w:type="pct"/>
                  <w:vMerge w:val="continue"/>
                  <w:vAlign w:val="center"/>
                </w:tcPr>
                <w:p w14:paraId="598D1C68">
                  <w:pPr>
                    <w:widowControl/>
                    <w:spacing w:line="240" w:lineRule="auto"/>
                    <w:jc w:val="center"/>
                    <w:rPr>
                      <w:bCs/>
                      <w:kern w:val="0"/>
                      <w:sz w:val="21"/>
                      <w:szCs w:val="21"/>
                      <w:u w:val="single"/>
                    </w:rPr>
                  </w:pPr>
                </w:p>
              </w:tc>
            </w:tr>
            <w:tr w14:paraId="3179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43" w:type="pct"/>
                  <w:vAlign w:val="center"/>
                </w:tcPr>
                <w:p w14:paraId="3EEAC072">
                  <w:pPr>
                    <w:widowControl/>
                    <w:spacing w:line="240" w:lineRule="auto"/>
                    <w:jc w:val="center"/>
                    <w:rPr>
                      <w:rFonts w:eastAsiaTheme="minorEastAsia"/>
                      <w:bCs/>
                      <w:kern w:val="0"/>
                      <w:sz w:val="21"/>
                      <w:szCs w:val="21"/>
                      <w:u w:val="single"/>
                    </w:rPr>
                  </w:pPr>
                  <w:r>
                    <w:rPr>
                      <w:rFonts w:eastAsiaTheme="minorEastAsia"/>
                      <w:bCs/>
                      <w:kern w:val="0"/>
                      <w:sz w:val="21"/>
                      <w:szCs w:val="21"/>
                      <w:u w:val="single"/>
                    </w:rPr>
                    <w:t>路沿石生产线</w:t>
                  </w:r>
                </w:p>
              </w:tc>
              <w:tc>
                <w:tcPr>
                  <w:tcW w:w="457" w:type="pct"/>
                  <w:vAlign w:val="center"/>
                </w:tcPr>
                <w:p w14:paraId="70BB8AD1">
                  <w:pPr>
                    <w:widowControl/>
                    <w:spacing w:line="240" w:lineRule="auto"/>
                    <w:jc w:val="center"/>
                    <w:rPr>
                      <w:rFonts w:eastAsiaTheme="minorEastAsia"/>
                      <w:bCs/>
                      <w:kern w:val="0"/>
                      <w:sz w:val="21"/>
                      <w:szCs w:val="21"/>
                      <w:u w:val="single"/>
                    </w:rPr>
                  </w:pPr>
                  <w:r>
                    <w:rPr>
                      <w:rFonts w:eastAsiaTheme="minorEastAsia"/>
                      <w:bCs/>
                      <w:kern w:val="0"/>
                      <w:sz w:val="21"/>
                      <w:szCs w:val="21"/>
                      <w:u w:val="single"/>
                    </w:rPr>
                    <w:t>路沿石</w:t>
                  </w:r>
                </w:p>
              </w:tc>
              <w:tc>
                <w:tcPr>
                  <w:tcW w:w="1070" w:type="pct"/>
                  <w:gridSpan w:val="2"/>
                  <w:vAlign w:val="center"/>
                </w:tcPr>
                <w:p w14:paraId="3B556068">
                  <w:pPr>
                    <w:widowControl/>
                    <w:spacing w:line="240" w:lineRule="auto"/>
                    <w:jc w:val="center"/>
                    <w:rPr>
                      <w:rFonts w:hint="eastAsia" w:eastAsiaTheme="minorEastAsia"/>
                      <w:bCs/>
                      <w:kern w:val="0"/>
                      <w:sz w:val="21"/>
                      <w:szCs w:val="21"/>
                      <w:u w:val="single"/>
                      <w:lang w:val="en-US" w:eastAsia="zh-CN"/>
                    </w:rPr>
                  </w:pPr>
                  <w:r>
                    <w:rPr>
                      <w:rFonts w:hint="eastAsia" w:eastAsiaTheme="minorEastAsia"/>
                      <w:bCs/>
                      <w:kern w:val="0"/>
                      <w:sz w:val="21"/>
                      <w:szCs w:val="21"/>
                      <w:u w:val="single"/>
                      <w:lang w:val="en-US" w:eastAsia="zh-CN"/>
                    </w:rPr>
                    <w:t>/</w:t>
                  </w:r>
                </w:p>
              </w:tc>
              <w:tc>
                <w:tcPr>
                  <w:tcW w:w="703" w:type="pct"/>
                  <w:vAlign w:val="center"/>
                </w:tcPr>
                <w:p w14:paraId="4C7010B1">
                  <w:pPr>
                    <w:widowControl/>
                    <w:spacing w:line="240" w:lineRule="auto"/>
                    <w:jc w:val="center"/>
                    <w:rPr>
                      <w:rFonts w:eastAsiaTheme="minorEastAsia"/>
                      <w:bCs/>
                      <w:kern w:val="0"/>
                      <w:sz w:val="21"/>
                      <w:szCs w:val="21"/>
                      <w:u w:val="single"/>
                    </w:rPr>
                  </w:pPr>
                  <w:r>
                    <w:rPr>
                      <w:rFonts w:eastAsiaTheme="minorEastAsia"/>
                      <w:sz w:val="21"/>
                      <w:szCs w:val="21"/>
                      <w:u w:val="single"/>
                    </w:rPr>
                    <w:t>500㎡（100m³）</w:t>
                  </w:r>
                </w:p>
              </w:tc>
              <w:tc>
                <w:tcPr>
                  <w:tcW w:w="633" w:type="pct"/>
                  <w:vAlign w:val="center"/>
                </w:tcPr>
                <w:p w14:paraId="70300669">
                  <w:pPr>
                    <w:widowControl/>
                    <w:spacing w:line="240" w:lineRule="auto"/>
                    <w:jc w:val="center"/>
                    <w:rPr>
                      <w:rFonts w:eastAsiaTheme="minorEastAsia"/>
                      <w:sz w:val="21"/>
                      <w:szCs w:val="21"/>
                      <w:u w:val="single"/>
                    </w:rPr>
                  </w:pPr>
                  <w:r>
                    <w:rPr>
                      <w:rFonts w:eastAsiaTheme="minorEastAsia"/>
                      <w:sz w:val="21"/>
                      <w:szCs w:val="21"/>
                      <w:u w:val="single"/>
                    </w:rPr>
                    <w:t>269t</w:t>
                  </w:r>
                </w:p>
              </w:tc>
              <w:tc>
                <w:tcPr>
                  <w:tcW w:w="912" w:type="pct"/>
                  <w:vAlign w:val="center"/>
                </w:tcPr>
                <w:p w14:paraId="4170F92D">
                  <w:pPr>
                    <w:widowControl/>
                    <w:spacing w:line="240" w:lineRule="auto"/>
                    <w:jc w:val="center"/>
                    <w:rPr>
                      <w:rFonts w:eastAsiaTheme="minorEastAsia"/>
                      <w:bCs/>
                      <w:kern w:val="0"/>
                      <w:sz w:val="21"/>
                      <w:szCs w:val="21"/>
                      <w:u w:val="single"/>
                    </w:rPr>
                  </w:pPr>
                  <w:r>
                    <w:rPr>
                      <w:rFonts w:eastAsiaTheme="minorEastAsia"/>
                      <w:sz w:val="21"/>
                      <w:szCs w:val="21"/>
                      <w:u w:val="single"/>
                    </w:rPr>
                    <w:t>0.6x0.3x0.2</w:t>
                  </w:r>
                </w:p>
              </w:tc>
              <w:tc>
                <w:tcPr>
                  <w:tcW w:w="678" w:type="pct"/>
                  <w:vAlign w:val="center"/>
                </w:tcPr>
                <w:p w14:paraId="39C6ADE4">
                  <w:pPr>
                    <w:widowControl/>
                    <w:spacing w:line="240" w:lineRule="auto"/>
                    <w:jc w:val="center"/>
                    <w:rPr>
                      <w:bCs/>
                      <w:sz w:val="21"/>
                      <w:szCs w:val="21"/>
                      <w:u w:val="single"/>
                    </w:rPr>
                  </w:pPr>
                  <w:r>
                    <w:rPr>
                      <w:bCs/>
                      <w:sz w:val="21"/>
                      <w:szCs w:val="21"/>
                      <w:u w:val="single"/>
                    </w:rPr>
                    <w:t>密度2.69t/m³</w:t>
                  </w:r>
                </w:p>
              </w:tc>
            </w:tr>
            <w:tr w14:paraId="40FC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pct"/>
                  <w:vMerge w:val="restart"/>
                  <w:vAlign w:val="center"/>
                </w:tcPr>
                <w:p w14:paraId="554585F5">
                  <w:pPr>
                    <w:widowControl/>
                    <w:spacing w:line="240" w:lineRule="auto"/>
                    <w:jc w:val="center"/>
                    <w:rPr>
                      <w:rFonts w:eastAsiaTheme="minorEastAsia"/>
                      <w:bCs/>
                      <w:kern w:val="0"/>
                      <w:sz w:val="21"/>
                      <w:szCs w:val="21"/>
                      <w:u w:val="single"/>
                    </w:rPr>
                  </w:pPr>
                  <w:r>
                    <w:rPr>
                      <w:rFonts w:hint="default" w:ascii="Times New Roman" w:hAnsi="Times New Roman" w:cs="Times New Roman" w:eastAsiaTheme="minorEastAsia"/>
                      <w:bCs/>
                      <w:kern w:val="0"/>
                      <w:sz w:val="21"/>
                      <w:szCs w:val="21"/>
                      <w:u w:val="single"/>
                      <w:lang w:val="en-US" w:eastAsia="zh-CN" w:bidi="ar-SA"/>
                    </w:rPr>
                    <w:t>透水砖、路面砖</w:t>
                  </w:r>
                  <w:r>
                    <w:rPr>
                      <w:rFonts w:eastAsiaTheme="minorEastAsia"/>
                      <w:bCs/>
                      <w:kern w:val="0"/>
                      <w:sz w:val="21"/>
                      <w:szCs w:val="21"/>
                      <w:u w:val="single"/>
                    </w:rPr>
                    <w:t>生产线</w:t>
                  </w:r>
                </w:p>
              </w:tc>
              <w:tc>
                <w:tcPr>
                  <w:tcW w:w="457" w:type="pct"/>
                  <w:vAlign w:val="center"/>
                </w:tcPr>
                <w:p w14:paraId="2E4EFA49">
                  <w:pPr>
                    <w:widowControl/>
                    <w:spacing w:line="240" w:lineRule="auto"/>
                    <w:jc w:val="center"/>
                    <w:rPr>
                      <w:rFonts w:eastAsiaTheme="minorEastAsia"/>
                      <w:bCs/>
                      <w:kern w:val="0"/>
                      <w:sz w:val="21"/>
                      <w:szCs w:val="21"/>
                      <w:highlight w:val="none"/>
                      <w:u w:val="single"/>
                    </w:rPr>
                  </w:pPr>
                  <w:r>
                    <w:rPr>
                      <w:rFonts w:eastAsiaTheme="minorEastAsia"/>
                      <w:bCs/>
                      <w:kern w:val="0"/>
                      <w:sz w:val="21"/>
                      <w:szCs w:val="21"/>
                      <w:highlight w:val="none"/>
                      <w:u w:val="single"/>
                    </w:rPr>
                    <w:t>透水砖</w:t>
                  </w:r>
                </w:p>
              </w:tc>
              <w:tc>
                <w:tcPr>
                  <w:tcW w:w="1070" w:type="pct"/>
                  <w:gridSpan w:val="2"/>
                  <w:vAlign w:val="center"/>
                </w:tcPr>
                <w:p w14:paraId="2A850598">
                  <w:pPr>
                    <w:widowControl/>
                    <w:spacing w:line="240" w:lineRule="auto"/>
                    <w:jc w:val="center"/>
                    <w:rPr>
                      <w:rFonts w:hint="eastAsia" w:eastAsiaTheme="minorEastAsia"/>
                      <w:bCs/>
                      <w:kern w:val="0"/>
                      <w:sz w:val="21"/>
                      <w:szCs w:val="21"/>
                      <w:highlight w:val="none"/>
                      <w:u w:val="single"/>
                      <w:lang w:val="en-US" w:eastAsia="zh-CN"/>
                    </w:rPr>
                  </w:pPr>
                  <w:r>
                    <w:rPr>
                      <w:rFonts w:hint="eastAsia" w:eastAsiaTheme="minorEastAsia"/>
                      <w:bCs/>
                      <w:kern w:val="0"/>
                      <w:sz w:val="21"/>
                      <w:szCs w:val="21"/>
                      <w:highlight w:val="none"/>
                      <w:u w:val="single"/>
                      <w:lang w:val="en-US" w:eastAsia="zh-CN"/>
                    </w:rPr>
                    <w:t>/</w:t>
                  </w:r>
                </w:p>
              </w:tc>
              <w:tc>
                <w:tcPr>
                  <w:tcW w:w="703" w:type="pct"/>
                  <w:vAlign w:val="center"/>
                </w:tcPr>
                <w:p w14:paraId="631200B1">
                  <w:pPr>
                    <w:widowControl/>
                    <w:spacing w:line="240" w:lineRule="auto"/>
                    <w:jc w:val="center"/>
                    <w:rPr>
                      <w:rFonts w:eastAsiaTheme="minorEastAsia"/>
                      <w:bCs/>
                      <w:kern w:val="0"/>
                      <w:sz w:val="21"/>
                      <w:szCs w:val="21"/>
                      <w:u w:val="single"/>
                    </w:rPr>
                  </w:pPr>
                  <w:r>
                    <w:rPr>
                      <w:rFonts w:eastAsiaTheme="minorEastAsia"/>
                      <w:bCs/>
                      <w:kern w:val="0"/>
                      <w:sz w:val="21"/>
                      <w:szCs w:val="21"/>
                      <w:u w:val="single"/>
                    </w:rPr>
                    <w:t>1</w:t>
                  </w:r>
                  <w:r>
                    <w:rPr>
                      <w:rFonts w:hint="eastAsia" w:eastAsiaTheme="minorEastAsia"/>
                      <w:bCs/>
                      <w:kern w:val="0"/>
                      <w:sz w:val="21"/>
                      <w:szCs w:val="21"/>
                      <w:u w:val="single"/>
                      <w:lang w:val="en-US" w:eastAsia="zh-CN"/>
                    </w:rPr>
                    <w:t>3</w:t>
                  </w:r>
                  <w:r>
                    <w:rPr>
                      <w:rFonts w:eastAsiaTheme="minorEastAsia"/>
                      <w:bCs/>
                      <w:kern w:val="0"/>
                      <w:sz w:val="21"/>
                      <w:szCs w:val="21"/>
                      <w:u w:val="single"/>
                    </w:rPr>
                    <w:t>000㎡(</w:t>
                  </w:r>
                  <w:r>
                    <w:rPr>
                      <w:rFonts w:hint="eastAsia" w:eastAsiaTheme="minorEastAsia"/>
                      <w:bCs/>
                      <w:kern w:val="0"/>
                      <w:sz w:val="21"/>
                      <w:szCs w:val="21"/>
                      <w:u w:val="single"/>
                      <w:lang w:val="en-US" w:eastAsia="zh-CN"/>
                    </w:rPr>
                    <w:t>104</w:t>
                  </w:r>
                  <w:r>
                    <w:rPr>
                      <w:rFonts w:eastAsiaTheme="minorEastAsia"/>
                      <w:bCs/>
                      <w:kern w:val="0"/>
                      <w:sz w:val="21"/>
                      <w:szCs w:val="21"/>
                      <w:u w:val="single"/>
                    </w:rPr>
                    <w:t>0m³）</w:t>
                  </w:r>
                </w:p>
              </w:tc>
              <w:tc>
                <w:tcPr>
                  <w:tcW w:w="633" w:type="pct"/>
                  <w:vMerge w:val="restart"/>
                  <w:vAlign w:val="center"/>
                </w:tcPr>
                <w:p w14:paraId="258C8F35">
                  <w:pPr>
                    <w:widowControl/>
                    <w:spacing w:line="240" w:lineRule="auto"/>
                    <w:jc w:val="center"/>
                    <w:rPr>
                      <w:rFonts w:eastAsiaTheme="minorEastAsia"/>
                      <w:bCs/>
                      <w:kern w:val="0"/>
                      <w:sz w:val="21"/>
                      <w:szCs w:val="21"/>
                      <w:u w:val="single"/>
                    </w:rPr>
                  </w:pPr>
                  <w:r>
                    <w:rPr>
                      <w:rFonts w:eastAsiaTheme="minorEastAsia"/>
                      <w:bCs/>
                      <w:kern w:val="0"/>
                      <w:sz w:val="21"/>
                      <w:szCs w:val="21"/>
                      <w:highlight w:val="none"/>
                      <w:u w:val="single"/>
                    </w:rPr>
                    <w:t>41</w:t>
                  </w:r>
                  <w:r>
                    <w:rPr>
                      <w:rFonts w:hint="eastAsia" w:eastAsiaTheme="minorEastAsia"/>
                      <w:bCs/>
                      <w:kern w:val="0"/>
                      <w:sz w:val="21"/>
                      <w:szCs w:val="21"/>
                      <w:highlight w:val="none"/>
                      <w:u w:val="single"/>
                      <w:lang w:val="en-US" w:eastAsia="zh-CN"/>
                    </w:rPr>
                    <w:t>68</w:t>
                  </w:r>
                  <w:r>
                    <w:rPr>
                      <w:rFonts w:eastAsiaTheme="minorEastAsia"/>
                      <w:bCs/>
                      <w:kern w:val="0"/>
                      <w:sz w:val="21"/>
                      <w:szCs w:val="21"/>
                      <w:highlight w:val="none"/>
                      <w:u w:val="single"/>
                    </w:rPr>
                    <w:t>.</w:t>
                  </w:r>
                  <w:r>
                    <w:rPr>
                      <w:rFonts w:hint="eastAsia" w:eastAsiaTheme="minorEastAsia"/>
                      <w:bCs/>
                      <w:kern w:val="0"/>
                      <w:sz w:val="21"/>
                      <w:szCs w:val="21"/>
                      <w:highlight w:val="none"/>
                      <w:u w:val="single"/>
                    </w:rPr>
                    <w:t>7</w:t>
                  </w:r>
                  <w:r>
                    <w:rPr>
                      <w:rFonts w:hint="eastAsia" w:eastAsiaTheme="minorEastAsia"/>
                      <w:bCs/>
                      <w:kern w:val="0"/>
                      <w:sz w:val="21"/>
                      <w:szCs w:val="21"/>
                      <w:highlight w:val="none"/>
                      <w:u w:val="single"/>
                      <w:lang w:val="en-US" w:eastAsia="zh-CN"/>
                    </w:rPr>
                    <w:t>04</w:t>
                  </w:r>
                  <w:r>
                    <w:rPr>
                      <w:rFonts w:eastAsiaTheme="minorEastAsia"/>
                      <w:bCs/>
                      <w:kern w:val="0"/>
                      <w:sz w:val="21"/>
                      <w:szCs w:val="21"/>
                      <w:highlight w:val="none"/>
                      <w:u w:val="single"/>
                    </w:rPr>
                    <w:t>t</w:t>
                  </w:r>
                </w:p>
              </w:tc>
              <w:tc>
                <w:tcPr>
                  <w:tcW w:w="912" w:type="pct"/>
                  <w:vAlign w:val="center"/>
                </w:tcPr>
                <w:p w14:paraId="38B92F96">
                  <w:pPr>
                    <w:widowControl/>
                    <w:spacing w:line="240" w:lineRule="auto"/>
                    <w:jc w:val="center"/>
                    <w:rPr>
                      <w:rFonts w:eastAsiaTheme="minorEastAsia"/>
                      <w:bCs/>
                      <w:sz w:val="21"/>
                      <w:szCs w:val="21"/>
                      <w:u w:val="single"/>
                    </w:rPr>
                  </w:pPr>
                  <w:r>
                    <w:rPr>
                      <w:rFonts w:eastAsiaTheme="minorEastAsia"/>
                      <w:sz w:val="21"/>
                      <w:szCs w:val="21"/>
                      <w:u w:val="single"/>
                    </w:rPr>
                    <w:t>0.2x0.1x0.08</w:t>
                  </w:r>
                </w:p>
              </w:tc>
              <w:tc>
                <w:tcPr>
                  <w:tcW w:w="678" w:type="pct"/>
                  <w:vMerge w:val="restart"/>
                  <w:vAlign w:val="center"/>
                </w:tcPr>
                <w:p w14:paraId="13465B9B">
                  <w:pPr>
                    <w:widowControl/>
                    <w:spacing w:line="240" w:lineRule="auto"/>
                    <w:jc w:val="center"/>
                    <w:rPr>
                      <w:bCs/>
                      <w:sz w:val="21"/>
                      <w:szCs w:val="21"/>
                      <w:highlight w:val="yellow"/>
                      <w:u w:val="single"/>
                    </w:rPr>
                  </w:pPr>
                  <w:r>
                    <w:rPr>
                      <w:rFonts w:hint="eastAsia"/>
                      <w:bCs/>
                      <w:sz w:val="21"/>
                      <w:szCs w:val="21"/>
                      <w:u w:val="single"/>
                    </w:rPr>
                    <w:t>青石</w:t>
                  </w:r>
                  <w:r>
                    <w:rPr>
                      <w:bCs/>
                      <w:sz w:val="21"/>
                      <w:szCs w:val="21"/>
                      <w:u w:val="single"/>
                    </w:rPr>
                    <w:t>密度2.6</w:t>
                  </w:r>
                  <w:r>
                    <w:rPr>
                      <w:rFonts w:hint="eastAsia"/>
                      <w:bCs/>
                      <w:sz w:val="21"/>
                      <w:szCs w:val="21"/>
                      <w:u w:val="single"/>
                    </w:rPr>
                    <w:t>2</w:t>
                  </w:r>
                  <w:r>
                    <w:rPr>
                      <w:bCs/>
                      <w:sz w:val="21"/>
                      <w:szCs w:val="21"/>
                      <w:u w:val="single"/>
                    </w:rPr>
                    <w:t>t/m³</w:t>
                  </w:r>
                  <w:r>
                    <w:rPr>
                      <w:rFonts w:hint="eastAsia"/>
                      <w:bCs/>
                      <w:sz w:val="21"/>
                      <w:szCs w:val="21"/>
                      <w:u w:val="single"/>
                    </w:rPr>
                    <w:t>；花岗岩、石粉</w:t>
                  </w:r>
                  <w:r>
                    <w:rPr>
                      <w:bCs/>
                      <w:sz w:val="21"/>
                      <w:szCs w:val="21"/>
                      <w:u w:val="single"/>
                    </w:rPr>
                    <w:t>密度2.69t/m³</w:t>
                  </w:r>
                  <w:r>
                    <w:rPr>
                      <w:rFonts w:hint="eastAsia"/>
                      <w:bCs/>
                      <w:sz w:val="21"/>
                      <w:szCs w:val="21"/>
                      <w:u w:val="single"/>
                    </w:rPr>
                    <w:t>；水泥密度3</w:t>
                  </w:r>
                  <w:r>
                    <w:rPr>
                      <w:bCs/>
                      <w:sz w:val="21"/>
                      <w:szCs w:val="21"/>
                      <w:u w:val="single"/>
                    </w:rPr>
                    <w:t>t/m³</w:t>
                  </w:r>
                </w:p>
              </w:tc>
            </w:tr>
            <w:tr w14:paraId="5AF3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3" w:type="pct"/>
                  <w:vMerge w:val="continue"/>
                  <w:vAlign w:val="center"/>
                </w:tcPr>
                <w:p w14:paraId="0CEC985C">
                  <w:pPr>
                    <w:widowControl/>
                    <w:spacing w:line="240" w:lineRule="auto"/>
                    <w:jc w:val="center"/>
                    <w:rPr>
                      <w:rFonts w:eastAsiaTheme="minorEastAsia"/>
                      <w:bCs/>
                      <w:kern w:val="0"/>
                      <w:sz w:val="21"/>
                      <w:szCs w:val="21"/>
                      <w:u w:val="single"/>
                    </w:rPr>
                  </w:pPr>
                </w:p>
              </w:tc>
              <w:tc>
                <w:tcPr>
                  <w:tcW w:w="457" w:type="pct"/>
                  <w:vAlign w:val="center"/>
                </w:tcPr>
                <w:p w14:paraId="1D0D559E">
                  <w:pPr>
                    <w:widowControl/>
                    <w:spacing w:line="240" w:lineRule="auto"/>
                    <w:jc w:val="center"/>
                    <w:rPr>
                      <w:rFonts w:eastAsiaTheme="minorEastAsia"/>
                      <w:bCs/>
                      <w:kern w:val="0"/>
                      <w:sz w:val="21"/>
                      <w:szCs w:val="21"/>
                      <w:highlight w:val="none"/>
                      <w:u w:val="single"/>
                    </w:rPr>
                  </w:pPr>
                  <w:r>
                    <w:rPr>
                      <w:rFonts w:hint="eastAsia" w:eastAsiaTheme="minorEastAsia"/>
                      <w:bCs/>
                      <w:kern w:val="0"/>
                      <w:sz w:val="21"/>
                      <w:szCs w:val="21"/>
                      <w:highlight w:val="none"/>
                      <w:u w:val="single"/>
                      <w:lang w:eastAsia="zh-CN"/>
                    </w:rPr>
                    <w:t>路面</w:t>
                  </w:r>
                  <w:r>
                    <w:rPr>
                      <w:rFonts w:eastAsiaTheme="minorEastAsia"/>
                      <w:bCs/>
                      <w:kern w:val="0"/>
                      <w:sz w:val="21"/>
                      <w:szCs w:val="21"/>
                      <w:highlight w:val="none"/>
                      <w:u w:val="single"/>
                    </w:rPr>
                    <w:t>砖</w:t>
                  </w:r>
                </w:p>
              </w:tc>
              <w:tc>
                <w:tcPr>
                  <w:tcW w:w="1070" w:type="pct"/>
                  <w:gridSpan w:val="2"/>
                  <w:vAlign w:val="center"/>
                </w:tcPr>
                <w:p w14:paraId="026BDAC0">
                  <w:pPr>
                    <w:widowControl/>
                    <w:spacing w:line="240" w:lineRule="auto"/>
                    <w:jc w:val="center"/>
                    <w:rPr>
                      <w:rFonts w:hint="default" w:eastAsiaTheme="minorEastAsia"/>
                      <w:bCs/>
                      <w:kern w:val="0"/>
                      <w:sz w:val="21"/>
                      <w:szCs w:val="21"/>
                      <w:highlight w:val="none"/>
                      <w:u w:val="single"/>
                      <w:lang w:val="en-US" w:eastAsia="zh-CN"/>
                    </w:rPr>
                  </w:pPr>
                  <w:r>
                    <w:rPr>
                      <w:rFonts w:hint="eastAsia" w:eastAsiaTheme="minorEastAsia"/>
                      <w:bCs/>
                      <w:kern w:val="0"/>
                      <w:sz w:val="21"/>
                      <w:szCs w:val="21"/>
                      <w:highlight w:val="none"/>
                      <w:u w:val="single"/>
                      <w:lang w:val="en-US" w:eastAsia="zh-CN"/>
                    </w:rPr>
                    <w:t>/</w:t>
                  </w:r>
                </w:p>
              </w:tc>
              <w:tc>
                <w:tcPr>
                  <w:tcW w:w="703" w:type="pct"/>
                  <w:vAlign w:val="center"/>
                </w:tcPr>
                <w:p w14:paraId="2F8896ED">
                  <w:pPr>
                    <w:widowControl/>
                    <w:spacing w:line="240" w:lineRule="auto"/>
                    <w:jc w:val="center"/>
                    <w:rPr>
                      <w:rFonts w:eastAsiaTheme="minorEastAsia"/>
                      <w:bCs/>
                      <w:kern w:val="0"/>
                      <w:sz w:val="21"/>
                      <w:szCs w:val="21"/>
                      <w:u w:val="single"/>
                    </w:rPr>
                  </w:pPr>
                  <w:r>
                    <w:rPr>
                      <w:rFonts w:hint="eastAsia" w:eastAsiaTheme="minorEastAsia"/>
                      <w:bCs/>
                      <w:kern w:val="0"/>
                      <w:sz w:val="21"/>
                      <w:szCs w:val="21"/>
                      <w:u w:val="single"/>
                      <w:lang w:val="en-US" w:eastAsia="zh-CN"/>
                    </w:rPr>
                    <w:t>9200</w:t>
                  </w:r>
                  <w:r>
                    <w:rPr>
                      <w:rFonts w:hint="eastAsia" w:eastAsiaTheme="minorEastAsia"/>
                      <w:bCs/>
                      <w:kern w:val="0"/>
                      <w:sz w:val="21"/>
                      <w:szCs w:val="21"/>
                      <w:highlight w:val="none"/>
                      <w:u w:val="single"/>
                      <w:lang w:eastAsia="zh-CN"/>
                    </w:rPr>
                    <w:t>块</w:t>
                  </w:r>
                  <w:r>
                    <w:rPr>
                      <w:rFonts w:eastAsiaTheme="minorEastAsia"/>
                      <w:bCs/>
                      <w:kern w:val="0"/>
                      <w:sz w:val="21"/>
                      <w:szCs w:val="21"/>
                      <w:u w:val="single"/>
                    </w:rPr>
                    <w:t>(</w:t>
                  </w:r>
                  <w:r>
                    <w:rPr>
                      <w:rFonts w:hint="eastAsia" w:eastAsiaTheme="minorEastAsia"/>
                      <w:bCs/>
                      <w:kern w:val="0"/>
                      <w:sz w:val="21"/>
                      <w:szCs w:val="21"/>
                      <w:u w:val="single"/>
                      <w:lang w:val="en-US" w:eastAsia="zh-CN"/>
                    </w:rPr>
                    <w:t>460</w:t>
                  </w:r>
                  <w:r>
                    <w:rPr>
                      <w:rFonts w:eastAsiaTheme="minorEastAsia"/>
                      <w:bCs/>
                      <w:kern w:val="0"/>
                      <w:sz w:val="21"/>
                      <w:szCs w:val="21"/>
                      <w:u w:val="single"/>
                    </w:rPr>
                    <w:t>m³）</w:t>
                  </w:r>
                </w:p>
              </w:tc>
              <w:tc>
                <w:tcPr>
                  <w:tcW w:w="633" w:type="pct"/>
                  <w:vMerge w:val="continue"/>
                  <w:vAlign w:val="center"/>
                </w:tcPr>
                <w:p w14:paraId="343C1687">
                  <w:pPr>
                    <w:widowControl/>
                    <w:spacing w:line="240" w:lineRule="auto"/>
                    <w:jc w:val="center"/>
                    <w:rPr>
                      <w:rFonts w:eastAsiaTheme="minorEastAsia"/>
                      <w:bCs/>
                      <w:kern w:val="0"/>
                      <w:sz w:val="21"/>
                      <w:szCs w:val="21"/>
                      <w:u w:val="single"/>
                    </w:rPr>
                  </w:pPr>
                </w:p>
              </w:tc>
              <w:tc>
                <w:tcPr>
                  <w:tcW w:w="912" w:type="pct"/>
                  <w:vAlign w:val="center"/>
                </w:tcPr>
                <w:p w14:paraId="6CCE32CA">
                  <w:pPr>
                    <w:widowControl/>
                    <w:spacing w:line="240" w:lineRule="auto"/>
                    <w:jc w:val="center"/>
                    <w:rPr>
                      <w:rFonts w:eastAsiaTheme="minorEastAsia"/>
                      <w:bCs/>
                      <w:sz w:val="21"/>
                      <w:szCs w:val="21"/>
                      <w:u w:val="single"/>
                    </w:rPr>
                  </w:pPr>
                  <w:r>
                    <w:rPr>
                      <w:rFonts w:eastAsiaTheme="minorEastAsia"/>
                      <w:sz w:val="21"/>
                      <w:szCs w:val="21"/>
                      <w:u w:val="single"/>
                    </w:rPr>
                    <w:t>0.39x0.15x0.08</w:t>
                  </w:r>
                </w:p>
              </w:tc>
              <w:tc>
                <w:tcPr>
                  <w:tcW w:w="678" w:type="pct"/>
                  <w:vMerge w:val="continue"/>
                  <w:vAlign w:val="center"/>
                </w:tcPr>
                <w:p w14:paraId="23010320">
                  <w:pPr>
                    <w:widowControl/>
                    <w:spacing w:line="240" w:lineRule="auto"/>
                    <w:jc w:val="center"/>
                    <w:rPr>
                      <w:bCs/>
                      <w:sz w:val="21"/>
                      <w:szCs w:val="21"/>
                      <w:highlight w:val="yellow"/>
                      <w:u w:val="single"/>
                    </w:rPr>
                  </w:pPr>
                </w:p>
              </w:tc>
            </w:tr>
          </w:tbl>
          <w:p w14:paraId="6719027A">
            <w:pPr>
              <w:pStyle w:val="30"/>
              <w:numPr>
                <w:ilvl w:val="1"/>
                <w:numId w:val="0"/>
              </w:numPr>
              <w:ind w:left="0"/>
              <w:rPr>
                <w:rFonts w:hint="default" w:eastAsiaTheme="minorEastAsia"/>
                <w:b/>
                <w:bCs/>
                <w:kern w:val="0"/>
                <w:sz w:val="21"/>
                <w:szCs w:val="21"/>
                <w:lang w:eastAsia="zh-CN"/>
              </w:rPr>
            </w:pPr>
            <w:bookmarkStart w:id="21" w:name="_Toc9646"/>
            <w:bookmarkStart w:id="22" w:name="_Toc68160353"/>
            <w:r>
              <w:rPr>
                <w:rFonts w:hint="default" w:eastAsiaTheme="minorEastAsia"/>
                <w:b/>
                <w:bCs/>
                <w:kern w:val="0"/>
                <w:sz w:val="21"/>
                <w:szCs w:val="21"/>
                <w:lang w:eastAsia="zh-CN"/>
              </w:rPr>
              <w:t>注：</w:t>
            </w:r>
            <w:r>
              <w:rPr>
                <w:rFonts w:hint="default" w:ascii="Times New Roman" w:hAnsi="Times New Roman" w:cs="Times New Roman" w:eastAsiaTheme="minorEastAsia"/>
                <w:bCs/>
                <w:kern w:val="0"/>
                <w:sz w:val="21"/>
                <w:szCs w:val="21"/>
                <w:u w:val="none"/>
                <w:lang w:val="en-US" w:eastAsia="zh-CN" w:bidi="ar-SA"/>
              </w:rPr>
              <w:t>透水砖、路面砖</w:t>
            </w:r>
            <w:r>
              <w:rPr>
                <w:rFonts w:hint="default" w:eastAsiaTheme="minorEastAsia"/>
                <w:b/>
                <w:bCs/>
                <w:kern w:val="0"/>
                <w:sz w:val="21"/>
                <w:szCs w:val="21"/>
                <w:lang w:eastAsia="zh-CN"/>
              </w:rPr>
              <w:t>生产的颜色根据市场需求定</w:t>
            </w:r>
            <w:r>
              <w:rPr>
                <w:rFonts w:hint="eastAsia" w:eastAsiaTheme="minorEastAsia"/>
                <w:b/>
                <w:bCs/>
                <w:kern w:val="0"/>
                <w:sz w:val="21"/>
                <w:szCs w:val="21"/>
                <w:lang w:eastAsia="zh-CN"/>
              </w:rPr>
              <w:t>，项目改扩建后部分墓碑生产时需打蜡</w:t>
            </w:r>
            <w:r>
              <w:rPr>
                <w:rFonts w:hint="default" w:eastAsiaTheme="minorEastAsia"/>
                <w:b/>
                <w:bCs/>
                <w:kern w:val="0"/>
                <w:sz w:val="21"/>
                <w:szCs w:val="21"/>
                <w:lang w:eastAsia="zh-CN"/>
              </w:rPr>
              <w:t>。</w:t>
            </w:r>
          </w:p>
          <w:p w14:paraId="118363A5">
            <w:pPr>
              <w:pStyle w:val="30"/>
              <w:numPr>
                <w:ilvl w:val="1"/>
                <w:numId w:val="0"/>
              </w:numPr>
              <w:ind w:left="284"/>
            </w:pPr>
            <w:r>
              <w:t>2.4项目主要设备及原辅材料消耗</w:t>
            </w:r>
            <w:bookmarkEnd w:id="21"/>
            <w:bookmarkEnd w:id="22"/>
          </w:p>
          <w:p w14:paraId="7D01CB05">
            <w:pPr>
              <w:adjustRightInd w:val="0"/>
              <w:snapToGrid w:val="0"/>
              <w:ind w:firstLine="480" w:firstLineChars="200"/>
            </w:pPr>
            <w:r>
              <w:t>根据建设方提供的资料，项目</w:t>
            </w:r>
            <w:r>
              <w:rPr>
                <w:rFonts w:hint="eastAsia"/>
                <w:bCs/>
                <w:lang w:eastAsia="zh-CN"/>
              </w:rPr>
              <w:t>改</w:t>
            </w:r>
            <w:r>
              <w:rPr>
                <w:rFonts w:hint="eastAsia"/>
                <w:lang w:eastAsia="zh-CN"/>
              </w:rPr>
              <w:t>扩建前后</w:t>
            </w:r>
            <w:r>
              <w:t>主要设备见表2-3，项目</w:t>
            </w:r>
            <w:r>
              <w:rPr>
                <w:rFonts w:hint="eastAsia"/>
                <w:bCs/>
                <w:lang w:eastAsia="zh-CN"/>
              </w:rPr>
              <w:t>改</w:t>
            </w:r>
            <w:r>
              <w:rPr>
                <w:rFonts w:hint="eastAsia"/>
                <w:lang w:eastAsia="zh-CN"/>
              </w:rPr>
              <w:t>扩建前后</w:t>
            </w:r>
            <w:r>
              <w:t>原辅材料消耗见表2-4。</w:t>
            </w:r>
          </w:p>
          <w:p w14:paraId="55F147F9">
            <w:pPr>
              <w:adjustRightInd w:val="0"/>
              <w:snapToGrid w:val="0"/>
              <w:spacing w:line="240" w:lineRule="auto"/>
              <w:jc w:val="center"/>
              <w:rPr>
                <w:b/>
                <w:bCs/>
                <w:sz w:val="21"/>
                <w:szCs w:val="21"/>
              </w:rPr>
            </w:pPr>
            <w:r>
              <w:rPr>
                <w:b/>
                <w:bCs/>
                <w:sz w:val="21"/>
                <w:szCs w:val="21"/>
              </w:rPr>
              <w:t>表2-3 项目</w:t>
            </w:r>
            <w:r>
              <w:rPr>
                <w:rFonts w:hint="eastAsia"/>
                <w:b/>
                <w:bCs/>
                <w:sz w:val="21"/>
                <w:szCs w:val="21"/>
                <w:lang w:eastAsia="zh-CN"/>
              </w:rPr>
              <w:t>改扩建前后</w:t>
            </w:r>
            <w:r>
              <w:rPr>
                <w:b/>
                <w:bCs/>
                <w:sz w:val="21"/>
                <w:szCs w:val="21"/>
              </w:rPr>
              <w:t>主要设备一览表（未使用限制和淘汰技术设备）</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97"/>
              <w:gridCol w:w="667"/>
              <w:gridCol w:w="1173"/>
              <w:gridCol w:w="1990"/>
              <w:gridCol w:w="674"/>
              <w:gridCol w:w="1272"/>
              <w:gridCol w:w="1604"/>
            </w:tblGrid>
            <w:tr w14:paraId="295185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595" w:type="pct"/>
                  <w:shd w:val="clear" w:color="auto" w:fill="auto"/>
                  <w:vAlign w:val="center"/>
                </w:tcPr>
                <w:p w14:paraId="39781A7B">
                  <w:pPr>
                    <w:spacing w:line="240" w:lineRule="auto"/>
                    <w:jc w:val="center"/>
                    <w:rPr>
                      <w:b/>
                      <w:bCs/>
                      <w:sz w:val="21"/>
                      <w:szCs w:val="21"/>
                      <w:u w:val="single"/>
                    </w:rPr>
                  </w:pPr>
                  <w:r>
                    <w:rPr>
                      <w:b/>
                      <w:bCs/>
                      <w:sz w:val="21"/>
                      <w:szCs w:val="21"/>
                      <w:u w:val="single"/>
                    </w:rPr>
                    <w:t>生产线</w:t>
                  </w:r>
                </w:p>
              </w:tc>
              <w:tc>
                <w:tcPr>
                  <w:tcW w:w="398" w:type="pct"/>
                </w:tcPr>
                <w:p w14:paraId="644D3812">
                  <w:pPr>
                    <w:spacing w:line="240" w:lineRule="auto"/>
                    <w:jc w:val="center"/>
                    <w:rPr>
                      <w:b/>
                      <w:bCs/>
                      <w:sz w:val="21"/>
                      <w:szCs w:val="21"/>
                      <w:u w:val="single"/>
                    </w:rPr>
                  </w:pPr>
                  <w:r>
                    <w:rPr>
                      <w:b/>
                      <w:bCs/>
                      <w:sz w:val="21"/>
                      <w:szCs w:val="21"/>
                      <w:u w:val="single"/>
                    </w:rPr>
                    <w:t>序号</w:t>
                  </w:r>
                </w:p>
              </w:tc>
              <w:tc>
                <w:tcPr>
                  <w:tcW w:w="700" w:type="pct"/>
                  <w:shd w:val="clear" w:color="auto" w:fill="auto"/>
                  <w:vAlign w:val="center"/>
                </w:tcPr>
                <w:p w14:paraId="33A5BD1A">
                  <w:pPr>
                    <w:spacing w:line="240" w:lineRule="auto"/>
                    <w:jc w:val="center"/>
                    <w:rPr>
                      <w:b/>
                      <w:bCs/>
                      <w:sz w:val="21"/>
                      <w:szCs w:val="21"/>
                      <w:u w:val="single"/>
                    </w:rPr>
                  </w:pPr>
                  <w:r>
                    <w:rPr>
                      <w:b/>
                      <w:bCs/>
                      <w:sz w:val="21"/>
                      <w:szCs w:val="21"/>
                      <w:u w:val="single"/>
                    </w:rPr>
                    <w:t>设备名称</w:t>
                  </w:r>
                </w:p>
              </w:tc>
              <w:tc>
                <w:tcPr>
                  <w:tcW w:w="1187" w:type="pct"/>
                  <w:shd w:val="clear" w:color="auto" w:fill="auto"/>
                  <w:vAlign w:val="center"/>
                </w:tcPr>
                <w:p w14:paraId="4A924B37">
                  <w:pPr>
                    <w:spacing w:line="240" w:lineRule="auto"/>
                    <w:jc w:val="center"/>
                    <w:rPr>
                      <w:b/>
                      <w:bCs/>
                      <w:sz w:val="21"/>
                      <w:szCs w:val="21"/>
                      <w:u w:val="single"/>
                    </w:rPr>
                  </w:pPr>
                  <w:r>
                    <w:rPr>
                      <w:b/>
                      <w:bCs/>
                      <w:sz w:val="21"/>
                      <w:szCs w:val="21"/>
                      <w:u w:val="single"/>
                    </w:rPr>
                    <w:t>型号/生产能力</w:t>
                  </w:r>
                </w:p>
              </w:tc>
              <w:tc>
                <w:tcPr>
                  <w:tcW w:w="402" w:type="pct"/>
                  <w:shd w:val="clear" w:color="auto" w:fill="auto"/>
                  <w:vAlign w:val="center"/>
                </w:tcPr>
                <w:p w14:paraId="7169E673">
                  <w:pPr>
                    <w:spacing w:line="240" w:lineRule="auto"/>
                    <w:jc w:val="center"/>
                    <w:rPr>
                      <w:b/>
                      <w:bCs/>
                      <w:sz w:val="21"/>
                      <w:szCs w:val="21"/>
                      <w:u w:val="single"/>
                    </w:rPr>
                  </w:pPr>
                  <w:r>
                    <w:rPr>
                      <w:b/>
                      <w:bCs/>
                      <w:sz w:val="21"/>
                      <w:szCs w:val="21"/>
                      <w:u w:val="single"/>
                    </w:rPr>
                    <w:t>单位</w:t>
                  </w:r>
                </w:p>
              </w:tc>
              <w:tc>
                <w:tcPr>
                  <w:tcW w:w="759" w:type="pct"/>
                  <w:shd w:val="clear" w:color="auto" w:fill="auto"/>
                  <w:vAlign w:val="center"/>
                </w:tcPr>
                <w:p w14:paraId="7ED8C1D4">
                  <w:pPr>
                    <w:spacing w:line="240" w:lineRule="auto"/>
                    <w:jc w:val="center"/>
                    <w:rPr>
                      <w:rFonts w:hint="eastAsia"/>
                      <w:b/>
                      <w:bCs/>
                      <w:sz w:val="21"/>
                      <w:szCs w:val="21"/>
                      <w:u w:val="single"/>
                    </w:rPr>
                  </w:pPr>
                  <w:r>
                    <w:rPr>
                      <w:rFonts w:hint="eastAsia"/>
                      <w:b/>
                      <w:bCs/>
                      <w:sz w:val="21"/>
                      <w:szCs w:val="21"/>
                      <w:u w:val="single"/>
                      <w:lang w:eastAsia="zh-CN"/>
                    </w:rPr>
                    <w:t>改扩建前</w:t>
                  </w:r>
                  <w:r>
                    <w:rPr>
                      <w:rFonts w:hint="eastAsia"/>
                      <w:b/>
                      <w:bCs/>
                      <w:sz w:val="21"/>
                      <w:szCs w:val="21"/>
                      <w:u w:val="single"/>
                    </w:rPr>
                    <w:t>数量</w:t>
                  </w:r>
                </w:p>
              </w:tc>
              <w:tc>
                <w:tcPr>
                  <w:tcW w:w="956" w:type="pct"/>
                  <w:shd w:val="clear" w:color="auto" w:fill="auto"/>
                  <w:vAlign w:val="center"/>
                </w:tcPr>
                <w:p w14:paraId="656713E9">
                  <w:pPr>
                    <w:spacing w:line="240" w:lineRule="auto"/>
                    <w:jc w:val="center"/>
                    <w:rPr>
                      <w:rFonts w:hint="eastAsia" w:eastAsia="宋体"/>
                      <w:b/>
                      <w:bCs/>
                      <w:sz w:val="21"/>
                      <w:szCs w:val="21"/>
                      <w:u w:val="single"/>
                      <w:lang w:eastAsia="zh-CN"/>
                    </w:rPr>
                  </w:pPr>
                  <w:r>
                    <w:rPr>
                      <w:rFonts w:hint="eastAsia"/>
                      <w:b/>
                      <w:bCs/>
                      <w:sz w:val="21"/>
                      <w:szCs w:val="21"/>
                      <w:u w:val="single"/>
                      <w:lang w:eastAsia="zh-CN"/>
                    </w:rPr>
                    <w:t>改扩建后数量</w:t>
                  </w:r>
                </w:p>
              </w:tc>
            </w:tr>
            <w:tr w14:paraId="692664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595" w:type="pct"/>
                  <w:vMerge w:val="restart"/>
                  <w:shd w:val="clear" w:color="auto" w:fill="auto"/>
                  <w:vAlign w:val="center"/>
                </w:tcPr>
                <w:p w14:paraId="30CD97BB">
                  <w:pPr>
                    <w:spacing w:line="240" w:lineRule="auto"/>
                    <w:jc w:val="center"/>
                    <w:rPr>
                      <w:rFonts w:hint="eastAsia"/>
                      <w:sz w:val="21"/>
                      <w:szCs w:val="21"/>
                      <w:u w:val="single"/>
                    </w:rPr>
                  </w:pPr>
                  <w:r>
                    <w:rPr>
                      <w:rFonts w:hint="eastAsia" w:ascii="Times New Roman" w:hAnsi="Times New Roman" w:eastAsia="宋体" w:cs="Times New Roman"/>
                      <w:bCs w:val="0"/>
                      <w:kern w:val="2"/>
                      <w:sz w:val="21"/>
                      <w:szCs w:val="21"/>
                      <w:u w:val="single"/>
                      <w:lang w:val="en-US" w:eastAsia="zh-CN" w:bidi="ar-SA"/>
                    </w:rPr>
                    <w:t>墓碑及附属产品和其他板材</w:t>
                  </w:r>
                  <w:r>
                    <w:rPr>
                      <w:sz w:val="21"/>
                      <w:szCs w:val="21"/>
                      <w:u w:val="single"/>
                    </w:rPr>
                    <w:t>生产线</w:t>
                  </w:r>
                </w:p>
              </w:tc>
              <w:tc>
                <w:tcPr>
                  <w:tcW w:w="398" w:type="pct"/>
                  <w:vAlign w:val="center"/>
                </w:tcPr>
                <w:p w14:paraId="7956E08F">
                  <w:pPr>
                    <w:spacing w:line="240" w:lineRule="auto"/>
                    <w:jc w:val="center"/>
                    <w:rPr>
                      <w:sz w:val="21"/>
                      <w:szCs w:val="21"/>
                      <w:u w:val="single"/>
                    </w:rPr>
                  </w:pPr>
                  <w:r>
                    <w:rPr>
                      <w:rFonts w:hint="eastAsia"/>
                      <w:sz w:val="21"/>
                      <w:szCs w:val="21"/>
                      <w:u w:val="single"/>
                    </w:rPr>
                    <w:t>1</w:t>
                  </w:r>
                </w:p>
              </w:tc>
              <w:tc>
                <w:tcPr>
                  <w:tcW w:w="700" w:type="pct"/>
                  <w:shd w:val="clear" w:color="auto" w:fill="auto"/>
                  <w:vAlign w:val="center"/>
                </w:tcPr>
                <w:p w14:paraId="16EE990B">
                  <w:pPr>
                    <w:spacing w:line="240" w:lineRule="auto"/>
                    <w:ind w:firstLine="100"/>
                    <w:jc w:val="center"/>
                    <w:rPr>
                      <w:color w:val="0000C7"/>
                      <w:sz w:val="21"/>
                      <w:szCs w:val="21"/>
                      <w:u w:val="single"/>
                    </w:rPr>
                  </w:pPr>
                  <w:r>
                    <w:rPr>
                      <w:rFonts w:hint="eastAsia" w:ascii="宋体" w:hAnsi="宋体" w:cs="宋体"/>
                      <w:bCs/>
                      <w:sz w:val="21"/>
                      <w:szCs w:val="21"/>
                      <w:u w:val="single"/>
                    </w:rPr>
                    <w:t>大切机</w:t>
                  </w:r>
                </w:p>
              </w:tc>
              <w:tc>
                <w:tcPr>
                  <w:tcW w:w="1187" w:type="pct"/>
                  <w:shd w:val="clear" w:color="auto" w:fill="auto"/>
                  <w:vAlign w:val="center"/>
                </w:tcPr>
                <w:p w14:paraId="15A2E772">
                  <w:pPr>
                    <w:spacing w:line="240" w:lineRule="auto"/>
                    <w:jc w:val="center"/>
                    <w:rPr>
                      <w:sz w:val="21"/>
                      <w:szCs w:val="21"/>
                      <w:u w:val="single"/>
                    </w:rPr>
                  </w:pPr>
                  <w:r>
                    <w:rPr>
                      <w:rFonts w:hint="eastAsia"/>
                      <w:sz w:val="21"/>
                      <w:szCs w:val="21"/>
                      <w:u w:val="single"/>
                    </w:rPr>
                    <w:t>/</w:t>
                  </w:r>
                </w:p>
              </w:tc>
              <w:tc>
                <w:tcPr>
                  <w:tcW w:w="402" w:type="pct"/>
                  <w:shd w:val="clear" w:color="auto" w:fill="auto"/>
                  <w:vAlign w:val="center"/>
                </w:tcPr>
                <w:p w14:paraId="127DBC41">
                  <w:pPr>
                    <w:spacing w:line="240" w:lineRule="auto"/>
                    <w:jc w:val="center"/>
                    <w:rPr>
                      <w:sz w:val="21"/>
                      <w:szCs w:val="21"/>
                      <w:u w:val="single"/>
                    </w:rPr>
                  </w:pPr>
                  <w:r>
                    <w:rPr>
                      <w:sz w:val="21"/>
                      <w:szCs w:val="21"/>
                      <w:u w:val="single"/>
                    </w:rPr>
                    <w:t>台</w:t>
                  </w:r>
                </w:p>
              </w:tc>
              <w:tc>
                <w:tcPr>
                  <w:tcW w:w="759" w:type="pct"/>
                  <w:shd w:val="clear" w:color="auto" w:fill="auto"/>
                  <w:vAlign w:val="center"/>
                </w:tcPr>
                <w:p w14:paraId="0DCE833F">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4</w:t>
                  </w:r>
                </w:p>
              </w:tc>
              <w:tc>
                <w:tcPr>
                  <w:tcW w:w="956" w:type="pct"/>
                  <w:shd w:val="clear" w:color="auto" w:fill="auto"/>
                  <w:vAlign w:val="center"/>
                </w:tcPr>
                <w:p w14:paraId="56B28493">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8</w:t>
                  </w:r>
                </w:p>
              </w:tc>
            </w:tr>
            <w:tr w14:paraId="67286F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595" w:type="pct"/>
                  <w:vMerge w:val="continue"/>
                  <w:shd w:val="clear" w:color="auto" w:fill="auto"/>
                  <w:vAlign w:val="center"/>
                </w:tcPr>
                <w:p w14:paraId="2F9C5B9A">
                  <w:pPr>
                    <w:spacing w:line="240" w:lineRule="auto"/>
                    <w:jc w:val="center"/>
                    <w:rPr>
                      <w:color w:val="0000C7"/>
                      <w:sz w:val="21"/>
                      <w:szCs w:val="21"/>
                      <w:u w:val="single"/>
                    </w:rPr>
                  </w:pPr>
                </w:p>
              </w:tc>
              <w:tc>
                <w:tcPr>
                  <w:tcW w:w="398" w:type="pct"/>
                  <w:vAlign w:val="center"/>
                </w:tcPr>
                <w:p w14:paraId="08C36786">
                  <w:pPr>
                    <w:spacing w:line="240" w:lineRule="auto"/>
                    <w:jc w:val="center"/>
                    <w:rPr>
                      <w:sz w:val="21"/>
                      <w:szCs w:val="21"/>
                      <w:u w:val="single"/>
                    </w:rPr>
                  </w:pPr>
                  <w:r>
                    <w:rPr>
                      <w:rFonts w:hint="eastAsia"/>
                      <w:sz w:val="21"/>
                      <w:szCs w:val="21"/>
                      <w:u w:val="single"/>
                    </w:rPr>
                    <w:t>2</w:t>
                  </w:r>
                </w:p>
              </w:tc>
              <w:tc>
                <w:tcPr>
                  <w:tcW w:w="700" w:type="pct"/>
                  <w:shd w:val="clear" w:color="auto" w:fill="auto"/>
                  <w:vAlign w:val="center"/>
                </w:tcPr>
                <w:p w14:paraId="2BDB191D">
                  <w:pPr>
                    <w:spacing w:line="240" w:lineRule="auto"/>
                    <w:ind w:firstLine="100"/>
                    <w:jc w:val="center"/>
                    <w:rPr>
                      <w:color w:val="0000C7"/>
                      <w:sz w:val="21"/>
                      <w:szCs w:val="21"/>
                      <w:u w:val="single"/>
                    </w:rPr>
                  </w:pPr>
                  <w:r>
                    <w:rPr>
                      <w:rFonts w:hint="eastAsia" w:ascii="宋体" w:hAnsi="宋体" w:cs="宋体"/>
                      <w:bCs/>
                      <w:sz w:val="21"/>
                      <w:szCs w:val="21"/>
                      <w:u w:val="single"/>
                    </w:rPr>
                    <w:t>小切机</w:t>
                  </w:r>
                </w:p>
              </w:tc>
              <w:tc>
                <w:tcPr>
                  <w:tcW w:w="1187" w:type="pct"/>
                  <w:shd w:val="clear" w:color="auto" w:fill="auto"/>
                  <w:vAlign w:val="center"/>
                </w:tcPr>
                <w:p w14:paraId="70573765">
                  <w:pPr>
                    <w:spacing w:line="240" w:lineRule="auto"/>
                    <w:jc w:val="center"/>
                    <w:rPr>
                      <w:sz w:val="21"/>
                      <w:szCs w:val="21"/>
                      <w:u w:val="single"/>
                    </w:rPr>
                  </w:pPr>
                  <w:r>
                    <w:rPr>
                      <w:rFonts w:hint="eastAsia"/>
                      <w:sz w:val="21"/>
                      <w:szCs w:val="21"/>
                      <w:u w:val="single"/>
                    </w:rPr>
                    <w:t>/</w:t>
                  </w:r>
                </w:p>
              </w:tc>
              <w:tc>
                <w:tcPr>
                  <w:tcW w:w="402" w:type="pct"/>
                  <w:shd w:val="clear" w:color="auto" w:fill="auto"/>
                  <w:vAlign w:val="center"/>
                </w:tcPr>
                <w:p w14:paraId="0A0ED8E6">
                  <w:pPr>
                    <w:spacing w:line="240" w:lineRule="auto"/>
                    <w:jc w:val="center"/>
                    <w:rPr>
                      <w:sz w:val="21"/>
                      <w:szCs w:val="21"/>
                      <w:u w:val="single"/>
                    </w:rPr>
                  </w:pPr>
                  <w:r>
                    <w:rPr>
                      <w:sz w:val="21"/>
                      <w:szCs w:val="21"/>
                      <w:u w:val="single"/>
                    </w:rPr>
                    <w:t>台</w:t>
                  </w:r>
                </w:p>
              </w:tc>
              <w:tc>
                <w:tcPr>
                  <w:tcW w:w="759" w:type="pct"/>
                  <w:shd w:val="clear" w:color="auto" w:fill="auto"/>
                  <w:vAlign w:val="center"/>
                </w:tcPr>
                <w:p w14:paraId="72F7B863">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4</w:t>
                  </w:r>
                </w:p>
              </w:tc>
              <w:tc>
                <w:tcPr>
                  <w:tcW w:w="956" w:type="pct"/>
                  <w:shd w:val="clear" w:color="auto" w:fill="auto"/>
                  <w:vAlign w:val="center"/>
                </w:tcPr>
                <w:p w14:paraId="32637EE5">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8</w:t>
                  </w:r>
                </w:p>
              </w:tc>
            </w:tr>
            <w:tr w14:paraId="3E092C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595" w:type="pct"/>
                  <w:vMerge w:val="continue"/>
                  <w:shd w:val="clear" w:color="auto" w:fill="auto"/>
                  <w:vAlign w:val="center"/>
                </w:tcPr>
                <w:p w14:paraId="5E600C2B">
                  <w:pPr>
                    <w:spacing w:line="240" w:lineRule="auto"/>
                    <w:jc w:val="center"/>
                    <w:rPr>
                      <w:color w:val="0000C7"/>
                      <w:sz w:val="21"/>
                      <w:szCs w:val="21"/>
                      <w:u w:val="single"/>
                    </w:rPr>
                  </w:pPr>
                </w:p>
              </w:tc>
              <w:tc>
                <w:tcPr>
                  <w:tcW w:w="398" w:type="pct"/>
                  <w:vAlign w:val="center"/>
                </w:tcPr>
                <w:p w14:paraId="4367B2EE">
                  <w:pPr>
                    <w:spacing w:line="240" w:lineRule="auto"/>
                    <w:jc w:val="center"/>
                    <w:rPr>
                      <w:sz w:val="21"/>
                      <w:szCs w:val="21"/>
                      <w:u w:val="single"/>
                    </w:rPr>
                  </w:pPr>
                  <w:r>
                    <w:rPr>
                      <w:rFonts w:hint="eastAsia"/>
                      <w:sz w:val="21"/>
                      <w:szCs w:val="21"/>
                      <w:u w:val="single"/>
                    </w:rPr>
                    <w:t>3</w:t>
                  </w:r>
                </w:p>
              </w:tc>
              <w:tc>
                <w:tcPr>
                  <w:tcW w:w="700" w:type="pct"/>
                  <w:shd w:val="clear" w:color="auto" w:fill="auto"/>
                  <w:vAlign w:val="center"/>
                </w:tcPr>
                <w:p w14:paraId="234355ED">
                  <w:pPr>
                    <w:spacing w:line="240" w:lineRule="auto"/>
                    <w:ind w:firstLine="100"/>
                    <w:jc w:val="center"/>
                    <w:rPr>
                      <w:color w:val="0000C7"/>
                      <w:sz w:val="21"/>
                      <w:szCs w:val="21"/>
                      <w:u w:val="single"/>
                    </w:rPr>
                  </w:pPr>
                  <w:r>
                    <w:rPr>
                      <w:rFonts w:hint="eastAsia" w:ascii="宋体" w:hAnsi="宋体" w:cs="宋体"/>
                      <w:bCs/>
                      <w:sz w:val="21"/>
                      <w:szCs w:val="21"/>
                      <w:u w:val="single"/>
                    </w:rPr>
                    <w:t>浮雕机</w:t>
                  </w:r>
                </w:p>
              </w:tc>
              <w:tc>
                <w:tcPr>
                  <w:tcW w:w="1187" w:type="pct"/>
                  <w:shd w:val="clear" w:color="auto" w:fill="auto"/>
                  <w:vAlign w:val="center"/>
                </w:tcPr>
                <w:p w14:paraId="5F1D03F4">
                  <w:pPr>
                    <w:spacing w:line="240" w:lineRule="auto"/>
                    <w:jc w:val="center"/>
                    <w:rPr>
                      <w:sz w:val="21"/>
                      <w:szCs w:val="21"/>
                      <w:u w:val="single"/>
                    </w:rPr>
                  </w:pPr>
                  <w:r>
                    <w:rPr>
                      <w:rFonts w:hint="eastAsia"/>
                      <w:sz w:val="21"/>
                      <w:szCs w:val="21"/>
                      <w:u w:val="single"/>
                    </w:rPr>
                    <w:t>8米</w:t>
                  </w:r>
                </w:p>
              </w:tc>
              <w:tc>
                <w:tcPr>
                  <w:tcW w:w="402" w:type="pct"/>
                  <w:shd w:val="clear" w:color="auto" w:fill="auto"/>
                  <w:vAlign w:val="center"/>
                </w:tcPr>
                <w:p w14:paraId="4E1B528C">
                  <w:pPr>
                    <w:spacing w:line="240" w:lineRule="auto"/>
                    <w:jc w:val="center"/>
                    <w:rPr>
                      <w:sz w:val="21"/>
                      <w:szCs w:val="21"/>
                      <w:u w:val="single"/>
                    </w:rPr>
                  </w:pPr>
                  <w:r>
                    <w:rPr>
                      <w:sz w:val="21"/>
                      <w:szCs w:val="21"/>
                      <w:u w:val="single"/>
                    </w:rPr>
                    <w:t>台</w:t>
                  </w:r>
                </w:p>
              </w:tc>
              <w:tc>
                <w:tcPr>
                  <w:tcW w:w="759" w:type="pct"/>
                  <w:shd w:val="clear" w:color="auto" w:fill="auto"/>
                  <w:vAlign w:val="center"/>
                </w:tcPr>
                <w:p w14:paraId="0B5B72F1">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1</w:t>
                  </w:r>
                </w:p>
              </w:tc>
              <w:tc>
                <w:tcPr>
                  <w:tcW w:w="956" w:type="pct"/>
                  <w:shd w:val="clear" w:color="auto" w:fill="auto"/>
                  <w:vAlign w:val="center"/>
                </w:tcPr>
                <w:p w14:paraId="23155876">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2</w:t>
                  </w:r>
                </w:p>
              </w:tc>
            </w:tr>
            <w:tr w14:paraId="06E520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595" w:type="pct"/>
                  <w:vMerge w:val="continue"/>
                  <w:shd w:val="clear" w:color="auto" w:fill="auto"/>
                  <w:vAlign w:val="center"/>
                </w:tcPr>
                <w:p w14:paraId="13BEB564">
                  <w:pPr>
                    <w:spacing w:line="240" w:lineRule="auto"/>
                    <w:jc w:val="center"/>
                    <w:rPr>
                      <w:color w:val="0000C7"/>
                      <w:sz w:val="21"/>
                      <w:szCs w:val="21"/>
                      <w:u w:val="single"/>
                    </w:rPr>
                  </w:pPr>
                </w:p>
              </w:tc>
              <w:tc>
                <w:tcPr>
                  <w:tcW w:w="398" w:type="pct"/>
                  <w:vAlign w:val="center"/>
                </w:tcPr>
                <w:p w14:paraId="14064320">
                  <w:pPr>
                    <w:spacing w:line="240" w:lineRule="auto"/>
                    <w:jc w:val="center"/>
                    <w:rPr>
                      <w:sz w:val="21"/>
                      <w:szCs w:val="21"/>
                      <w:u w:val="single"/>
                    </w:rPr>
                  </w:pPr>
                  <w:r>
                    <w:rPr>
                      <w:rFonts w:hint="eastAsia"/>
                      <w:sz w:val="21"/>
                      <w:szCs w:val="21"/>
                      <w:u w:val="single"/>
                    </w:rPr>
                    <w:t>4</w:t>
                  </w:r>
                </w:p>
              </w:tc>
              <w:tc>
                <w:tcPr>
                  <w:tcW w:w="700" w:type="pct"/>
                  <w:shd w:val="clear" w:color="auto" w:fill="auto"/>
                  <w:vAlign w:val="center"/>
                </w:tcPr>
                <w:p w14:paraId="25A0FF33">
                  <w:pPr>
                    <w:spacing w:line="240" w:lineRule="auto"/>
                    <w:ind w:firstLine="100"/>
                    <w:jc w:val="center"/>
                    <w:rPr>
                      <w:color w:val="0000C7"/>
                      <w:sz w:val="21"/>
                      <w:szCs w:val="21"/>
                      <w:u w:val="single"/>
                    </w:rPr>
                  </w:pPr>
                  <w:r>
                    <w:rPr>
                      <w:rFonts w:hint="eastAsia" w:ascii="宋体" w:hAnsi="宋体" w:cs="宋体"/>
                      <w:bCs/>
                      <w:sz w:val="21"/>
                      <w:szCs w:val="21"/>
                      <w:u w:val="single"/>
                    </w:rPr>
                    <w:t>平雕机</w:t>
                  </w:r>
                </w:p>
              </w:tc>
              <w:tc>
                <w:tcPr>
                  <w:tcW w:w="1187" w:type="pct"/>
                  <w:shd w:val="clear" w:color="auto" w:fill="auto"/>
                  <w:vAlign w:val="center"/>
                </w:tcPr>
                <w:p w14:paraId="55439BDB">
                  <w:pPr>
                    <w:spacing w:line="240" w:lineRule="auto"/>
                    <w:jc w:val="center"/>
                    <w:rPr>
                      <w:sz w:val="21"/>
                      <w:szCs w:val="21"/>
                      <w:u w:val="single"/>
                    </w:rPr>
                  </w:pPr>
                  <w:r>
                    <w:rPr>
                      <w:rFonts w:hint="eastAsia"/>
                      <w:sz w:val="21"/>
                      <w:szCs w:val="21"/>
                      <w:u w:val="single"/>
                    </w:rPr>
                    <w:t>1825</w:t>
                  </w:r>
                </w:p>
              </w:tc>
              <w:tc>
                <w:tcPr>
                  <w:tcW w:w="402" w:type="pct"/>
                  <w:shd w:val="clear" w:color="auto" w:fill="auto"/>
                  <w:vAlign w:val="center"/>
                </w:tcPr>
                <w:p w14:paraId="1B4E28E5">
                  <w:pPr>
                    <w:spacing w:line="240" w:lineRule="auto"/>
                    <w:jc w:val="center"/>
                    <w:rPr>
                      <w:sz w:val="21"/>
                      <w:szCs w:val="21"/>
                      <w:u w:val="single"/>
                    </w:rPr>
                  </w:pPr>
                  <w:r>
                    <w:rPr>
                      <w:rFonts w:hint="eastAsia"/>
                      <w:sz w:val="21"/>
                      <w:szCs w:val="21"/>
                      <w:u w:val="single"/>
                    </w:rPr>
                    <w:t>台</w:t>
                  </w:r>
                </w:p>
              </w:tc>
              <w:tc>
                <w:tcPr>
                  <w:tcW w:w="759" w:type="pct"/>
                  <w:shd w:val="clear" w:color="auto" w:fill="auto"/>
                  <w:vAlign w:val="center"/>
                </w:tcPr>
                <w:p w14:paraId="3FE85B8A">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2</w:t>
                  </w:r>
                </w:p>
              </w:tc>
              <w:tc>
                <w:tcPr>
                  <w:tcW w:w="956" w:type="pct"/>
                  <w:shd w:val="clear" w:color="auto" w:fill="auto"/>
                  <w:vAlign w:val="center"/>
                </w:tcPr>
                <w:p w14:paraId="2029B0A2">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5</w:t>
                  </w:r>
                </w:p>
              </w:tc>
            </w:tr>
            <w:tr w14:paraId="4E61FC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595" w:type="pct"/>
                  <w:vMerge w:val="continue"/>
                  <w:shd w:val="clear" w:color="auto" w:fill="auto"/>
                  <w:vAlign w:val="center"/>
                </w:tcPr>
                <w:p w14:paraId="18F18E3A">
                  <w:pPr>
                    <w:spacing w:line="240" w:lineRule="auto"/>
                    <w:jc w:val="center"/>
                    <w:rPr>
                      <w:color w:val="0000C7"/>
                      <w:sz w:val="21"/>
                      <w:szCs w:val="21"/>
                      <w:u w:val="single"/>
                    </w:rPr>
                  </w:pPr>
                </w:p>
              </w:tc>
              <w:tc>
                <w:tcPr>
                  <w:tcW w:w="398" w:type="pct"/>
                  <w:vAlign w:val="center"/>
                </w:tcPr>
                <w:p w14:paraId="630EB379">
                  <w:pPr>
                    <w:spacing w:line="240" w:lineRule="auto"/>
                    <w:jc w:val="center"/>
                    <w:rPr>
                      <w:sz w:val="21"/>
                      <w:szCs w:val="21"/>
                      <w:u w:val="single"/>
                    </w:rPr>
                  </w:pPr>
                  <w:r>
                    <w:rPr>
                      <w:rFonts w:hint="eastAsia"/>
                      <w:sz w:val="21"/>
                      <w:szCs w:val="21"/>
                      <w:u w:val="single"/>
                    </w:rPr>
                    <w:t>5</w:t>
                  </w:r>
                </w:p>
              </w:tc>
              <w:tc>
                <w:tcPr>
                  <w:tcW w:w="700" w:type="pct"/>
                  <w:shd w:val="clear" w:color="auto" w:fill="auto"/>
                  <w:vAlign w:val="center"/>
                </w:tcPr>
                <w:p w14:paraId="05862B40">
                  <w:pPr>
                    <w:spacing w:line="240" w:lineRule="auto"/>
                    <w:jc w:val="center"/>
                    <w:rPr>
                      <w:sz w:val="21"/>
                      <w:szCs w:val="21"/>
                      <w:u w:val="single"/>
                    </w:rPr>
                  </w:pPr>
                  <w:r>
                    <w:rPr>
                      <w:rFonts w:hint="eastAsia" w:ascii="宋体" w:hAnsi="宋体" w:cs="宋体"/>
                      <w:bCs/>
                      <w:sz w:val="21"/>
                      <w:szCs w:val="21"/>
                      <w:u w:val="single"/>
                      <w:lang w:eastAsia="zh-CN"/>
                    </w:rPr>
                    <w:t>磨光</w:t>
                  </w:r>
                  <w:r>
                    <w:rPr>
                      <w:rFonts w:hint="eastAsia" w:ascii="宋体" w:hAnsi="宋体" w:cs="宋体"/>
                      <w:bCs/>
                      <w:sz w:val="21"/>
                      <w:szCs w:val="21"/>
                      <w:u w:val="single"/>
                    </w:rPr>
                    <w:t>机</w:t>
                  </w:r>
                </w:p>
              </w:tc>
              <w:tc>
                <w:tcPr>
                  <w:tcW w:w="1187" w:type="pct"/>
                  <w:shd w:val="clear" w:color="auto" w:fill="auto"/>
                  <w:vAlign w:val="center"/>
                </w:tcPr>
                <w:p w14:paraId="20FEF056">
                  <w:pPr>
                    <w:spacing w:line="240" w:lineRule="auto"/>
                    <w:jc w:val="center"/>
                    <w:rPr>
                      <w:sz w:val="21"/>
                      <w:szCs w:val="21"/>
                      <w:u w:val="single"/>
                    </w:rPr>
                  </w:pPr>
                  <w:r>
                    <w:rPr>
                      <w:rFonts w:hint="eastAsia"/>
                      <w:sz w:val="21"/>
                      <w:szCs w:val="21"/>
                      <w:u w:val="single"/>
                    </w:rPr>
                    <w:t>/</w:t>
                  </w:r>
                </w:p>
              </w:tc>
              <w:tc>
                <w:tcPr>
                  <w:tcW w:w="402" w:type="pct"/>
                  <w:shd w:val="clear" w:color="auto" w:fill="auto"/>
                  <w:vAlign w:val="center"/>
                </w:tcPr>
                <w:p w14:paraId="226FC218">
                  <w:pPr>
                    <w:spacing w:line="240" w:lineRule="auto"/>
                    <w:jc w:val="center"/>
                    <w:rPr>
                      <w:sz w:val="21"/>
                      <w:szCs w:val="21"/>
                      <w:u w:val="single"/>
                    </w:rPr>
                  </w:pPr>
                  <w:r>
                    <w:rPr>
                      <w:sz w:val="21"/>
                      <w:szCs w:val="21"/>
                      <w:u w:val="single"/>
                    </w:rPr>
                    <w:t>台</w:t>
                  </w:r>
                </w:p>
              </w:tc>
              <w:tc>
                <w:tcPr>
                  <w:tcW w:w="759" w:type="pct"/>
                  <w:shd w:val="clear" w:color="auto" w:fill="auto"/>
                  <w:vAlign w:val="center"/>
                </w:tcPr>
                <w:p w14:paraId="6C0DC098">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1</w:t>
                  </w:r>
                </w:p>
              </w:tc>
              <w:tc>
                <w:tcPr>
                  <w:tcW w:w="956" w:type="pct"/>
                  <w:shd w:val="clear" w:color="auto" w:fill="auto"/>
                  <w:vAlign w:val="center"/>
                </w:tcPr>
                <w:p w14:paraId="0DE6B3F3">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2</w:t>
                  </w:r>
                </w:p>
              </w:tc>
            </w:tr>
            <w:tr w14:paraId="0B02DE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 w:hRule="atLeast"/>
                <w:jc w:val="center"/>
              </w:trPr>
              <w:tc>
                <w:tcPr>
                  <w:tcW w:w="595" w:type="pct"/>
                  <w:vMerge w:val="continue"/>
                  <w:shd w:val="clear" w:color="auto" w:fill="auto"/>
                  <w:vAlign w:val="center"/>
                </w:tcPr>
                <w:p w14:paraId="7F43FC46">
                  <w:pPr>
                    <w:spacing w:line="240" w:lineRule="auto"/>
                    <w:jc w:val="center"/>
                    <w:rPr>
                      <w:sz w:val="21"/>
                      <w:szCs w:val="21"/>
                      <w:u w:val="single"/>
                    </w:rPr>
                  </w:pPr>
                </w:p>
              </w:tc>
              <w:tc>
                <w:tcPr>
                  <w:tcW w:w="398" w:type="pct"/>
                  <w:vAlign w:val="center"/>
                </w:tcPr>
                <w:p w14:paraId="67DF7A1A">
                  <w:pPr>
                    <w:spacing w:line="240" w:lineRule="auto"/>
                    <w:jc w:val="center"/>
                    <w:rPr>
                      <w:sz w:val="21"/>
                      <w:szCs w:val="21"/>
                      <w:u w:val="single"/>
                    </w:rPr>
                  </w:pPr>
                  <w:r>
                    <w:rPr>
                      <w:rFonts w:hint="eastAsia"/>
                      <w:sz w:val="21"/>
                      <w:szCs w:val="21"/>
                      <w:u w:val="single"/>
                    </w:rPr>
                    <w:t>6</w:t>
                  </w:r>
                </w:p>
              </w:tc>
              <w:tc>
                <w:tcPr>
                  <w:tcW w:w="700" w:type="pct"/>
                  <w:shd w:val="clear" w:color="auto" w:fill="auto"/>
                  <w:vAlign w:val="center"/>
                </w:tcPr>
                <w:p w14:paraId="04CE6680">
                  <w:pPr>
                    <w:spacing w:line="240" w:lineRule="auto"/>
                    <w:jc w:val="center"/>
                    <w:rPr>
                      <w:sz w:val="21"/>
                      <w:szCs w:val="21"/>
                      <w:u w:val="single"/>
                    </w:rPr>
                  </w:pPr>
                  <w:r>
                    <w:rPr>
                      <w:rFonts w:hint="eastAsia"/>
                      <w:sz w:val="21"/>
                      <w:szCs w:val="21"/>
                      <w:u w:val="single"/>
                    </w:rPr>
                    <w:t>行吊</w:t>
                  </w:r>
                </w:p>
              </w:tc>
              <w:tc>
                <w:tcPr>
                  <w:tcW w:w="1187" w:type="pct"/>
                  <w:shd w:val="clear" w:color="auto" w:fill="auto"/>
                  <w:vAlign w:val="center"/>
                </w:tcPr>
                <w:p w14:paraId="19A02752">
                  <w:pPr>
                    <w:spacing w:line="240" w:lineRule="auto"/>
                    <w:jc w:val="center"/>
                    <w:rPr>
                      <w:sz w:val="21"/>
                      <w:szCs w:val="21"/>
                      <w:u w:val="single"/>
                    </w:rPr>
                  </w:pPr>
                  <w:r>
                    <w:rPr>
                      <w:rFonts w:hint="eastAsia"/>
                      <w:sz w:val="21"/>
                      <w:szCs w:val="21"/>
                      <w:u w:val="single"/>
                    </w:rPr>
                    <w:t>Mh6h10t-20ma3</w:t>
                  </w:r>
                </w:p>
              </w:tc>
              <w:tc>
                <w:tcPr>
                  <w:tcW w:w="402" w:type="pct"/>
                  <w:shd w:val="clear" w:color="auto" w:fill="auto"/>
                  <w:vAlign w:val="center"/>
                </w:tcPr>
                <w:p w14:paraId="628F03FC">
                  <w:pPr>
                    <w:spacing w:line="240" w:lineRule="auto"/>
                    <w:jc w:val="center"/>
                    <w:rPr>
                      <w:sz w:val="21"/>
                      <w:szCs w:val="21"/>
                      <w:u w:val="single"/>
                    </w:rPr>
                  </w:pPr>
                  <w:r>
                    <w:rPr>
                      <w:sz w:val="21"/>
                      <w:szCs w:val="21"/>
                      <w:u w:val="single"/>
                    </w:rPr>
                    <w:t>台</w:t>
                  </w:r>
                </w:p>
              </w:tc>
              <w:tc>
                <w:tcPr>
                  <w:tcW w:w="759" w:type="pct"/>
                  <w:shd w:val="clear" w:color="auto" w:fill="auto"/>
                  <w:vAlign w:val="center"/>
                </w:tcPr>
                <w:p w14:paraId="490A584D">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8</w:t>
                  </w:r>
                </w:p>
              </w:tc>
              <w:tc>
                <w:tcPr>
                  <w:tcW w:w="956" w:type="pct"/>
                  <w:shd w:val="clear" w:color="auto" w:fill="auto"/>
                  <w:vAlign w:val="center"/>
                </w:tcPr>
                <w:p w14:paraId="1102EE7D">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1</w:t>
                  </w:r>
                  <w:r>
                    <w:rPr>
                      <w:rFonts w:hint="eastAsia"/>
                      <w:sz w:val="21"/>
                      <w:szCs w:val="21"/>
                      <w:u w:val="single"/>
                      <w:lang w:val="en-US" w:eastAsia="zh-CN"/>
                    </w:rPr>
                    <w:t>4</w:t>
                  </w:r>
                </w:p>
              </w:tc>
            </w:tr>
            <w:tr w14:paraId="375A2C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 w:hRule="atLeast"/>
                <w:jc w:val="center"/>
              </w:trPr>
              <w:tc>
                <w:tcPr>
                  <w:tcW w:w="595" w:type="pct"/>
                  <w:vMerge w:val="restart"/>
                  <w:shd w:val="clear" w:color="auto" w:fill="auto"/>
                  <w:vAlign w:val="center"/>
                </w:tcPr>
                <w:p w14:paraId="4819125E">
                  <w:pPr>
                    <w:spacing w:line="240" w:lineRule="auto"/>
                    <w:jc w:val="center"/>
                    <w:rPr>
                      <w:sz w:val="21"/>
                      <w:szCs w:val="21"/>
                      <w:u w:val="single"/>
                    </w:rPr>
                  </w:pPr>
                  <w:r>
                    <w:rPr>
                      <w:rFonts w:hint="eastAsia"/>
                      <w:bCs/>
                      <w:kern w:val="0"/>
                      <w:sz w:val="21"/>
                      <w:szCs w:val="21"/>
                      <w:u w:val="single"/>
                    </w:rPr>
                    <w:t>路沿石</w:t>
                  </w:r>
                  <w:r>
                    <w:rPr>
                      <w:bCs/>
                      <w:kern w:val="0"/>
                      <w:sz w:val="21"/>
                      <w:szCs w:val="21"/>
                      <w:u w:val="single"/>
                    </w:rPr>
                    <w:t>生产线</w:t>
                  </w:r>
                </w:p>
              </w:tc>
              <w:tc>
                <w:tcPr>
                  <w:tcW w:w="398" w:type="pct"/>
                  <w:vAlign w:val="center"/>
                </w:tcPr>
                <w:p w14:paraId="4D6C05CE">
                  <w:pPr>
                    <w:spacing w:line="240" w:lineRule="auto"/>
                    <w:jc w:val="center"/>
                    <w:rPr>
                      <w:sz w:val="21"/>
                      <w:szCs w:val="21"/>
                      <w:u w:val="single"/>
                    </w:rPr>
                  </w:pPr>
                  <w:r>
                    <w:rPr>
                      <w:rFonts w:hint="eastAsia"/>
                      <w:sz w:val="21"/>
                      <w:szCs w:val="21"/>
                      <w:u w:val="single"/>
                    </w:rPr>
                    <w:t>1</w:t>
                  </w:r>
                </w:p>
              </w:tc>
              <w:tc>
                <w:tcPr>
                  <w:tcW w:w="700" w:type="pct"/>
                  <w:shd w:val="clear" w:color="auto" w:fill="auto"/>
                  <w:vAlign w:val="center"/>
                </w:tcPr>
                <w:p w14:paraId="1CB03FD3">
                  <w:pPr>
                    <w:spacing w:line="240" w:lineRule="auto"/>
                    <w:jc w:val="center"/>
                    <w:rPr>
                      <w:sz w:val="21"/>
                      <w:szCs w:val="21"/>
                      <w:u w:val="single"/>
                    </w:rPr>
                  </w:pPr>
                  <w:r>
                    <w:rPr>
                      <w:rFonts w:hint="eastAsia" w:ascii="宋体" w:hAnsi="宋体" w:cs="宋体"/>
                      <w:bCs/>
                      <w:sz w:val="21"/>
                      <w:szCs w:val="21"/>
                      <w:u w:val="single"/>
                    </w:rPr>
                    <w:t>大切机</w:t>
                  </w:r>
                </w:p>
              </w:tc>
              <w:tc>
                <w:tcPr>
                  <w:tcW w:w="1187" w:type="pct"/>
                  <w:shd w:val="clear" w:color="auto" w:fill="auto"/>
                  <w:vAlign w:val="center"/>
                </w:tcPr>
                <w:p w14:paraId="2B66D230">
                  <w:pPr>
                    <w:spacing w:line="240" w:lineRule="auto"/>
                    <w:jc w:val="center"/>
                    <w:rPr>
                      <w:sz w:val="21"/>
                      <w:szCs w:val="21"/>
                      <w:u w:val="single"/>
                    </w:rPr>
                  </w:pPr>
                  <w:r>
                    <w:rPr>
                      <w:rFonts w:hint="eastAsia"/>
                      <w:sz w:val="21"/>
                      <w:szCs w:val="21"/>
                      <w:u w:val="single"/>
                    </w:rPr>
                    <w:t>/</w:t>
                  </w:r>
                </w:p>
              </w:tc>
              <w:tc>
                <w:tcPr>
                  <w:tcW w:w="402" w:type="pct"/>
                  <w:shd w:val="clear" w:color="auto" w:fill="auto"/>
                  <w:vAlign w:val="center"/>
                </w:tcPr>
                <w:p w14:paraId="2EC8C75B">
                  <w:pPr>
                    <w:spacing w:line="240" w:lineRule="auto"/>
                    <w:jc w:val="center"/>
                    <w:rPr>
                      <w:sz w:val="21"/>
                      <w:szCs w:val="21"/>
                      <w:u w:val="single"/>
                    </w:rPr>
                  </w:pPr>
                  <w:r>
                    <w:rPr>
                      <w:sz w:val="21"/>
                      <w:szCs w:val="21"/>
                      <w:u w:val="single"/>
                    </w:rPr>
                    <w:t>台</w:t>
                  </w:r>
                </w:p>
              </w:tc>
              <w:tc>
                <w:tcPr>
                  <w:tcW w:w="759" w:type="pct"/>
                  <w:shd w:val="clear" w:color="auto" w:fill="auto"/>
                  <w:vAlign w:val="center"/>
                </w:tcPr>
                <w:p w14:paraId="5EDBBBC8">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w:t>
                  </w:r>
                </w:p>
              </w:tc>
              <w:tc>
                <w:tcPr>
                  <w:tcW w:w="956" w:type="pct"/>
                  <w:shd w:val="clear" w:color="auto" w:fill="auto"/>
                  <w:vAlign w:val="center"/>
                </w:tcPr>
                <w:p w14:paraId="7C38767B">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2</w:t>
                  </w:r>
                </w:p>
              </w:tc>
            </w:tr>
            <w:tr w14:paraId="4E906A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 w:hRule="atLeast"/>
                <w:jc w:val="center"/>
              </w:trPr>
              <w:tc>
                <w:tcPr>
                  <w:tcW w:w="595" w:type="pct"/>
                  <w:vMerge w:val="continue"/>
                  <w:shd w:val="clear" w:color="auto" w:fill="auto"/>
                  <w:vAlign w:val="center"/>
                </w:tcPr>
                <w:p w14:paraId="16FB6735">
                  <w:pPr>
                    <w:spacing w:line="240" w:lineRule="auto"/>
                    <w:jc w:val="center"/>
                    <w:rPr>
                      <w:bCs/>
                      <w:kern w:val="0"/>
                      <w:sz w:val="21"/>
                      <w:szCs w:val="21"/>
                      <w:u w:val="single"/>
                    </w:rPr>
                  </w:pPr>
                </w:p>
              </w:tc>
              <w:tc>
                <w:tcPr>
                  <w:tcW w:w="398" w:type="pct"/>
                  <w:vAlign w:val="center"/>
                </w:tcPr>
                <w:p w14:paraId="43E53EE9">
                  <w:pPr>
                    <w:spacing w:line="240" w:lineRule="auto"/>
                    <w:jc w:val="center"/>
                    <w:rPr>
                      <w:sz w:val="21"/>
                      <w:szCs w:val="21"/>
                      <w:u w:val="single"/>
                    </w:rPr>
                  </w:pPr>
                  <w:r>
                    <w:rPr>
                      <w:rFonts w:hint="eastAsia"/>
                      <w:sz w:val="21"/>
                      <w:szCs w:val="21"/>
                      <w:u w:val="single"/>
                    </w:rPr>
                    <w:t>2</w:t>
                  </w:r>
                </w:p>
              </w:tc>
              <w:tc>
                <w:tcPr>
                  <w:tcW w:w="700" w:type="pct"/>
                  <w:shd w:val="clear" w:color="auto" w:fill="auto"/>
                  <w:vAlign w:val="center"/>
                </w:tcPr>
                <w:p w14:paraId="28216DB1">
                  <w:pPr>
                    <w:spacing w:line="240" w:lineRule="auto"/>
                    <w:ind w:firstLine="100"/>
                    <w:jc w:val="center"/>
                    <w:rPr>
                      <w:sz w:val="21"/>
                      <w:szCs w:val="21"/>
                      <w:u w:val="single"/>
                    </w:rPr>
                  </w:pPr>
                  <w:r>
                    <w:rPr>
                      <w:rFonts w:hint="eastAsia" w:ascii="宋体" w:hAnsi="宋体" w:cs="宋体"/>
                      <w:bCs/>
                      <w:sz w:val="21"/>
                      <w:szCs w:val="21"/>
                      <w:u w:val="single"/>
                    </w:rPr>
                    <w:t>小切机</w:t>
                  </w:r>
                </w:p>
              </w:tc>
              <w:tc>
                <w:tcPr>
                  <w:tcW w:w="1187" w:type="pct"/>
                  <w:shd w:val="clear" w:color="auto" w:fill="auto"/>
                  <w:vAlign w:val="center"/>
                </w:tcPr>
                <w:p w14:paraId="03D025EA">
                  <w:pPr>
                    <w:spacing w:line="240" w:lineRule="auto"/>
                    <w:jc w:val="center"/>
                    <w:rPr>
                      <w:sz w:val="21"/>
                      <w:szCs w:val="21"/>
                      <w:u w:val="single"/>
                    </w:rPr>
                  </w:pPr>
                  <w:r>
                    <w:rPr>
                      <w:rFonts w:hint="eastAsia"/>
                      <w:sz w:val="21"/>
                      <w:szCs w:val="21"/>
                      <w:u w:val="single"/>
                    </w:rPr>
                    <w:t>/</w:t>
                  </w:r>
                </w:p>
              </w:tc>
              <w:tc>
                <w:tcPr>
                  <w:tcW w:w="402" w:type="pct"/>
                  <w:shd w:val="clear" w:color="auto" w:fill="auto"/>
                  <w:vAlign w:val="center"/>
                </w:tcPr>
                <w:p w14:paraId="17B13F87">
                  <w:pPr>
                    <w:spacing w:line="240" w:lineRule="auto"/>
                    <w:jc w:val="center"/>
                    <w:rPr>
                      <w:sz w:val="21"/>
                      <w:szCs w:val="21"/>
                      <w:u w:val="single"/>
                    </w:rPr>
                  </w:pPr>
                  <w:r>
                    <w:rPr>
                      <w:sz w:val="21"/>
                      <w:szCs w:val="21"/>
                      <w:u w:val="single"/>
                    </w:rPr>
                    <w:t>台</w:t>
                  </w:r>
                </w:p>
              </w:tc>
              <w:tc>
                <w:tcPr>
                  <w:tcW w:w="759" w:type="pct"/>
                  <w:shd w:val="clear" w:color="auto" w:fill="auto"/>
                  <w:vAlign w:val="center"/>
                </w:tcPr>
                <w:p w14:paraId="5DB2AAF6">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w:t>
                  </w:r>
                </w:p>
              </w:tc>
              <w:tc>
                <w:tcPr>
                  <w:tcW w:w="956" w:type="pct"/>
                  <w:shd w:val="clear" w:color="auto" w:fill="auto"/>
                  <w:vAlign w:val="center"/>
                </w:tcPr>
                <w:p w14:paraId="6EE62AEF">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2</w:t>
                  </w:r>
                </w:p>
              </w:tc>
            </w:tr>
            <w:tr w14:paraId="304C22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 w:hRule="atLeast"/>
                <w:jc w:val="center"/>
              </w:trPr>
              <w:tc>
                <w:tcPr>
                  <w:tcW w:w="595" w:type="pct"/>
                  <w:vMerge w:val="restart"/>
                  <w:shd w:val="clear" w:color="auto" w:fill="auto"/>
                  <w:vAlign w:val="center"/>
                </w:tcPr>
                <w:p w14:paraId="6C4894AD">
                  <w:pPr>
                    <w:spacing w:line="240" w:lineRule="auto"/>
                    <w:jc w:val="center"/>
                    <w:rPr>
                      <w:color w:val="0000C7"/>
                      <w:sz w:val="21"/>
                      <w:szCs w:val="21"/>
                      <w:u w:val="single"/>
                    </w:rPr>
                  </w:pPr>
                  <w:r>
                    <w:rPr>
                      <w:rFonts w:hint="eastAsia" w:ascii="Times New Roman" w:hAnsi="Times New Roman" w:eastAsia="宋体" w:cs="Times New Roman"/>
                      <w:bCs/>
                      <w:kern w:val="0"/>
                      <w:sz w:val="21"/>
                      <w:szCs w:val="21"/>
                      <w:u w:val="single"/>
                      <w:lang w:val="en-US" w:eastAsia="zh-CN" w:bidi="ar-SA"/>
                    </w:rPr>
                    <w:t>透水砖、路面砖</w:t>
                  </w:r>
                  <w:r>
                    <w:rPr>
                      <w:rFonts w:hint="eastAsia"/>
                      <w:bCs/>
                      <w:kern w:val="0"/>
                      <w:sz w:val="21"/>
                      <w:szCs w:val="21"/>
                      <w:u w:val="single"/>
                    </w:rPr>
                    <w:t>生产线</w:t>
                  </w:r>
                </w:p>
              </w:tc>
              <w:tc>
                <w:tcPr>
                  <w:tcW w:w="398" w:type="pct"/>
                  <w:vAlign w:val="center"/>
                </w:tcPr>
                <w:p w14:paraId="20CFAC20">
                  <w:pPr>
                    <w:spacing w:line="240" w:lineRule="auto"/>
                    <w:jc w:val="center"/>
                    <w:rPr>
                      <w:sz w:val="21"/>
                      <w:szCs w:val="21"/>
                      <w:u w:val="single"/>
                    </w:rPr>
                  </w:pPr>
                  <w:r>
                    <w:rPr>
                      <w:rFonts w:hint="eastAsia"/>
                      <w:sz w:val="21"/>
                      <w:szCs w:val="21"/>
                      <w:u w:val="single"/>
                    </w:rPr>
                    <w:t>1</w:t>
                  </w:r>
                </w:p>
              </w:tc>
              <w:tc>
                <w:tcPr>
                  <w:tcW w:w="700" w:type="pct"/>
                  <w:shd w:val="clear" w:color="auto" w:fill="auto"/>
                  <w:vAlign w:val="center"/>
                </w:tcPr>
                <w:p w14:paraId="37FA3C37">
                  <w:pPr>
                    <w:spacing w:line="240" w:lineRule="auto"/>
                    <w:jc w:val="center"/>
                    <w:rPr>
                      <w:color w:val="0000C7"/>
                      <w:sz w:val="21"/>
                      <w:szCs w:val="21"/>
                      <w:u w:val="single"/>
                    </w:rPr>
                  </w:pPr>
                  <w:r>
                    <w:rPr>
                      <w:rFonts w:hint="eastAsia" w:hAnsi="宋体" w:cs="宋体"/>
                      <w:bCs/>
                      <w:sz w:val="21"/>
                      <w:szCs w:val="21"/>
                      <w:u w:val="single"/>
                    </w:rPr>
                    <w:t>破碎机</w:t>
                  </w:r>
                </w:p>
              </w:tc>
              <w:tc>
                <w:tcPr>
                  <w:tcW w:w="1187" w:type="pct"/>
                  <w:shd w:val="clear" w:color="auto" w:fill="auto"/>
                  <w:vAlign w:val="center"/>
                </w:tcPr>
                <w:p w14:paraId="5C333DF1">
                  <w:pPr>
                    <w:spacing w:line="240" w:lineRule="auto"/>
                    <w:jc w:val="center"/>
                    <w:rPr>
                      <w:color w:val="0000C7"/>
                      <w:sz w:val="21"/>
                      <w:szCs w:val="21"/>
                      <w:u w:val="single"/>
                    </w:rPr>
                  </w:pPr>
                  <w:r>
                    <w:rPr>
                      <w:rFonts w:hint="eastAsia"/>
                      <w:sz w:val="21"/>
                      <w:szCs w:val="21"/>
                      <w:u w:val="single"/>
                    </w:rPr>
                    <w:t>810</w:t>
                  </w:r>
                </w:p>
              </w:tc>
              <w:tc>
                <w:tcPr>
                  <w:tcW w:w="402" w:type="pct"/>
                  <w:shd w:val="clear" w:color="auto" w:fill="auto"/>
                  <w:vAlign w:val="center"/>
                </w:tcPr>
                <w:p w14:paraId="520ADA10">
                  <w:pPr>
                    <w:spacing w:line="240" w:lineRule="auto"/>
                    <w:jc w:val="center"/>
                    <w:rPr>
                      <w:sz w:val="21"/>
                      <w:szCs w:val="21"/>
                      <w:u w:val="single"/>
                    </w:rPr>
                  </w:pPr>
                  <w:r>
                    <w:rPr>
                      <w:rFonts w:hint="eastAsia"/>
                      <w:sz w:val="21"/>
                      <w:szCs w:val="21"/>
                      <w:u w:val="single"/>
                    </w:rPr>
                    <w:t>套</w:t>
                  </w:r>
                </w:p>
              </w:tc>
              <w:tc>
                <w:tcPr>
                  <w:tcW w:w="759" w:type="pct"/>
                  <w:shd w:val="clear" w:color="auto" w:fill="auto"/>
                  <w:vAlign w:val="center"/>
                </w:tcPr>
                <w:p w14:paraId="23BE0651">
                  <w:pPr>
                    <w:spacing w:line="240" w:lineRule="auto"/>
                    <w:jc w:val="center"/>
                    <w:rPr>
                      <w:rFonts w:hint="eastAsia" w:ascii="Times New Roman" w:hAnsi="Times New Roman" w:eastAsia="宋体" w:cs="Times New Roman"/>
                      <w:color w:val="0000C7"/>
                      <w:kern w:val="2"/>
                      <w:sz w:val="21"/>
                      <w:szCs w:val="21"/>
                      <w:u w:val="single"/>
                      <w:lang w:val="en-US" w:eastAsia="zh-CN" w:bidi="ar-SA"/>
                    </w:rPr>
                  </w:pPr>
                  <w:r>
                    <w:rPr>
                      <w:rFonts w:hint="eastAsia"/>
                      <w:sz w:val="21"/>
                      <w:szCs w:val="21"/>
                      <w:u w:val="single"/>
                      <w:lang w:val="en-US" w:eastAsia="zh-CN"/>
                    </w:rPr>
                    <w:t>0</w:t>
                  </w:r>
                </w:p>
              </w:tc>
              <w:tc>
                <w:tcPr>
                  <w:tcW w:w="956" w:type="pct"/>
                  <w:shd w:val="clear" w:color="auto" w:fill="auto"/>
                  <w:vAlign w:val="center"/>
                </w:tcPr>
                <w:p w14:paraId="44FC9899">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1</w:t>
                  </w:r>
                </w:p>
              </w:tc>
            </w:tr>
            <w:tr w14:paraId="6E0F97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 w:hRule="atLeast"/>
                <w:jc w:val="center"/>
              </w:trPr>
              <w:tc>
                <w:tcPr>
                  <w:tcW w:w="595" w:type="pct"/>
                  <w:vMerge w:val="continue"/>
                  <w:shd w:val="clear" w:color="auto" w:fill="auto"/>
                  <w:vAlign w:val="center"/>
                </w:tcPr>
                <w:p w14:paraId="268429D7">
                  <w:pPr>
                    <w:spacing w:line="240" w:lineRule="auto"/>
                    <w:jc w:val="center"/>
                    <w:rPr>
                      <w:bCs/>
                      <w:kern w:val="0"/>
                      <w:sz w:val="21"/>
                      <w:szCs w:val="21"/>
                      <w:u w:val="single"/>
                    </w:rPr>
                  </w:pPr>
                </w:p>
              </w:tc>
              <w:tc>
                <w:tcPr>
                  <w:tcW w:w="398" w:type="pct"/>
                  <w:vAlign w:val="center"/>
                </w:tcPr>
                <w:p w14:paraId="6A8EDEF7">
                  <w:pPr>
                    <w:spacing w:line="240" w:lineRule="auto"/>
                    <w:jc w:val="center"/>
                    <w:rPr>
                      <w:sz w:val="21"/>
                      <w:szCs w:val="21"/>
                      <w:u w:val="single"/>
                    </w:rPr>
                  </w:pPr>
                  <w:r>
                    <w:rPr>
                      <w:rFonts w:hint="eastAsia"/>
                      <w:sz w:val="21"/>
                      <w:szCs w:val="21"/>
                      <w:u w:val="single"/>
                    </w:rPr>
                    <w:t>2</w:t>
                  </w:r>
                </w:p>
              </w:tc>
              <w:tc>
                <w:tcPr>
                  <w:tcW w:w="700" w:type="pct"/>
                  <w:shd w:val="clear" w:color="auto" w:fill="auto"/>
                  <w:vAlign w:val="center"/>
                </w:tcPr>
                <w:p w14:paraId="4E34580B">
                  <w:pPr>
                    <w:spacing w:line="240" w:lineRule="auto"/>
                    <w:jc w:val="center"/>
                    <w:rPr>
                      <w:rFonts w:hAnsi="宋体" w:cs="宋体"/>
                      <w:bCs/>
                      <w:sz w:val="21"/>
                      <w:szCs w:val="21"/>
                      <w:u w:val="single"/>
                    </w:rPr>
                  </w:pPr>
                  <w:r>
                    <w:rPr>
                      <w:rFonts w:hint="eastAsia" w:hAnsi="宋体" w:cs="宋体"/>
                      <w:bCs/>
                      <w:sz w:val="21"/>
                      <w:szCs w:val="21"/>
                      <w:u w:val="single"/>
                    </w:rPr>
                    <w:t>水泥</w:t>
                  </w:r>
                  <w:r>
                    <w:rPr>
                      <w:rFonts w:hint="eastAsia" w:hAnsi="宋体" w:cs="宋体"/>
                      <w:bCs/>
                      <w:sz w:val="21"/>
                      <w:szCs w:val="21"/>
                      <w:u w:val="single"/>
                      <w:lang w:val="en-US" w:eastAsia="zh-CN"/>
                    </w:rPr>
                    <w:t>筒仓</w:t>
                  </w:r>
                </w:p>
              </w:tc>
              <w:tc>
                <w:tcPr>
                  <w:tcW w:w="1187" w:type="pct"/>
                  <w:shd w:val="clear" w:color="auto" w:fill="auto"/>
                  <w:vAlign w:val="center"/>
                </w:tcPr>
                <w:p w14:paraId="25E02407">
                  <w:pPr>
                    <w:spacing w:line="240" w:lineRule="auto"/>
                    <w:jc w:val="center"/>
                    <w:rPr>
                      <w:rFonts w:hint="default" w:eastAsia="宋体"/>
                      <w:sz w:val="21"/>
                      <w:szCs w:val="21"/>
                      <w:u w:val="single"/>
                      <w:lang w:val="en-US" w:eastAsia="zh-CN"/>
                    </w:rPr>
                  </w:pPr>
                  <w:r>
                    <w:rPr>
                      <w:rFonts w:hint="eastAsia"/>
                      <w:sz w:val="21"/>
                      <w:szCs w:val="21"/>
                      <w:u w:val="single"/>
                      <w:lang w:val="en-US" w:eastAsia="zh-CN"/>
                    </w:rPr>
                    <w:t>12m高</w:t>
                  </w:r>
                </w:p>
              </w:tc>
              <w:tc>
                <w:tcPr>
                  <w:tcW w:w="402" w:type="pct"/>
                  <w:shd w:val="clear" w:color="auto" w:fill="auto"/>
                  <w:vAlign w:val="center"/>
                </w:tcPr>
                <w:p w14:paraId="06D521E1">
                  <w:pPr>
                    <w:spacing w:line="240" w:lineRule="auto"/>
                    <w:jc w:val="center"/>
                    <w:rPr>
                      <w:sz w:val="21"/>
                      <w:szCs w:val="21"/>
                      <w:u w:val="single"/>
                    </w:rPr>
                  </w:pPr>
                  <w:r>
                    <w:rPr>
                      <w:rFonts w:hint="eastAsia"/>
                      <w:sz w:val="21"/>
                      <w:szCs w:val="21"/>
                      <w:u w:val="single"/>
                    </w:rPr>
                    <w:t>个</w:t>
                  </w:r>
                </w:p>
              </w:tc>
              <w:tc>
                <w:tcPr>
                  <w:tcW w:w="759" w:type="pct"/>
                  <w:shd w:val="clear" w:color="auto" w:fill="auto"/>
                  <w:vAlign w:val="center"/>
                </w:tcPr>
                <w:p w14:paraId="7417A930">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w:t>
                  </w:r>
                </w:p>
              </w:tc>
              <w:tc>
                <w:tcPr>
                  <w:tcW w:w="956" w:type="pct"/>
                  <w:shd w:val="clear" w:color="auto" w:fill="auto"/>
                  <w:vAlign w:val="center"/>
                </w:tcPr>
                <w:p w14:paraId="1D1CF32F">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1</w:t>
                  </w:r>
                </w:p>
              </w:tc>
            </w:tr>
            <w:tr w14:paraId="182042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 w:hRule="atLeast"/>
                <w:jc w:val="center"/>
              </w:trPr>
              <w:tc>
                <w:tcPr>
                  <w:tcW w:w="595" w:type="pct"/>
                  <w:vMerge w:val="continue"/>
                  <w:shd w:val="clear" w:color="auto" w:fill="auto"/>
                  <w:vAlign w:val="center"/>
                </w:tcPr>
                <w:p w14:paraId="2D0D3540">
                  <w:pPr>
                    <w:spacing w:line="240" w:lineRule="auto"/>
                    <w:jc w:val="center"/>
                    <w:rPr>
                      <w:bCs/>
                      <w:kern w:val="0"/>
                      <w:sz w:val="21"/>
                      <w:szCs w:val="21"/>
                      <w:u w:val="single"/>
                    </w:rPr>
                  </w:pPr>
                </w:p>
              </w:tc>
              <w:tc>
                <w:tcPr>
                  <w:tcW w:w="398" w:type="pct"/>
                  <w:vAlign w:val="center"/>
                </w:tcPr>
                <w:p w14:paraId="1BA6F1B3">
                  <w:pPr>
                    <w:spacing w:line="240" w:lineRule="auto"/>
                    <w:jc w:val="center"/>
                    <w:rPr>
                      <w:sz w:val="21"/>
                      <w:szCs w:val="21"/>
                      <w:u w:val="single"/>
                    </w:rPr>
                  </w:pPr>
                  <w:r>
                    <w:rPr>
                      <w:rFonts w:hint="eastAsia"/>
                      <w:sz w:val="21"/>
                      <w:szCs w:val="21"/>
                      <w:u w:val="single"/>
                    </w:rPr>
                    <w:t>3</w:t>
                  </w:r>
                </w:p>
              </w:tc>
              <w:tc>
                <w:tcPr>
                  <w:tcW w:w="700" w:type="pct"/>
                  <w:shd w:val="clear" w:color="auto" w:fill="auto"/>
                  <w:vAlign w:val="center"/>
                </w:tcPr>
                <w:p w14:paraId="4DE483B1">
                  <w:pPr>
                    <w:spacing w:line="240" w:lineRule="auto"/>
                    <w:jc w:val="center"/>
                    <w:rPr>
                      <w:rFonts w:hAnsi="宋体" w:cs="宋体"/>
                      <w:bCs/>
                      <w:sz w:val="21"/>
                      <w:szCs w:val="21"/>
                      <w:u w:val="single"/>
                    </w:rPr>
                  </w:pPr>
                  <w:r>
                    <w:rPr>
                      <w:rFonts w:hint="eastAsia" w:hAnsi="宋体" w:cs="宋体"/>
                      <w:bCs/>
                      <w:sz w:val="21"/>
                      <w:szCs w:val="21"/>
                      <w:u w:val="single"/>
                    </w:rPr>
                    <w:t>搅拌机</w:t>
                  </w:r>
                </w:p>
              </w:tc>
              <w:tc>
                <w:tcPr>
                  <w:tcW w:w="1187" w:type="pct"/>
                  <w:shd w:val="clear" w:color="auto" w:fill="auto"/>
                  <w:vAlign w:val="center"/>
                </w:tcPr>
                <w:p w14:paraId="43030F8A">
                  <w:pPr>
                    <w:spacing w:line="240" w:lineRule="auto"/>
                    <w:jc w:val="center"/>
                    <w:rPr>
                      <w:color w:val="0000C7"/>
                      <w:sz w:val="21"/>
                      <w:szCs w:val="21"/>
                      <w:u w:val="single"/>
                    </w:rPr>
                  </w:pPr>
                  <w:r>
                    <w:rPr>
                      <w:rFonts w:hint="eastAsia"/>
                      <w:color w:val="auto"/>
                      <w:sz w:val="21"/>
                      <w:szCs w:val="21"/>
                      <w:u w:val="single"/>
                    </w:rPr>
                    <w:t>/</w:t>
                  </w:r>
                </w:p>
              </w:tc>
              <w:tc>
                <w:tcPr>
                  <w:tcW w:w="402" w:type="pct"/>
                  <w:shd w:val="clear" w:color="auto" w:fill="auto"/>
                  <w:vAlign w:val="center"/>
                </w:tcPr>
                <w:p w14:paraId="36D807A2">
                  <w:pPr>
                    <w:spacing w:line="240" w:lineRule="auto"/>
                    <w:jc w:val="center"/>
                    <w:rPr>
                      <w:sz w:val="21"/>
                      <w:szCs w:val="21"/>
                      <w:u w:val="single"/>
                    </w:rPr>
                  </w:pPr>
                  <w:r>
                    <w:rPr>
                      <w:rFonts w:hint="eastAsia"/>
                      <w:sz w:val="21"/>
                      <w:szCs w:val="21"/>
                      <w:u w:val="single"/>
                    </w:rPr>
                    <w:t>台</w:t>
                  </w:r>
                </w:p>
              </w:tc>
              <w:tc>
                <w:tcPr>
                  <w:tcW w:w="759" w:type="pct"/>
                  <w:shd w:val="clear" w:color="auto" w:fill="auto"/>
                  <w:vAlign w:val="center"/>
                </w:tcPr>
                <w:p w14:paraId="274855FB">
                  <w:pPr>
                    <w:spacing w:line="240" w:lineRule="auto"/>
                    <w:jc w:val="center"/>
                    <w:rPr>
                      <w:rFonts w:hint="eastAsia" w:ascii="Times New Roman" w:hAnsi="Times New Roman" w:eastAsia="宋体" w:cs="Times New Roman"/>
                      <w:color w:val="0000C7"/>
                      <w:kern w:val="2"/>
                      <w:sz w:val="21"/>
                      <w:szCs w:val="21"/>
                      <w:u w:val="single"/>
                      <w:lang w:val="en-US" w:eastAsia="zh-CN" w:bidi="ar-SA"/>
                    </w:rPr>
                  </w:pPr>
                  <w:r>
                    <w:rPr>
                      <w:rFonts w:hint="eastAsia"/>
                      <w:sz w:val="21"/>
                      <w:szCs w:val="21"/>
                      <w:u w:val="single"/>
                      <w:lang w:val="en-US" w:eastAsia="zh-CN"/>
                    </w:rPr>
                    <w:t>0</w:t>
                  </w:r>
                </w:p>
              </w:tc>
              <w:tc>
                <w:tcPr>
                  <w:tcW w:w="956" w:type="pct"/>
                  <w:shd w:val="clear" w:color="auto" w:fill="auto"/>
                  <w:vAlign w:val="center"/>
                </w:tcPr>
                <w:p w14:paraId="61199D2E">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1</w:t>
                  </w:r>
                </w:p>
              </w:tc>
            </w:tr>
            <w:tr w14:paraId="78F207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 w:hRule="atLeast"/>
                <w:jc w:val="center"/>
              </w:trPr>
              <w:tc>
                <w:tcPr>
                  <w:tcW w:w="595" w:type="pct"/>
                  <w:vMerge w:val="continue"/>
                  <w:shd w:val="clear" w:color="auto" w:fill="auto"/>
                  <w:vAlign w:val="center"/>
                </w:tcPr>
                <w:p w14:paraId="0B7E1857">
                  <w:pPr>
                    <w:spacing w:line="240" w:lineRule="auto"/>
                    <w:jc w:val="center"/>
                    <w:rPr>
                      <w:bCs/>
                      <w:kern w:val="0"/>
                      <w:sz w:val="21"/>
                      <w:szCs w:val="21"/>
                      <w:u w:val="single"/>
                    </w:rPr>
                  </w:pPr>
                </w:p>
              </w:tc>
              <w:tc>
                <w:tcPr>
                  <w:tcW w:w="398" w:type="pct"/>
                  <w:vAlign w:val="center"/>
                </w:tcPr>
                <w:p w14:paraId="5D060522">
                  <w:pPr>
                    <w:spacing w:line="240" w:lineRule="auto"/>
                    <w:jc w:val="center"/>
                    <w:rPr>
                      <w:sz w:val="21"/>
                      <w:szCs w:val="21"/>
                      <w:u w:val="single"/>
                    </w:rPr>
                  </w:pPr>
                  <w:r>
                    <w:rPr>
                      <w:rFonts w:hint="eastAsia"/>
                      <w:sz w:val="21"/>
                      <w:szCs w:val="21"/>
                      <w:u w:val="single"/>
                    </w:rPr>
                    <w:t>4</w:t>
                  </w:r>
                </w:p>
              </w:tc>
              <w:tc>
                <w:tcPr>
                  <w:tcW w:w="700" w:type="pct"/>
                  <w:shd w:val="clear" w:color="auto" w:fill="auto"/>
                  <w:vAlign w:val="center"/>
                </w:tcPr>
                <w:p w14:paraId="63A0BBBF">
                  <w:pPr>
                    <w:spacing w:line="240" w:lineRule="auto"/>
                    <w:jc w:val="center"/>
                    <w:rPr>
                      <w:rFonts w:hAnsi="宋体" w:cs="宋体"/>
                      <w:bCs/>
                      <w:sz w:val="21"/>
                      <w:szCs w:val="21"/>
                      <w:u w:val="single"/>
                    </w:rPr>
                  </w:pPr>
                  <w:r>
                    <w:rPr>
                      <w:rFonts w:hint="eastAsia" w:hAnsi="宋体" w:cs="宋体"/>
                      <w:bCs/>
                      <w:sz w:val="21"/>
                      <w:szCs w:val="21"/>
                      <w:u w:val="single"/>
                    </w:rPr>
                    <w:t>颜色搅拌机</w:t>
                  </w:r>
                </w:p>
              </w:tc>
              <w:tc>
                <w:tcPr>
                  <w:tcW w:w="1187" w:type="pct"/>
                  <w:shd w:val="clear" w:color="auto" w:fill="auto"/>
                  <w:vAlign w:val="center"/>
                </w:tcPr>
                <w:p w14:paraId="66344D98">
                  <w:pPr>
                    <w:spacing w:line="240" w:lineRule="auto"/>
                    <w:jc w:val="center"/>
                    <w:rPr>
                      <w:color w:val="0000C7"/>
                      <w:sz w:val="21"/>
                      <w:szCs w:val="21"/>
                      <w:u w:val="single"/>
                    </w:rPr>
                  </w:pPr>
                  <w:r>
                    <w:rPr>
                      <w:rFonts w:hint="eastAsia"/>
                      <w:sz w:val="21"/>
                      <w:szCs w:val="21"/>
                      <w:u w:val="single"/>
                    </w:rPr>
                    <w:t>/</w:t>
                  </w:r>
                </w:p>
              </w:tc>
              <w:tc>
                <w:tcPr>
                  <w:tcW w:w="402" w:type="pct"/>
                  <w:shd w:val="clear" w:color="auto" w:fill="auto"/>
                  <w:vAlign w:val="center"/>
                </w:tcPr>
                <w:p w14:paraId="1C3A1E5E">
                  <w:pPr>
                    <w:spacing w:line="240" w:lineRule="auto"/>
                    <w:jc w:val="center"/>
                    <w:rPr>
                      <w:sz w:val="21"/>
                      <w:szCs w:val="21"/>
                      <w:u w:val="single"/>
                    </w:rPr>
                  </w:pPr>
                  <w:r>
                    <w:rPr>
                      <w:rFonts w:hint="eastAsia"/>
                      <w:sz w:val="21"/>
                      <w:szCs w:val="21"/>
                      <w:u w:val="single"/>
                    </w:rPr>
                    <w:t>台</w:t>
                  </w:r>
                </w:p>
              </w:tc>
              <w:tc>
                <w:tcPr>
                  <w:tcW w:w="759" w:type="pct"/>
                  <w:shd w:val="clear" w:color="auto" w:fill="auto"/>
                  <w:vAlign w:val="center"/>
                </w:tcPr>
                <w:p w14:paraId="674B0672">
                  <w:pPr>
                    <w:spacing w:line="240" w:lineRule="auto"/>
                    <w:jc w:val="center"/>
                    <w:rPr>
                      <w:rFonts w:hint="eastAsia" w:ascii="Times New Roman" w:hAnsi="Times New Roman" w:eastAsia="宋体" w:cs="Times New Roman"/>
                      <w:color w:val="0000C7"/>
                      <w:kern w:val="2"/>
                      <w:sz w:val="21"/>
                      <w:szCs w:val="21"/>
                      <w:u w:val="single"/>
                      <w:lang w:val="en-US" w:eastAsia="zh-CN" w:bidi="ar-SA"/>
                    </w:rPr>
                  </w:pPr>
                  <w:r>
                    <w:rPr>
                      <w:rFonts w:hint="eastAsia"/>
                      <w:sz w:val="21"/>
                      <w:szCs w:val="21"/>
                      <w:u w:val="single"/>
                      <w:lang w:val="en-US" w:eastAsia="zh-CN"/>
                    </w:rPr>
                    <w:t>0</w:t>
                  </w:r>
                </w:p>
              </w:tc>
              <w:tc>
                <w:tcPr>
                  <w:tcW w:w="956" w:type="pct"/>
                  <w:shd w:val="clear" w:color="auto" w:fill="auto"/>
                  <w:vAlign w:val="center"/>
                </w:tcPr>
                <w:p w14:paraId="0F40693C">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1</w:t>
                  </w:r>
                </w:p>
              </w:tc>
            </w:tr>
            <w:tr w14:paraId="1069D6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 w:hRule="atLeast"/>
                <w:jc w:val="center"/>
              </w:trPr>
              <w:tc>
                <w:tcPr>
                  <w:tcW w:w="595" w:type="pct"/>
                  <w:vMerge w:val="continue"/>
                  <w:shd w:val="clear" w:color="auto" w:fill="auto"/>
                  <w:vAlign w:val="center"/>
                </w:tcPr>
                <w:p w14:paraId="116673E4">
                  <w:pPr>
                    <w:spacing w:line="240" w:lineRule="auto"/>
                    <w:jc w:val="center"/>
                    <w:rPr>
                      <w:bCs/>
                      <w:kern w:val="0"/>
                      <w:sz w:val="21"/>
                      <w:szCs w:val="21"/>
                      <w:u w:val="single"/>
                    </w:rPr>
                  </w:pPr>
                </w:p>
              </w:tc>
              <w:tc>
                <w:tcPr>
                  <w:tcW w:w="398" w:type="pct"/>
                  <w:vAlign w:val="center"/>
                </w:tcPr>
                <w:p w14:paraId="2E0BD705">
                  <w:pPr>
                    <w:spacing w:line="240" w:lineRule="auto"/>
                    <w:jc w:val="center"/>
                    <w:rPr>
                      <w:sz w:val="21"/>
                      <w:szCs w:val="21"/>
                      <w:u w:val="single"/>
                    </w:rPr>
                  </w:pPr>
                  <w:r>
                    <w:rPr>
                      <w:rFonts w:hint="eastAsia"/>
                      <w:sz w:val="21"/>
                      <w:szCs w:val="21"/>
                      <w:u w:val="single"/>
                    </w:rPr>
                    <w:t>5</w:t>
                  </w:r>
                </w:p>
              </w:tc>
              <w:tc>
                <w:tcPr>
                  <w:tcW w:w="700" w:type="pct"/>
                  <w:shd w:val="clear" w:color="auto" w:fill="auto"/>
                  <w:vAlign w:val="center"/>
                </w:tcPr>
                <w:p w14:paraId="46C87026">
                  <w:pPr>
                    <w:spacing w:line="240" w:lineRule="auto"/>
                    <w:jc w:val="center"/>
                    <w:rPr>
                      <w:rFonts w:hAnsi="宋体" w:cs="宋体"/>
                      <w:bCs/>
                      <w:sz w:val="21"/>
                      <w:szCs w:val="21"/>
                      <w:u w:val="single"/>
                    </w:rPr>
                  </w:pPr>
                  <w:r>
                    <w:rPr>
                      <w:rFonts w:hint="eastAsia" w:hAnsi="宋体" w:cs="宋体"/>
                      <w:bCs/>
                      <w:sz w:val="21"/>
                      <w:szCs w:val="21"/>
                      <w:u w:val="single"/>
                    </w:rPr>
                    <w:t>输送机</w:t>
                  </w:r>
                </w:p>
              </w:tc>
              <w:tc>
                <w:tcPr>
                  <w:tcW w:w="1187" w:type="pct"/>
                  <w:shd w:val="clear" w:color="auto" w:fill="auto"/>
                  <w:vAlign w:val="center"/>
                </w:tcPr>
                <w:p w14:paraId="5D7F9C80">
                  <w:pPr>
                    <w:spacing w:line="240" w:lineRule="auto"/>
                    <w:jc w:val="center"/>
                    <w:rPr>
                      <w:sz w:val="21"/>
                      <w:szCs w:val="21"/>
                      <w:u w:val="single"/>
                    </w:rPr>
                  </w:pPr>
                  <w:r>
                    <w:rPr>
                      <w:rFonts w:hint="eastAsia"/>
                      <w:sz w:val="21"/>
                      <w:szCs w:val="21"/>
                      <w:u w:val="single"/>
                    </w:rPr>
                    <w:t>/</w:t>
                  </w:r>
                </w:p>
              </w:tc>
              <w:tc>
                <w:tcPr>
                  <w:tcW w:w="402" w:type="pct"/>
                  <w:shd w:val="clear" w:color="auto" w:fill="auto"/>
                  <w:vAlign w:val="center"/>
                </w:tcPr>
                <w:p w14:paraId="29466A34">
                  <w:pPr>
                    <w:spacing w:line="240" w:lineRule="auto"/>
                    <w:jc w:val="center"/>
                    <w:rPr>
                      <w:sz w:val="21"/>
                      <w:szCs w:val="21"/>
                      <w:u w:val="single"/>
                    </w:rPr>
                  </w:pPr>
                  <w:r>
                    <w:rPr>
                      <w:rFonts w:hint="eastAsia"/>
                      <w:sz w:val="21"/>
                      <w:szCs w:val="21"/>
                      <w:u w:val="single"/>
                    </w:rPr>
                    <w:t>台</w:t>
                  </w:r>
                </w:p>
              </w:tc>
              <w:tc>
                <w:tcPr>
                  <w:tcW w:w="759" w:type="pct"/>
                  <w:shd w:val="clear" w:color="auto" w:fill="auto"/>
                  <w:vAlign w:val="center"/>
                </w:tcPr>
                <w:p w14:paraId="7BCD169B">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w:t>
                  </w:r>
                </w:p>
              </w:tc>
              <w:tc>
                <w:tcPr>
                  <w:tcW w:w="956" w:type="pct"/>
                  <w:shd w:val="clear" w:color="auto" w:fill="auto"/>
                  <w:vAlign w:val="center"/>
                </w:tcPr>
                <w:p w14:paraId="0B222B4A">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1</w:t>
                  </w:r>
                </w:p>
              </w:tc>
            </w:tr>
            <w:tr w14:paraId="1D16CB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 w:hRule="atLeast"/>
                <w:jc w:val="center"/>
              </w:trPr>
              <w:tc>
                <w:tcPr>
                  <w:tcW w:w="595" w:type="pct"/>
                  <w:vMerge w:val="continue"/>
                  <w:shd w:val="clear" w:color="auto" w:fill="auto"/>
                  <w:vAlign w:val="center"/>
                </w:tcPr>
                <w:p w14:paraId="17CC7B05">
                  <w:pPr>
                    <w:spacing w:line="240" w:lineRule="auto"/>
                    <w:jc w:val="center"/>
                    <w:rPr>
                      <w:bCs/>
                      <w:kern w:val="0"/>
                      <w:sz w:val="21"/>
                      <w:szCs w:val="21"/>
                      <w:u w:val="single"/>
                    </w:rPr>
                  </w:pPr>
                </w:p>
              </w:tc>
              <w:tc>
                <w:tcPr>
                  <w:tcW w:w="398" w:type="pct"/>
                  <w:vAlign w:val="center"/>
                </w:tcPr>
                <w:p w14:paraId="1AFD4F32">
                  <w:pPr>
                    <w:spacing w:line="240" w:lineRule="auto"/>
                    <w:jc w:val="center"/>
                    <w:rPr>
                      <w:rFonts w:hint="default" w:eastAsia="宋体"/>
                      <w:sz w:val="21"/>
                      <w:szCs w:val="21"/>
                      <w:u w:val="single"/>
                      <w:lang w:val="en-US" w:eastAsia="zh-CN"/>
                    </w:rPr>
                  </w:pPr>
                  <w:r>
                    <w:rPr>
                      <w:rFonts w:hint="eastAsia"/>
                      <w:sz w:val="21"/>
                      <w:szCs w:val="21"/>
                      <w:u w:val="single"/>
                      <w:lang w:val="en-US" w:eastAsia="zh-CN"/>
                    </w:rPr>
                    <w:t>6</w:t>
                  </w:r>
                </w:p>
              </w:tc>
              <w:tc>
                <w:tcPr>
                  <w:tcW w:w="700" w:type="pct"/>
                  <w:shd w:val="clear" w:color="auto" w:fill="auto"/>
                  <w:vAlign w:val="center"/>
                </w:tcPr>
                <w:p w14:paraId="23EE96F8">
                  <w:pPr>
                    <w:spacing w:line="240" w:lineRule="auto"/>
                    <w:jc w:val="center"/>
                    <w:rPr>
                      <w:rFonts w:hint="eastAsia" w:hAnsi="宋体" w:eastAsia="宋体" w:cs="宋体"/>
                      <w:bCs/>
                      <w:sz w:val="21"/>
                      <w:szCs w:val="21"/>
                      <w:u w:val="single"/>
                      <w:lang w:eastAsia="zh-CN"/>
                    </w:rPr>
                  </w:pPr>
                  <w:r>
                    <w:rPr>
                      <w:rFonts w:hint="eastAsia" w:hAnsi="宋体" w:cs="宋体"/>
                      <w:bCs/>
                      <w:sz w:val="21"/>
                      <w:szCs w:val="21"/>
                      <w:u w:val="single"/>
                      <w:lang w:eastAsia="zh-CN"/>
                    </w:rPr>
                    <w:t>模具</w:t>
                  </w:r>
                </w:p>
              </w:tc>
              <w:tc>
                <w:tcPr>
                  <w:tcW w:w="1187" w:type="pct"/>
                  <w:shd w:val="clear" w:color="auto" w:fill="auto"/>
                  <w:vAlign w:val="center"/>
                </w:tcPr>
                <w:p w14:paraId="7D136EA1">
                  <w:pPr>
                    <w:spacing w:line="240" w:lineRule="auto"/>
                    <w:jc w:val="center"/>
                    <w:rPr>
                      <w:rFonts w:hint="eastAsia"/>
                      <w:sz w:val="21"/>
                      <w:szCs w:val="21"/>
                      <w:u w:val="single"/>
                    </w:rPr>
                  </w:pPr>
                  <w:r>
                    <w:rPr>
                      <w:rFonts w:hint="eastAsia"/>
                      <w:sz w:val="21"/>
                      <w:szCs w:val="21"/>
                      <w:u w:val="single"/>
                    </w:rPr>
                    <w:t>/</w:t>
                  </w:r>
                </w:p>
              </w:tc>
              <w:tc>
                <w:tcPr>
                  <w:tcW w:w="402" w:type="pct"/>
                  <w:shd w:val="clear" w:color="auto" w:fill="auto"/>
                  <w:vAlign w:val="center"/>
                </w:tcPr>
                <w:p w14:paraId="79E4D2C9">
                  <w:pPr>
                    <w:spacing w:line="240" w:lineRule="auto"/>
                    <w:jc w:val="center"/>
                    <w:rPr>
                      <w:rFonts w:hint="eastAsia" w:eastAsia="宋体"/>
                      <w:sz w:val="21"/>
                      <w:szCs w:val="21"/>
                      <w:u w:val="single"/>
                      <w:lang w:eastAsia="zh-CN"/>
                    </w:rPr>
                  </w:pPr>
                  <w:r>
                    <w:rPr>
                      <w:rFonts w:hint="eastAsia"/>
                      <w:sz w:val="21"/>
                      <w:szCs w:val="21"/>
                      <w:u w:val="single"/>
                      <w:lang w:eastAsia="zh-CN"/>
                    </w:rPr>
                    <w:t>套</w:t>
                  </w:r>
                </w:p>
              </w:tc>
              <w:tc>
                <w:tcPr>
                  <w:tcW w:w="759" w:type="pct"/>
                  <w:shd w:val="clear" w:color="auto" w:fill="auto"/>
                  <w:vAlign w:val="center"/>
                </w:tcPr>
                <w:p w14:paraId="219A4333">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w:t>
                  </w:r>
                </w:p>
              </w:tc>
              <w:tc>
                <w:tcPr>
                  <w:tcW w:w="956" w:type="pct"/>
                  <w:shd w:val="clear" w:color="auto" w:fill="auto"/>
                  <w:vAlign w:val="center"/>
                </w:tcPr>
                <w:p w14:paraId="605B8A13">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4</w:t>
                  </w:r>
                </w:p>
              </w:tc>
            </w:tr>
            <w:tr w14:paraId="640081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5" w:hRule="atLeast"/>
                <w:jc w:val="center"/>
              </w:trPr>
              <w:tc>
                <w:tcPr>
                  <w:tcW w:w="595" w:type="pct"/>
                  <w:vMerge w:val="continue"/>
                  <w:shd w:val="clear" w:color="auto" w:fill="auto"/>
                  <w:vAlign w:val="center"/>
                </w:tcPr>
                <w:p w14:paraId="6D0C85F2">
                  <w:pPr>
                    <w:spacing w:line="240" w:lineRule="auto"/>
                    <w:jc w:val="center"/>
                    <w:rPr>
                      <w:bCs/>
                      <w:kern w:val="0"/>
                      <w:sz w:val="21"/>
                      <w:szCs w:val="21"/>
                      <w:u w:val="single"/>
                    </w:rPr>
                  </w:pPr>
                </w:p>
              </w:tc>
              <w:tc>
                <w:tcPr>
                  <w:tcW w:w="398" w:type="pct"/>
                  <w:vAlign w:val="center"/>
                </w:tcPr>
                <w:p w14:paraId="1494D04A">
                  <w:pPr>
                    <w:spacing w:line="240" w:lineRule="auto"/>
                    <w:jc w:val="center"/>
                    <w:rPr>
                      <w:rFonts w:hint="eastAsia" w:eastAsia="宋体"/>
                      <w:sz w:val="21"/>
                      <w:szCs w:val="21"/>
                      <w:u w:val="single"/>
                      <w:lang w:eastAsia="zh-CN"/>
                    </w:rPr>
                  </w:pPr>
                  <w:r>
                    <w:rPr>
                      <w:rFonts w:hint="eastAsia"/>
                      <w:sz w:val="21"/>
                      <w:szCs w:val="21"/>
                      <w:u w:val="single"/>
                      <w:lang w:val="en-US" w:eastAsia="zh-CN"/>
                    </w:rPr>
                    <w:t>7</w:t>
                  </w:r>
                </w:p>
              </w:tc>
              <w:tc>
                <w:tcPr>
                  <w:tcW w:w="700" w:type="pct"/>
                  <w:shd w:val="clear" w:color="auto" w:fill="auto"/>
                  <w:vAlign w:val="center"/>
                </w:tcPr>
                <w:p w14:paraId="3CDCD1EC">
                  <w:pPr>
                    <w:spacing w:line="240" w:lineRule="auto"/>
                    <w:jc w:val="center"/>
                    <w:rPr>
                      <w:color w:val="0000C7"/>
                      <w:sz w:val="21"/>
                      <w:szCs w:val="21"/>
                      <w:u w:val="single"/>
                    </w:rPr>
                  </w:pPr>
                  <w:r>
                    <w:rPr>
                      <w:rFonts w:hint="eastAsia" w:hAnsi="宋体" w:cs="宋体"/>
                      <w:bCs/>
                      <w:sz w:val="21"/>
                      <w:szCs w:val="21"/>
                      <w:u w:val="single"/>
                    </w:rPr>
                    <w:t>自动砌块成型机</w:t>
                  </w:r>
                </w:p>
              </w:tc>
              <w:tc>
                <w:tcPr>
                  <w:tcW w:w="1187" w:type="pct"/>
                  <w:shd w:val="clear" w:color="auto" w:fill="auto"/>
                  <w:vAlign w:val="center"/>
                </w:tcPr>
                <w:p w14:paraId="307324F3">
                  <w:pPr>
                    <w:spacing w:line="240" w:lineRule="auto"/>
                    <w:jc w:val="center"/>
                    <w:rPr>
                      <w:color w:val="0000C7"/>
                      <w:sz w:val="21"/>
                      <w:szCs w:val="21"/>
                      <w:u w:val="single"/>
                    </w:rPr>
                  </w:pPr>
                  <w:r>
                    <w:rPr>
                      <w:rFonts w:hint="eastAsia"/>
                      <w:sz w:val="21"/>
                      <w:szCs w:val="21"/>
                      <w:u w:val="single"/>
                    </w:rPr>
                    <w:t>QT4-15</w:t>
                  </w:r>
                </w:p>
              </w:tc>
              <w:tc>
                <w:tcPr>
                  <w:tcW w:w="402" w:type="pct"/>
                  <w:shd w:val="clear" w:color="auto" w:fill="auto"/>
                  <w:vAlign w:val="center"/>
                </w:tcPr>
                <w:p w14:paraId="298FE98E">
                  <w:pPr>
                    <w:spacing w:line="240" w:lineRule="auto"/>
                    <w:jc w:val="center"/>
                    <w:rPr>
                      <w:sz w:val="21"/>
                      <w:szCs w:val="21"/>
                      <w:u w:val="single"/>
                    </w:rPr>
                  </w:pPr>
                  <w:r>
                    <w:rPr>
                      <w:rFonts w:hint="eastAsia"/>
                      <w:sz w:val="21"/>
                      <w:szCs w:val="21"/>
                      <w:u w:val="single"/>
                    </w:rPr>
                    <w:t>套</w:t>
                  </w:r>
                </w:p>
              </w:tc>
              <w:tc>
                <w:tcPr>
                  <w:tcW w:w="759" w:type="pct"/>
                  <w:shd w:val="clear" w:color="auto" w:fill="auto"/>
                  <w:vAlign w:val="center"/>
                </w:tcPr>
                <w:p w14:paraId="71A31F11">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w:t>
                  </w:r>
                </w:p>
              </w:tc>
              <w:tc>
                <w:tcPr>
                  <w:tcW w:w="956" w:type="pct"/>
                  <w:shd w:val="clear" w:color="auto" w:fill="auto"/>
                  <w:vAlign w:val="center"/>
                </w:tcPr>
                <w:p w14:paraId="2EBE194D">
                  <w:pPr>
                    <w:spacing w:line="240" w:lineRule="auto"/>
                    <w:jc w:val="center"/>
                    <w:rPr>
                      <w:rFonts w:hint="eastAsia" w:ascii="Times New Roman" w:hAnsi="Times New Roman" w:eastAsia="宋体" w:cs="Times New Roman"/>
                      <w:kern w:val="2"/>
                      <w:sz w:val="21"/>
                      <w:szCs w:val="21"/>
                      <w:u w:val="single"/>
                      <w:lang w:val="en-US" w:eastAsia="zh-CN" w:bidi="ar-SA"/>
                    </w:rPr>
                  </w:pPr>
                  <w:r>
                    <w:rPr>
                      <w:sz w:val="21"/>
                      <w:szCs w:val="21"/>
                      <w:u w:val="single"/>
                    </w:rPr>
                    <w:t>1</w:t>
                  </w:r>
                </w:p>
              </w:tc>
            </w:tr>
            <w:tr w14:paraId="573971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95" w:type="pct"/>
                  <w:vMerge w:val="restart"/>
                  <w:shd w:val="clear" w:color="auto" w:fill="auto"/>
                  <w:vAlign w:val="center"/>
                </w:tcPr>
                <w:p w14:paraId="169FEA64">
                  <w:pPr>
                    <w:spacing w:line="240" w:lineRule="auto"/>
                    <w:jc w:val="center"/>
                    <w:rPr>
                      <w:color w:val="0000C7"/>
                      <w:sz w:val="21"/>
                      <w:szCs w:val="21"/>
                      <w:u w:val="single"/>
                    </w:rPr>
                  </w:pPr>
                  <w:r>
                    <w:rPr>
                      <w:sz w:val="21"/>
                      <w:szCs w:val="21"/>
                      <w:u w:val="single"/>
                    </w:rPr>
                    <w:t>环保设备</w:t>
                  </w:r>
                </w:p>
              </w:tc>
              <w:tc>
                <w:tcPr>
                  <w:tcW w:w="398" w:type="pct"/>
                </w:tcPr>
                <w:p w14:paraId="0910E088">
                  <w:pPr>
                    <w:spacing w:line="240" w:lineRule="auto"/>
                    <w:jc w:val="center"/>
                    <w:rPr>
                      <w:sz w:val="21"/>
                      <w:szCs w:val="21"/>
                      <w:u w:val="single"/>
                    </w:rPr>
                  </w:pPr>
                  <w:r>
                    <w:rPr>
                      <w:rFonts w:hint="eastAsia"/>
                      <w:sz w:val="21"/>
                      <w:szCs w:val="21"/>
                      <w:u w:val="single"/>
                    </w:rPr>
                    <w:t>1</w:t>
                  </w:r>
                </w:p>
              </w:tc>
              <w:tc>
                <w:tcPr>
                  <w:tcW w:w="700" w:type="pct"/>
                  <w:shd w:val="clear" w:color="auto" w:fill="auto"/>
                  <w:vAlign w:val="center"/>
                </w:tcPr>
                <w:p w14:paraId="3E4A4B94">
                  <w:pPr>
                    <w:spacing w:line="240" w:lineRule="auto"/>
                    <w:jc w:val="center"/>
                    <w:rPr>
                      <w:sz w:val="21"/>
                      <w:szCs w:val="21"/>
                      <w:u w:val="single"/>
                    </w:rPr>
                  </w:pPr>
                  <w:r>
                    <w:rPr>
                      <w:rFonts w:hint="eastAsia"/>
                      <w:sz w:val="21"/>
                      <w:szCs w:val="21"/>
                      <w:u w:val="single"/>
                    </w:rPr>
                    <w:t>板框</w:t>
                  </w:r>
                  <w:r>
                    <w:rPr>
                      <w:sz w:val="21"/>
                      <w:szCs w:val="21"/>
                      <w:u w:val="single"/>
                    </w:rPr>
                    <w:t>压滤机</w:t>
                  </w:r>
                </w:p>
              </w:tc>
              <w:tc>
                <w:tcPr>
                  <w:tcW w:w="1187" w:type="pct"/>
                  <w:shd w:val="clear" w:color="auto" w:fill="auto"/>
                  <w:vAlign w:val="center"/>
                </w:tcPr>
                <w:p w14:paraId="694E85D7">
                  <w:pPr>
                    <w:spacing w:line="240" w:lineRule="auto"/>
                    <w:jc w:val="center"/>
                    <w:rPr>
                      <w:sz w:val="21"/>
                      <w:szCs w:val="21"/>
                      <w:u w:val="single"/>
                    </w:rPr>
                  </w:pPr>
                  <w:r>
                    <w:rPr>
                      <w:rFonts w:hint="eastAsia"/>
                      <w:sz w:val="21"/>
                      <w:szCs w:val="21"/>
                      <w:u w:val="single"/>
                    </w:rPr>
                    <w:t>/</w:t>
                  </w:r>
                </w:p>
              </w:tc>
              <w:tc>
                <w:tcPr>
                  <w:tcW w:w="402" w:type="pct"/>
                  <w:shd w:val="clear" w:color="auto" w:fill="auto"/>
                  <w:vAlign w:val="center"/>
                </w:tcPr>
                <w:p w14:paraId="62E2F2D6">
                  <w:pPr>
                    <w:spacing w:line="240" w:lineRule="auto"/>
                    <w:jc w:val="center"/>
                    <w:rPr>
                      <w:sz w:val="21"/>
                      <w:szCs w:val="21"/>
                      <w:u w:val="single"/>
                    </w:rPr>
                  </w:pPr>
                  <w:r>
                    <w:rPr>
                      <w:sz w:val="21"/>
                      <w:szCs w:val="21"/>
                      <w:u w:val="single"/>
                    </w:rPr>
                    <w:t>台</w:t>
                  </w:r>
                </w:p>
              </w:tc>
              <w:tc>
                <w:tcPr>
                  <w:tcW w:w="759" w:type="pct"/>
                  <w:shd w:val="clear" w:color="auto" w:fill="auto"/>
                  <w:vAlign w:val="center"/>
                </w:tcPr>
                <w:p w14:paraId="2B60E63A">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w:t>
                  </w:r>
                </w:p>
              </w:tc>
              <w:tc>
                <w:tcPr>
                  <w:tcW w:w="956" w:type="pct"/>
                  <w:shd w:val="clear" w:color="auto" w:fill="auto"/>
                  <w:vAlign w:val="center"/>
                </w:tcPr>
                <w:p w14:paraId="333A009E">
                  <w:pPr>
                    <w:spacing w:line="240" w:lineRule="auto"/>
                    <w:jc w:val="center"/>
                    <w:rPr>
                      <w:rFonts w:hint="eastAsia" w:ascii="Times New Roman" w:hAnsi="Times New Roman" w:eastAsia="宋体" w:cs="Times New Roman"/>
                      <w:kern w:val="2"/>
                      <w:sz w:val="21"/>
                      <w:szCs w:val="21"/>
                      <w:u w:val="single"/>
                      <w:lang w:val="en-US" w:eastAsia="zh-CN" w:bidi="ar-SA"/>
                    </w:rPr>
                  </w:pPr>
                  <w:r>
                    <w:rPr>
                      <w:sz w:val="21"/>
                      <w:szCs w:val="21"/>
                      <w:u w:val="single"/>
                    </w:rPr>
                    <w:t>1</w:t>
                  </w:r>
                </w:p>
              </w:tc>
            </w:tr>
            <w:tr w14:paraId="1C46EC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595" w:type="pct"/>
                  <w:vMerge w:val="continue"/>
                  <w:shd w:val="clear" w:color="auto" w:fill="auto"/>
                  <w:vAlign w:val="center"/>
                </w:tcPr>
                <w:p w14:paraId="18F7D4EF">
                  <w:pPr>
                    <w:spacing w:line="240" w:lineRule="auto"/>
                    <w:jc w:val="center"/>
                    <w:rPr>
                      <w:color w:val="0000C7"/>
                      <w:sz w:val="21"/>
                      <w:szCs w:val="21"/>
                      <w:u w:val="single"/>
                    </w:rPr>
                  </w:pPr>
                </w:p>
              </w:tc>
              <w:tc>
                <w:tcPr>
                  <w:tcW w:w="398" w:type="pct"/>
                </w:tcPr>
                <w:p w14:paraId="72B817C5">
                  <w:pPr>
                    <w:spacing w:line="240" w:lineRule="auto"/>
                    <w:jc w:val="center"/>
                    <w:rPr>
                      <w:sz w:val="21"/>
                      <w:szCs w:val="21"/>
                      <w:u w:val="single"/>
                    </w:rPr>
                  </w:pPr>
                  <w:r>
                    <w:rPr>
                      <w:rFonts w:hint="eastAsia"/>
                      <w:sz w:val="21"/>
                      <w:szCs w:val="21"/>
                      <w:u w:val="single"/>
                    </w:rPr>
                    <w:t>2</w:t>
                  </w:r>
                </w:p>
              </w:tc>
              <w:tc>
                <w:tcPr>
                  <w:tcW w:w="700" w:type="pct"/>
                  <w:shd w:val="clear" w:color="auto" w:fill="auto"/>
                  <w:vAlign w:val="center"/>
                </w:tcPr>
                <w:p w14:paraId="26B525C7">
                  <w:pPr>
                    <w:spacing w:line="240" w:lineRule="auto"/>
                    <w:jc w:val="center"/>
                    <w:rPr>
                      <w:sz w:val="21"/>
                      <w:szCs w:val="21"/>
                      <w:u w:val="single"/>
                    </w:rPr>
                  </w:pPr>
                  <w:r>
                    <w:rPr>
                      <w:sz w:val="21"/>
                      <w:szCs w:val="21"/>
                      <w:u w:val="single"/>
                    </w:rPr>
                    <w:t>水泵</w:t>
                  </w:r>
                </w:p>
              </w:tc>
              <w:tc>
                <w:tcPr>
                  <w:tcW w:w="1187" w:type="pct"/>
                  <w:shd w:val="clear" w:color="auto" w:fill="auto"/>
                  <w:vAlign w:val="center"/>
                </w:tcPr>
                <w:p w14:paraId="7DADC856">
                  <w:pPr>
                    <w:spacing w:line="240" w:lineRule="auto"/>
                    <w:jc w:val="center"/>
                    <w:rPr>
                      <w:sz w:val="21"/>
                      <w:szCs w:val="21"/>
                      <w:u w:val="single"/>
                    </w:rPr>
                  </w:pPr>
                  <w:r>
                    <w:rPr>
                      <w:sz w:val="21"/>
                      <w:szCs w:val="21"/>
                      <w:u w:val="single"/>
                    </w:rPr>
                    <w:t>/</w:t>
                  </w:r>
                </w:p>
              </w:tc>
              <w:tc>
                <w:tcPr>
                  <w:tcW w:w="402" w:type="pct"/>
                  <w:shd w:val="clear" w:color="auto" w:fill="auto"/>
                  <w:vAlign w:val="center"/>
                </w:tcPr>
                <w:p w14:paraId="75DC0FA3">
                  <w:pPr>
                    <w:spacing w:line="240" w:lineRule="auto"/>
                    <w:jc w:val="center"/>
                    <w:rPr>
                      <w:sz w:val="21"/>
                      <w:szCs w:val="21"/>
                      <w:u w:val="single"/>
                    </w:rPr>
                  </w:pPr>
                  <w:r>
                    <w:rPr>
                      <w:sz w:val="21"/>
                      <w:szCs w:val="21"/>
                      <w:u w:val="single"/>
                    </w:rPr>
                    <w:t>台</w:t>
                  </w:r>
                </w:p>
              </w:tc>
              <w:tc>
                <w:tcPr>
                  <w:tcW w:w="759" w:type="pct"/>
                  <w:shd w:val="clear" w:color="auto" w:fill="auto"/>
                  <w:vAlign w:val="center"/>
                </w:tcPr>
                <w:p w14:paraId="67CBCCD2">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1</w:t>
                  </w:r>
                </w:p>
              </w:tc>
              <w:tc>
                <w:tcPr>
                  <w:tcW w:w="956" w:type="pct"/>
                  <w:shd w:val="clear" w:color="auto" w:fill="auto"/>
                  <w:vAlign w:val="center"/>
                </w:tcPr>
                <w:p w14:paraId="5C11D835">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4</w:t>
                  </w:r>
                </w:p>
              </w:tc>
            </w:tr>
            <w:tr w14:paraId="71717E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595" w:type="pct"/>
                  <w:vMerge w:val="continue"/>
                  <w:shd w:val="clear" w:color="auto" w:fill="auto"/>
                  <w:vAlign w:val="center"/>
                </w:tcPr>
                <w:p w14:paraId="68FC8D5C">
                  <w:pPr>
                    <w:spacing w:line="240" w:lineRule="auto"/>
                    <w:jc w:val="center"/>
                    <w:rPr>
                      <w:color w:val="0000C7"/>
                      <w:sz w:val="21"/>
                      <w:szCs w:val="21"/>
                      <w:u w:val="single"/>
                    </w:rPr>
                  </w:pPr>
                </w:p>
              </w:tc>
              <w:tc>
                <w:tcPr>
                  <w:tcW w:w="398" w:type="pct"/>
                  <w:vAlign w:val="center"/>
                </w:tcPr>
                <w:p w14:paraId="65A9481D">
                  <w:pPr>
                    <w:spacing w:line="240" w:lineRule="auto"/>
                    <w:jc w:val="center"/>
                    <w:rPr>
                      <w:rFonts w:hint="eastAsia" w:eastAsia="宋体"/>
                      <w:sz w:val="21"/>
                      <w:szCs w:val="21"/>
                      <w:u w:val="single"/>
                      <w:lang w:val="en-US" w:eastAsia="zh-CN"/>
                    </w:rPr>
                  </w:pPr>
                  <w:r>
                    <w:rPr>
                      <w:rFonts w:hint="eastAsia"/>
                      <w:sz w:val="21"/>
                      <w:szCs w:val="21"/>
                      <w:u w:val="single"/>
                      <w:lang w:val="en-US" w:eastAsia="zh-CN"/>
                    </w:rPr>
                    <w:t>3</w:t>
                  </w:r>
                </w:p>
              </w:tc>
              <w:tc>
                <w:tcPr>
                  <w:tcW w:w="700" w:type="pct"/>
                  <w:shd w:val="clear" w:color="auto" w:fill="auto"/>
                  <w:vAlign w:val="center"/>
                </w:tcPr>
                <w:p w14:paraId="01F12FC4">
                  <w:pPr>
                    <w:spacing w:line="240" w:lineRule="auto"/>
                    <w:jc w:val="center"/>
                    <w:rPr>
                      <w:sz w:val="21"/>
                      <w:szCs w:val="21"/>
                      <w:u w:val="single"/>
                    </w:rPr>
                  </w:pPr>
                  <w:r>
                    <w:rPr>
                      <w:rFonts w:hint="eastAsia"/>
                      <w:sz w:val="21"/>
                      <w:szCs w:val="21"/>
                      <w:u w:val="single"/>
                    </w:rPr>
                    <w:t>隔油化粪池</w:t>
                  </w:r>
                </w:p>
              </w:tc>
              <w:tc>
                <w:tcPr>
                  <w:tcW w:w="1187" w:type="pct"/>
                  <w:shd w:val="clear" w:color="auto" w:fill="auto"/>
                  <w:vAlign w:val="center"/>
                </w:tcPr>
                <w:p w14:paraId="38B69B78">
                  <w:pPr>
                    <w:spacing w:line="240" w:lineRule="auto"/>
                    <w:jc w:val="center"/>
                    <w:rPr>
                      <w:sz w:val="21"/>
                      <w:szCs w:val="21"/>
                      <w:u w:val="single"/>
                    </w:rPr>
                  </w:pPr>
                  <w:r>
                    <w:rPr>
                      <w:sz w:val="21"/>
                      <w:szCs w:val="21"/>
                      <w:u w:val="single"/>
                    </w:rPr>
                    <w:t>/</w:t>
                  </w:r>
                </w:p>
              </w:tc>
              <w:tc>
                <w:tcPr>
                  <w:tcW w:w="402" w:type="pct"/>
                  <w:shd w:val="clear" w:color="auto" w:fill="auto"/>
                  <w:vAlign w:val="center"/>
                </w:tcPr>
                <w:p w14:paraId="7CEF0048">
                  <w:pPr>
                    <w:spacing w:line="240" w:lineRule="auto"/>
                    <w:jc w:val="center"/>
                    <w:rPr>
                      <w:sz w:val="21"/>
                      <w:szCs w:val="21"/>
                      <w:u w:val="single"/>
                    </w:rPr>
                  </w:pPr>
                  <w:r>
                    <w:rPr>
                      <w:sz w:val="21"/>
                      <w:szCs w:val="21"/>
                      <w:u w:val="single"/>
                    </w:rPr>
                    <w:t>座</w:t>
                  </w:r>
                </w:p>
              </w:tc>
              <w:tc>
                <w:tcPr>
                  <w:tcW w:w="759" w:type="pct"/>
                  <w:shd w:val="clear" w:color="auto" w:fill="auto"/>
                  <w:vAlign w:val="center"/>
                </w:tcPr>
                <w:p w14:paraId="1704828C">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w:t>
                  </w:r>
                </w:p>
              </w:tc>
              <w:tc>
                <w:tcPr>
                  <w:tcW w:w="956" w:type="pct"/>
                  <w:shd w:val="clear" w:color="auto" w:fill="auto"/>
                  <w:vAlign w:val="center"/>
                </w:tcPr>
                <w:p w14:paraId="6F543D22">
                  <w:pPr>
                    <w:spacing w:line="240" w:lineRule="auto"/>
                    <w:jc w:val="center"/>
                    <w:rPr>
                      <w:rFonts w:hint="eastAsia" w:ascii="Times New Roman" w:hAnsi="Times New Roman" w:eastAsia="宋体" w:cs="Times New Roman"/>
                      <w:kern w:val="2"/>
                      <w:sz w:val="21"/>
                      <w:szCs w:val="21"/>
                      <w:u w:val="single"/>
                      <w:lang w:val="en-US" w:eastAsia="zh-CN" w:bidi="ar-SA"/>
                    </w:rPr>
                  </w:pPr>
                  <w:r>
                    <w:rPr>
                      <w:sz w:val="21"/>
                      <w:szCs w:val="21"/>
                      <w:u w:val="single"/>
                    </w:rPr>
                    <w:t>1</w:t>
                  </w:r>
                </w:p>
              </w:tc>
            </w:tr>
            <w:tr w14:paraId="340671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95" w:type="pct"/>
                  <w:vMerge w:val="continue"/>
                  <w:shd w:val="clear" w:color="auto" w:fill="auto"/>
                  <w:vAlign w:val="center"/>
                </w:tcPr>
                <w:p w14:paraId="7CC9D775">
                  <w:pPr>
                    <w:spacing w:line="240" w:lineRule="auto"/>
                    <w:jc w:val="center"/>
                    <w:rPr>
                      <w:color w:val="0000C7"/>
                      <w:sz w:val="21"/>
                      <w:szCs w:val="21"/>
                      <w:u w:val="single"/>
                    </w:rPr>
                  </w:pPr>
                </w:p>
              </w:tc>
              <w:tc>
                <w:tcPr>
                  <w:tcW w:w="398" w:type="pct"/>
                  <w:vAlign w:val="center"/>
                </w:tcPr>
                <w:p w14:paraId="27A826E9">
                  <w:pPr>
                    <w:spacing w:line="240" w:lineRule="auto"/>
                    <w:jc w:val="center"/>
                    <w:rPr>
                      <w:rFonts w:hint="eastAsia" w:eastAsia="宋体"/>
                      <w:sz w:val="21"/>
                      <w:szCs w:val="21"/>
                      <w:u w:val="single"/>
                      <w:lang w:val="en-US" w:eastAsia="zh-CN"/>
                    </w:rPr>
                  </w:pPr>
                  <w:r>
                    <w:rPr>
                      <w:rFonts w:hint="eastAsia"/>
                      <w:sz w:val="21"/>
                      <w:szCs w:val="21"/>
                      <w:u w:val="single"/>
                      <w:lang w:val="en-US" w:eastAsia="zh-CN"/>
                    </w:rPr>
                    <w:t>4</w:t>
                  </w:r>
                </w:p>
              </w:tc>
              <w:tc>
                <w:tcPr>
                  <w:tcW w:w="700" w:type="pct"/>
                  <w:shd w:val="clear" w:color="auto" w:fill="auto"/>
                  <w:vAlign w:val="center"/>
                </w:tcPr>
                <w:p w14:paraId="66E835C1">
                  <w:pPr>
                    <w:spacing w:line="240" w:lineRule="auto"/>
                    <w:jc w:val="center"/>
                    <w:rPr>
                      <w:sz w:val="21"/>
                      <w:szCs w:val="21"/>
                      <w:u w:val="single"/>
                    </w:rPr>
                  </w:pPr>
                  <w:r>
                    <w:rPr>
                      <w:sz w:val="21"/>
                      <w:szCs w:val="21"/>
                      <w:u w:val="single"/>
                    </w:rPr>
                    <w:t>喷淋</w:t>
                  </w:r>
                  <w:r>
                    <w:rPr>
                      <w:rFonts w:hint="eastAsia"/>
                      <w:sz w:val="21"/>
                      <w:szCs w:val="21"/>
                      <w:u w:val="single"/>
                    </w:rPr>
                    <w:t>抑尘</w:t>
                  </w:r>
                  <w:r>
                    <w:rPr>
                      <w:sz w:val="21"/>
                      <w:szCs w:val="21"/>
                      <w:u w:val="single"/>
                    </w:rPr>
                    <w:t>设备</w:t>
                  </w:r>
                </w:p>
              </w:tc>
              <w:tc>
                <w:tcPr>
                  <w:tcW w:w="1187" w:type="pct"/>
                  <w:shd w:val="clear" w:color="auto" w:fill="auto"/>
                  <w:vAlign w:val="center"/>
                </w:tcPr>
                <w:p w14:paraId="76CD1F06">
                  <w:pPr>
                    <w:spacing w:line="240" w:lineRule="auto"/>
                    <w:jc w:val="center"/>
                    <w:rPr>
                      <w:sz w:val="21"/>
                      <w:szCs w:val="21"/>
                      <w:u w:val="single"/>
                    </w:rPr>
                  </w:pPr>
                  <w:r>
                    <w:rPr>
                      <w:sz w:val="21"/>
                      <w:szCs w:val="21"/>
                      <w:u w:val="single"/>
                    </w:rPr>
                    <w:t>/</w:t>
                  </w:r>
                </w:p>
              </w:tc>
              <w:tc>
                <w:tcPr>
                  <w:tcW w:w="402" w:type="pct"/>
                  <w:shd w:val="clear" w:color="auto" w:fill="auto"/>
                  <w:vAlign w:val="center"/>
                </w:tcPr>
                <w:p w14:paraId="28AB9D13">
                  <w:pPr>
                    <w:spacing w:line="240" w:lineRule="auto"/>
                    <w:jc w:val="center"/>
                    <w:rPr>
                      <w:sz w:val="21"/>
                      <w:szCs w:val="21"/>
                      <w:u w:val="single"/>
                    </w:rPr>
                  </w:pPr>
                  <w:r>
                    <w:rPr>
                      <w:rFonts w:hint="eastAsia"/>
                      <w:sz w:val="21"/>
                      <w:szCs w:val="21"/>
                      <w:u w:val="single"/>
                    </w:rPr>
                    <w:t>套</w:t>
                  </w:r>
                </w:p>
              </w:tc>
              <w:tc>
                <w:tcPr>
                  <w:tcW w:w="759" w:type="pct"/>
                  <w:shd w:val="clear" w:color="auto" w:fill="auto"/>
                  <w:vAlign w:val="center"/>
                </w:tcPr>
                <w:p w14:paraId="78960578">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w:t>
                  </w:r>
                </w:p>
              </w:tc>
              <w:tc>
                <w:tcPr>
                  <w:tcW w:w="956" w:type="pct"/>
                  <w:shd w:val="clear" w:color="auto" w:fill="auto"/>
                  <w:vAlign w:val="center"/>
                </w:tcPr>
                <w:p w14:paraId="4E890847">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4</w:t>
                  </w:r>
                </w:p>
              </w:tc>
            </w:tr>
            <w:tr w14:paraId="7A70F8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95" w:type="pct"/>
                  <w:vMerge w:val="continue"/>
                  <w:shd w:val="clear" w:color="auto" w:fill="auto"/>
                  <w:vAlign w:val="center"/>
                </w:tcPr>
                <w:p w14:paraId="105B50D3">
                  <w:pPr>
                    <w:spacing w:line="240" w:lineRule="auto"/>
                    <w:jc w:val="center"/>
                    <w:rPr>
                      <w:color w:val="0000C7"/>
                      <w:sz w:val="21"/>
                      <w:szCs w:val="21"/>
                      <w:u w:val="single"/>
                    </w:rPr>
                  </w:pPr>
                </w:p>
              </w:tc>
              <w:tc>
                <w:tcPr>
                  <w:tcW w:w="398" w:type="pct"/>
                  <w:vAlign w:val="center"/>
                </w:tcPr>
                <w:p w14:paraId="0DFE5DC4">
                  <w:pPr>
                    <w:spacing w:line="240" w:lineRule="auto"/>
                    <w:jc w:val="center"/>
                    <w:rPr>
                      <w:rFonts w:hint="eastAsia" w:eastAsia="宋体"/>
                      <w:sz w:val="21"/>
                      <w:szCs w:val="21"/>
                      <w:u w:val="single"/>
                      <w:lang w:val="en-US" w:eastAsia="zh-CN"/>
                    </w:rPr>
                  </w:pPr>
                  <w:r>
                    <w:rPr>
                      <w:rFonts w:hint="eastAsia"/>
                      <w:sz w:val="21"/>
                      <w:szCs w:val="21"/>
                      <w:u w:val="single"/>
                      <w:lang w:val="en-US" w:eastAsia="zh-CN"/>
                    </w:rPr>
                    <w:t>5</w:t>
                  </w:r>
                </w:p>
              </w:tc>
              <w:tc>
                <w:tcPr>
                  <w:tcW w:w="700" w:type="pct"/>
                  <w:shd w:val="clear" w:color="auto" w:fill="auto"/>
                  <w:vAlign w:val="center"/>
                </w:tcPr>
                <w:p w14:paraId="3545BEF8">
                  <w:pPr>
                    <w:spacing w:line="240" w:lineRule="auto"/>
                    <w:jc w:val="center"/>
                    <w:rPr>
                      <w:sz w:val="21"/>
                      <w:szCs w:val="21"/>
                      <w:u w:val="single"/>
                    </w:rPr>
                  </w:pPr>
                  <w:r>
                    <w:rPr>
                      <w:sz w:val="21"/>
                      <w:szCs w:val="21"/>
                      <w:u w:val="single"/>
                    </w:rPr>
                    <w:t>洒水降尘设备</w:t>
                  </w:r>
                </w:p>
              </w:tc>
              <w:tc>
                <w:tcPr>
                  <w:tcW w:w="1187" w:type="pct"/>
                  <w:shd w:val="clear" w:color="auto" w:fill="auto"/>
                  <w:vAlign w:val="center"/>
                </w:tcPr>
                <w:p w14:paraId="0201E3D1">
                  <w:pPr>
                    <w:spacing w:line="240" w:lineRule="auto"/>
                    <w:jc w:val="center"/>
                    <w:rPr>
                      <w:sz w:val="21"/>
                      <w:szCs w:val="21"/>
                      <w:u w:val="single"/>
                    </w:rPr>
                  </w:pPr>
                  <w:r>
                    <w:rPr>
                      <w:sz w:val="21"/>
                      <w:szCs w:val="21"/>
                      <w:u w:val="single"/>
                    </w:rPr>
                    <w:t>雾炮机</w:t>
                  </w:r>
                </w:p>
              </w:tc>
              <w:tc>
                <w:tcPr>
                  <w:tcW w:w="402" w:type="pct"/>
                  <w:shd w:val="clear" w:color="auto" w:fill="auto"/>
                  <w:vAlign w:val="center"/>
                </w:tcPr>
                <w:p w14:paraId="1BDDA413">
                  <w:pPr>
                    <w:spacing w:line="240" w:lineRule="auto"/>
                    <w:jc w:val="center"/>
                    <w:rPr>
                      <w:sz w:val="21"/>
                      <w:szCs w:val="21"/>
                      <w:u w:val="single"/>
                    </w:rPr>
                  </w:pPr>
                  <w:r>
                    <w:rPr>
                      <w:sz w:val="21"/>
                      <w:szCs w:val="21"/>
                      <w:u w:val="single"/>
                    </w:rPr>
                    <w:t>台</w:t>
                  </w:r>
                </w:p>
              </w:tc>
              <w:tc>
                <w:tcPr>
                  <w:tcW w:w="759" w:type="pct"/>
                  <w:shd w:val="clear" w:color="auto" w:fill="auto"/>
                  <w:vAlign w:val="center"/>
                </w:tcPr>
                <w:p w14:paraId="2DE040B0">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w:t>
                  </w:r>
                </w:p>
              </w:tc>
              <w:tc>
                <w:tcPr>
                  <w:tcW w:w="956" w:type="pct"/>
                  <w:shd w:val="clear" w:color="auto" w:fill="auto"/>
                  <w:vAlign w:val="center"/>
                </w:tcPr>
                <w:p w14:paraId="1E597401">
                  <w:pPr>
                    <w:spacing w:line="240" w:lineRule="auto"/>
                    <w:jc w:val="center"/>
                    <w:rPr>
                      <w:rFonts w:hint="eastAsia" w:ascii="Times New Roman" w:hAnsi="Times New Roman" w:eastAsia="宋体" w:cs="Times New Roman"/>
                      <w:kern w:val="2"/>
                      <w:sz w:val="21"/>
                      <w:szCs w:val="21"/>
                      <w:u w:val="single"/>
                      <w:lang w:val="en-US" w:eastAsia="zh-CN" w:bidi="ar-SA"/>
                    </w:rPr>
                  </w:pPr>
                  <w:r>
                    <w:rPr>
                      <w:sz w:val="21"/>
                      <w:szCs w:val="21"/>
                      <w:u w:val="single"/>
                    </w:rPr>
                    <w:t>3</w:t>
                  </w:r>
                </w:p>
              </w:tc>
            </w:tr>
          </w:tbl>
          <w:p w14:paraId="2AF93B65">
            <w:pPr>
              <w:adjustRightInd w:val="0"/>
              <w:snapToGrid w:val="0"/>
              <w:ind w:firstLine="480" w:firstLineChars="200"/>
              <w:rPr>
                <w:lang w:val="de-DE"/>
              </w:rPr>
            </w:pPr>
            <w:r>
              <w:rPr>
                <w:lang w:val="de-DE"/>
              </w:rPr>
              <w:t>对照</w:t>
            </w:r>
            <w:r>
              <w:t>《产业结构调整指导目录》（202</w:t>
            </w:r>
            <w:r>
              <w:rPr>
                <w:rFonts w:hint="eastAsia"/>
                <w:lang w:val="en-US" w:eastAsia="zh-CN"/>
              </w:rPr>
              <w:t>4</w:t>
            </w:r>
            <w:r>
              <w:t>年</w:t>
            </w:r>
            <w:r>
              <w:rPr>
                <w:rFonts w:hint="eastAsia"/>
                <w:lang w:eastAsia="zh-CN"/>
              </w:rPr>
              <w:t>本</w:t>
            </w:r>
            <w:r>
              <w:t>）</w:t>
            </w:r>
            <w:r>
              <w:rPr>
                <w:lang w:val="de-DE"/>
              </w:rPr>
              <w:t>、《部分工业行业淘汰落后生产工艺装备和产品指导目录（2010年本）》等，公司厂区内生产设备中不涉及国家明令淘汰的设备。</w:t>
            </w:r>
          </w:p>
          <w:p w14:paraId="7F041609">
            <w:pPr>
              <w:adjustRightInd w:val="0"/>
              <w:snapToGrid w:val="0"/>
              <w:spacing w:line="240" w:lineRule="auto"/>
              <w:jc w:val="center"/>
            </w:pPr>
            <w:r>
              <w:rPr>
                <w:b/>
                <w:bCs/>
                <w:sz w:val="21"/>
                <w:szCs w:val="21"/>
              </w:rPr>
              <w:t>表2-4 项目原辅材料消耗一览表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1423"/>
              <w:gridCol w:w="1326"/>
              <w:gridCol w:w="649"/>
              <w:gridCol w:w="776"/>
              <w:gridCol w:w="899"/>
              <w:gridCol w:w="778"/>
              <w:gridCol w:w="1306"/>
            </w:tblGrid>
            <w:tr w14:paraId="6724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27" w:type="pct"/>
                  <w:vAlign w:val="center"/>
                </w:tcPr>
                <w:p w14:paraId="1257A293">
                  <w:pPr>
                    <w:adjustRightInd w:val="0"/>
                    <w:snapToGrid w:val="0"/>
                    <w:spacing w:line="240" w:lineRule="auto"/>
                    <w:jc w:val="center"/>
                    <w:rPr>
                      <w:b/>
                      <w:bCs/>
                      <w:sz w:val="21"/>
                      <w:szCs w:val="21"/>
                    </w:rPr>
                  </w:pPr>
                  <w:r>
                    <w:rPr>
                      <w:b/>
                      <w:bCs/>
                      <w:sz w:val="21"/>
                      <w:szCs w:val="21"/>
                    </w:rPr>
                    <w:t>名称</w:t>
                  </w:r>
                </w:p>
              </w:tc>
              <w:tc>
                <w:tcPr>
                  <w:tcW w:w="849" w:type="pct"/>
                  <w:vAlign w:val="center"/>
                </w:tcPr>
                <w:p w14:paraId="55D541AB">
                  <w:pPr>
                    <w:adjustRightInd w:val="0"/>
                    <w:snapToGrid w:val="0"/>
                    <w:spacing w:line="240" w:lineRule="auto"/>
                    <w:jc w:val="center"/>
                    <w:rPr>
                      <w:rFonts w:hint="eastAsia"/>
                      <w:b/>
                      <w:bCs/>
                      <w:sz w:val="21"/>
                      <w:szCs w:val="21"/>
                      <w:lang w:eastAsia="zh-CN"/>
                    </w:rPr>
                  </w:pPr>
                  <w:r>
                    <w:rPr>
                      <w:rFonts w:hint="eastAsia"/>
                      <w:b/>
                      <w:bCs/>
                      <w:sz w:val="21"/>
                      <w:szCs w:val="21"/>
                      <w:lang w:eastAsia="zh-CN"/>
                    </w:rPr>
                    <w:t>改扩建前年用量</w:t>
                  </w:r>
                </w:p>
              </w:tc>
              <w:tc>
                <w:tcPr>
                  <w:tcW w:w="791" w:type="pct"/>
                  <w:vAlign w:val="center"/>
                </w:tcPr>
                <w:p w14:paraId="14D19FC6">
                  <w:pPr>
                    <w:adjustRightInd w:val="0"/>
                    <w:snapToGrid w:val="0"/>
                    <w:spacing w:line="240" w:lineRule="auto"/>
                    <w:jc w:val="center"/>
                    <w:rPr>
                      <w:rFonts w:hint="eastAsia" w:eastAsia="宋体"/>
                      <w:b/>
                      <w:bCs/>
                      <w:sz w:val="21"/>
                      <w:szCs w:val="21"/>
                      <w:lang w:eastAsia="zh-CN"/>
                    </w:rPr>
                  </w:pPr>
                  <w:r>
                    <w:rPr>
                      <w:rFonts w:hint="eastAsia"/>
                      <w:b/>
                      <w:bCs/>
                      <w:sz w:val="21"/>
                      <w:szCs w:val="21"/>
                      <w:lang w:eastAsia="zh-CN"/>
                    </w:rPr>
                    <w:t>改扩建后年用量</w:t>
                  </w:r>
                </w:p>
              </w:tc>
              <w:tc>
                <w:tcPr>
                  <w:tcW w:w="387" w:type="pct"/>
                  <w:vAlign w:val="center"/>
                </w:tcPr>
                <w:p w14:paraId="61ABCA02">
                  <w:pPr>
                    <w:adjustRightInd w:val="0"/>
                    <w:snapToGrid w:val="0"/>
                    <w:spacing w:line="240" w:lineRule="auto"/>
                    <w:jc w:val="center"/>
                    <w:rPr>
                      <w:b/>
                      <w:bCs/>
                      <w:sz w:val="21"/>
                      <w:szCs w:val="21"/>
                    </w:rPr>
                  </w:pPr>
                  <w:r>
                    <w:rPr>
                      <w:rFonts w:hint="eastAsia"/>
                      <w:b/>
                      <w:bCs/>
                      <w:sz w:val="21"/>
                      <w:szCs w:val="21"/>
                    </w:rPr>
                    <w:t>形态</w:t>
                  </w:r>
                </w:p>
              </w:tc>
              <w:tc>
                <w:tcPr>
                  <w:tcW w:w="463" w:type="pct"/>
                  <w:vAlign w:val="center"/>
                </w:tcPr>
                <w:p w14:paraId="2DE3E2D6">
                  <w:pPr>
                    <w:adjustRightInd w:val="0"/>
                    <w:snapToGrid w:val="0"/>
                    <w:spacing w:line="240" w:lineRule="auto"/>
                    <w:jc w:val="center"/>
                    <w:rPr>
                      <w:b/>
                      <w:bCs/>
                      <w:sz w:val="21"/>
                      <w:szCs w:val="21"/>
                    </w:rPr>
                  </w:pPr>
                  <w:r>
                    <w:rPr>
                      <w:rFonts w:hint="eastAsia"/>
                      <w:b/>
                      <w:bCs/>
                      <w:sz w:val="21"/>
                      <w:szCs w:val="21"/>
                    </w:rPr>
                    <w:t>包装方式</w:t>
                  </w:r>
                </w:p>
              </w:tc>
              <w:tc>
                <w:tcPr>
                  <w:tcW w:w="536" w:type="pct"/>
                  <w:vAlign w:val="center"/>
                </w:tcPr>
                <w:p w14:paraId="72FC507A">
                  <w:pPr>
                    <w:adjustRightInd w:val="0"/>
                    <w:snapToGrid w:val="0"/>
                    <w:spacing w:line="240" w:lineRule="auto"/>
                    <w:jc w:val="center"/>
                    <w:rPr>
                      <w:b/>
                      <w:bCs/>
                      <w:sz w:val="21"/>
                      <w:szCs w:val="21"/>
                    </w:rPr>
                  </w:pPr>
                  <w:r>
                    <w:rPr>
                      <w:rFonts w:hint="eastAsia"/>
                      <w:b/>
                      <w:bCs/>
                      <w:sz w:val="21"/>
                      <w:szCs w:val="21"/>
                    </w:rPr>
                    <w:t>最大暂存量</w:t>
                  </w:r>
                </w:p>
              </w:tc>
              <w:tc>
                <w:tcPr>
                  <w:tcW w:w="464" w:type="pct"/>
                  <w:vAlign w:val="center"/>
                </w:tcPr>
                <w:p w14:paraId="5813BAF3">
                  <w:pPr>
                    <w:adjustRightInd w:val="0"/>
                    <w:snapToGrid w:val="0"/>
                    <w:spacing w:line="240" w:lineRule="auto"/>
                    <w:jc w:val="center"/>
                    <w:rPr>
                      <w:b/>
                      <w:bCs/>
                      <w:sz w:val="21"/>
                      <w:szCs w:val="21"/>
                    </w:rPr>
                  </w:pPr>
                  <w:r>
                    <w:rPr>
                      <w:b/>
                      <w:bCs/>
                      <w:sz w:val="21"/>
                      <w:szCs w:val="21"/>
                    </w:rPr>
                    <w:t>用途</w:t>
                  </w:r>
                </w:p>
              </w:tc>
              <w:tc>
                <w:tcPr>
                  <w:tcW w:w="779" w:type="pct"/>
                  <w:vAlign w:val="center"/>
                </w:tcPr>
                <w:p w14:paraId="29861584">
                  <w:pPr>
                    <w:adjustRightInd w:val="0"/>
                    <w:snapToGrid w:val="0"/>
                    <w:spacing w:line="240" w:lineRule="auto"/>
                    <w:jc w:val="center"/>
                    <w:rPr>
                      <w:b/>
                      <w:bCs/>
                      <w:sz w:val="21"/>
                      <w:szCs w:val="21"/>
                    </w:rPr>
                  </w:pPr>
                  <w:r>
                    <w:rPr>
                      <w:b/>
                      <w:bCs/>
                      <w:sz w:val="21"/>
                      <w:szCs w:val="21"/>
                    </w:rPr>
                    <w:t>来源</w:t>
                  </w:r>
                </w:p>
              </w:tc>
            </w:tr>
            <w:tr w14:paraId="6569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27" w:type="pct"/>
                  <w:vAlign w:val="center"/>
                </w:tcPr>
                <w:p w14:paraId="1B72FCB1">
                  <w:pPr>
                    <w:adjustRightInd w:val="0"/>
                    <w:snapToGrid w:val="0"/>
                    <w:spacing w:line="240" w:lineRule="auto"/>
                    <w:jc w:val="center"/>
                    <w:rPr>
                      <w:sz w:val="21"/>
                      <w:szCs w:val="21"/>
                      <w:u w:val="single"/>
                    </w:rPr>
                  </w:pPr>
                  <w:r>
                    <w:rPr>
                      <w:rFonts w:hint="eastAsia"/>
                      <w:sz w:val="21"/>
                      <w:szCs w:val="21"/>
                      <w:u w:val="single"/>
                    </w:rPr>
                    <w:t>青石</w:t>
                  </w:r>
                </w:p>
              </w:tc>
              <w:tc>
                <w:tcPr>
                  <w:tcW w:w="849" w:type="pct"/>
                  <w:vAlign w:val="center"/>
                </w:tcPr>
                <w:p w14:paraId="10D562BB">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1572.</w:t>
                  </w:r>
                  <w:r>
                    <w:rPr>
                      <w:rFonts w:hint="eastAsia"/>
                      <w:sz w:val="21"/>
                      <w:szCs w:val="21"/>
                      <w:u w:val="single"/>
                      <w:lang w:val="en-US" w:eastAsia="zh-CN"/>
                    </w:rPr>
                    <w:t>73</w:t>
                  </w:r>
                  <w:r>
                    <w:rPr>
                      <w:sz w:val="21"/>
                      <w:szCs w:val="21"/>
                      <w:u w:val="single"/>
                    </w:rPr>
                    <w:t>t/a</w:t>
                  </w:r>
                </w:p>
              </w:tc>
              <w:tc>
                <w:tcPr>
                  <w:tcW w:w="791" w:type="pct"/>
                  <w:vAlign w:val="center"/>
                </w:tcPr>
                <w:p w14:paraId="728ADE9B">
                  <w:pPr>
                    <w:spacing w:line="240" w:lineRule="auto"/>
                    <w:jc w:val="center"/>
                    <w:rPr>
                      <w:sz w:val="21"/>
                      <w:szCs w:val="21"/>
                      <w:u w:val="single"/>
                    </w:rPr>
                  </w:pPr>
                  <w:r>
                    <w:rPr>
                      <w:rFonts w:hint="eastAsia"/>
                      <w:sz w:val="21"/>
                      <w:szCs w:val="21"/>
                      <w:u w:val="single"/>
                    </w:rPr>
                    <w:t>1572.</w:t>
                  </w:r>
                  <w:r>
                    <w:rPr>
                      <w:rFonts w:hint="eastAsia"/>
                      <w:sz w:val="21"/>
                      <w:szCs w:val="21"/>
                      <w:u w:val="single"/>
                      <w:lang w:val="en-US" w:eastAsia="zh-CN"/>
                    </w:rPr>
                    <w:t>73</w:t>
                  </w:r>
                  <w:r>
                    <w:rPr>
                      <w:sz w:val="21"/>
                      <w:szCs w:val="21"/>
                      <w:u w:val="single"/>
                    </w:rPr>
                    <w:t>t/a</w:t>
                  </w:r>
                </w:p>
              </w:tc>
              <w:tc>
                <w:tcPr>
                  <w:tcW w:w="387" w:type="pct"/>
                  <w:shd w:val="clear" w:color="auto" w:fill="auto"/>
                  <w:vAlign w:val="center"/>
                </w:tcPr>
                <w:p w14:paraId="18A8D4B3">
                  <w:pPr>
                    <w:spacing w:line="240" w:lineRule="auto"/>
                    <w:jc w:val="center"/>
                    <w:rPr>
                      <w:sz w:val="21"/>
                      <w:szCs w:val="21"/>
                      <w:u w:val="single"/>
                    </w:rPr>
                  </w:pPr>
                  <w:r>
                    <w:rPr>
                      <w:rFonts w:hint="eastAsia"/>
                      <w:sz w:val="21"/>
                      <w:szCs w:val="21"/>
                      <w:u w:val="single"/>
                    </w:rPr>
                    <w:t>固态</w:t>
                  </w:r>
                </w:p>
              </w:tc>
              <w:tc>
                <w:tcPr>
                  <w:tcW w:w="463" w:type="pct"/>
                  <w:shd w:val="clear" w:color="auto" w:fill="auto"/>
                  <w:vAlign w:val="center"/>
                </w:tcPr>
                <w:p w14:paraId="01DCF51F">
                  <w:pPr>
                    <w:spacing w:line="240" w:lineRule="auto"/>
                    <w:jc w:val="center"/>
                    <w:rPr>
                      <w:sz w:val="21"/>
                      <w:szCs w:val="21"/>
                      <w:u w:val="single"/>
                    </w:rPr>
                  </w:pPr>
                  <w:r>
                    <w:rPr>
                      <w:rFonts w:hint="eastAsia"/>
                      <w:sz w:val="21"/>
                      <w:szCs w:val="21"/>
                      <w:u w:val="single"/>
                    </w:rPr>
                    <w:t>/</w:t>
                  </w:r>
                </w:p>
              </w:tc>
              <w:tc>
                <w:tcPr>
                  <w:tcW w:w="536" w:type="pct"/>
                  <w:shd w:val="clear" w:color="auto" w:fill="auto"/>
                  <w:vAlign w:val="center"/>
                </w:tcPr>
                <w:p w14:paraId="5B0A33C1">
                  <w:pPr>
                    <w:spacing w:line="240" w:lineRule="auto"/>
                    <w:jc w:val="center"/>
                    <w:rPr>
                      <w:sz w:val="21"/>
                      <w:szCs w:val="21"/>
                      <w:u w:val="single"/>
                    </w:rPr>
                  </w:pPr>
                  <w:r>
                    <w:rPr>
                      <w:rFonts w:hint="eastAsia"/>
                      <w:sz w:val="21"/>
                      <w:szCs w:val="21"/>
                      <w:u w:val="single"/>
                    </w:rPr>
                    <w:t>500</w:t>
                  </w:r>
                  <w:r>
                    <w:rPr>
                      <w:sz w:val="21"/>
                      <w:szCs w:val="21"/>
                      <w:u w:val="single"/>
                    </w:rPr>
                    <w:t>t/a</w:t>
                  </w:r>
                </w:p>
              </w:tc>
              <w:tc>
                <w:tcPr>
                  <w:tcW w:w="464" w:type="pct"/>
                  <w:shd w:val="clear" w:color="auto" w:fill="auto"/>
                  <w:vAlign w:val="center"/>
                </w:tcPr>
                <w:p w14:paraId="5340A40A">
                  <w:pPr>
                    <w:adjustRightInd w:val="0"/>
                    <w:snapToGrid w:val="0"/>
                    <w:spacing w:line="240" w:lineRule="auto"/>
                    <w:jc w:val="center"/>
                    <w:rPr>
                      <w:sz w:val="21"/>
                      <w:szCs w:val="21"/>
                      <w:u w:val="single"/>
                    </w:rPr>
                  </w:pPr>
                  <w:r>
                    <w:rPr>
                      <w:rFonts w:hint="default" w:ascii="Times New Roman" w:hAnsi="Times New Roman" w:eastAsia="宋体" w:cs="Times New Roman"/>
                      <w:bCs w:val="0"/>
                      <w:kern w:val="2"/>
                      <w:sz w:val="21"/>
                      <w:szCs w:val="21"/>
                      <w:u w:val="single"/>
                      <w:lang w:val="en-US" w:eastAsia="zh-CN" w:bidi="ar-SA"/>
                    </w:rPr>
                    <w:t>墓碑及附属产品和其他板材</w:t>
                  </w:r>
                  <w:r>
                    <w:rPr>
                      <w:sz w:val="21"/>
                      <w:szCs w:val="21"/>
                      <w:u w:val="single"/>
                    </w:rPr>
                    <w:t>原料</w:t>
                  </w:r>
                </w:p>
              </w:tc>
              <w:tc>
                <w:tcPr>
                  <w:tcW w:w="779" w:type="pct"/>
                  <w:shd w:val="clear" w:color="auto" w:fill="auto"/>
                  <w:vAlign w:val="center"/>
                </w:tcPr>
                <w:p w14:paraId="13B14CA9">
                  <w:pPr>
                    <w:adjustRightInd w:val="0"/>
                    <w:snapToGrid w:val="0"/>
                    <w:spacing w:line="240" w:lineRule="auto"/>
                    <w:jc w:val="center"/>
                    <w:rPr>
                      <w:sz w:val="21"/>
                      <w:szCs w:val="21"/>
                      <w:u w:val="single"/>
                    </w:rPr>
                  </w:pPr>
                  <w:r>
                    <w:rPr>
                      <w:sz w:val="21"/>
                      <w:szCs w:val="21"/>
                      <w:u w:val="single"/>
                    </w:rPr>
                    <w:t>外购</w:t>
                  </w:r>
                  <w:r>
                    <w:rPr>
                      <w:rFonts w:hint="eastAsia"/>
                      <w:sz w:val="21"/>
                      <w:szCs w:val="21"/>
                      <w:u w:val="single"/>
                      <w:lang w:eastAsia="zh-CN"/>
                    </w:rPr>
                    <w:t>，</w:t>
                  </w:r>
                  <w:r>
                    <w:rPr>
                      <w:rFonts w:hint="eastAsia"/>
                      <w:bCs/>
                      <w:sz w:val="21"/>
                      <w:szCs w:val="21"/>
                    </w:rPr>
                    <w:t>来源于广西、贵州</w:t>
                  </w:r>
                </w:p>
              </w:tc>
            </w:tr>
            <w:tr w14:paraId="3D2C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27" w:type="pct"/>
                  <w:vAlign w:val="center"/>
                </w:tcPr>
                <w:p w14:paraId="5AF8C0D0">
                  <w:pPr>
                    <w:adjustRightInd w:val="0"/>
                    <w:snapToGrid w:val="0"/>
                    <w:spacing w:line="240" w:lineRule="auto"/>
                    <w:jc w:val="center"/>
                    <w:rPr>
                      <w:rFonts w:hint="eastAsia" w:eastAsia="宋体"/>
                      <w:sz w:val="21"/>
                      <w:szCs w:val="21"/>
                      <w:u w:val="single"/>
                      <w:lang w:eastAsia="zh-CN"/>
                    </w:rPr>
                  </w:pPr>
                  <w:r>
                    <w:rPr>
                      <w:rFonts w:hint="eastAsia"/>
                      <w:sz w:val="21"/>
                      <w:szCs w:val="21"/>
                      <w:u w:val="single"/>
                      <w:lang w:eastAsia="zh-CN"/>
                    </w:rPr>
                    <w:t>黑色石材蜡</w:t>
                  </w:r>
                </w:p>
              </w:tc>
              <w:tc>
                <w:tcPr>
                  <w:tcW w:w="849" w:type="pct"/>
                  <w:vAlign w:val="center"/>
                </w:tcPr>
                <w:p w14:paraId="382CEF44">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w:t>
                  </w:r>
                </w:p>
              </w:tc>
              <w:tc>
                <w:tcPr>
                  <w:tcW w:w="791" w:type="pct"/>
                  <w:vAlign w:val="center"/>
                </w:tcPr>
                <w:p w14:paraId="5F0DD8CD">
                  <w:pPr>
                    <w:spacing w:line="240" w:lineRule="auto"/>
                    <w:jc w:val="center"/>
                    <w:rPr>
                      <w:rFonts w:hint="default" w:eastAsia="宋体"/>
                      <w:sz w:val="21"/>
                      <w:szCs w:val="21"/>
                      <w:u w:val="single"/>
                      <w:lang w:val="en-US" w:eastAsia="zh-CN"/>
                    </w:rPr>
                  </w:pPr>
                  <w:r>
                    <w:rPr>
                      <w:rFonts w:hint="eastAsia"/>
                      <w:sz w:val="21"/>
                      <w:szCs w:val="21"/>
                      <w:u w:val="single"/>
                      <w:lang w:val="en-US" w:eastAsia="zh-CN"/>
                    </w:rPr>
                    <w:t>0.004</w:t>
                  </w:r>
                  <w:r>
                    <w:rPr>
                      <w:sz w:val="21"/>
                      <w:szCs w:val="21"/>
                      <w:u w:val="single"/>
                    </w:rPr>
                    <w:t>t/a</w:t>
                  </w:r>
                </w:p>
              </w:tc>
              <w:tc>
                <w:tcPr>
                  <w:tcW w:w="387" w:type="pct"/>
                  <w:shd w:val="clear" w:color="auto" w:fill="auto"/>
                  <w:vAlign w:val="center"/>
                </w:tcPr>
                <w:p w14:paraId="327FCA7E">
                  <w:pPr>
                    <w:spacing w:line="240" w:lineRule="auto"/>
                    <w:jc w:val="center"/>
                    <w:rPr>
                      <w:rFonts w:hint="eastAsia"/>
                      <w:sz w:val="21"/>
                      <w:szCs w:val="21"/>
                      <w:u w:val="single"/>
                    </w:rPr>
                  </w:pPr>
                  <w:r>
                    <w:rPr>
                      <w:rFonts w:hint="eastAsia"/>
                      <w:sz w:val="21"/>
                      <w:szCs w:val="21"/>
                      <w:u w:val="single"/>
                    </w:rPr>
                    <w:t>固态</w:t>
                  </w:r>
                </w:p>
              </w:tc>
              <w:tc>
                <w:tcPr>
                  <w:tcW w:w="463" w:type="pct"/>
                  <w:shd w:val="clear" w:color="auto" w:fill="auto"/>
                  <w:vAlign w:val="center"/>
                </w:tcPr>
                <w:p w14:paraId="38293F18">
                  <w:pPr>
                    <w:spacing w:line="240" w:lineRule="auto"/>
                    <w:jc w:val="center"/>
                    <w:rPr>
                      <w:rFonts w:hint="eastAsia" w:eastAsia="宋体"/>
                      <w:sz w:val="21"/>
                      <w:szCs w:val="21"/>
                      <w:highlight w:val="none"/>
                      <w:u w:val="single"/>
                      <w:lang w:eastAsia="zh-CN"/>
                    </w:rPr>
                  </w:pPr>
                  <w:r>
                    <w:rPr>
                      <w:rFonts w:hint="eastAsia"/>
                      <w:sz w:val="21"/>
                      <w:szCs w:val="21"/>
                      <w:highlight w:val="none"/>
                      <w:u w:val="single"/>
                      <w:lang w:eastAsia="zh-CN"/>
                    </w:rPr>
                    <w:t>罐装</w:t>
                  </w:r>
                </w:p>
              </w:tc>
              <w:tc>
                <w:tcPr>
                  <w:tcW w:w="536" w:type="pct"/>
                  <w:shd w:val="clear" w:color="auto" w:fill="auto"/>
                  <w:vAlign w:val="center"/>
                </w:tcPr>
                <w:p w14:paraId="5083EFBB">
                  <w:pPr>
                    <w:spacing w:line="240" w:lineRule="auto"/>
                    <w:jc w:val="center"/>
                    <w:rPr>
                      <w:rFonts w:hint="default" w:eastAsia="宋体"/>
                      <w:sz w:val="21"/>
                      <w:szCs w:val="21"/>
                      <w:u w:val="single"/>
                      <w:lang w:val="en-US" w:eastAsia="zh-CN"/>
                    </w:rPr>
                  </w:pPr>
                  <w:r>
                    <w:rPr>
                      <w:rFonts w:hint="eastAsia"/>
                      <w:sz w:val="21"/>
                      <w:szCs w:val="21"/>
                      <w:u w:val="single"/>
                      <w:lang w:val="en-US" w:eastAsia="zh-CN"/>
                    </w:rPr>
                    <w:t>0.002</w:t>
                  </w:r>
                  <w:r>
                    <w:rPr>
                      <w:sz w:val="21"/>
                      <w:szCs w:val="21"/>
                      <w:u w:val="single"/>
                    </w:rPr>
                    <w:t>t/a</w:t>
                  </w:r>
                </w:p>
              </w:tc>
              <w:tc>
                <w:tcPr>
                  <w:tcW w:w="464" w:type="pct"/>
                  <w:shd w:val="clear" w:color="auto" w:fill="auto"/>
                  <w:vAlign w:val="center"/>
                </w:tcPr>
                <w:p w14:paraId="37B54B92">
                  <w:pPr>
                    <w:adjustRightInd w:val="0"/>
                    <w:snapToGrid w:val="0"/>
                    <w:spacing w:line="240" w:lineRule="auto"/>
                    <w:jc w:val="center"/>
                    <w:rPr>
                      <w:rFonts w:hint="default" w:ascii="Times New Roman" w:hAnsi="Times New Roman" w:eastAsia="宋体" w:cs="Times New Roman"/>
                      <w:bCs w:val="0"/>
                      <w:kern w:val="2"/>
                      <w:sz w:val="21"/>
                      <w:szCs w:val="21"/>
                      <w:u w:val="single"/>
                      <w:lang w:val="en-US" w:eastAsia="zh-CN" w:bidi="ar-SA"/>
                    </w:rPr>
                  </w:pPr>
                  <w:r>
                    <w:rPr>
                      <w:rFonts w:hint="eastAsia" w:cs="Times New Roman"/>
                      <w:bCs w:val="0"/>
                      <w:kern w:val="2"/>
                      <w:sz w:val="21"/>
                      <w:szCs w:val="21"/>
                      <w:u w:val="single"/>
                      <w:lang w:val="en-US" w:eastAsia="zh-CN" w:bidi="ar-SA"/>
                    </w:rPr>
                    <w:t>部分墓碑原料</w:t>
                  </w:r>
                </w:p>
              </w:tc>
              <w:tc>
                <w:tcPr>
                  <w:tcW w:w="779" w:type="pct"/>
                  <w:shd w:val="clear" w:color="auto" w:fill="auto"/>
                  <w:vAlign w:val="center"/>
                </w:tcPr>
                <w:p w14:paraId="4867E1C2">
                  <w:pPr>
                    <w:adjustRightInd w:val="0"/>
                    <w:snapToGrid w:val="0"/>
                    <w:spacing w:line="240" w:lineRule="auto"/>
                    <w:jc w:val="center"/>
                    <w:rPr>
                      <w:sz w:val="21"/>
                      <w:szCs w:val="21"/>
                      <w:u w:val="single"/>
                    </w:rPr>
                  </w:pPr>
                  <w:r>
                    <w:rPr>
                      <w:sz w:val="21"/>
                      <w:szCs w:val="21"/>
                      <w:u w:val="single"/>
                    </w:rPr>
                    <w:t>外购</w:t>
                  </w:r>
                </w:p>
              </w:tc>
            </w:tr>
            <w:tr w14:paraId="1C84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27" w:type="pct"/>
                  <w:vAlign w:val="center"/>
                </w:tcPr>
                <w:p w14:paraId="66A96262">
                  <w:pPr>
                    <w:adjustRightInd w:val="0"/>
                    <w:snapToGrid w:val="0"/>
                    <w:spacing w:line="240" w:lineRule="auto"/>
                    <w:jc w:val="center"/>
                    <w:rPr>
                      <w:rFonts w:hint="eastAsia"/>
                      <w:sz w:val="21"/>
                      <w:szCs w:val="21"/>
                      <w:u w:val="single"/>
                      <w:lang w:eastAsia="zh-CN"/>
                    </w:rPr>
                  </w:pPr>
                  <w:r>
                    <w:rPr>
                      <w:rFonts w:hint="eastAsia"/>
                      <w:sz w:val="21"/>
                      <w:szCs w:val="21"/>
                      <w:u w:val="single"/>
                      <w:lang w:eastAsia="zh-CN"/>
                    </w:rPr>
                    <w:t>透明石材蜡</w:t>
                  </w:r>
                </w:p>
              </w:tc>
              <w:tc>
                <w:tcPr>
                  <w:tcW w:w="849" w:type="pct"/>
                  <w:vAlign w:val="center"/>
                </w:tcPr>
                <w:p w14:paraId="4EC45204">
                  <w:pPr>
                    <w:spacing w:line="240" w:lineRule="auto"/>
                    <w:jc w:val="center"/>
                    <w:rPr>
                      <w:rFonts w:hint="eastAsia"/>
                      <w:sz w:val="21"/>
                      <w:szCs w:val="21"/>
                      <w:u w:val="single"/>
                      <w:lang w:val="en-US" w:eastAsia="zh-CN"/>
                    </w:rPr>
                  </w:pPr>
                  <w:r>
                    <w:rPr>
                      <w:rFonts w:hint="eastAsia"/>
                      <w:sz w:val="21"/>
                      <w:szCs w:val="21"/>
                      <w:u w:val="single"/>
                      <w:lang w:val="en-US" w:eastAsia="zh-CN"/>
                    </w:rPr>
                    <w:t>0</w:t>
                  </w:r>
                </w:p>
              </w:tc>
              <w:tc>
                <w:tcPr>
                  <w:tcW w:w="791" w:type="pct"/>
                  <w:vAlign w:val="center"/>
                </w:tcPr>
                <w:p w14:paraId="54776FD2">
                  <w:pPr>
                    <w:spacing w:line="240" w:lineRule="auto"/>
                    <w:jc w:val="center"/>
                    <w:rPr>
                      <w:rFonts w:hint="default"/>
                      <w:sz w:val="21"/>
                      <w:szCs w:val="21"/>
                      <w:u w:val="single"/>
                      <w:lang w:val="en-US" w:eastAsia="zh-CN"/>
                    </w:rPr>
                  </w:pPr>
                  <w:r>
                    <w:rPr>
                      <w:rFonts w:hint="eastAsia"/>
                      <w:sz w:val="21"/>
                      <w:szCs w:val="21"/>
                      <w:u w:val="single"/>
                      <w:lang w:val="en-US" w:eastAsia="zh-CN"/>
                    </w:rPr>
                    <w:t>0.005</w:t>
                  </w:r>
                  <w:r>
                    <w:rPr>
                      <w:sz w:val="21"/>
                      <w:szCs w:val="21"/>
                      <w:u w:val="single"/>
                    </w:rPr>
                    <w:t>t/a</w:t>
                  </w:r>
                </w:p>
              </w:tc>
              <w:tc>
                <w:tcPr>
                  <w:tcW w:w="387" w:type="pct"/>
                  <w:shd w:val="clear" w:color="auto" w:fill="auto"/>
                  <w:vAlign w:val="center"/>
                </w:tcPr>
                <w:p w14:paraId="4EC179D0">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rPr>
                    <w:t>固态</w:t>
                  </w:r>
                </w:p>
              </w:tc>
              <w:tc>
                <w:tcPr>
                  <w:tcW w:w="463" w:type="pct"/>
                  <w:shd w:val="clear" w:color="auto" w:fill="auto"/>
                  <w:vAlign w:val="center"/>
                </w:tcPr>
                <w:p w14:paraId="79153912">
                  <w:pPr>
                    <w:spacing w:line="240" w:lineRule="auto"/>
                    <w:jc w:val="center"/>
                    <w:rPr>
                      <w:rFonts w:hint="eastAsia" w:ascii="Times New Roman" w:hAnsi="Times New Roman" w:eastAsia="宋体" w:cs="Times New Roman"/>
                      <w:kern w:val="2"/>
                      <w:sz w:val="21"/>
                      <w:szCs w:val="21"/>
                      <w:highlight w:val="none"/>
                      <w:u w:val="single"/>
                      <w:lang w:val="en-US" w:eastAsia="zh-CN" w:bidi="ar-SA"/>
                    </w:rPr>
                  </w:pPr>
                  <w:r>
                    <w:rPr>
                      <w:rFonts w:hint="eastAsia"/>
                      <w:sz w:val="21"/>
                      <w:szCs w:val="21"/>
                      <w:highlight w:val="none"/>
                      <w:u w:val="single"/>
                      <w:lang w:eastAsia="zh-CN"/>
                    </w:rPr>
                    <w:t>罐装</w:t>
                  </w:r>
                </w:p>
              </w:tc>
              <w:tc>
                <w:tcPr>
                  <w:tcW w:w="536" w:type="pct"/>
                  <w:shd w:val="clear" w:color="auto" w:fill="auto"/>
                  <w:vAlign w:val="center"/>
                </w:tcPr>
                <w:p w14:paraId="2A74766A">
                  <w:pPr>
                    <w:spacing w:line="240" w:lineRule="auto"/>
                    <w:jc w:val="center"/>
                    <w:rPr>
                      <w:rFonts w:hint="default"/>
                      <w:sz w:val="21"/>
                      <w:szCs w:val="21"/>
                      <w:u w:val="single"/>
                      <w:lang w:val="en-US" w:eastAsia="zh-CN"/>
                    </w:rPr>
                  </w:pPr>
                  <w:r>
                    <w:rPr>
                      <w:rFonts w:hint="eastAsia"/>
                      <w:sz w:val="21"/>
                      <w:szCs w:val="21"/>
                      <w:u w:val="single"/>
                      <w:lang w:val="en-US" w:eastAsia="zh-CN"/>
                    </w:rPr>
                    <w:t>0.001</w:t>
                  </w:r>
                  <w:r>
                    <w:rPr>
                      <w:sz w:val="21"/>
                      <w:szCs w:val="21"/>
                      <w:u w:val="single"/>
                    </w:rPr>
                    <w:t>t/a</w:t>
                  </w:r>
                </w:p>
              </w:tc>
              <w:tc>
                <w:tcPr>
                  <w:tcW w:w="464" w:type="pct"/>
                  <w:shd w:val="clear" w:color="auto" w:fill="auto"/>
                  <w:vAlign w:val="center"/>
                </w:tcPr>
                <w:p w14:paraId="47B8C00F">
                  <w:pPr>
                    <w:adjustRightInd w:val="0"/>
                    <w:snapToGrid w:val="0"/>
                    <w:spacing w:line="240" w:lineRule="auto"/>
                    <w:jc w:val="center"/>
                    <w:rPr>
                      <w:rFonts w:hint="eastAsia" w:ascii="Times New Roman" w:hAnsi="Times New Roman" w:eastAsia="宋体" w:cs="Times New Roman"/>
                      <w:bCs w:val="0"/>
                      <w:kern w:val="2"/>
                      <w:sz w:val="21"/>
                      <w:szCs w:val="21"/>
                      <w:u w:val="single"/>
                      <w:lang w:val="en-US" w:eastAsia="zh-CN" w:bidi="ar-SA"/>
                    </w:rPr>
                  </w:pPr>
                  <w:r>
                    <w:rPr>
                      <w:rFonts w:hint="eastAsia" w:cs="Times New Roman"/>
                      <w:bCs w:val="0"/>
                      <w:kern w:val="2"/>
                      <w:sz w:val="21"/>
                      <w:szCs w:val="21"/>
                      <w:u w:val="single"/>
                      <w:lang w:val="en-US" w:eastAsia="zh-CN" w:bidi="ar-SA"/>
                    </w:rPr>
                    <w:t>部分墓碑原料</w:t>
                  </w:r>
                </w:p>
              </w:tc>
              <w:tc>
                <w:tcPr>
                  <w:tcW w:w="779" w:type="pct"/>
                  <w:shd w:val="clear" w:color="auto" w:fill="auto"/>
                  <w:vAlign w:val="center"/>
                </w:tcPr>
                <w:p w14:paraId="227A9897">
                  <w:pPr>
                    <w:adjustRightInd w:val="0"/>
                    <w:snapToGrid w:val="0"/>
                    <w:spacing w:line="240" w:lineRule="auto"/>
                    <w:jc w:val="center"/>
                    <w:rPr>
                      <w:rFonts w:ascii="Times New Roman" w:hAnsi="Times New Roman" w:eastAsia="宋体" w:cs="Times New Roman"/>
                      <w:kern w:val="2"/>
                      <w:sz w:val="21"/>
                      <w:szCs w:val="21"/>
                      <w:u w:val="single"/>
                      <w:lang w:val="en-US" w:eastAsia="zh-CN" w:bidi="ar-SA"/>
                    </w:rPr>
                  </w:pPr>
                  <w:r>
                    <w:rPr>
                      <w:sz w:val="21"/>
                      <w:szCs w:val="21"/>
                      <w:u w:val="single"/>
                    </w:rPr>
                    <w:t>外购</w:t>
                  </w:r>
                </w:p>
              </w:tc>
            </w:tr>
            <w:tr w14:paraId="6A5B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27" w:type="pct"/>
                  <w:vAlign w:val="center"/>
                </w:tcPr>
                <w:p w14:paraId="0ECCEC0D">
                  <w:pPr>
                    <w:adjustRightInd w:val="0"/>
                    <w:snapToGrid w:val="0"/>
                    <w:spacing w:line="240" w:lineRule="auto"/>
                    <w:jc w:val="center"/>
                    <w:rPr>
                      <w:sz w:val="21"/>
                      <w:szCs w:val="21"/>
                    </w:rPr>
                  </w:pPr>
                  <w:r>
                    <w:rPr>
                      <w:rFonts w:hint="eastAsia"/>
                      <w:sz w:val="21"/>
                      <w:szCs w:val="21"/>
                    </w:rPr>
                    <w:t>花岗岩</w:t>
                  </w:r>
                </w:p>
              </w:tc>
              <w:tc>
                <w:tcPr>
                  <w:tcW w:w="849" w:type="pct"/>
                  <w:vAlign w:val="center"/>
                </w:tcPr>
                <w:p w14:paraId="5BAECEAB">
                  <w:pPr>
                    <w:spacing w:line="240" w:lineRule="auto"/>
                    <w:jc w:val="center"/>
                    <w:rPr>
                      <w:rFonts w:hint="eastAsia" w:eastAsia="宋体"/>
                      <w:sz w:val="21"/>
                      <w:szCs w:val="21"/>
                      <w:lang w:val="en-US" w:eastAsia="zh-CN"/>
                    </w:rPr>
                  </w:pPr>
                  <w:r>
                    <w:rPr>
                      <w:rFonts w:hint="eastAsia"/>
                      <w:sz w:val="21"/>
                      <w:szCs w:val="21"/>
                      <w:lang w:val="en-US" w:eastAsia="zh-CN"/>
                    </w:rPr>
                    <w:t>0</w:t>
                  </w:r>
                </w:p>
              </w:tc>
              <w:tc>
                <w:tcPr>
                  <w:tcW w:w="791" w:type="pct"/>
                  <w:vAlign w:val="center"/>
                </w:tcPr>
                <w:p w14:paraId="0185C54B">
                  <w:pPr>
                    <w:spacing w:line="240" w:lineRule="auto"/>
                    <w:jc w:val="center"/>
                    <w:rPr>
                      <w:sz w:val="21"/>
                      <w:szCs w:val="21"/>
                    </w:rPr>
                  </w:pPr>
                  <w:r>
                    <w:rPr>
                      <w:rFonts w:hint="eastAsia"/>
                      <w:sz w:val="21"/>
                      <w:szCs w:val="21"/>
                    </w:rPr>
                    <w:t>289.020</w:t>
                  </w:r>
                  <w:r>
                    <w:rPr>
                      <w:rFonts w:hint="eastAsia"/>
                      <w:sz w:val="21"/>
                      <w:szCs w:val="21"/>
                      <w:lang w:val="en-US" w:eastAsia="zh-CN"/>
                    </w:rPr>
                    <w:t>4</w:t>
                  </w:r>
                  <w:r>
                    <w:rPr>
                      <w:sz w:val="21"/>
                      <w:szCs w:val="21"/>
                    </w:rPr>
                    <w:t>t/a</w:t>
                  </w:r>
                </w:p>
              </w:tc>
              <w:tc>
                <w:tcPr>
                  <w:tcW w:w="387" w:type="pct"/>
                  <w:shd w:val="clear" w:color="auto" w:fill="auto"/>
                  <w:vAlign w:val="center"/>
                </w:tcPr>
                <w:p w14:paraId="76D6B29C">
                  <w:pPr>
                    <w:spacing w:line="240" w:lineRule="auto"/>
                    <w:jc w:val="center"/>
                    <w:rPr>
                      <w:sz w:val="21"/>
                      <w:szCs w:val="21"/>
                    </w:rPr>
                  </w:pPr>
                  <w:r>
                    <w:rPr>
                      <w:rFonts w:hint="eastAsia"/>
                      <w:sz w:val="21"/>
                      <w:szCs w:val="21"/>
                    </w:rPr>
                    <w:t>固态</w:t>
                  </w:r>
                </w:p>
              </w:tc>
              <w:tc>
                <w:tcPr>
                  <w:tcW w:w="463" w:type="pct"/>
                  <w:shd w:val="clear" w:color="auto" w:fill="auto"/>
                  <w:vAlign w:val="center"/>
                </w:tcPr>
                <w:p w14:paraId="109EB810">
                  <w:pPr>
                    <w:spacing w:line="240" w:lineRule="auto"/>
                    <w:jc w:val="center"/>
                    <w:rPr>
                      <w:sz w:val="21"/>
                      <w:szCs w:val="21"/>
                    </w:rPr>
                  </w:pPr>
                  <w:r>
                    <w:rPr>
                      <w:rFonts w:hint="eastAsia"/>
                      <w:sz w:val="21"/>
                      <w:szCs w:val="21"/>
                    </w:rPr>
                    <w:t>/</w:t>
                  </w:r>
                </w:p>
              </w:tc>
              <w:tc>
                <w:tcPr>
                  <w:tcW w:w="536" w:type="pct"/>
                  <w:shd w:val="clear" w:color="auto" w:fill="auto"/>
                  <w:vAlign w:val="center"/>
                </w:tcPr>
                <w:p w14:paraId="4076AD35">
                  <w:pPr>
                    <w:spacing w:line="240" w:lineRule="auto"/>
                    <w:jc w:val="center"/>
                    <w:rPr>
                      <w:sz w:val="21"/>
                      <w:szCs w:val="21"/>
                    </w:rPr>
                  </w:pPr>
                  <w:r>
                    <w:rPr>
                      <w:rFonts w:hint="eastAsia"/>
                      <w:sz w:val="21"/>
                      <w:szCs w:val="21"/>
                    </w:rPr>
                    <w:t>60</w:t>
                  </w:r>
                  <w:r>
                    <w:rPr>
                      <w:sz w:val="21"/>
                      <w:szCs w:val="21"/>
                    </w:rPr>
                    <w:t>t/a</w:t>
                  </w:r>
                </w:p>
              </w:tc>
              <w:tc>
                <w:tcPr>
                  <w:tcW w:w="464" w:type="pct"/>
                  <w:shd w:val="clear" w:color="auto" w:fill="auto"/>
                  <w:vAlign w:val="center"/>
                </w:tcPr>
                <w:p w14:paraId="39142E88">
                  <w:pPr>
                    <w:adjustRightInd w:val="0"/>
                    <w:snapToGrid w:val="0"/>
                    <w:spacing w:line="240" w:lineRule="auto"/>
                    <w:jc w:val="center"/>
                    <w:rPr>
                      <w:sz w:val="21"/>
                      <w:szCs w:val="21"/>
                    </w:rPr>
                  </w:pPr>
                  <w:r>
                    <w:rPr>
                      <w:rFonts w:hint="eastAsia"/>
                      <w:sz w:val="21"/>
                      <w:szCs w:val="21"/>
                    </w:rPr>
                    <w:t>路沿石原料</w:t>
                  </w:r>
                </w:p>
              </w:tc>
              <w:tc>
                <w:tcPr>
                  <w:tcW w:w="779" w:type="pct"/>
                  <w:shd w:val="clear" w:color="auto" w:fill="auto"/>
                  <w:vAlign w:val="center"/>
                </w:tcPr>
                <w:p w14:paraId="386372A3">
                  <w:pPr>
                    <w:adjustRightInd w:val="0"/>
                    <w:snapToGrid w:val="0"/>
                    <w:spacing w:line="240" w:lineRule="auto"/>
                    <w:jc w:val="center"/>
                    <w:rPr>
                      <w:rFonts w:hint="eastAsia" w:eastAsia="宋体"/>
                      <w:color w:val="0000C7"/>
                      <w:sz w:val="21"/>
                      <w:szCs w:val="21"/>
                      <w:lang w:eastAsia="zh-CN"/>
                    </w:rPr>
                  </w:pPr>
                  <w:r>
                    <w:rPr>
                      <w:sz w:val="21"/>
                      <w:szCs w:val="21"/>
                    </w:rPr>
                    <w:t>外购</w:t>
                  </w:r>
                  <w:r>
                    <w:rPr>
                      <w:rFonts w:hint="eastAsia"/>
                      <w:sz w:val="21"/>
                      <w:szCs w:val="21"/>
                      <w:lang w:eastAsia="zh-CN"/>
                    </w:rPr>
                    <w:t>，</w:t>
                  </w:r>
                  <w:r>
                    <w:rPr>
                      <w:rFonts w:hint="eastAsia"/>
                      <w:bCs/>
                      <w:sz w:val="21"/>
                      <w:szCs w:val="21"/>
                    </w:rPr>
                    <w:t>来源</w:t>
                  </w:r>
                  <w:r>
                    <w:rPr>
                      <w:rFonts w:hint="eastAsia"/>
                      <w:bCs/>
                      <w:sz w:val="21"/>
                      <w:szCs w:val="21"/>
                      <w:lang w:eastAsia="zh-CN"/>
                    </w:rPr>
                    <w:t>于</w:t>
                  </w:r>
                  <w:r>
                    <w:rPr>
                      <w:rFonts w:hint="eastAsia"/>
                      <w:bCs/>
                      <w:sz w:val="21"/>
                      <w:szCs w:val="21"/>
                    </w:rPr>
                    <w:t>怀化市溆浦县黄茅园镇</w:t>
                  </w:r>
                </w:p>
              </w:tc>
            </w:tr>
            <w:tr w14:paraId="4643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27" w:type="pct"/>
                  <w:vAlign w:val="center"/>
                </w:tcPr>
                <w:p w14:paraId="6FEFE1C5">
                  <w:pPr>
                    <w:adjustRightInd w:val="0"/>
                    <w:snapToGrid w:val="0"/>
                    <w:spacing w:line="240" w:lineRule="auto"/>
                    <w:jc w:val="center"/>
                    <w:rPr>
                      <w:sz w:val="21"/>
                      <w:szCs w:val="21"/>
                    </w:rPr>
                  </w:pPr>
                  <w:r>
                    <w:rPr>
                      <w:rFonts w:hint="eastAsia"/>
                      <w:sz w:val="21"/>
                      <w:szCs w:val="21"/>
                    </w:rPr>
                    <w:t>青石、花岗岩边角料</w:t>
                  </w:r>
                </w:p>
              </w:tc>
              <w:tc>
                <w:tcPr>
                  <w:tcW w:w="849" w:type="pct"/>
                  <w:vAlign w:val="center"/>
                </w:tcPr>
                <w:p w14:paraId="71255C6E">
                  <w:pPr>
                    <w:spacing w:line="240" w:lineRule="auto"/>
                    <w:jc w:val="center"/>
                    <w:rPr>
                      <w:rFonts w:hint="eastAsia" w:eastAsia="宋体"/>
                      <w:sz w:val="21"/>
                      <w:szCs w:val="21"/>
                      <w:lang w:val="en-US" w:eastAsia="zh-CN"/>
                    </w:rPr>
                  </w:pPr>
                  <w:r>
                    <w:rPr>
                      <w:rFonts w:hint="eastAsia"/>
                      <w:sz w:val="21"/>
                      <w:szCs w:val="21"/>
                      <w:lang w:val="en-US" w:eastAsia="zh-CN"/>
                    </w:rPr>
                    <w:t>0</w:t>
                  </w:r>
                </w:p>
              </w:tc>
              <w:tc>
                <w:tcPr>
                  <w:tcW w:w="791" w:type="pct"/>
                  <w:vAlign w:val="center"/>
                </w:tcPr>
                <w:p w14:paraId="48F50D13">
                  <w:pPr>
                    <w:spacing w:line="240" w:lineRule="auto"/>
                    <w:jc w:val="center"/>
                    <w:rPr>
                      <w:sz w:val="21"/>
                      <w:szCs w:val="21"/>
                    </w:rPr>
                  </w:pPr>
                  <w:r>
                    <w:rPr>
                      <w:rFonts w:hint="eastAsia"/>
                      <w:sz w:val="21"/>
                      <w:szCs w:val="21"/>
                    </w:rPr>
                    <w:t>806</w:t>
                  </w:r>
                  <w:r>
                    <w:rPr>
                      <w:sz w:val="21"/>
                      <w:szCs w:val="21"/>
                    </w:rPr>
                    <w:t>t/a</w:t>
                  </w:r>
                </w:p>
              </w:tc>
              <w:tc>
                <w:tcPr>
                  <w:tcW w:w="387" w:type="pct"/>
                  <w:shd w:val="clear" w:color="auto" w:fill="auto"/>
                  <w:vAlign w:val="center"/>
                </w:tcPr>
                <w:p w14:paraId="6C03CEAD">
                  <w:pPr>
                    <w:spacing w:line="240" w:lineRule="auto"/>
                    <w:jc w:val="center"/>
                    <w:rPr>
                      <w:sz w:val="21"/>
                      <w:szCs w:val="21"/>
                    </w:rPr>
                  </w:pPr>
                  <w:r>
                    <w:rPr>
                      <w:rFonts w:hint="eastAsia"/>
                      <w:sz w:val="21"/>
                      <w:szCs w:val="21"/>
                    </w:rPr>
                    <w:t>固态</w:t>
                  </w:r>
                </w:p>
              </w:tc>
              <w:tc>
                <w:tcPr>
                  <w:tcW w:w="463" w:type="pct"/>
                  <w:shd w:val="clear" w:color="auto" w:fill="auto"/>
                  <w:vAlign w:val="center"/>
                </w:tcPr>
                <w:p w14:paraId="5514809E">
                  <w:pPr>
                    <w:spacing w:line="240" w:lineRule="auto"/>
                    <w:jc w:val="center"/>
                    <w:rPr>
                      <w:sz w:val="21"/>
                      <w:szCs w:val="21"/>
                    </w:rPr>
                  </w:pPr>
                  <w:r>
                    <w:rPr>
                      <w:rFonts w:hint="eastAsia"/>
                      <w:sz w:val="21"/>
                      <w:szCs w:val="21"/>
                    </w:rPr>
                    <w:t>/</w:t>
                  </w:r>
                </w:p>
              </w:tc>
              <w:tc>
                <w:tcPr>
                  <w:tcW w:w="536" w:type="pct"/>
                  <w:shd w:val="clear" w:color="auto" w:fill="auto"/>
                  <w:vAlign w:val="center"/>
                </w:tcPr>
                <w:p w14:paraId="50F9F6D7">
                  <w:pPr>
                    <w:spacing w:line="240" w:lineRule="auto"/>
                    <w:jc w:val="center"/>
                    <w:rPr>
                      <w:sz w:val="21"/>
                      <w:szCs w:val="21"/>
                    </w:rPr>
                  </w:pPr>
                  <w:r>
                    <w:rPr>
                      <w:rFonts w:hint="eastAsia"/>
                      <w:sz w:val="21"/>
                      <w:szCs w:val="21"/>
                    </w:rPr>
                    <w:t>50</w:t>
                  </w:r>
                  <w:r>
                    <w:rPr>
                      <w:sz w:val="21"/>
                      <w:szCs w:val="21"/>
                    </w:rPr>
                    <w:t>t/a</w:t>
                  </w:r>
                </w:p>
              </w:tc>
              <w:tc>
                <w:tcPr>
                  <w:tcW w:w="464" w:type="pct"/>
                  <w:shd w:val="clear" w:color="auto" w:fill="auto"/>
                  <w:vAlign w:val="center"/>
                </w:tcPr>
                <w:p w14:paraId="23791BAE">
                  <w:pPr>
                    <w:adjustRightInd w:val="0"/>
                    <w:snapToGrid w:val="0"/>
                    <w:spacing w:line="240" w:lineRule="auto"/>
                    <w:jc w:val="center"/>
                    <w:rPr>
                      <w:sz w:val="21"/>
                      <w:szCs w:val="21"/>
                    </w:rPr>
                  </w:pPr>
                  <w:r>
                    <w:rPr>
                      <w:rFonts w:hint="eastAsia" w:ascii="Times New Roman" w:hAnsi="Times New Roman" w:eastAsia="宋体" w:cs="Times New Roman"/>
                      <w:kern w:val="2"/>
                      <w:sz w:val="21"/>
                      <w:szCs w:val="21"/>
                      <w:u w:val="none"/>
                      <w:lang w:val="en-US" w:eastAsia="zh-CN" w:bidi="ar-SA"/>
                    </w:rPr>
                    <w:t>透水砖、路面砖</w:t>
                  </w:r>
                  <w:r>
                    <w:rPr>
                      <w:rFonts w:hint="eastAsia"/>
                      <w:sz w:val="21"/>
                      <w:szCs w:val="21"/>
                    </w:rPr>
                    <w:t>原料</w:t>
                  </w:r>
                </w:p>
              </w:tc>
              <w:tc>
                <w:tcPr>
                  <w:tcW w:w="779" w:type="pct"/>
                  <w:shd w:val="clear" w:color="auto" w:fill="auto"/>
                  <w:vAlign w:val="center"/>
                </w:tcPr>
                <w:p w14:paraId="36CFBB10">
                  <w:pPr>
                    <w:adjustRightInd w:val="0"/>
                    <w:snapToGrid w:val="0"/>
                    <w:spacing w:line="240" w:lineRule="auto"/>
                    <w:jc w:val="center"/>
                    <w:rPr>
                      <w:rFonts w:hint="eastAsia" w:eastAsia="宋体"/>
                      <w:sz w:val="21"/>
                      <w:szCs w:val="21"/>
                      <w:lang w:eastAsia="zh-CN"/>
                    </w:rPr>
                  </w:pPr>
                  <w:r>
                    <w:rPr>
                      <w:rFonts w:hint="eastAsia"/>
                      <w:sz w:val="21"/>
                      <w:szCs w:val="21"/>
                      <w:lang w:eastAsia="zh-CN"/>
                    </w:rPr>
                    <w:t>自产</w:t>
                  </w:r>
                </w:p>
              </w:tc>
            </w:tr>
            <w:tr w14:paraId="7988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27" w:type="pct"/>
                  <w:vAlign w:val="center"/>
                </w:tcPr>
                <w:p w14:paraId="585E02AF">
                  <w:pPr>
                    <w:adjustRightInd w:val="0"/>
                    <w:snapToGrid w:val="0"/>
                    <w:spacing w:line="240" w:lineRule="auto"/>
                    <w:jc w:val="center"/>
                    <w:rPr>
                      <w:sz w:val="21"/>
                      <w:szCs w:val="21"/>
                    </w:rPr>
                  </w:pPr>
                  <w:r>
                    <w:rPr>
                      <w:rFonts w:hint="eastAsia"/>
                      <w:sz w:val="21"/>
                      <w:szCs w:val="21"/>
                    </w:rPr>
                    <w:t>水泥</w:t>
                  </w:r>
                </w:p>
              </w:tc>
              <w:tc>
                <w:tcPr>
                  <w:tcW w:w="849" w:type="pct"/>
                  <w:vAlign w:val="center"/>
                </w:tcPr>
                <w:p w14:paraId="163B2CE9">
                  <w:pPr>
                    <w:adjustRightInd w:val="0"/>
                    <w:snapToGrid w:val="0"/>
                    <w:spacing w:line="240" w:lineRule="auto"/>
                    <w:jc w:val="center"/>
                    <w:rPr>
                      <w:rFonts w:hint="eastAsia" w:eastAsia="宋体"/>
                      <w:sz w:val="21"/>
                      <w:szCs w:val="21"/>
                      <w:lang w:val="en-US" w:eastAsia="zh-CN"/>
                    </w:rPr>
                  </w:pPr>
                  <w:r>
                    <w:rPr>
                      <w:rFonts w:hint="eastAsia"/>
                      <w:sz w:val="21"/>
                      <w:szCs w:val="21"/>
                      <w:lang w:val="en-US" w:eastAsia="zh-CN"/>
                    </w:rPr>
                    <w:t>0</w:t>
                  </w:r>
                </w:p>
              </w:tc>
              <w:tc>
                <w:tcPr>
                  <w:tcW w:w="791" w:type="pct"/>
                  <w:vAlign w:val="center"/>
                </w:tcPr>
                <w:p w14:paraId="3B72CCCD">
                  <w:pPr>
                    <w:adjustRightInd w:val="0"/>
                    <w:snapToGrid w:val="0"/>
                    <w:spacing w:line="240" w:lineRule="auto"/>
                    <w:jc w:val="center"/>
                    <w:rPr>
                      <w:sz w:val="21"/>
                      <w:szCs w:val="21"/>
                    </w:rPr>
                  </w:pPr>
                  <w:r>
                    <w:rPr>
                      <w:rFonts w:hint="eastAsia"/>
                      <w:sz w:val="21"/>
                      <w:szCs w:val="21"/>
                    </w:rPr>
                    <w:t>1464</w:t>
                  </w:r>
                  <w:r>
                    <w:rPr>
                      <w:sz w:val="21"/>
                      <w:szCs w:val="21"/>
                    </w:rPr>
                    <w:t>t/a</w:t>
                  </w:r>
                </w:p>
              </w:tc>
              <w:tc>
                <w:tcPr>
                  <w:tcW w:w="387" w:type="pct"/>
                  <w:shd w:val="clear" w:color="auto" w:fill="auto"/>
                  <w:vAlign w:val="center"/>
                </w:tcPr>
                <w:p w14:paraId="5D7F8BD9">
                  <w:pPr>
                    <w:adjustRightInd w:val="0"/>
                    <w:snapToGrid w:val="0"/>
                    <w:spacing w:line="240" w:lineRule="auto"/>
                    <w:jc w:val="center"/>
                    <w:rPr>
                      <w:sz w:val="21"/>
                      <w:szCs w:val="21"/>
                    </w:rPr>
                  </w:pPr>
                  <w:r>
                    <w:rPr>
                      <w:rFonts w:hint="eastAsia"/>
                      <w:sz w:val="21"/>
                      <w:szCs w:val="21"/>
                    </w:rPr>
                    <w:t>固态</w:t>
                  </w:r>
                </w:p>
              </w:tc>
              <w:tc>
                <w:tcPr>
                  <w:tcW w:w="463" w:type="pct"/>
                  <w:shd w:val="clear" w:color="auto" w:fill="auto"/>
                  <w:vAlign w:val="center"/>
                </w:tcPr>
                <w:p w14:paraId="4C8FE5D6">
                  <w:pPr>
                    <w:adjustRightInd w:val="0"/>
                    <w:snapToGrid w:val="0"/>
                    <w:spacing w:line="240" w:lineRule="auto"/>
                    <w:jc w:val="center"/>
                    <w:rPr>
                      <w:sz w:val="21"/>
                      <w:szCs w:val="21"/>
                    </w:rPr>
                  </w:pPr>
                  <w:r>
                    <w:rPr>
                      <w:rFonts w:hint="eastAsia"/>
                      <w:sz w:val="21"/>
                      <w:szCs w:val="21"/>
                    </w:rPr>
                    <w:t>筒仓</w:t>
                  </w:r>
                </w:p>
              </w:tc>
              <w:tc>
                <w:tcPr>
                  <w:tcW w:w="536" w:type="pct"/>
                  <w:shd w:val="clear" w:color="auto" w:fill="auto"/>
                  <w:vAlign w:val="center"/>
                </w:tcPr>
                <w:p w14:paraId="04AEC820">
                  <w:pPr>
                    <w:spacing w:line="240" w:lineRule="auto"/>
                    <w:jc w:val="center"/>
                    <w:rPr>
                      <w:sz w:val="21"/>
                      <w:szCs w:val="21"/>
                    </w:rPr>
                  </w:pPr>
                  <w:r>
                    <w:rPr>
                      <w:rFonts w:hint="eastAsia"/>
                      <w:sz w:val="21"/>
                      <w:szCs w:val="21"/>
                    </w:rPr>
                    <w:t>500</w:t>
                  </w:r>
                  <w:r>
                    <w:rPr>
                      <w:sz w:val="21"/>
                      <w:szCs w:val="21"/>
                    </w:rPr>
                    <w:t>t/a</w:t>
                  </w:r>
                </w:p>
              </w:tc>
              <w:tc>
                <w:tcPr>
                  <w:tcW w:w="464" w:type="pct"/>
                  <w:shd w:val="clear" w:color="auto" w:fill="auto"/>
                  <w:vAlign w:val="center"/>
                </w:tcPr>
                <w:p w14:paraId="245EB32D">
                  <w:pPr>
                    <w:adjustRightInd w:val="0"/>
                    <w:snapToGrid w:val="0"/>
                    <w:spacing w:line="240" w:lineRule="auto"/>
                    <w:jc w:val="center"/>
                    <w:rPr>
                      <w:sz w:val="21"/>
                      <w:szCs w:val="21"/>
                    </w:rPr>
                  </w:pPr>
                  <w:r>
                    <w:rPr>
                      <w:rFonts w:hint="eastAsia" w:ascii="Times New Roman" w:hAnsi="Times New Roman" w:eastAsia="宋体" w:cs="Times New Roman"/>
                      <w:kern w:val="2"/>
                      <w:sz w:val="21"/>
                      <w:szCs w:val="21"/>
                      <w:u w:val="none"/>
                      <w:lang w:val="en-US" w:eastAsia="zh-CN" w:bidi="ar-SA"/>
                    </w:rPr>
                    <w:t>透水砖、路面砖</w:t>
                  </w:r>
                  <w:r>
                    <w:rPr>
                      <w:rFonts w:hint="eastAsia"/>
                      <w:sz w:val="21"/>
                      <w:szCs w:val="21"/>
                    </w:rPr>
                    <w:t>原料</w:t>
                  </w:r>
                </w:p>
              </w:tc>
              <w:tc>
                <w:tcPr>
                  <w:tcW w:w="779" w:type="pct"/>
                  <w:shd w:val="clear" w:color="auto" w:fill="auto"/>
                  <w:vAlign w:val="center"/>
                </w:tcPr>
                <w:p w14:paraId="7FCB46E2">
                  <w:pPr>
                    <w:adjustRightInd w:val="0"/>
                    <w:snapToGrid w:val="0"/>
                    <w:spacing w:line="240" w:lineRule="auto"/>
                    <w:jc w:val="center"/>
                    <w:rPr>
                      <w:color w:val="0000C7"/>
                      <w:sz w:val="21"/>
                      <w:szCs w:val="21"/>
                    </w:rPr>
                  </w:pPr>
                  <w:r>
                    <w:rPr>
                      <w:sz w:val="21"/>
                      <w:szCs w:val="21"/>
                    </w:rPr>
                    <w:t>外购</w:t>
                  </w:r>
                </w:p>
              </w:tc>
            </w:tr>
            <w:tr w14:paraId="3808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27" w:type="pct"/>
                  <w:vAlign w:val="center"/>
                </w:tcPr>
                <w:p w14:paraId="67210BFF">
                  <w:pPr>
                    <w:adjustRightInd w:val="0"/>
                    <w:snapToGrid w:val="0"/>
                    <w:spacing w:line="240" w:lineRule="auto"/>
                    <w:jc w:val="center"/>
                    <w:rPr>
                      <w:sz w:val="21"/>
                      <w:szCs w:val="21"/>
                      <w:u w:val="single"/>
                    </w:rPr>
                  </w:pPr>
                  <w:r>
                    <w:rPr>
                      <w:rFonts w:hint="eastAsia"/>
                      <w:sz w:val="21"/>
                      <w:szCs w:val="21"/>
                      <w:u w:val="single"/>
                    </w:rPr>
                    <w:t>石粉</w:t>
                  </w:r>
                </w:p>
              </w:tc>
              <w:tc>
                <w:tcPr>
                  <w:tcW w:w="849" w:type="pct"/>
                  <w:vAlign w:val="center"/>
                </w:tcPr>
                <w:p w14:paraId="06B5047D">
                  <w:pPr>
                    <w:adjustRightInd w:val="0"/>
                    <w:snapToGrid w:val="0"/>
                    <w:spacing w:line="240" w:lineRule="auto"/>
                    <w:jc w:val="center"/>
                    <w:rPr>
                      <w:rFonts w:hint="eastAsia" w:eastAsia="宋体"/>
                      <w:sz w:val="21"/>
                      <w:szCs w:val="21"/>
                      <w:u w:val="single"/>
                      <w:lang w:val="en-US" w:eastAsia="zh-CN"/>
                    </w:rPr>
                  </w:pPr>
                  <w:r>
                    <w:rPr>
                      <w:rFonts w:hint="eastAsia"/>
                      <w:sz w:val="21"/>
                      <w:szCs w:val="21"/>
                      <w:u w:val="single"/>
                      <w:lang w:val="en-US" w:eastAsia="zh-CN"/>
                    </w:rPr>
                    <w:t>0</w:t>
                  </w:r>
                </w:p>
              </w:tc>
              <w:tc>
                <w:tcPr>
                  <w:tcW w:w="791" w:type="pct"/>
                  <w:vAlign w:val="center"/>
                </w:tcPr>
                <w:p w14:paraId="4E1E3490">
                  <w:pPr>
                    <w:adjustRightInd w:val="0"/>
                    <w:snapToGrid w:val="0"/>
                    <w:spacing w:line="240" w:lineRule="auto"/>
                    <w:jc w:val="center"/>
                    <w:rPr>
                      <w:sz w:val="21"/>
                      <w:szCs w:val="21"/>
                      <w:u w:val="single"/>
                    </w:rPr>
                  </w:pPr>
                  <w:r>
                    <w:rPr>
                      <w:rFonts w:hint="eastAsia"/>
                      <w:sz w:val="21"/>
                      <w:szCs w:val="21"/>
                      <w:u w:val="single"/>
                    </w:rPr>
                    <w:t>18</w:t>
                  </w:r>
                  <w:r>
                    <w:rPr>
                      <w:rFonts w:hint="eastAsia"/>
                      <w:sz w:val="21"/>
                      <w:szCs w:val="21"/>
                      <w:u w:val="single"/>
                      <w:lang w:val="en-US" w:eastAsia="zh-CN"/>
                    </w:rPr>
                    <w:t>96.45</w:t>
                  </w:r>
                  <w:r>
                    <w:rPr>
                      <w:sz w:val="21"/>
                      <w:szCs w:val="21"/>
                      <w:u w:val="single"/>
                    </w:rPr>
                    <w:t>t/a</w:t>
                  </w:r>
                </w:p>
              </w:tc>
              <w:tc>
                <w:tcPr>
                  <w:tcW w:w="387" w:type="pct"/>
                  <w:shd w:val="clear" w:color="auto" w:fill="auto"/>
                  <w:vAlign w:val="center"/>
                </w:tcPr>
                <w:p w14:paraId="5E9957B0">
                  <w:pPr>
                    <w:adjustRightInd w:val="0"/>
                    <w:snapToGrid w:val="0"/>
                    <w:spacing w:line="240" w:lineRule="auto"/>
                    <w:jc w:val="center"/>
                    <w:rPr>
                      <w:sz w:val="21"/>
                      <w:szCs w:val="21"/>
                      <w:u w:val="single"/>
                    </w:rPr>
                  </w:pPr>
                  <w:r>
                    <w:rPr>
                      <w:rFonts w:hint="eastAsia"/>
                      <w:sz w:val="21"/>
                      <w:szCs w:val="21"/>
                      <w:u w:val="single"/>
                    </w:rPr>
                    <w:t>固态</w:t>
                  </w:r>
                </w:p>
              </w:tc>
              <w:tc>
                <w:tcPr>
                  <w:tcW w:w="463" w:type="pct"/>
                  <w:shd w:val="clear" w:color="auto" w:fill="auto"/>
                  <w:vAlign w:val="center"/>
                </w:tcPr>
                <w:p w14:paraId="09864F3D">
                  <w:pPr>
                    <w:adjustRightInd w:val="0"/>
                    <w:snapToGrid w:val="0"/>
                    <w:spacing w:line="240" w:lineRule="auto"/>
                    <w:jc w:val="center"/>
                    <w:rPr>
                      <w:sz w:val="21"/>
                      <w:szCs w:val="21"/>
                      <w:u w:val="single"/>
                    </w:rPr>
                  </w:pPr>
                  <w:r>
                    <w:rPr>
                      <w:rFonts w:hint="eastAsia"/>
                      <w:sz w:val="21"/>
                      <w:szCs w:val="21"/>
                      <w:u w:val="single"/>
                    </w:rPr>
                    <w:t>袋装</w:t>
                  </w:r>
                </w:p>
              </w:tc>
              <w:tc>
                <w:tcPr>
                  <w:tcW w:w="536" w:type="pct"/>
                  <w:shd w:val="clear" w:color="auto" w:fill="auto"/>
                  <w:vAlign w:val="center"/>
                </w:tcPr>
                <w:p w14:paraId="409F1E99">
                  <w:pPr>
                    <w:spacing w:line="240" w:lineRule="auto"/>
                    <w:jc w:val="center"/>
                    <w:rPr>
                      <w:sz w:val="21"/>
                      <w:szCs w:val="21"/>
                      <w:u w:val="single"/>
                    </w:rPr>
                  </w:pPr>
                  <w:r>
                    <w:rPr>
                      <w:rFonts w:hint="eastAsia"/>
                      <w:sz w:val="21"/>
                      <w:szCs w:val="21"/>
                      <w:u w:val="single"/>
                    </w:rPr>
                    <w:t>500</w:t>
                  </w:r>
                  <w:r>
                    <w:rPr>
                      <w:sz w:val="21"/>
                      <w:szCs w:val="21"/>
                      <w:u w:val="single"/>
                    </w:rPr>
                    <w:t>t/a</w:t>
                  </w:r>
                </w:p>
              </w:tc>
              <w:tc>
                <w:tcPr>
                  <w:tcW w:w="464" w:type="pct"/>
                  <w:shd w:val="clear" w:color="auto" w:fill="auto"/>
                  <w:vAlign w:val="center"/>
                </w:tcPr>
                <w:p w14:paraId="1C0E3922">
                  <w:pPr>
                    <w:adjustRightInd w:val="0"/>
                    <w:snapToGrid w:val="0"/>
                    <w:spacing w:line="240" w:lineRule="auto"/>
                    <w:jc w:val="center"/>
                    <w:rPr>
                      <w:sz w:val="21"/>
                      <w:szCs w:val="21"/>
                      <w:u w:val="single"/>
                    </w:rPr>
                  </w:pPr>
                  <w:r>
                    <w:rPr>
                      <w:rFonts w:hint="eastAsia" w:ascii="Times New Roman" w:hAnsi="Times New Roman" w:eastAsia="宋体" w:cs="Times New Roman"/>
                      <w:kern w:val="2"/>
                      <w:sz w:val="21"/>
                      <w:szCs w:val="21"/>
                      <w:u w:val="none"/>
                      <w:lang w:val="en-US" w:eastAsia="zh-CN" w:bidi="ar-SA"/>
                    </w:rPr>
                    <w:t>透水砖、路面砖</w:t>
                  </w:r>
                  <w:r>
                    <w:rPr>
                      <w:rFonts w:hint="eastAsia"/>
                      <w:sz w:val="21"/>
                      <w:szCs w:val="21"/>
                    </w:rPr>
                    <w:t>原料</w:t>
                  </w:r>
                </w:p>
              </w:tc>
              <w:tc>
                <w:tcPr>
                  <w:tcW w:w="779" w:type="pct"/>
                  <w:shd w:val="clear" w:color="auto" w:fill="auto"/>
                  <w:vAlign w:val="center"/>
                </w:tcPr>
                <w:p w14:paraId="3D4ECBEC">
                  <w:pPr>
                    <w:adjustRightInd w:val="0"/>
                    <w:snapToGrid w:val="0"/>
                    <w:spacing w:line="240" w:lineRule="auto"/>
                    <w:jc w:val="center"/>
                    <w:rPr>
                      <w:color w:val="0000C7"/>
                      <w:sz w:val="21"/>
                      <w:szCs w:val="21"/>
                      <w:u w:val="single"/>
                    </w:rPr>
                  </w:pPr>
                  <w:r>
                    <w:rPr>
                      <w:sz w:val="21"/>
                      <w:szCs w:val="21"/>
                      <w:u w:val="single"/>
                    </w:rPr>
                    <w:t>外购</w:t>
                  </w:r>
                </w:p>
              </w:tc>
            </w:tr>
            <w:tr w14:paraId="394F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27" w:type="pct"/>
                  <w:vAlign w:val="center"/>
                </w:tcPr>
                <w:p w14:paraId="6D94BE69">
                  <w:pPr>
                    <w:adjustRightInd w:val="0"/>
                    <w:snapToGrid w:val="0"/>
                    <w:spacing w:line="240" w:lineRule="auto"/>
                    <w:jc w:val="center"/>
                    <w:rPr>
                      <w:rFonts w:hint="eastAsia" w:eastAsia="宋体"/>
                      <w:sz w:val="21"/>
                      <w:szCs w:val="21"/>
                      <w:lang w:eastAsia="zh-CN"/>
                    </w:rPr>
                  </w:pPr>
                  <w:r>
                    <w:rPr>
                      <w:rFonts w:hint="eastAsia"/>
                      <w:sz w:val="21"/>
                      <w:szCs w:val="21"/>
                    </w:rPr>
                    <w:t>绿色</w:t>
                  </w:r>
                  <w:r>
                    <w:rPr>
                      <w:rFonts w:hint="eastAsia"/>
                      <w:sz w:val="21"/>
                      <w:szCs w:val="21"/>
                      <w:lang w:eastAsia="zh-CN"/>
                    </w:rPr>
                    <w:t>无机颜料</w:t>
                  </w:r>
                </w:p>
              </w:tc>
              <w:tc>
                <w:tcPr>
                  <w:tcW w:w="849" w:type="pct"/>
                  <w:vAlign w:val="center"/>
                </w:tcPr>
                <w:p w14:paraId="08F0EDDE">
                  <w:pPr>
                    <w:adjustRightInd w:val="0"/>
                    <w:snapToGrid w:val="0"/>
                    <w:spacing w:line="240" w:lineRule="auto"/>
                    <w:jc w:val="center"/>
                    <w:rPr>
                      <w:rFonts w:hint="default"/>
                      <w:sz w:val="21"/>
                      <w:szCs w:val="21"/>
                      <w:lang w:val="en-US" w:eastAsia="zh-CN"/>
                    </w:rPr>
                  </w:pPr>
                  <w:r>
                    <w:rPr>
                      <w:rFonts w:hint="eastAsia"/>
                      <w:sz w:val="21"/>
                      <w:szCs w:val="21"/>
                      <w:lang w:val="en-US" w:eastAsia="zh-CN"/>
                    </w:rPr>
                    <w:t>0</w:t>
                  </w:r>
                </w:p>
              </w:tc>
              <w:tc>
                <w:tcPr>
                  <w:tcW w:w="791" w:type="pct"/>
                  <w:vAlign w:val="center"/>
                </w:tcPr>
                <w:p w14:paraId="05642625">
                  <w:pPr>
                    <w:adjustRightInd w:val="0"/>
                    <w:snapToGrid w:val="0"/>
                    <w:spacing w:line="240" w:lineRule="auto"/>
                    <w:jc w:val="center"/>
                    <w:rPr>
                      <w:sz w:val="21"/>
                      <w:szCs w:val="21"/>
                    </w:rPr>
                  </w:pPr>
                  <w:r>
                    <w:rPr>
                      <w:rFonts w:hint="eastAsia"/>
                      <w:sz w:val="21"/>
                      <w:szCs w:val="21"/>
                      <w:lang w:val="en-US" w:eastAsia="zh-CN"/>
                    </w:rPr>
                    <w:t>1</w:t>
                  </w:r>
                  <w:r>
                    <w:rPr>
                      <w:sz w:val="21"/>
                      <w:szCs w:val="21"/>
                    </w:rPr>
                    <w:t>t/a</w:t>
                  </w:r>
                </w:p>
              </w:tc>
              <w:tc>
                <w:tcPr>
                  <w:tcW w:w="387" w:type="pct"/>
                  <w:shd w:val="clear" w:color="auto" w:fill="auto"/>
                  <w:vAlign w:val="center"/>
                </w:tcPr>
                <w:p w14:paraId="327427C3">
                  <w:pPr>
                    <w:adjustRightInd w:val="0"/>
                    <w:snapToGrid w:val="0"/>
                    <w:spacing w:line="240" w:lineRule="auto"/>
                    <w:jc w:val="center"/>
                    <w:rPr>
                      <w:sz w:val="21"/>
                      <w:szCs w:val="21"/>
                    </w:rPr>
                  </w:pPr>
                  <w:r>
                    <w:rPr>
                      <w:rFonts w:hint="eastAsia"/>
                      <w:sz w:val="21"/>
                      <w:szCs w:val="21"/>
                      <w:lang w:eastAsia="zh-CN"/>
                    </w:rPr>
                    <w:t>粉末状</w:t>
                  </w:r>
                </w:p>
              </w:tc>
              <w:tc>
                <w:tcPr>
                  <w:tcW w:w="463" w:type="pct"/>
                  <w:shd w:val="clear" w:color="auto" w:fill="auto"/>
                  <w:vAlign w:val="center"/>
                </w:tcPr>
                <w:p w14:paraId="0EF30A5C">
                  <w:pPr>
                    <w:adjustRightInd w:val="0"/>
                    <w:snapToGrid w:val="0"/>
                    <w:spacing w:line="240" w:lineRule="auto"/>
                    <w:jc w:val="center"/>
                    <w:rPr>
                      <w:sz w:val="21"/>
                      <w:szCs w:val="21"/>
                    </w:rPr>
                  </w:pPr>
                  <w:r>
                    <w:rPr>
                      <w:rFonts w:hint="eastAsia"/>
                      <w:sz w:val="21"/>
                      <w:szCs w:val="21"/>
                    </w:rPr>
                    <w:t>袋装</w:t>
                  </w:r>
                </w:p>
              </w:tc>
              <w:tc>
                <w:tcPr>
                  <w:tcW w:w="536" w:type="pct"/>
                  <w:shd w:val="clear" w:color="auto" w:fill="auto"/>
                  <w:vAlign w:val="center"/>
                </w:tcPr>
                <w:p w14:paraId="6C37F471">
                  <w:pPr>
                    <w:spacing w:line="240" w:lineRule="auto"/>
                    <w:jc w:val="center"/>
                    <w:rPr>
                      <w:sz w:val="21"/>
                      <w:szCs w:val="21"/>
                    </w:rPr>
                  </w:pPr>
                  <w:r>
                    <w:rPr>
                      <w:rFonts w:hint="eastAsia"/>
                      <w:sz w:val="21"/>
                      <w:szCs w:val="21"/>
                    </w:rPr>
                    <w:t>0.5t</w:t>
                  </w:r>
                </w:p>
              </w:tc>
              <w:tc>
                <w:tcPr>
                  <w:tcW w:w="464" w:type="pct"/>
                  <w:shd w:val="clear" w:color="auto" w:fill="auto"/>
                  <w:vAlign w:val="center"/>
                </w:tcPr>
                <w:p w14:paraId="000737B9">
                  <w:pPr>
                    <w:adjustRightInd w:val="0"/>
                    <w:snapToGrid w:val="0"/>
                    <w:spacing w:line="240" w:lineRule="auto"/>
                    <w:jc w:val="center"/>
                    <w:rPr>
                      <w:sz w:val="21"/>
                      <w:szCs w:val="21"/>
                    </w:rPr>
                  </w:pPr>
                  <w:r>
                    <w:rPr>
                      <w:rFonts w:hint="eastAsia" w:ascii="Times New Roman" w:hAnsi="Times New Roman" w:eastAsia="宋体" w:cs="Times New Roman"/>
                      <w:kern w:val="2"/>
                      <w:sz w:val="21"/>
                      <w:szCs w:val="21"/>
                      <w:u w:val="none"/>
                      <w:lang w:val="en-US" w:eastAsia="zh-CN" w:bidi="ar-SA"/>
                    </w:rPr>
                    <w:t>透水砖、路面砖</w:t>
                  </w:r>
                  <w:r>
                    <w:rPr>
                      <w:rFonts w:hint="eastAsia"/>
                      <w:sz w:val="21"/>
                      <w:szCs w:val="21"/>
                    </w:rPr>
                    <w:t>原料</w:t>
                  </w:r>
                </w:p>
              </w:tc>
              <w:tc>
                <w:tcPr>
                  <w:tcW w:w="779" w:type="pct"/>
                  <w:shd w:val="clear" w:color="auto" w:fill="auto"/>
                  <w:vAlign w:val="center"/>
                </w:tcPr>
                <w:p w14:paraId="28E2C311">
                  <w:pPr>
                    <w:adjustRightInd w:val="0"/>
                    <w:snapToGrid w:val="0"/>
                    <w:spacing w:line="240" w:lineRule="auto"/>
                    <w:jc w:val="center"/>
                    <w:rPr>
                      <w:color w:val="0000C7"/>
                      <w:sz w:val="21"/>
                      <w:szCs w:val="21"/>
                    </w:rPr>
                  </w:pPr>
                  <w:r>
                    <w:rPr>
                      <w:sz w:val="21"/>
                      <w:szCs w:val="21"/>
                    </w:rPr>
                    <w:t>外购</w:t>
                  </w:r>
                </w:p>
              </w:tc>
            </w:tr>
            <w:tr w14:paraId="193D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27" w:type="pct"/>
                  <w:vAlign w:val="center"/>
                </w:tcPr>
                <w:p w14:paraId="423AA042">
                  <w:pPr>
                    <w:adjustRightInd w:val="0"/>
                    <w:snapToGrid w:val="0"/>
                    <w:spacing w:line="240" w:lineRule="auto"/>
                    <w:jc w:val="center"/>
                    <w:rPr>
                      <w:sz w:val="21"/>
                      <w:szCs w:val="21"/>
                    </w:rPr>
                  </w:pPr>
                  <w:r>
                    <w:rPr>
                      <w:rFonts w:hint="eastAsia"/>
                      <w:sz w:val="21"/>
                      <w:szCs w:val="21"/>
                    </w:rPr>
                    <w:t>红色</w:t>
                  </w:r>
                  <w:r>
                    <w:rPr>
                      <w:rFonts w:hint="eastAsia"/>
                      <w:sz w:val="21"/>
                      <w:szCs w:val="21"/>
                      <w:lang w:eastAsia="zh-CN"/>
                    </w:rPr>
                    <w:t>无机颜料</w:t>
                  </w:r>
                </w:p>
              </w:tc>
              <w:tc>
                <w:tcPr>
                  <w:tcW w:w="849" w:type="pct"/>
                  <w:vAlign w:val="center"/>
                </w:tcPr>
                <w:p w14:paraId="4C7684B0">
                  <w:pPr>
                    <w:adjustRightInd w:val="0"/>
                    <w:snapToGrid w:val="0"/>
                    <w:spacing w:line="240" w:lineRule="auto"/>
                    <w:jc w:val="center"/>
                    <w:rPr>
                      <w:rFonts w:hint="eastAsia" w:eastAsia="宋体"/>
                      <w:sz w:val="21"/>
                      <w:szCs w:val="21"/>
                      <w:lang w:val="en-US" w:eastAsia="zh-CN"/>
                    </w:rPr>
                  </w:pPr>
                  <w:r>
                    <w:rPr>
                      <w:rFonts w:hint="eastAsia"/>
                      <w:sz w:val="21"/>
                      <w:szCs w:val="21"/>
                      <w:lang w:val="en-US" w:eastAsia="zh-CN"/>
                    </w:rPr>
                    <w:t>0</w:t>
                  </w:r>
                </w:p>
              </w:tc>
              <w:tc>
                <w:tcPr>
                  <w:tcW w:w="791" w:type="pct"/>
                  <w:vAlign w:val="center"/>
                </w:tcPr>
                <w:p w14:paraId="4565797B">
                  <w:pPr>
                    <w:adjustRightInd w:val="0"/>
                    <w:snapToGrid w:val="0"/>
                    <w:spacing w:line="240" w:lineRule="auto"/>
                    <w:jc w:val="center"/>
                    <w:rPr>
                      <w:sz w:val="21"/>
                      <w:szCs w:val="21"/>
                    </w:rPr>
                  </w:pPr>
                  <w:r>
                    <w:rPr>
                      <w:rFonts w:hint="eastAsia"/>
                      <w:sz w:val="21"/>
                      <w:szCs w:val="21"/>
                    </w:rPr>
                    <w:t>1</w:t>
                  </w:r>
                  <w:r>
                    <w:rPr>
                      <w:sz w:val="21"/>
                      <w:szCs w:val="21"/>
                    </w:rPr>
                    <w:t>t/a</w:t>
                  </w:r>
                </w:p>
              </w:tc>
              <w:tc>
                <w:tcPr>
                  <w:tcW w:w="387" w:type="pct"/>
                  <w:shd w:val="clear" w:color="auto" w:fill="auto"/>
                  <w:vAlign w:val="center"/>
                </w:tcPr>
                <w:p w14:paraId="3429720F">
                  <w:pPr>
                    <w:adjustRightInd w:val="0"/>
                    <w:snapToGrid w:val="0"/>
                    <w:spacing w:line="240" w:lineRule="auto"/>
                    <w:jc w:val="center"/>
                    <w:rPr>
                      <w:sz w:val="21"/>
                      <w:szCs w:val="21"/>
                    </w:rPr>
                  </w:pPr>
                  <w:r>
                    <w:rPr>
                      <w:rFonts w:hint="eastAsia"/>
                      <w:sz w:val="21"/>
                      <w:szCs w:val="21"/>
                      <w:lang w:eastAsia="zh-CN"/>
                    </w:rPr>
                    <w:t>粉末状</w:t>
                  </w:r>
                </w:p>
              </w:tc>
              <w:tc>
                <w:tcPr>
                  <w:tcW w:w="463" w:type="pct"/>
                  <w:shd w:val="clear" w:color="auto" w:fill="auto"/>
                  <w:vAlign w:val="center"/>
                </w:tcPr>
                <w:p w14:paraId="2D468F67">
                  <w:pPr>
                    <w:adjustRightInd w:val="0"/>
                    <w:snapToGrid w:val="0"/>
                    <w:spacing w:line="240" w:lineRule="auto"/>
                    <w:jc w:val="center"/>
                    <w:rPr>
                      <w:sz w:val="21"/>
                      <w:szCs w:val="21"/>
                    </w:rPr>
                  </w:pPr>
                  <w:r>
                    <w:rPr>
                      <w:rFonts w:hint="eastAsia"/>
                      <w:sz w:val="21"/>
                      <w:szCs w:val="21"/>
                    </w:rPr>
                    <w:t>袋装</w:t>
                  </w:r>
                </w:p>
              </w:tc>
              <w:tc>
                <w:tcPr>
                  <w:tcW w:w="536" w:type="pct"/>
                  <w:shd w:val="clear" w:color="auto" w:fill="auto"/>
                  <w:vAlign w:val="center"/>
                </w:tcPr>
                <w:p w14:paraId="1CBEE581">
                  <w:pPr>
                    <w:spacing w:line="240" w:lineRule="auto"/>
                    <w:jc w:val="center"/>
                    <w:rPr>
                      <w:sz w:val="21"/>
                      <w:szCs w:val="21"/>
                    </w:rPr>
                  </w:pPr>
                  <w:r>
                    <w:rPr>
                      <w:rFonts w:hint="eastAsia"/>
                      <w:sz w:val="21"/>
                      <w:szCs w:val="21"/>
                    </w:rPr>
                    <w:t>0.5t</w:t>
                  </w:r>
                </w:p>
              </w:tc>
              <w:tc>
                <w:tcPr>
                  <w:tcW w:w="464" w:type="pct"/>
                  <w:shd w:val="clear" w:color="auto" w:fill="auto"/>
                  <w:vAlign w:val="center"/>
                </w:tcPr>
                <w:p w14:paraId="5D5A89EE">
                  <w:pPr>
                    <w:adjustRightInd w:val="0"/>
                    <w:snapToGrid w:val="0"/>
                    <w:spacing w:line="240" w:lineRule="auto"/>
                    <w:jc w:val="center"/>
                    <w:rPr>
                      <w:sz w:val="21"/>
                      <w:szCs w:val="21"/>
                    </w:rPr>
                  </w:pPr>
                  <w:r>
                    <w:rPr>
                      <w:rFonts w:hint="eastAsia" w:ascii="Times New Roman" w:hAnsi="Times New Roman" w:eastAsia="宋体" w:cs="Times New Roman"/>
                      <w:kern w:val="2"/>
                      <w:sz w:val="21"/>
                      <w:szCs w:val="21"/>
                      <w:u w:val="none"/>
                      <w:lang w:val="en-US" w:eastAsia="zh-CN" w:bidi="ar-SA"/>
                    </w:rPr>
                    <w:t>透水砖、路面砖</w:t>
                  </w:r>
                  <w:r>
                    <w:rPr>
                      <w:rFonts w:hint="eastAsia"/>
                      <w:sz w:val="21"/>
                      <w:szCs w:val="21"/>
                    </w:rPr>
                    <w:t>原料</w:t>
                  </w:r>
                </w:p>
              </w:tc>
              <w:tc>
                <w:tcPr>
                  <w:tcW w:w="779" w:type="pct"/>
                  <w:shd w:val="clear" w:color="auto" w:fill="auto"/>
                  <w:vAlign w:val="center"/>
                </w:tcPr>
                <w:p w14:paraId="1FD42047">
                  <w:pPr>
                    <w:adjustRightInd w:val="0"/>
                    <w:snapToGrid w:val="0"/>
                    <w:spacing w:line="240" w:lineRule="auto"/>
                    <w:jc w:val="center"/>
                    <w:rPr>
                      <w:sz w:val="21"/>
                      <w:szCs w:val="21"/>
                    </w:rPr>
                  </w:pPr>
                  <w:r>
                    <w:rPr>
                      <w:sz w:val="21"/>
                      <w:szCs w:val="21"/>
                    </w:rPr>
                    <w:t>外购</w:t>
                  </w:r>
                </w:p>
              </w:tc>
            </w:tr>
            <w:tr w14:paraId="6D5E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27" w:type="pct"/>
                  <w:vAlign w:val="center"/>
                </w:tcPr>
                <w:p w14:paraId="602E62E8">
                  <w:pPr>
                    <w:adjustRightInd w:val="0"/>
                    <w:snapToGrid w:val="0"/>
                    <w:spacing w:line="240" w:lineRule="auto"/>
                    <w:jc w:val="center"/>
                    <w:rPr>
                      <w:sz w:val="21"/>
                      <w:szCs w:val="21"/>
                    </w:rPr>
                  </w:pPr>
                  <w:r>
                    <w:rPr>
                      <w:rFonts w:hint="eastAsia"/>
                      <w:sz w:val="21"/>
                      <w:szCs w:val="21"/>
                    </w:rPr>
                    <w:t>黄色</w:t>
                  </w:r>
                  <w:r>
                    <w:rPr>
                      <w:rFonts w:hint="eastAsia"/>
                      <w:sz w:val="21"/>
                      <w:szCs w:val="21"/>
                      <w:lang w:eastAsia="zh-CN"/>
                    </w:rPr>
                    <w:t>无机颜料</w:t>
                  </w:r>
                </w:p>
              </w:tc>
              <w:tc>
                <w:tcPr>
                  <w:tcW w:w="849" w:type="pct"/>
                  <w:vAlign w:val="center"/>
                </w:tcPr>
                <w:p w14:paraId="4141B2F5">
                  <w:pPr>
                    <w:adjustRightInd w:val="0"/>
                    <w:snapToGrid w:val="0"/>
                    <w:spacing w:line="240" w:lineRule="auto"/>
                    <w:jc w:val="center"/>
                    <w:rPr>
                      <w:rFonts w:hint="eastAsia" w:eastAsia="宋体"/>
                      <w:sz w:val="21"/>
                      <w:szCs w:val="21"/>
                      <w:lang w:val="en-US" w:eastAsia="zh-CN"/>
                    </w:rPr>
                  </w:pPr>
                  <w:r>
                    <w:rPr>
                      <w:rFonts w:hint="eastAsia"/>
                      <w:sz w:val="21"/>
                      <w:szCs w:val="21"/>
                      <w:lang w:val="en-US" w:eastAsia="zh-CN"/>
                    </w:rPr>
                    <w:t>0</w:t>
                  </w:r>
                </w:p>
              </w:tc>
              <w:tc>
                <w:tcPr>
                  <w:tcW w:w="791" w:type="pct"/>
                  <w:vAlign w:val="center"/>
                </w:tcPr>
                <w:p w14:paraId="394A761F">
                  <w:pPr>
                    <w:adjustRightInd w:val="0"/>
                    <w:snapToGrid w:val="0"/>
                    <w:spacing w:line="240" w:lineRule="auto"/>
                    <w:jc w:val="center"/>
                    <w:rPr>
                      <w:sz w:val="21"/>
                      <w:szCs w:val="21"/>
                    </w:rPr>
                  </w:pPr>
                  <w:r>
                    <w:rPr>
                      <w:rFonts w:hint="eastAsia"/>
                      <w:sz w:val="21"/>
                      <w:szCs w:val="21"/>
                    </w:rPr>
                    <w:t>1</w:t>
                  </w:r>
                  <w:r>
                    <w:rPr>
                      <w:sz w:val="21"/>
                      <w:szCs w:val="21"/>
                    </w:rPr>
                    <w:t>t/a</w:t>
                  </w:r>
                </w:p>
              </w:tc>
              <w:tc>
                <w:tcPr>
                  <w:tcW w:w="387" w:type="pct"/>
                  <w:shd w:val="clear" w:color="auto" w:fill="auto"/>
                  <w:vAlign w:val="center"/>
                </w:tcPr>
                <w:p w14:paraId="2347100E">
                  <w:pPr>
                    <w:adjustRightInd w:val="0"/>
                    <w:snapToGrid w:val="0"/>
                    <w:spacing w:line="240" w:lineRule="auto"/>
                    <w:jc w:val="center"/>
                    <w:rPr>
                      <w:sz w:val="21"/>
                      <w:szCs w:val="21"/>
                    </w:rPr>
                  </w:pPr>
                  <w:r>
                    <w:rPr>
                      <w:rFonts w:hint="eastAsia"/>
                      <w:sz w:val="21"/>
                      <w:szCs w:val="21"/>
                      <w:lang w:eastAsia="zh-CN"/>
                    </w:rPr>
                    <w:t>粉末状</w:t>
                  </w:r>
                </w:p>
              </w:tc>
              <w:tc>
                <w:tcPr>
                  <w:tcW w:w="463" w:type="pct"/>
                  <w:shd w:val="clear" w:color="auto" w:fill="auto"/>
                  <w:vAlign w:val="center"/>
                </w:tcPr>
                <w:p w14:paraId="4C500D97">
                  <w:pPr>
                    <w:adjustRightInd w:val="0"/>
                    <w:snapToGrid w:val="0"/>
                    <w:spacing w:line="240" w:lineRule="auto"/>
                    <w:jc w:val="center"/>
                    <w:rPr>
                      <w:sz w:val="21"/>
                      <w:szCs w:val="21"/>
                    </w:rPr>
                  </w:pPr>
                  <w:r>
                    <w:rPr>
                      <w:rFonts w:hint="eastAsia"/>
                      <w:sz w:val="21"/>
                      <w:szCs w:val="21"/>
                    </w:rPr>
                    <w:t>袋装</w:t>
                  </w:r>
                </w:p>
              </w:tc>
              <w:tc>
                <w:tcPr>
                  <w:tcW w:w="536" w:type="pct"/>
                  <w:shd w:val="clear" w:color="auto" w:fill="auto"/>
                  <w:vAlign w:val="center"/>
                </w:tcPr>
                <w:p w14:paraId="7CB070A3">
                  <w:pPr>
                    <w:spacing w:line="240" w:lineRule="auto"/>
                    <w:jc w:val="center"/>
                    <w:rPr>
                      <w:sz w:val="21"/>
                      <w:szCs w:val="21"/>
                    </w:rPr>
                  </w:pPr>
                  <w:r>
                    <w:rPr>
                      <w:rFonts w:hint="eastAsia"/>
                      <w:sz w:val="21"/>
                      <w:szCs w:val="21"/>
                    </w:rPr>
                    <w:t>0.5t</w:t>
                  </w:r>
                </w:p>
              </w:tc>
              <w:tc>
                <w:tcPr>
                  <w:tcW w:w="464" w:type="pct"/>
                  <w:shd w:val="clear" w:color="auto" w:fill="auto"/>
                  <w:vAlign w:val="center"/>
                </w:tcPr>
                <w:p w14:paraId="6691E326">
                  <w:pPr>
                    <w:adjustRightInd w:val="0"/>
                    <w:snapToGrid w:val="0"/>
                    <w:spacing w:line="240" w:lineRule="auto"/>
                    <w:jc w:val="center"/>
                    <w:rPr>
                      <w:sz w:val="21"/>
                      <w:szCs w:val="21"/>
                    </w:rPr>
                  </w:pPr>
                  <w:r>
                    <w:rPr>
                      <w:rFonts w:hint="eastAsia" w:ascii="Times New Roman" w:hAnsi="Times New Roman" w:eastAsia="宋体" w:cs="Times New Roman"/>
                      <w:kern w:val="2"/>
                      <w:sz w:val="21"/>
                      <w:szCs w:val="21"/>
                      <w:u w:val="none"/>
                      <w:lang w:val="en-US" w:eastAsia="zh-CN" w:bidi="ar-SA"/>
                    </w:rPr>
                    <w:t>透水砖、路面砖</w:t>
                  </w:r>
                  <w:r>
                    <w:rPr>
                      <w:rFonts w:hint="eastAsia"/>
                      <w:sz w:val="21"/>
                      <w:szCs w:val="21"/>
                    </w:rPr>
                    <w:t>原料</w:t>
                  </w:r>
                </w:p>
              </w:tc>
              <w:tc>
                <w:tcPr>
                  <w:tcW w:w="779" w:type="pct"/>
                  <w:shd w:val="clear" w:color="auto" w:fill="auto"/>
                  <w:vAlign w:val="center"/>
                </w:tcPr>
                <w:p w14:paraId="3BB72311">
                  <w:pPr>
                    <w:adjustRightInd w:val="0"/>
                    <w:snapToGrid w:val="0"/>
                    <w:spacing w:line="240" w:lineRule="auto"/>
                    <w:jc w:val="center"/>
                    <w:rPr>
                      <w:sz w:val="21"/>
                      <w:szCs w:val="21"/>
                    </w:rPr>
                  </w:pPr>
                  <w:r>
                    <w:rPr>
                      <w:sz w:val="21"/>
                      <w:szCs w:val="21"/>
                    </w:rPr>
                    <w:t>外购</w:t>
                  </w:r>
                </w:p>
              </w:tc>
            </w:tr>
            <w:tr w14:paraId="0A9D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27" w:type="pct"/>
                  <w:vAlign w:val="center"/>
                </w:tcPr>
                <w:p w14:paraId="2938C3E9">
                  <w:pPr>
                    <w:adjustRightInd w:val="0"/>
                    <w:snapToGrid w:val="0"/>
                    <w:spacing w:line="240" w:lineRule="auto"/>
                    <w:jc w:val="center"/>
                    <w:rPr>
                      <w:rFonts w:hint="eastAsia" w:eastAsiaTheme="minorEastAsia"/>
                      <w:sz w:val="21"/>
                      <w:szCs w:val="21"/>
                      <w:lang w:eastAsia="zh-CN"/>
                    </w:rPr>
                  </w:pPr>
                  <w:r>
                    <w:rPr>
                      <w:sz w:val="21"/>
                      <w:szCs w:val="21"/>
                    </w:rPr>
                    <w:t>PAM</w:t>
                  </w:r>
                  <w:r>
                    <w:rPr>
                      <w:rStyle w:val="27"/>
                      <w:rFonts w:hint="eastAsia" w:asciiTheme="minorHAnsi" w:hAnsiTheme="minorHAnsi" w:eastAsiaTheme="minorEastAsia" w:cstheme="minorBidi"/>
                      <w:lang w:eastAsia="zh-CN"/>
                    </w:rPr>
                    <w:t>（絮凝剂）</w:t>
                  </w:r>
                </w:p>
              </w:tc>
              <w:tc>
                <w:tcPr>
                  <w:tcW w:w="849" w:type="pct"/>
                  <w:vAlign w:val="center"/>
                </w:tcPr>
                <w:p w14:paraId="23E63246">
                  <w:pPr>
                    <w:adjustRightInd w:val="0"/>
                    <w:snapToGrid w:val="0"/>
                    <w:spacing w:line="240" w:lineRule="auto"/>
                    <w:jc w:val="center"/>
                    <w:rPr>
                      <w:rFonts w:hint="default" w:eastAsia="宋体"/>
                      <w:sz w:val="21"/>
                      <w:szCs w:val="21"/>
                      <w:lang w:val="en-US" w:eastAsia="zh-CN"/>
                    </w:rPr>
                  </w:pPr>
                  <w:r>
                    <w:rPr>
                      <w:rFonts w:hint="eastAsia"/>
                      <w:sz w:val="21"/>
                      <w:szCs w:val="21"/>
                      <w:lang w:val="en-US" w:eastAsia="zh-CN"/>
                    </w:rPr>
                    <w:t>1t</w:t>
                  </w:r>
                </w:p>
              </w:tc>
              <w:tc>
                <w:tcPr>
                  <w:tcW w:w="791" w:type="pct"/>
                  <w:vAlign w:val="center"/>
                </w:tcPr>
                <w:p w14:paraId="1EBBE419">
                  <w:pPr>
                    <w:adjustRightInd w:val="0"/>
                    <w:snapToGrid w:val="0"/>
                    <w:spacing w:line="240" w:lineRule="auto"/>
                    <w:jc w:val="center"/>
                    <w:rPr>
                      <w:sz w:val="21"/>
                      <w:szCs w:val="21"/>
                    </w:rPr>
                  </w:pPr>
                  <w:r>
                    <w:rPr>
                      <w:rFonts w:hint="eastAsia"/>
                      <w:sz w:val="21"/>
                      <w:szCs w:val="21"/>
                    </w:rPr>
                    <w:t>5</w:t>
                  </w:r>
                  <w:r>
                    <w:rPr>
                      <w:sz w:val="21"/>
                      <w:szCs w:val="21"/>
                    </w:rPr>
                    <w:t>t</w:t>
                  </w:r>
                </w:p>
              </w:tc>
              <w:tc>
                <w:tcPr>
                  <w:tcW w:w="387" w:type="pct"/>
                  <w:vAlign w:val="center"/>
                </w:tcPr>
                <w:p w14:paraId="1EF6B8A5">
                  <w:pPr>
                    <w:adjustRightInd w:val="0"/>
                    <w:snapToGrid w:val="0"/>
                    <w:spacing w:line="240" w:lineRule="auto"/>
                    <w:jc w:val="center"/>
                    <w:rPr>
                      <w:sz w:val="21"/>
                      <w:szCs w:val="21"/>
                    </w:rPr>
                  </w:pPr>
                  <w:r>
                    <w:rPr>
                      <w:rFonts w:hint="eastAsia"/>
                      <w:sz w:val="21"/>
                      <w:szCs w:val="21"/>
                    </w:rPr>
                    <w:t>固态</w:t>
                  </w:r>
                </w:p>
              </w:tc>
              <w:tc>
                <w:tcPr>
                  <w:tcW w:w="463" w:type="pct"/>
                  <w:vAlign w:val="center"/>
                </w:tcPr>
                <w:p w14:paraId="3566298F">
                  <w:pPr>
                    <w:adjustRightInd w:val="0"/>
                    <w:snapToGrid w:val="0"/>
                    <w:spacing w:line="240" w:lineRule="auto"/>
                    <w:jc w:val="center"/>
                    <w:rPr>
                      <w:sz w:val="21"/>
                      <w:szCs w:val="21"/>
                    </w:rPr>
                  </w:pPr>
                  <w:r>
                    <w:rPr>
                      <w:rFonts w:hint="eastAsia"/>
                      <w:sz w:val="21"/>
                      <w:szCs w:val="21"/>
                    </w:rPr>
                    <w:t>袋装</w:t>
                  </w:r>
                </w:p>
              </w:tc>
              <w:tc>
                <w:tcPr>
                  <w:tcW w:w="536" w:type="pct"/>
                  <w:vAlign w:val="center"/>
                </w:tcPr>
                <w:p w14:paraId="45ABF90F">
                  <w:pPr>
                    <w:adjustRightInd w:val="0"/>
                    <w:snapToGrid w:val="0"/>
                    <w:spacing w:line="240" w:lineRule="auto"/>
                    <w:jc w:val="center"/>
                    <w:rPr>
                      <w:sz w:val="21"/>
                      <w:szCs w:val="21"/>
                    </w:rPr>
                  </w:pPr>
                  <w:r>
                    <w:rPr>
                      <w:rFonts w:hint="eastAsia"/>
                      <w:sz w:val="21"/>
                      <w:szCs w:val="21"/>
                    </w:rPr>
                    <w:t>0.5t</w:t>
                  </w:r>
                </w:p>
              </w:tc>
              <w:tc>
                <w:tcPr>
                  <w:tcW w:w="464" w:type="pct"/>
                  <w:vAlign w:val="center"/>
                </w:tcPr>
                <w:p w14:paraId="70E8AF3A">
                  <w:pPr>
                    <w:adjustRightInd w:val="0"/>
                    <w:snapToGrid w:val="0"/>
                    <w:spacing w:line="240" w:lineRule="auto"/>
                    <w:jc w:val="center"/>
                    <w:rPr>
                      <w:sz w:val="21"/>
                      <w:szCs w:val="21"/>
                    </w:rPr>
                  </w:pPr>
                  <w:r>
                    <w:rPr>
                      <w:sz w:val="21"/>
                      <w:szCs w:val="21"/>
                    </w:rPr>
                    <w:t>处理洗砂废水</w:t>
                  </w:r>
                </w:p>
              </w:tc>
              <w:tc>
                <w:tcPr>
                  <w:tcW w:w="779" w:type="pct"/>
                  <w:shd w:val="clear" w:color="auto" w:fill="auto"/>
                  <w:vAlign w:val="center"/>
                </w:tcPr>
                <w:p w14:paraId="47236EE7">
                  <w:pPr>
                    <w:adjustRightInd w:val="0"/>
                    <w:snapToGrid w:val="0"/>
                    <w:spacing w:line="240" w:lineRule="auto"/>
                    <w:jc w:val="center"/>
                    <w:rPr>
                      <w:sz w:val="21"/>
                      <w:szCs w:val="21"/>
                    </w:rPr>
                  </w:pPr>
                  <w:r>
                    <w:rPr>
                      <w:sz w:val="21"/>
                      <w:szCs w:val="21"/>
                    </w:rPr>
                    <w:t>外购</w:t>
                  </w:r>
                </w:p>
              </w:tc>
            </w:tr>
            <w:tr w14:paraId="6C1B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27" w:type="pct"/>
                  <w:vAlign w:val="center"/>
                </w:tcPr>
                <w:p w14:paraId="6E514915">
                  <w:pPr>
                    <w:adjustRightInd w:val="0"/>
                    <w:snapToGrid w:val="0"/>
                    <w:spacing w:line="240" w:lineRule="auto"/>
                    <w:jc w:val="center"/>
                    <w:rPr>
                      <w:rFonts w:hint="eastAsia" w:eastAsia="宋体"/>
                      <w:sz w:val="21"/>
                      <w:szCs w:val="21"/>
                      <w:lang w:eastAsia="zh-CN"/>
                    </w:rPr>
                  </w:pPr>
                  <w:r>
                    <w:rPr>
                      <w:sz w:val="21"/>
                      <w:szCs w:val="21"/>
                    </w:rPr>
                    <w:t>生产</w:t>
                  </w:r>
                  <w:r>
                    <w:rPr>
                      <w:rFonts w:hint="eastAsia"/>
                      <w:sz w:val="21"/>
                      <w:szCs w:val="21"/>
                    </w:rPr>
                    <w:t>、生活</w:t>
                  </w:r>
                  <w:r>
                    <w:rPr>
                      <w:sz w:val="21"/>
                      <w:szCs w:val="21"/>
                    </w:rPr>
                    <w:t>用水</w:t>
                  </w:r>
                  <w:r>
                    <w:rPr>
                      <w:rFonts w:hint="eastAsia"/>
                      <w:sz w:val="21"/>
                      <w:szCs w:val="21"/>
                      <w:lang w:eastAsia="zh-CN"/>
                    </w:rPr>
                    <w:t>（新鲜水）</w:t>
                  </w:r>
                </w:p>
              </w:tc>
              <w:tc>
                <w:tcPr>
                  <w:tcW w:w="849" w:type="pct"/>
                  <w:vAlign w:val="center"/>
                </w:tcPr>
                <w:p w14:paraId="010A7F8F">
                  <w:pPr>
                    <w:adjustRightInd w:val="0"/>
                    <w:snapToGrid w:val="0"/>
                    <w:spacing w:line="240" w:lineRule="auto"/>
                    <w:jc w:val="center"/>
                    <w:rPr>
                      <w:rFonts w:hint="default"/>
                      <w:sz w:val="21"/>
                      <w:szCs w:val="21"/>
                    </w:rPr>
                  </w:pPr>
                  <w:r>
                    <w:rPr>
                      <w:rFonts w:hint="eastAsia"/>
                      <w:sz w:val="21"/>
                      <w:szCs w:val="21"/>
                      <w:highlight w:val="none"/>
                      <w:lang w:val="en-US" w:eastAsia="zh-CN"/>
                    </w:rPr>
                    <w:t>1472.5</w:t>
                  </w:r>
                  <w:r>
                    <w:rPr>
                      <w:rFonts w:hint="eastAsia"/>
                      <w:sz w:val="21"/>
                      <w:szCs w:val="21"/>
                    </w:rPr>
                    <w:t>m³</w:t>
                  </w:r>
                  <w:r>
                    <w:rPr>
                      <w:sz w:val="21"/>
                      <w:szCs w:val="21"/>
                    </w:rPr>
                    <w:t>/a</w:t>
                  </w:r>
                </w:p>
              </w:tc>
              <w:tc>
                <w:tcPr>
                  <w:tcW w:w="791" w:type="pct"/>
                  <w:vAlign w:val="center"/>
                </w:tcPr>
                <w:p w14:paraId="3DCF50D2">
                  <w:pPr>
                    <w:adjustRightInd w:val="0"/>
                    <w:snapToGrid w:val="0"/>
                    <w:spacing w:line="240" w:lineRule="auto"/>
                    <w:jc w:val="center"/>
                    <w:rPr>
                      <w:sz w:val="21"/>
                      <w:szCs w:val="21"/>
                    </w:rPr>
                  </w:pPr>
                  <w:r>
                    <w:rPr>
                      <w:rFonts w:hint="eastAsia"/>
                      <w:sz w:val="21"/>
                      <w:szCs w:val="21"/>
                    </w:rPr>
                    <w:t>19</w:t>
                  </w:r>
                  <w:r>
                    <w:rPr>
                      <w:rFonts w:hint="eastAsia"/>
                      <w:sz w:val="21"/>
                      <w:szCs w:val="21"/>
                      <w:lang w:val="en-US" w:eastAsia="zh-CN"/>
                    </w:rPr>
                    <w:t>51.08</w:t>
                  </w:r>
                  <w:r>
                    <w:rPr>
                      <w:rFonts w:hint="eastAsia"/>
                      <w:sz w:val="21"/>
                      <w:szCs w:val="21"/>
                    </w:rPr>
                    <w:t>m³</w:t>
                  </w:r>
                  <w:r>
                    <w:rPr>
                      <w:sz w:val="21"/>
                      <w:szCs w:val="21"/>
                    </w:rPr>
                    <w:t>/a</w:t>
                  </w:r>
                </w:p>
              </w:tc>
              <w:tc>
                <w:tcPr>
                  <w:tcW w:w="387" w:type="pct"/>
                  <w:vAlign w:val="center"/>
                </w:tcPr>
                <w:p w14:paraId="0F85DAE4">
                  <w:pPr>
                    <w:adjustRightInd w:val="0"/>
                    <w:snapToGrid w:val="0"/>
                    <w:spacing w:line="240" w:lineRule="auto"/>
                    <w:jc w:val="center"/>
                    <w:rPr>
                      <w:sz w:val="21"/>
                      <w:szCs w:val="21"/>
                    </w:rPr>
                  </w:pPr>
                  <w:r>
                    <w:rPr>
                      <w:rFonts w:hint="eastAsia"/>
                      <w:sz w:val="21"/>
                      <w:szCs w:val="21"/>
                    </w:rPr>
                    <w:t>/</w:t>
                  </w:r>
                </w:p>
              </w:tc>
              <w:tc>
                <w:tcPr>
                  <w:tcW w:w="463" w:type="pct"/>
                  <w:vAlign w:val="center"/>
                </w:tcPr>
                <w:p w14:paraId="09290D9A">
                  <w:pPr>
                    <w:adjustRightInd w:val="0"/>
                    <w:snapToGrid w:val="0"/>
                    <w:spacing w:line="240" w:lineRule="auto"/>
                    <w:jc w:val="center"/>
                    <w:rPr>
                      <w:sz w:val="21"/>
                      <w:szCs w:val="21"/>
                    </w:rPr>
                  </w:pPr>
                  <w:r>
                    <w:rPr>
                      <w:rFonts w:hint="eastAsia"/>
                      <w:sz w:val="21"/>
                      <w:szCs w:val="21"/>
                    </w:rPr>
                    <w:t>/</w:t>
                  </w:r>
                </w:p>
              </w:tc>
              <w:tc>
                <w:tcPr>
                  <w:tcW w:w="536" w:type="pct"/>
                  <w:vAlign w:val="center"/>
                </w:tcPr>
                <w:p w14:paraId="05701CB3">
                  <w:pPr>
                    <w:adjustRightInd w:val="0"/>
                    <w:snapToGrid w:val="0"/>
                    <w:spacing w:line="240" w:lineRule="auto"/>
                    <w:jc w:val="center"/>
                    <w:rPr>
                      <w:sz w:val="21"/>
                      <w:szCs w:val="21"/>
                    </w:rPr>
                  </w:pPr>
                  <w:r>
                    <w:rPr>
                      <w:rFonts w:hint="eastAsia"/>
                      <w:sz w:val="21"/>
                      <w:szCs w:val="21"/>
                    </w:rPr>
                    <w:t>/</w:t>
                  </w:r>
                </w:p>
              </w:tc>
              <w:tc>
                <w:tcPr>
                  <w:tcW w:w="464" w:type="pct"/>
                  <w:vAlign w:val="center"/>
                </w:tcPr>
                <w:p w14:paraId="0885F6C6">
                  <w:pPr>
                    <w:adjustRightInd w:val="0"/>
                    <w:snapToGrid w:val="0"/>
                    <w:spacing w:line="240" w:lineRule="auto"/>
                    <w:jc w:val="center"/>
                    <w:rPr>
                      <w:sz w:val="21"/>
                      <w:szCs w:val="21"/>
                    </w:rPr>
                  </w:pPr>
                  <w:r>
                    <w:rPr>
                      <w:sz w:val="21"/>
                      <w:szCs w:val="21"/>
                    </w:rPr>
                    <w:t>生产</w:t>
                  </w:r>
                  <w:r>
                    <w:rPr>
                      <w:rFonts w:hint="eastAsia"/>
                      <w:sz w:val="21"/>
                      <w:szCs w:val="21"/>
                    </w:rPr>
                    <w:t>生活</w:t>
                  </w:r>
                </w:p>
              </w:tc>
              <w:tc>
                <w:tcPr>
                  <w:tcW w:w="779" w:type="pct"/>
                  <w:shd w:val="clear" w:color="auto" w:fill="auto"/>
                  <w:vAlign w:val="center"/>
                </w:tcPr>
                <w:p w14:paraId="66B749E3">
                  <w:pPr>
                    <w:adjustRightInd w:val="0"/>
                    <w:snapToGrid w:val="0"/>
                    <w:spacing w:line="240" w:lineRule="auto"/>
                    <w:jc w:val="center"/>
                    <w:rPr>
                      <w:sz w:val="21"/>
                      <w:szCs w:val="21"/>
                    </w:rPr>
                  </w:pPr>
                  <w:r>
                    <w:rPr>
                      <w:rFonts w:hint="eastAsia"/>
                      <w:sz w:val="21"/>
                      <w:szCs w:val="21"/>
                    </w:rPr>
                    <w:t>井水</w:t>
                  </w:r>
                </w:p>
              </w:tc>
            </w:tr>
            <w:tr w14:paraId="7039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27" w:type="pct"/>
                  <w:vAlign w:val="center"/>
                </w:tcPr>
                <w:p w14:paraId="3F1EC5B1">
                  <w:pPr>
                    <w:adjustRightInd w:val="0"/>
                    <w:snapToGrid w:val="0"/>
                    <w:spacing w:line="240" w:lineRule="auto"/>
                    <w:jc w:val="center"/>
                    <w:rPr>
                      <w:sz w:val="21"/>
                      <w:szCs w:val="21"/>
                    </w:rPr>
                  </w:pPr>
                  <w:r>
                    <w:rPr>
                      <w:sz w:val="21"/>
                      <w:szCs w:val="21"/>
                    </w:rPr>
                    <w:t>生产用电</w:t>
                  </w:r>
                </w:p>
              </w:tc>
              <w:tc>
                <w:tcPr>
                  <w:tcW w:w="849" w:type="pct"/>
                  <w:vAlign w:val="center"/>
                </w:tcPr>
                <w:p w14:paraId="5771F276">
                  <w:pPr>
                    <w:adjustRightInd w:val="0"/>
                    <w:snapToGrid w:val="0"/>
                    <w:spacing w:line="240" w:lineRule="auto"/>
                    <w:jc w:val="center"/>
                    <w:rPr>
                      <w:rFonts w:hint="default" w:eastAsia="宋体"/>
                      <w:sz w:val="21"/>
                      <w:szCs w:val="21"/>
                      <w:lang w:val="en-US" w:eastAsia="zh-CN"/>
                    </w:rPr>
                  </w:pPr>
                  <w:r>
                    <w:rPr>
                      <w:rFonts w:hint="eastAsia"/>
                      <w:sz w:val="21"/>
                      <w:szCs w:val="21"/>
                      <w:lang w:val="en-US" w:eastAsia="zh-CN"/>
                    </w:rPr>
                    <w:t>500</w:t>
                  </w:r>
                  <w:r>
                    <w:rPr>
                      <w:rFonts w:hint="eastAsia"/>
                      <w:sz w:val="21"/>
                      <w:szCs w:val="21"/>
                    </w:rPr>
                    <w:t>万度</w:t>
                  </w:r>
                  <w:r>
                    <w:rPr>
                      <w:sz w:val="21"/>
                      <w:szCs w:val="21"/>
                    </w:rPr>
                    <w:t>/a</w:t>
                  </w:r>
                </w:p>
              </w:tc>
              <w:tc>
                <w:tcPr>
                  <w:tcW w:w="791" w:type="pct"/>
                  <w:vAlign w:val="center"/>
                </w:tcPr>
                <w:p w14:paraId="5D64CDF4">
                  <w:pPr>
                    <w:adjustRightInd w:val="0"/>
                    <w:snapToGrid w:val="0"/>
                    <w:spacing w:line="240" w:lineRule="auto"/>
                    <w:jc w:val="center"/>
                    <w:rPr>
                      <w:sz w:val="21"/>
                      <w:szCs w:val="21"/>
                    </w:rPr>
                  </w:pPr>
                  <w:r>
                    <w:rPr>
                      <w:rFonts w:hint="eastAsia"/>
                      <w:sz w:val="21"/>
                      <w:szCs w:val="21"/>
                    </w:rPr>
                    <w:t>650万度</w:t>
                  </w:r>
                  <w:r>
                    <w:rPr>
                      <w:sz w:val="21"/>
                      <w:szCs w:val="21"/>
                    </w:rPr>
                    <w:t>/a</w:t>
                  </w:r>
                </w:p>
              </w:tc>
              <w:tc>
                <w:tcPr>
                  <w:tcW w:w="387" w:type="pct"/>
                  <w:vAlign w:val="center"/>
                </w:tcPr>
                <w:p w14:paraId="24B96961">
                  <w:pPr>
                    <w:adjustRightInd w:val="0"/>
                    <w:snapToGrid w:val="0"/>
                    <w:spacing w:line="240" w:lineRule="auto"/>
                    <w:jc w:val="center"/>
                    <w:rPr>
                      <w:sz w:val="21"/>
                      <w:szCs w:val="21"/>
                    </w:rPr>
                  </w:pPr>
                  <w:r>
                    <w:rPr>
                      <w:rFonts w:hint="eastAsia"/>
                      <w:sz w:val="21"/>
                      <w:szCs w:val="21"/>
                    </w:rPr>
                    <w:t>/</w:t>
                  </w:r>
                </w:p>
              </w:tc>
              <w:tc>
                <w:tcPr>
                  <w:tcW w:w="463" w:type="pct"/>
                  <w:vAlign w:val="center"/>
                </w:tcPr>
                <w:p w14:paraId="259E3B75">
                  <w:pPr>
                    <w:adjustRightInd w:val="0"/>
                    <w:snapToGrid w:val="0"/>
                    <w:spacing w:line="240" w:lineRule="auto"/>
                    <w:jc w:val="center"/>
                    <w:rPr>
                      <w:sz w:val="21"/>
                      <w:szCs w:val="21"/>
                    </w:rPr>
                  </w:pPr>
                  <w:r>
                    <w:rPr>
                      <w:rFonts w:hint="eastAsia"/>
                      <w:sz w:val="21"/>
                      <w:szCs w:val="21"/>
                    </w:rPr>
                    <w:t>/</w:t>
                  </w:r>
                </w:p>
              </w:tc>
              <w:tc>
                <w:tcPr>
                  <w:tcW w:w="536" w:type="pct"/>
                  <w:vAlign w:val="center"/>
                </w:tcPr>
                <w:p w14:paraId="593D7998">
                  <w:pPr>
                    <w:adjustRightInd w:val="0"/>
                    <w:snapToGrid w:val="0"/>
                    <w:spacing w:line="240" w:lineRule="auto"/>
                    <w:jc w:val="center"/>
                    <w:rPr>
                      <w:sz w:val="21"/>
                      <w:szCs w:val="21"/>
                    </w:rPr>
                  </w:pPr>
                  <w:r>
                    <w:rPr>
                      <w:rFonts w:hint="eastAsia"/>
                      <w:sz w:val="21"/>
                      <w:szCs w:val="21"/>
                    </w:rPr>
                    <w:t>/</w:t>
                  </w:r>
                </w:p>
              </w:tc>
              <w:tc>
                <w:tcPr>
                  <w:tcW w:w="464" w:type="pct"/>
                  <w:vAlign w:val="center"/>
                </w:tcPr>
                <w:p w14:paraId="6ED0AFA6">
                  <w:pPr>
                    <w:adjustRightInd w:val="0"/>
                    <w:snapToGrid w:val="0"/>
                    <w:spacing w:line="240" w:lineRule="auto"/>
                    <w:jc w:val="center"/>
                    <w:rPr>
                      <w:sz w:val="21"/>
                      <w:szCs w:val="21"/>
                    </w:rPr>
                  </w:pPr>
                  <w:r>
                    <w:rPr>
                      <w:sz w:val="21"/>
                      <w:szCs w:val="21"/>
                    </w:rPr>
                    <w:t>生产车间</w:t>
                  </w:r>
                </w:p>
              </w:tc>
              <w:tc>
                <w:tcPr>
                  <w:tcW w:w="779" w:type="pct"/>
                  <w:shd w:val="clear" w:color="auto" w:fill="auto"/>
                  <w:vAlign w:val="center"/>
                </w:tcPr>
                <w:p w14:paraId="7C9BD83F">
                  <w:pPr>
                    <w:adjustRightInd w:val="0"/>
                    <w:snapToGrid w:val="0"/>
                    <w:spacing w:line="240" w:lineRule="auto"/>
                    <w:jc w:val="center"/>
                    <w:rPr>
                      <w:sz w:val="21"/>
                      <w:szCs w:val="21"/>
                    </w:rPr>
                  </w:pPr>
                  <w:r>
                    <w:rPr>
                      <w:sz w:val="21"/>
                      <w:szCs w:val="21"/>
                    </w:rPr>
                    <w:t>当地供电所</w:t>
                  </w:r>
                </w:p>
              </w:tc>
            </w:tr>
          </w:tbl>
          <w:p w14:paraId="1DEC621A">
            <w:pPr>
              <w:pStyle w:val="30"/>
              <w:numPr>
                <w:ilvl w:val="1"/>
                <w:numId w:val="0"/>
              </w:numPr>
              <w:ind w:left="284"/>
            </w:pPr>
            <w:bookmarkStart w:id="23" w:name="_Toc4705"/>
            <w:bookmarkStart w:id="24" w:name="_Toc68160354"/>
            <w:r>
              <w:rPr>
                <w:rFonts w:hint="eastAsia"/>
              </w:rPr>
              <w:t>2.5主要原辅材料理化性质：</w:t>
            </w:r>
          </w:p>
          <w:p w14:paraId="51258A05">
            <w:pPr>
              <w:pStyle w:val="30"/>
              <w:numPr>
                <w:ilvl w:val="1"/>
                <w:numId w:val="0"/>
              </w:numPr>
              <w:ind w:left="0" w:firstLine="480" w:firstLineChars="200"/>
            </w:pPr>
            <w:r>
              <w:rPr>
                <w:rFonts w:hint="eastAsia"/>
                <w:b w:val="0"/>
                <w:bCs/>
              </w:rPr>
              <w:t>1、绿色</w:t>
            </w:r>
            <w:r>
              <w:rPr>
                <w:rFonts w:hint="eastAsia" w:ascii="Times New Roman" w:hAnsi="Times New Roman" w:eastAsia="宋体" w:cs="Times New Roman"/>
                <w:b w:val="0"/>
                <w:bCs/>
                <w:sz w:val="24"/>
                <w:szCs w:val="24"/>
                <w:lang w:eastAsia="zh-CN"/>
              </w:rPr>
              <w:t>无机颜料</w:t>
            </w:r>
            <w:r>
              <w:rPr>
                <w:rFonts w:hint="eastAsia"/>
                <w:b w:val="0"/>
                <w:bCs/>
              </w:rPr>
              <w:t>、红色</w:t>
            </w:r>
            <w:r>
              <w:rPr>
                <w:rFonts w:hint="eastAsia" w:ascii="Times New Roman" w:hAnsi="Times New Roman" w:eastAsia="宋体" w:cs="Times New Roman"/>
                <w:b w:val="0"/>
                <w:bCs/>
                <w:sz w:val="24"/>
                <w:szCs w:val="24"/>
                <w:lang w:eastAsia="zh-CN"/>
              </w:rPr>
              <w:t>无机颜料</w:t>
            </w:r>
            <w:r>
              <w:rPr>
                <w:rFonts w:hint="eastAsia"/>
                <w:b w:val="0"/>
                <w:bCs/>
              </w:rPr>
              <w:t>及黄色</w:t>
            </w:r>
            <w:r>
              <w:rPr>
                <w:rFonts w:hint="eastAsia" w:ascii="Times New Roman" w:hAnsi="Times New Roman" w:eastAsia="宋体" w:cs="Times New Roman"/>
                <w:b w:val="0"/>
                <w:bCs/>
                <w:sz w:val="24"/>
                <w:szCs w:val="24"/>
                <w:lang w:eastAsia="zh-CN"/>
              </w:rPr>
              <w:t>无机颜料</w:t>
            </w:r>
          </w:p>
          <w:p w14:paraId="6928E8FF">
            <w:pPr>
              <w:pStyle w:val="30"/>
              <w:numPr>
                <w:ilvl w:val="1"/>
                <w:numId w:val="0"/>
              </w:numPr>
              <w:ind w:firstLine="480" w:firstLineChars="200"/>
            </w:pPr>
            <w:r>
              <w:rPr>
                <w:rFonts w:hint="eastAsia"/>
                <w:b w:val="0"/>
                <w:bCs/>
              </w:rPr>
              <w:t>主要产品型号有氧化铁红、氧化铁黄及耐晒绿，</w:t>
            </w:r>
            <w:r>
              <w:rPr>
                <w:b w:val="0"/>
                <w:bCs/>
              </w:rPr>
              <w:t>适用于建筑工业，彩色水泥，应用于彩瓦、砖体、人造大理石、石膏、地面水磨石、墙漆涂饰粉刷、人行道地板砖、彩色地面等的着色剂。</w:t>
            </w:r>
            <w:r>
              <w:rPr>
                <w:rFonts w:hint="eastAsia"/>
                <w:b w:val="0"/>
                <w:bCs/>
              </w:rPr>
              <w:t>为粉状，颜色有：红、黄、绿等，具有优良的物理和化学性质，遮盖力强，着色力高，色泽柔和、性能稳定，且无毒是绿色型环保颜料；耐碱、对弱酸和稀酸有一定的稳定性，具有极佳的耐光、耐候性能，不溶于水和有机溶剂，具有优良的防锈、抗紫外线等作用。</w:t>
            </w:r>
          </w:p>
          <w:p w14:paraId="0C833FB4">
            <w:pPr>
              <w:pStyle w:val="30"/>
              <w:numPr>
                <w:ilvl w:val="1"/>
                <w:numId w:val="0"/>
              </w:numPr>
              <w:ind w:left="0" w:firstLine="480" w:firstLineChars="200"/>
              <w:rPr>
                <w:rFonts w:hint="eastAsia" w:eastAsia="宋体"/>
                <w:b w:val="0"/>
                <w:bCs/>
                <w:u w:val="single"/>
                <w:lang w:val="en-US" w:eastAsia="zh-CN"/>
              </w:rPr>
            </w:pPr>
            <w:r>
              <w:rPr>
                <w:rFonts w:hint="eastAsia"/>
                <w:b w:val="0"/>
                <w:bCs/>
                <w:u w:val="single"/>
                <w:lang w:val="en-US" w:eastAsia="zh-CN"/>
              </w:rPr>
              <w:t>2、透明石材蜡、黑色石材蜡</w:t>
            </w:r>
          </w:p>
          <w:p w14:paraId="1606CA15">
            <w:pPr>
              <w:pStyle w:val="30"/>
              <w:numPr>
                <w:ilvl w:val="1"/>
                <w:numId w:val="0"/>
              </w:numPr>
              <w:adjustRightInd w:val="0"/>
              <w:snapToGrid w:val="0"/>
              <w:spacing w:beforeLines="0"/>
              <w:ind w:left="0" w:firstLine="480" w:firstLineChars="200"/>
              <w:rPr>
                <w:rFonts w:hint="eastAsia" w:eastAsia="宋体"/>
                <w:lang w:eastAsia="zh-CN"/>
              </w:rPr>
            </w:pPr>
            <w:r>
              <w:rPr>
                <w:rFonts w:hint="eastAsia"/>
                <w:b w:val="0"/>
                <w:bCs/>
                <w:u w:val="single"/>
                <w:lang w:val="en-US" w:eastAsia="zh-CN"/>
              </w:rPr>
              <w:t>本项目部分墓碑生产时需刷石材蜡，透明石材蜡、黑色石材蜡</w:t>
            </w:r>
            <w:r>
              <w:rPr>
                <w:rFonts w:hint="eastAsia"/>
                <w:b w:val="0"/>
                <w:bCs/>
                <w:u w:val="single"/>
                <w:lang w:eastAsia="zh-CN"/>
              </w:rPr>
              <w:t>为固体，成分相似，硬度较小，不溶于水，易燃，石材蜡的应用主要涉及到石材的保养和保护，通过在其表面形成一层保护膜，可以减少石材表面的磨损和污染，同时增加石材的光泽度和美观性。这种保护膜不仅可以提高石材的美观性，还能在一定程度上延长石材的使用寿命。石材蜡</w:t>
            </w:r>
            <w:r>
              <w:rPr>
                <w:rFonts w:hint="eastAsia"/>
                <w:b w:val="0"/>
                <w:bCs/>
                <w:u w:val="single"/>
              </w:rPr>
              <w:t>MSDS检测报告</w:t>
            </w:r>
            <w:r>
              <w:rPr>
                <w:rFonts w:hint="eastAsia"/>
                <w:b w:val="0"/>
                <w:bCs/>
                <w:highlight w:val="none"/>
                <w:u w:val="single"/>
                <w:lang w:eastAsia="zh-CN"/>
              </w:rPr>
              <w:t>见附件</w:t>
            </w:r>
            <w:r>
              <w:rPr>
                <w:rFonts w:hint="eastAsia"/>
                <w:b w:val="0"/>
                <w:bCs/>
                <w:highlight w:val="none"/>
                <w:u w:val="single"/>
                <w:lang w:val="en-US" w:eastAsia="zh-CN"/>
              </w:rPr>
              <w:t>8</w:t>
            </w:r>
            <w:r>
              <w:rPr>
                <w:rFonts w:hint="eastAsia"/>
                <w:b w:val="0"/>
                <w:bCs/>
                <w:u w:val="single"/>
                <w:lang w:eastAsia="zh-CN"/>
              </w:rPr>
              <w:t>。</w:t>
            </w:r>
          </w:p>
          <w:p w14:paraId="33674A09">
            <w:pPr>
              <w:adjustRightInd w:val="0"/>
              <w:snapToGrid w:val="0"/>
              <w:spacing w:before="0" w:beforeLines="0" w:line="240" w:lineRule="auto"/>
              <w:ind w:firstLine="2741" w:firstLineChars="1300"/>
              <w:rPr>
                <w:u w:val="single"/>
              </w:rPr>
            </w:pPr>
            <w:r>
              <w:rPr>
                <w:rFonts w:hint="eastAsia" w:ascii="Times New Roman" w:hAnsi="Times New Roman" w:eastAsia="宋体" w:cs="Times New Roman"/>
                <w:b/>
                <w:bCs/>
                <w:sz w:val="21"/>
                <w:szCs w:val="18"/>
                <w:u w:val="single"/>
                <w:lang w:eastAsia="zh-CN"/>
              </w:rPr>
              <w:t>表2-</w:t>
            </w:r>
            <w:r>
              <w:rPr>
                <w:rFonts w:hint="eastAsia" w:ascii="Times New Roman" w:hAnsi="Times New Roman" w:eastAsia="宋体" w:cs="Times New Roman"/>
                <w:b/>
                <w:bCs/>
                <w:sz w:val="21"/>
                <w:szCs w:val="18"/>
                <w:u w:val="single"/>
                <w:lang w:val="en-US" w:eastAsia="zh-CN"/>
              </w:rPr>
              <w:t>5</w:t>
            </w:r>
            <w:r>
              <w:rPr>
                <w:rFonts w:hint="eastAsia" w:ascii="Times New Roman" w:hAnsi="Times New Roman" w:eastAsia="宋体" w:cs="Times New Roman"/>
                <w:b/>
                <w:bCs/>
                <w:sz w:val="21"/>
                <w:szCs w:val="18"/>
                <w:u w:val="single"/>
                <w:lang w:eastAsia="zh-CN"/>
              </w:rPr>
              <w:t xml:space="preserve">  石材</w:t>
            </w:r>
            <w:r>
              <w:rPr>
                <w:rFonts w:hint="eastAsia"/>
                <w:b/>
                <w:bCs/>
                <w:sz w:val="21"/>
                <w:szCs w:val="18"/>
                <w:u w:val="single"/>
                <w:lang w:eastAsia="zh-CN"/>
              </w:rPr>
              <w:t>蜡</w:t>
            </w:r>
            <w:r>
              <w:rPr>
                <w:b/>
                <w:bCs/>
                <w:sz w:val="21"/>
                <w:szCs w:val="18"/>
                <w:u w:val="single"/>
              </w:rPr>
              <w:t>成分组成表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2082"/>
              <w:gridCol w:w="1828"/>
              <w:gridCol w:w="2073"/>
            </w:tblGrid>
            <w:tr w14:paraId="44E2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363" w:type="dxa"/>
                  <w:noWrap w:val="0"/>
                  <w:vAlign w:val="center"/>
                </w:tcPr>
                <w:p w14:paraId="76DE0D6F">
                  <w:pPr>
                    <w:widowControl/>
                    <w:spacing w:line="240" w:lineRule="auto"/>
                    <w:ind w:left="0" w:firstLine="0"/>
                    <w:jc w:val="center"/>
                    <w:rPr>
                      <w:rFonts w:hint="eastAsia"/>
                      <w:b w:val="0"/>
                      <w:sz w:val="21"/>
                      <w:szCs w:val="21"/>
                      <w:u w:val="single"/>
                    </w:rPr>
                  </w:pPr>
                  <w:r>
                    <w:rPr>
                      <w:rFonts w:hint="eastAsia"/>
                      <w:b w:val="0"/>
                      <w:sz w:val="21"/>
                      <w:szCs w:val="21"/>
                      <w:u w:val="single"/>
                    </w:rPr>
                    <w:t>产品名称：</w:t>
                  </w:r>
                </w:p>
              </w:tc>
              <w:tc>
                <w:tcPr>
                  <w:tcW w:w="5899" w:type="dxa"/>
                  <w:gridSpan w:val="3"/>
                  <w:noWrap w:val="0"/>
                  <w:vAlign w:val="center"/>
                </w:tcPr>
                <w:p w14:paraId="54ADE9A7">
                  <w:pPr>
                    <w:widowControl/>
                    <w:spacing w:line="240" w:lineRule="auto"/>
                    <w:ind w:firstLine="0" w:firstLineChars="0"/>
                    <w:jc w:val="center"/>
                    <w:rPr>
                      <w:rFonts w:hint="eastAsia" w:eastAsia="宋体"/>
                      <w:b w:val="0"/>
                      <w:sz w:val="21"/>
                      <w:szCs w:val="21"/>
                      <w:u w:val="single"/>
                      <w:lang w:eastAsia="zh-CN"/>
                    </w:rPr>
                  </w:pPr>
                  <w:r>
                    <w:rPr>
                      <w:rFonts w:hint="eastAsia"/>
                      <w:b w:val="0"/>
                      <w:sz w:val="21"/>
                      <w:szCs w:val="21"/>
                      <w:u w:val="single"/>
                      <w:lang w:eastAsia="zh-CN"/>
                    </w:rPr>
                    <w:t>石材蜡</w:t>
                  </w:r>
                </w:p>
              </w:tc>
            </w:tr>
            <w:tr w14:paraId="6BAB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63" w:type="dxa"/>
                  <w:noWrap w:val="0"/>
                  <w:vAlign w:val="top"/>
                </w:tcPr>
                <w:p w14:paraId="48C86304">
                  <w:pPr>
                    <w:widowControl/>
                    <w:spacing w:line="240" w:lineRule="auto"/>
                    <w:ind w:left="0" w:firstLine="0"/>
                    <w:jc w:val="center"/>
                    <w:rPr>
                      <w:rFonts w:hint="eastAsia"/>
                      <w:b w:val="0"/>
                      <w:sz w:val="21"/>
                      <w:szCs w:val="21"/>
                      <w:u w:val="single"/>
                    </w:rPr>
                  </w:pPr>
                  <w:r>
                    <w:rPr>
                      <w:rFonts w:hint="eastAsia"/>
                      <w:b w:val="0"/>
                      <w:sz w:val="21"/>
                      <w:szCs w:val="21"/>
                      <w:u w:val="single"/>
                    </w:rPr>
                    <w:t>化学名称</w:t>
                  </w:r>
                </w:p>
              </w:tc>
              <w:tc>
                <w:tcPr>
                  <w:tcW w:w="2053" w:type="dxa"/>
                  <w:noWrap w:val="0"/>
                  <w:vAlign w:val="top"/>
                </w:tcPr>
                <w:p w14:paraId="4546296D">
                  <w:pPr>
                    <w:widowControl/>
                    <w:spacing w:line="240" w:lineRule="auto"/>
                    <w:ind w:left="0" w:firstLine="0"/>
                    <w:jc w:val="center"/>
                    <w:rPr>
                      <w:rFonts w:hint="eastAsia"/>
                      <w:b w:val="0"/>
                      <w:sz w:val="21"/>
                      <w:szCs w:val="21"/>
                      <w:u w:val="single"/>
                    </w:rPr>
                  </w:pPr>
                  <w:r>
                    <w:rPr>
                      <w:rFonts w:hint="eastAsia"/>
                      <w:b w:val="0"/>
                      <w:sz w:val="21"/>
                      <w:szCs w:val="21"/>
                      <w:u w:val="single"/>
                    </w:rPr>
                    <w:t>注册号</w:t>
                  </w:r>
                </w:p>
              </w:tc>
              <w:tc>
                <w:tcPr>
                  <w:tcW w:w="1802" w:type="dxa"/>
                  <w:noWrap w:val="0"/>
                  <w:vAlign w:val="top"/>
                </w:tcPr>
                <w:p w14:paraId="38052148">
                  <w:pPr>
                    <w:widowControl/>
                    <w:spacing w:line="240" w:lineRule="auto"/>
                    <w:ind w:left="0" w:firstLine="0"/>
                    <w:jc w:val="center"/>
                    <w:rPr>
                      <w:rFonts w:hint="eastAsia"/>
                      <w:b w:val="0"/>
                      <w:sz w:val="21"/>
                      <w:szCs w:val="21"/>
                      <w:u w:val="single"/>
                    </w:rPr>
                  </w:pPr>
                  <w:r>
                    <w:rPr>
                      <w:rFonts w:hint="eastAsia"/>
                      <w:b w:val="0"/>
                      <w:sz w:val="21"/>
                      <w:szCs w:val="21"/>
                      <w:u w:val="single"/>
                    </w:rPr>
                    <w:t>含量</w:t>
                  </w:r>
                </w:p>
              </w:tc>
              <w:tc>
                <w:tcPr>
                  <w:tcW w:w="2044" w:type="dxa"/>
                  <w:noWrap w:val="0"/>
                  <w:vAlign w:val="top"/>
                </w:tcPr>
                <w:p w14:paraId="111E0588">
                  <w:pPr>
                    <w:widowControl/>
                    <w:spacing w:line="240" w:lineRule="auto"/>
                    <w:ind w:left="0" w:firstLine="0"/>
                    <w:jc w:val="center"/>
                    <w:rPr>
                      <w:rFonts w:hint="eastAsia"/>
                      <w:b w:val="0"/>
                      <w:sz w:val="21"/>
                      <w:szCs w:val="21"/>
                      <w:u w:val="single"/>
                    </w:rPr>
                  </w:pPr>
                  <w:r>
                    <w:rPr>
                      <w:rFonts w:hint="eastAsia"/>
                      <w:b w:val="0"/>
                      <w:sz w:val="21"/>
                      <w:szCs w:val="21"/>
                      <w:u w:val="single"/>
                    </w:rPr>
                    <w:t>Cas No.</w:t>
                  </w:r>
                </w:p>
              </w:tc>
            </w:tr>
            <w:tr w14:paraId="29E4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2363" w:type="dxa"/>
                  <w:noWrap w:val="0"/>
                  <w:vAlign w:val="center"/>
                </w:tcPr>
                <w:p w14:paraId="2F0863D1">
                  <w:pPr>
                    <w:widowControl/>
                    <w:spacing w:line="240" w:lineRule="auto"/>
                    <w:jc w:val="center"/>
                    <w:rPr>
                      <w:rFonts w:hint="eastAsia" w:ascii="Times New Roman" w:hAnsi="Times New Roman"/>
                      <w:b w:val="0"/>
                      <w:sz w:val="21"/>
                      <w:szCs w:val="21"/>
                      <w:u w:val="single"/>
                    </w:rPr>
                  </w:pPr>
                  <w:r>
                    <w:rPr>
                      <w:rFonts w:hint="eastAsia" w:ascii="Times New Roman" w:hAnsi="Times New Roman" w:eastAsia="宋体" w:cs="Times New Roman"/>
                      <w:kern w:val="2"/>
                      <w:sz w:val="21"/>
                      <w:szCs w:val="21"/>
                      <w:u w:val="single"/>
                      <w:lang w:val="en-US" w:eastAsia="zh-CN" w:bidi="ar"/>
                    </w:rPr>
                    <w:t>正链烷烃</w:t>
                  </w:r>
                </w:p>
              </w:tc>
              <w:tc>
                <w:tcPr>
                  <w:tcW w:w="2053" w:type="dxa"/>
                  <w:noWrap w:val="0"/>
                  <w:vAlign w:val="center"/>
                </w:tcPr>
                <w:p w14:paraId="56C4F1B5">
                  <w:pPr>
                    <w:widowControl/>
                    <w:spacing w:line="240" w:lineRule="auto"/>
                    <w:ind w:left="0" w:firstLine="0"/>
                    <w:jc w:val="center"/>
                    <w:rPr>
                      <w:rFonts w:hint="eastAsia"/>
                      <w:sz w:val="21"/>
                      <w:szCs w:val="21"/>
                      <w:u w:val="single"/>
                    </w:rPr>
                  </w:pPr>
                  <w:r>
                    <w:rPr>
                      <w:rFonts w:hint="eastAsia"/>
                      <w:sz w:val="21"/>
                      <w:szCs w:val="21"/>
                      <w:u w:val="single"/>
                    </w:rPr>
                    <w:t>N/A</w:t>
                  </w:r>
                </w:p>
              </w:tc>
              <w:tc>
                <w:tcPr>
                  <w:tcW w:w="1802" w:type="dxa"/>
                  <w:noWrap w:val="0"/>
                  <w:vAlign w:val="center"/>
                </w:tcPr>
                <w:p w14:paraId="00A227AA">
                  <w:pPr>
                    <w:widowControl/>
                    <w:spacing w:line="240" w:lineRule="auto"/>
                    <w:ind w:left="0" w:firstLine="0"/>
                    <w:jc w:val="center"/>
                    <w:rPr>
                      <w:rFonts w:hint="eastAsia"/>
                      <w:sz w:val="21"/>
                      <w:szCs w:val="21"/>
                      <w:u w:val="single"/>
                    </w:rPr>
                  </w:pPr>
                  <w:r>
                    <w:rPr>
                      <w:rFonts w:hint="eastAsia"/>
                      <w:sz w:val="21"/>
                      <w:szCs w:val="21"/>
                      <w:u w:val="single"/>
                      <w:lang w:val="en-US" w:eastAsia="zh-CN"/>
                    </w:rPr>
                    <w:t>85</w:t>
                  </w:r>
                  <w:r>
                    <w:rPr>
                      <w:rFonts w:hint="eastAsia"/>
                      <w:sz w:val="21"/>
                      <w:szCs w:val="21"/>
                      <w:u w:val="single"/>
                    </w:rPr>
                    <w:t>%</w:t>
                  </w:r>
                </w:p>
              </w:tc>
              <w:tc>
                <w:tcPr>
                  <w:tcW w:w="2044" w:type="dxa"/>
                  <w:noWrap w:val="0"/>
                  <w:vAlign w:val="center"/>
                </w:tcPr>
                <w:p w14:paraId="15E7C3BE">
                  <w:pPr>
                    <w:widowControl/>
                    <w:spacing w:line="240" w:lineRule="auto"/>
                    <w:jc w:val="center"/>
                    <w:rPr>
                      <w:rFonts w:hint="eastAsia" w:ascii="Times New Roman" w:hAnsi="Times New Roman" w:eastAsia="宋体"/>
                      <w:sz w:val="21"/>
                      <w:szCs w:val="21"/>
                      <w:u w:val="single"/>
                      <w:lang w:eastAsia="zh-CN"/>
                    </w:rPr>
                  </w:pPr>
                  <w:r>
                    <w:rPr>
                      <w:rFonts w:hint="eastAsia"/>
                      <w:sz w:val="21"/>
                      <w:szCs w:val="21"/>
                      <w:u w:val="single"/>
                      <w:lang w:val="en-US" w:eastAsia="zh-CN"/>
                    </w:rPr>
                    <w:t>64771</w:t>
                  </w:r>
                  <w:r>
                    <w:rPr>
                      <w:rFonts w:hint="eastAsia" w:ascii="Times New Roman" w:hAnsi="Times New Roman"/>
                      <w:sz w:val="21"/>
                      <w:szCs w:val="21"/>
                      <w:u w:val="single"/>
                    </w:rPr>
                    <w:t>-</w:t>
                  </w:r>
                  <w:r>
                    <w:rPr>
                      <w:rFonts w:hint="eastAsia"/>
                      <w:sz w:val="21"/>
                      <w:szCs w:val="21"/>
                      <w:u w:val="single"/>
                      <w:lang w:val="en-US" w:eastAsia="zh-CN"/>
                    </w:rPr>
                    <w:t>72</w:t>
                  </w:r>
                  <w:r>
                    <w:rPr>
                      <w:rFonts w:hint="eastAsia" w:ascii="Times New Roman" w:hAnsi="Times New Roman"/>
                      <w:sz w:val="21"/>
                      <w:szCs w:val="21"/>
                      <w:u w:val="single"/>
                    </w:rPr>
                    <w:t>-</w:t>
                  </w:r>
                  <w:r>
                    <w:rPr>
                      <w:rFonts w:hint="eastAsia"/>
                      <w:sz w:val="21"/>
                      <w:szCs w:val="21"/>
                      <w:u w:val="single"/>
                      <w:lang w:val="en-US" w:eastAsia="zh-CN"/>
                    </w:rPr>
                    <w:t>8</w:t>
                  </w:r>
                </w:p>
              </w:tc>
            </w:tr>
            <w:tr w14:paraId="4FD3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63" w:type="dxa"/>
                  <w:noWrap w:val="0"/>
                  <w:vAlign w:val="center"/>
                </w:tcPr>
                <w:p w14:paraId="6B2CBA51">
                  <w:pPr>
                    <w:widowControl/>
                    <w:spacing w:line="240" w:lineRule="auto"/>
                    <w:jc w:val="center"/>
                    <w:rPr>
                      <w:rFonts w:hint="eastAsia" w:ascii="Times New Roman" w:hAnsi="Times New Roman"/>
                      <w:b w:val="0"/>
                      <w:sz w:val="21"/>
                      <w:szCs w:val="21"/>
                      <w:u w:val="single"/>
                    </w:rPr>
                  </w:pPr>
                  <w:r>
                    <w:rPr>
                      <w:rFonts w:hint="eastAsia" w:ascii="Times New Roman" w:hAnsi="Times New Roman" w:eastAsia="宋体" w:cs="Times New Roman"/>
                      <w:kern w:val="2"/>
                      <w:sz w:val="21"/>
                      <w:szCs w:val="21"/>
                      <w:u w:val="single"/>
                      <w:lang w:val="en-US" w:eastAsia="zh-CN" w:bidi="ar"/>
                    </w:rPr>
                    <w:t>石蜡</w:t>
                  </w:r>
                </w:p>
              </w:tc>
              <w:tc>
                <w:tcPr>
                  <w:tcW w:w="2053" w:type="dxa"/>
                  <w:noWrap w:val="0"/>
                  <w:vAlign w:val="center"/>
                </w:tcPr>
                <w:p w14:paraId="0BDF64EA">
                  <w:pPr>
                    <w:widowControl/>
                    <w:spacing w:line="240" w:lineRule="auto"/>
                    <w:ind w:left="0" w:firstLine="0"/>
                    <w:jc w:val="center"/>
                    <w:rPr>
                      <w:rFonts w:hint="eastAsia"/>
                      <w:sz w:val="21"/>
                      <w:szCs w:val="21"/>
                      <w:u w:val="single"/>
                    </w:rPr>
                  </w:pPr>
                  <w:r>
                    <w:rPr>
                      <w:rFonts w:hint="eastAsia"/>
                      <w:sz w:val="21"/>
                      <w:szCs w:val="21"/>
                      <w:u w:val="single"/>
                    </w:rPr>
                    <w:t>N/A</w:t>
                  </w:r>
                </w:p>
              </w:tc>
              <w:tc>
                <w:tcPr>
                  <w:tcW w:w="1802" w:type="dxa"/>
                  <w:noWrap w:val="0"/>
                  <w:vAlign w:val="center"/>
                </w:tcPr>
                <w:p w14:paraId="1B790190">
                  <w:pPr>
                    <w:widowControl/>
                    <w:spacing w:line="240" w:lineRule="auto"/>
                    <w:ind w:left="0" w:firstLine="0"/>
                    <w:jc w:val="center"/>
                    <w:rPr>
                      <w:rFonts w:hint="eastAsia"/>
                      <w:sz w:val="21"/>
                      <w:szCs w:val="21"/>
                      <w:u w:val="single"/>
                    </w:rPr>
                  </w:pPr>
                  <w:r>
                    <w:rPr>
                      <w:rFonts w:hint="eastAsia"/>
                      <w:sz w:val="21"/>
                      <w:szCs w:val="21"/>
                      <w:u w:val="single"/>
                    </w:rPr>
                    <w:t>5%</w:t>
                  </w:r>
                </w:p>
              </w:tc>
              <w:tc>
                <w:tcPr>
                  <w:tcW w:w="2044" w:type="dxa"/>
                  <w:noWrap w:val="0"/>
                  <w:vAlign w:val="center"/>
                </w:tcPr>
                <w:p w14:paraId="2207BD18">
                  <w:pPr>
                    <w:widowControl/>
                    <w:spacing w:line="240" w:lineRule="auto"/>
                    <w:jc w:val="center"/>
                    <w:rPr>
                      <w:rFonts w:hint="eastAsia" w:ascii="Times New Roman" w:hAnsi="Times New Roman"/>
                      <w:sz w:val="21"/>
                      <w:szCs w:val="21"/>
                      <w:u w:val="single"/>
                    </w:rPr>
                  </w:pPr>
                  <w:r>
                    <w:rPr>
                      <w:rFonts w:hint="eastAsia"/>
                      <w:sz w:val="21"/>
                      <w:szCs w:val="21"/>
                      <w:u w:val="single"/>
                      <w:lang w:val="en-US" w:eastAsia="zh-CN"/>
                    </w:rPr>
                    <w:t>8002</w:t>
                  </w:r>
                  <w:r>
                    <w:rPr>
                      <w:rFonts w:hint="eastAsia" w:ascii="Times New Roman" w:hAnsi="Times New Roman"/>
                      <w:sz w:val="21"/>
                      <w:szCs w:val="21"/>
                      <w:u w:val="single"/>
                    </w:rPr>
                    <w:t>-</w:t>
                  </w:r>
                  <w:r>
                    <w:rPr>
                      <w:rFonts w:hint="eastAsia"/>
                      <w:sz w:val="21"/>
                      <w:szCs w:val="21"/>
                      <w:u w:val="single"/>
                      <w:lang w:val="en-US" w:eastAsia="zh-CN"/>
                    </w:rPr>
                    <w:t>74</w:t>
                  </w:r>
                  <w:r>
                    <w:rPr>
                      <w:rFonts w:hint="eastAsia" w:ascii="Times New Roman" w:hAnsi="Times New Roman"/>
                      <w:sz w:val="21"/>
                      <w:szCs w:val="21"/>
                      <w:u w:val="single"/>
                    </w:rPr>
                    <w:t>-</w:t>
                  </w:r>
                  <w:r>
                    <w:rPr>
                      <w:rFonts w:hint="eastAsia"/>
                      <w:sz w:val="21"/>
                      <w:szCs w:val="21"/>
                      <w:u w:val="single"/>
                      <w:lang w:val="en-US" w:eastAsia="zh-CN"/>
                    </w:rPr>
                    <w:t>2</w:t>
                  </w:r>
                </w:p>
              </w:tc>
            </w:tr>
            <w:tr w14:paraId="65F7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63" w:type="dxa"/>
                  <w:noWrap w:val="0"/>
                  <w:vAlign w:val="center"/>
                </w:tcPr>
                <w:p w14:paraId="4C1E3F31">
                  <w:pPr>
                    <w:widowControl/>
                    <w:spacing w:line="240" w:lineRule="auto"/>
                    <w:jc w:val="center"/>
                    <w:rPr>
                      <w:rFonts w:hint="eastAsia" w:ascii="Times New Roman" w:hAnsi="Times New Roman"/>
                      <w:b w:val="0"/>
                      <w:sz w:val="21"/>
                      <w:szCs w:val="21"/>
                      <w:u w:val="single"/>
                    </w:rPr>
                  </w:pPr>
                  <w:r>
                    <w:rPr>
                      <w:rFonts w:hint="eastAsia" w:ascii="Times New Roman" w:hAnsi="Times New Roman" w:eastAsia="宋体" w:cs="Times New Roman"/>
                      <w:kern w:val="2"/>
                      <w:sz w:val="21"/>
                      <w:szCs w:val="21"/>
                      <w:u w:val="single"/>
                      <w:lang w:val="en-US" w:eastAsia="zh-CN" w:bidi="ar"/>
                    </w:rPr>
                    <w:t>聚乙烯蜡</w:t>
                  </w:r>
                </w:p>
              </w:tc>
              <w:tc>
                <w:tcPr>
                  <w:tcW w:w="2053" w:type="dxa"/>
                  <w:noWrap w:val="0"/>
                  <w:vAlign w:val="center"/>
                </w:tcPr>
                <w:p w14:paraId="7B659DE7">
                  <w:pPr>
                    <w:widowControl/>
                    <w:spacing w:line="240" w:lineRule="auto"/>
                    <w:ind w:left="0" w:firstLine="0"/>
                    <w:jc w:val="center"/>
                    <w:rPr>
                      <w:rFonts w:hint="eastAsia"/>
                      <w:sz w:val="21"/>
                      <w:szCs w:val="21"/>
                      <w:u w:val="single"/>
                    </w:rPr>
                  </w:pPr>
                  <w:r>
                    <w:rPr>
                      <w:rFonts w:hint="eastAsia"/>
                      <w:sz w:val="21"/>
                      <w:szCs w:val="21"/>
                      <w:u w:val="single"/>
                    </w:rPr>
                    <w:t>N/A</w:t>
                  </w:r>
                </w:p>
              </w:tc>
              <w:tc>
                <w:tcPr>
                  <w:tcW w:w="1802" w:type="dxa"/>
                  <w:noWrap w:val="0"/>
                  <w:vAlign w:val="center"/>
                </w:tcPr>
                <w:p w14:paraId="53857B7F">
                  <w:pPr>
                    <w:widowControl/>
                    <w:spacing w:line="240" w:lineRule="auto"/>
                    <w:ind w:left="0" w:firstLine="0"/>
                    <w:jc w:val="center"/>
                    <w:rPr>
                      <w:rFonts w:hint="default" w:eastAsia="宋体"/>
                      <w:sz w:val="21"/>
                      <w:szCs w:val="21"/>
                      <w:u w:val="single"/>
                      <w:lang w:val="en-US" w:eastAsia="zh-CN"/>
                    </w:rPr>
                  </w:pPr>
                  <w:r>
                    <w:rPr>
                      <w:rFonts w:hint="eastAsia"/>
                      <w:sz w:val="21"/>
                      <w:szCs w:val="21"/>
                      <w:u w:val="single"/>
                      <w:lang w:val="en-US" w:eastAsia="zh-CN"/>
                    </w:rPr>
                    <w:t>10</w:t>
                  </w:r>
                  <w:r>
                    <w:rPr>
                      <w:rFonts w:hint="eastAsia"/>
                      <w:sz w:val="21"/>
                      <w:szCs w:val="21"/>
                      <w:u w:val="single"/>
                    </w:rPr>
                    <w:t>%</w:t>
                  </w:r>
                </w:p>
              </w:tc>
              <w:tc>
                <w:tcPr>
                  <w:tcW w:w="2044" w:type="dxa"/>
                  <w:noWrap w:val="0"/>
                  <w:vAlign w:val="center"/>
                </w:tcPr>
                <w:p w14:paraId="25BCBB01">
                  <w:pPr>
                    <w:widowControl/>
                    <w:spacing w:line="240" w:lineRule="auto"/>
                    <w:jc w:val="center"/>
                    <w:rPr>
                      <w:rFonts w:hint="eastAsia" w:ascii="Times New Roman" w:hAnsi="Times New Roman"/>
                      <w:sz w:val="21"/>
                      <w:szCs w:val="21"/>
                      <w:u w:val="single"/>
                    </w:rPr>
                  </w:pPr>
                  <w:r>
                    <w:rPr>
                      <w:rFonts w:hint="eastAsia"/>
                      <w:sz w:val="21"/>
                      <w:szCs w:val="21"/>
                      <w:u w:val="single"/>
                      <w:lang w:val="en-US" w:eastAsia="zh-CN"/>
                    </w:rPr>
                    <w:t>9002</w:t>
                  </w:r>
                  <w:r>
                    <w:rPr>
                      <w:rFonts w:hint="eastAsia" w:ascii="Times New Roman" w:hAnsi="Times New Roman"/>
                      <w:sz w:val="21"/>
                      <w:szCs w:val="21"/>
                      <w:u w:val="single"/>
                    </w:rPr>
                    <w:t>-</w:t>
                  </w:r>
                  <w:r>
                    <w:rPr>
                      <w:rFonts w:hint="eastAsia"/>
                      <w:sz w:val="21"/>
                      <w:szCs w:val="21"/>
                      <w:u w:val="single"/>
                      <w:lang w:val="en-US" w:eastAsia="zh-CN"/>
                    </w:rPr>
                    <w:t>88</w:t>
                  </w:r>
                  <w:r>
                    <w:rPr>
                      <w:rFonts w:hint="eastAsia" w:ascii="Times New Roman" w:hAnsi="Times New Roman"/>
                      <w:sz w:val="21"/>
                      <w:szCs w:val="21"/>
                      <w:u w:val="single"/>
                    </w:rPr>
                    <w:t>-</w:t>
                  </w:r>
                  <w:r>
                    <w:rPr>
                      <w:rFonts w:hint="eastAsia"/>
                      <w:sz w:val="21"/>
                      <w:szCs w:val="21"/>
                      <w:u w:val="single"/>
                      <w:lang w:val="en-US" w:eastAsia="zh-CN"/>
                    </w:rPr>
                    <w:t>4</w:t>
                  </w:r>
                </w:p>
              </w:tc>
            </w:tr>
          </w:tbl>
          <w:p w14:paraId="626DA9CD">
            <w:pPr>
              <w:pStyle w:val="2"/>
              <w:spacing w:line="240" w:lineRule="auto"/>
              <w:ind w:left="304" w:hanging="304"/>
              <w:jc w:val="center"/>
              <w:rPr>
                <w:rFonts w:ascii="Times New Roman" w:hAnsi="Times New Roman" w:eastAsia="宋体" w:cs="Times New Roman"/>
                <w:b/>
                <w:bCs/>
                <w:color w:val="auto"/>
                <w:spacing w:val="0"/>
                <w:kern w:val="2"/>
                <w:sz w:val="21"/>
                <w:szCs w:val="18"/>
                <w:u w:val="single"/>
              </w:rPr>
            </w:pPr>
            <w:r>
              <w:rPr>
                <w:rFonts w:ascii="Times New Roman" w:hAnsi="Times New Roman" w:eastAsia="宋体" w:cs="Times New Roman"/>
                <w:b/>
                <w:bCs/>
                <w:color w:val="auto"/>
                <w:spacing w:val="0"/>
                <w:kern w:val="2"/>
                <w:sz w:val="21"/>
                <w:szCs w:val="18"/>
                <w:u w:val="single"/>
              </w:rPr>
              <w:t>表2-</w:t>
            </w:r>
            <w:r>
              <w:rPr>
                <w:rFonts w:hint="eastAsia" w:ascii="Times New Roman" w:hAnsi="Times New Roman" w:eastAsia="宋体" w:cs="Times New Roman"/>
                <w:b/>
                <w:bCs/>
                <w:color w:val="auto"/>
                <w:spacing w:val="0"/>
                <w:kern w:val="2"/>
                <w:sz w:val="21"/>
                <w:szCs w:val="18"/>
                <w:u w:val="single"/>
                <w:lang w:val="en-US" w:eastAsia="zh-CN"/>
              </w:rPr>
              <w:t>6</w:t>
            </w:r>
            <w:r>
              <w:rPr>
                <w:rFonts w:ascii="Times New Roman" w:hAnsi="Times New Roman" w:eastAsia="宋体" w:cs="Times New Roman"/>
                <w:b/>
                <w:bCs/>
                <w:color w:val="auto"/>
                <w:spacing w:val="0"/>
                <w:kern w:val="2"/>
                <w:sz w:val="21"/>
                <w:szCs w:val="18"/>
                <w:u w:val="single"/>
              </w:rPr>
              <w:t xml:space="preserve">  主要危险化学品特性表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70"/>
              <w:gridCol w:w="887"/>
              <w:gridCol w:w="2658"/>
              <w:gridCol w:w="1735"/>
              <w:gridCol w:w="2225"/>
            </w:tblGrid>
            <w:tr w14:paraId="6EDD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5" w:hRule="atLeast"/>
                <w:tblHeader/>
                <w:jc w:val="center"/>
              </w:trPr>
              <w:tc>
                <w:tcPr>
                  <w:tcW w:w="547" w:type="pct"/>
                  <w:noWrap w:val="0"/>
                  <w:vAlign w:val="center"/>
                </w:tcPr>
                <w:p w14:paraId="201CDF81">
                  <w:pPr>
                    <w:adjustRightInd w:val="0"/>
                    <w:snapToGrid w:val="0"/>
                    <w:jc w:val="center"/>
                    <w:rPr>
                      <w:rFonts w:hint="eastAsia"/>
                      <w:b/>
                      <w:bCs/>
                      <w:color w:val="auto"/>
                      <w:spacing w:val="0"/>
                      <w:sz w:val="21"/>
                      <w:szCs w:val="18"/>
                      <w:u w:val="single"/>
                    </w:rPr>
                  </w:pPr>
                  <w:r>
                    <w:rPr>
                      <w:rFonts w:hint="eastAsia"/>
                      <w:b/>
                      <w:bCs/>
                      <w:color w:val="auto"/>
                      <w:spacing w:val="0"/>
                      <w:sz w:val="21"/>
                      <w:szCs w:val="18"/>
                      <w:u w:val="single"/>
                    </w:rPr>
                    <w:t>名称</w:t>
                  </w:r>
                </w:p>
              </w:tc>
              <w:tc>
                <w:tcPr>
                  <w:tcW w:w="418" w:type="pct"/>
                  <w:noWrap w:val="0"/>
                  <w:vAlign w:val="center"/>
                </w:tcPr>
                <w:p w14:paraId="7C2DD153">
                  <w:pPr>
                    <w:adjustRightInd w:val="0"/>
                    <w:snapToGrid w:val="0"/>
                    <w:jc w:val="center"/>
                    <w:rPr>
                      <w:rFonts w:hint="eastAsia"/>
                      <w:b/>
                      <w:bCs/>
                      <w:color w:val="auto"/>
                      <w:spacing w:val="0"/>
                      <w:sz w:val="21"/>
                      <w:szCs w:val="18"/>
                      <w:u w:val="single"/>
                    </w:rPr>
                  </w:pPr>
                  <w:r>
                    <w:rPr>
                      <w:rFonts w:hint="eastAsia"/>
                      <w:b/>
                      <w:bCs/>
                      <w:color w:val="auto"/>
                      <w:spacing w:val="0"/>
                      <w:sz w:val="21"/>
                      <w:szCs w:val="18"/>
                      <w:u w:val="single"/>
                    </w:rPr>
                    <w:t>分子式</w:t>
                  </w:r>
                </w:p>
              </w:tc>
              <w:tc>
                <w:tcPr>
                  <w:tcW w:w="1614" w:type="pct"/>
                  <w:noWrap w:val="0"/>
                  <w:vAlign w:val="center"/>
                </w:tcPr>
                <w:p w14:paraId="14DF23D8">
                  <w:pPr>
                    <w:adjustRightInd w:val="0"/>
                    <w:snapToGrid w:val="0"/>
                    <w:jc w:val="center"/>
                    <w:rPr>
                      <w:rFonts w:hint="eastAsia"/>
                      <w:b/>
                      <w:bCs/>
                      <w:color w:val="auto"/>
                      <w:spacing w:val="0"/>
                      <w:sz w:val="21"/>
                      <w:szCs w:val="18"/>
                      <w:u w:val="single"/>
                    </w:rPr>
                  </w:pPr>
                  <w:r>
                    <w:rPr>
                      <w:rFonts w:hint="eastAsia"/>
                      <w:b/>
                      <w:bCs/>
                      <w:color w:val="auto"/>
                      <w:spacing w:val="0"/>
                      <w:sz w:val="21"/>
                      <w:szCs w:val="18"/>
                      <w:u w:val="single"/>
                    </w:rPr>
                    <w:t>物化特性</w:t>
                  </w:r>
                </w:p>
              </w:tc>
              <w:tc>
                <w:tcPr>
                  <w:tcW w:w="1063" w:type="pct"/>
                  <w:noWrap w:val="0"/>
                  <w:vAlign w:val="center"/>
                </w:tcPr>
                <w:p w14:paraId="1EEA2389">
                  <w:pPr>
                    <w:adjustRightInd w:val="0"/>
                    <w:snapToGrid w:val="0"/>
                    <w:jc w:val="center"/>
                    <w:rPr>
                      <w:rFonts w:hint="eastAsia"/>
                      <w:b/>
                      <w:bCs/>
                      <w:color w:val="auto"/>
                      <w:spacing w:val="0"/>
                      <w:sz w:val="21"/>
                      <w:szCs w:val="18"/>
                      <w:u w:val="single"/>
                    </w:rPr>
                  </w:pPr>
                  <w:r>
                    <w:rPr>
                      <w:rFonts w:hint="eastAsia"/>
                      <w:b/>
                      <w:bCs/>
                      <w:color w:val="auto"/>
                      <w:spacing w:val="0"/>
                      <w:sz w:val="21"/>
                      <w:szCs w:val="18"/>
                      <w:u w:val="single"/>
                    </w:rPr>
                    <w:t>燃烧爆炸性</w:t>
                  </w:r>
                </w:p>
              </w:tc>
              <w:tc>
                <w:tcPr>
                  <w:tcW w:w="1355" w:type="pct"/>
                  <w:noWrap w:val="0"/>
                  <w:vAlign w:val="center"/>
                </w:tcPr>
                <w:p w14:paraId="7C4208C2">
                  <w:pPr>
                    <w:adjustRightInd w:val="0"/>
                    <w:snapToGrid w:val="0"/>
                    <w:jc w:val="center"/>
                    <w:rPr>
                      <w:rFonts w:hint="eastAsia"/>
                      <w:b/>
                      <w:bCs/>
                      <w:color w:val="auto"/>
                      <w:spacing w:val="0"/>
                      <w:sz w:val="21"/>
                      <w:szCs w:val="18"/>
                      <w:u w:val="single"/>
                    </w:rPr>
                  </w:pPr>
                  <w:r>
                    <w:rPr>
                      <w:rFonts w:hint="eastAsia"/>
                      <w:b/>
                      <w:bCs/>
                      <w:color w:val="auto"/>
                      <w:spacing w:val="0"/>
                      <w:sz w:val="21"/>
                      <w:szCs w:val="18"/>
                      <w:u w:val="single"/>
                    </w:rPr>
                    <w:t>毒性毒理</w:t>
                  </w:r>
                </w:p>
              </w:tc>
            </w:tr>
            <w:tr w14:paraId="5FF0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916" w:type="dxa"/>
                  <w:noWrap w:val="0"/>
                  <w:vAlign w:val="center"/>
                </w:tcPr>
                <w:p w14:paraId="6448F71F">
                  <w:pPr>
                    <w:widowControl/>
                    <w:spacing w:line="240" w:lineRule="auto"/>
                    <w:jc w:val="center"/>
                    <w:rPr>
                      <w:rFonts w:hint="eastAsia"/>
                      <w:bCs w:val="0"/>
                      <w:sz w:val="21"/>
                      <w:szCs w:val="21"/>
                      <w:u w:val="single"/>
                    </w:rPr>
                  </w:pPr>
                  <w:r>
                    <w:rPr>
                      <w:rFonts w:hint="eastAsia" w:ascii="Times New Roman" w:hAnsi="Times New Roman" w:eastAsia="宋体" w:cs="Times New Roman"/>
                      <w:kern w:val="2"/>
                      <w:sz w:val="21"/>
                      <w:szCs w:val="21"/>
                      <w:u w:val="single"/>
                      <w:lang w:val="en-US" w:eastAsia="zh-CN" w:bidi="ar"/>
                    </w:rPr>
                    <w:t>正链烷烃</w:t>
                  </w:r>
                </w:p>
              </w:tc>
              <w:tc>
                <w:tcPr>
                  <w:tcW w:w="418" w:type="pct"/>
                  <w:noWrap w:val="0"/>
                  <w:vAlign w:val="center"/>
                </w:tcPr>
                <w:p w14:paraId="50BD9431">
                  <w:pPr>
                    <w:widowControl/>
                    <w:adjustRightInd/>
                    <w:snapToGrid/>
                    <w:spacing w:line="240" w:lineRule="auto"/>
                    <w:jc w:val="center"/>
                    <w:rPr>
                      <w:rFonts w:hint="default" w:eastAsia="宋体"/>
                      <w:bCs w:val="0"/>
                      <w:sz w:val="21"/>
                      <w:szCs w:val="21"/>
                      <w:u w:val="single"/>
                      <w:lang w:val="en-US" w:eastAsia="zh-CN"/>
                    </w:rPr>
                  </w:pPr>
                  <w:r>
                    <w:rPr>
                      <w:rFonts w:hint="eastAsia"/>
                      <w:bCs w:val="0"/>
                      <w:sz w:val="21"/>
                      <w:szCs w:val="21"/>
                      <w:u w:val="single"/>
                    </w:rPr>
                    <w:t>C</w:t>
                  </w:r>
                  <w:r>
                    <w:rPr>
                      <w:rFonts w:hint="eastAsia"/>
                      <w:bCs w:val="0"/>
                      <w:sz w:val="21"/>
                      <w:szCs w:val="21"/>
                      <w:u w:val="single"/>
                      <w:vertAlign w:val="baseline"/>
                      <w:lang w:val="en-US" w:eastAsia="zh-CN"/>
                    </w:rPr>
                    <w:t>5-20</w:t>
                  </w:r>
                </w:p>
              </w:tc>
              <w:tc>
                <w:tcPr>
                  <w:tcW w:w="1614" w:type="pct"/>
                  <w:noWrap w:val="0"/>
                  <w:vAlign w:val="center"/>
                </w:tcPr>
                <w:p w14:paraId="7625BB62">
                  <w:pPr>
                    <w:widowControl/>
                    <w:adjustRightInd/>
                    <w:snapToGrid/>
                    <w:spacing w:line="240" w:lineRule="auto"/>
                    <w:jc w:val="center"/>
                    <w:rPr>
                      <w:rFonts w:hint="eastAsia"/>
                      <w:bCs w:val="0"/>
                      <w:sz w:val="21"/>
                      <w:szCs w:val="21"/>
                      <w:u w:val="single"/>
                    </w:rPr>
                  </w:pPr>
                  <w:r>
                    <w:rPr>
                      <w:rFonts w:hint="eastAsia"/>
                      <w:bCs w:val="0"/>
                      <w:sz w:val="21"/>
                      <w:szCs w:val="21"/>
                      <w:u w:val="single"/>
                    </w:rPr>
                    <w:t>蒸气压（kPa）0.23 mm Hg( 20°C)，</w:t>
                  </w:r>
                  <w:r>
                    <w:rPr>
                      <w:rFonts w:hint="eastAsia"/>
                      <w:bCs w:val="0"/>
                      <w:spacing w:val="0"/>
                      <w:sz w:val="21"/>
                      <w:szCs w:val="21"/>
                      <w:u w:val="single"/>
                    </w:rPr>
                    <w:t>沸点：175-325°C(lit.)，</w:t>
                  </w:r>
                  <w:r>
                    <w:rPr>
                      <w:rFonts w:hint="eastAsia"/>
                      <w:bCs w:val="0"/>
                      <w:sz w:val="21"/>
                      <w:szCs w:val="21"/>
                      <w:u w:val="single"/>
                      <w:lang w:eastAsia="zh-CN"/>
                    </w:rPr>
                    <w:t>固体</w:t>
                  </w:r>
                  <w:r>
                    <w:rPr>
                      <w:rFonts w:hint="eastAsia"/>
                      <w:bCs w:val="0"/>
                      <w:sz w:val="21"/>
                      <w:szCs w:val="21"/>
                      <w:u w:val="single"/>
                    </w:rPr>
                    <w:t>；</w:t>
                  </w:r>
                  <w:r>
                    <w:rPr>
                      <w:rFonts w:hint="eastAsia"/>
                      <w:bCs w:val="0"/>
                      <w:spacing w:val="0"/>
                      <w:sz w:val="21"/>
                      <w:szCs w:val="21"/>
                      <w:u w:val="single"/>
                    </w:rPr>
                    <w:t>密度较低，是轻质烃类。</w:t>
                  </w:r>
                </w:p>
              </w:tc>
              <w:tc>
                <w:tcPr>
                  <w:tcW w:w="1063" w:type="pct"/>
                  <w:noWrap w:val="0"/>
                  <w:vAlign w:val="center"/>
                </w:tcPr>
                <w:p w14:paraId="60A72AA3">
                  <w:pPr>
                    <w:widowControl/>
                    <w:adjustRightInd/>
                    <w:snapToGrid/>
                    <w:spacing w:line="240" w:lineRule="auto"/>
                    <w:jc w:val="center"/>
                    <w:rPr>
                      <w:rFonts w:hint="eastAsia"/>
                      <w:bCs w:val="0"/>
                      <w:sz w:val="21"/>
                      <w:szCs w:val="21"/>
                      <w:u w:val="single"/>
                    </w:rPr>
                  </w:pPr>
                  <w:r>
                    <w:rPr>
                      <w:rFonts w:hint="eastAsia"/>
                      <w:bCs w:val="0"/>
                      <w:sz w:val="21"/>
                      <w:szCs w:val="21"/>
                      <w:u w:val="single"/>
                    </w:rPr>
                    <w:t>易燃，应远离明火和高温，存放在通风良好的地方。</w:t>
                  </w:r>
                </w:p>
              </w:tc>
              <w:tc>
                <w:tcPr>
                  <w:tcW w:w="1355" w:type="pct"/>
                  <w:noWrap w:val="0"/>
                  <w:vAlign w:val="center"/>
                </w:tcPr>
                <w:p w14:paraId="23F476C9">
                  <w:pPr>
                    <w:widowControl/>
                    <w:adjustRightInd/>
                    <w:snapToGrid/>
                    <w:spacing w:line="240" w:lineRule="auto"/>
                    <w:jc w:val="center"/>
                    <w:rPr>
                      <w:rFonts w:hint="eastAsia"/>
                      <w:bCs w:val="0"/>
                      <w:sz w:val="21"/>
                      <w:szCs w:val="21"/>
                      <w:u w:val="single"/>
                    </w:rPr>
                  </w:pPr>
                  <w:r>
                    <w:rPr>
                      <w:rFonts w:hint="eastAsia"/>
                      <w:bCs w:val="0"/>
                      <w:sz w:val="21"/>
                      <w:szCs w:val="21"/>
                      <w:u w:val="single"/>
                    </w:rPr>
                    <w:t>大多数正链烷烃是无色、无臭的。</w:t>
                  </w:r>
                </w:p>
              </w:tc>
            </w:tr>
            <w:tr w14:paraId="0BB7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4" w:hRule="atLeast"/>
                <w:jc w:val="center"/>
              </w:trPr>
              <w:tc>
                <w:tcPr>
                  <w:tcW w:w="916" w:type="dxa"/>
                  <w:noWrap w:val="0"/>
                  <w:vAlign w:val="center"/>
                </w:tcPr>
                <w:p w14:paraId="4CFEC76D">
                  <w:pPr>
                    <w:widowControl/>
                    <w:spacing w:line="240" w:lineRule="auto"/>
                    <w:jc w:val="center"/>
                    <w:rPr>
                      <w:rFonts w:hint="eastAsia"/>
                      <w:sz w:val="21"/>
                      <w:szCs w:val="21"/>
                      <w:u w:val="single"/>
                    </w:rPr>
                  </w:pPr>
                  <w:r>
                    <w:rPr>
                      <w:rFonts w:hint="eastAsia" w:ascii="Times New Roman" w:hAnsi="Times New Roman" w:eastAsia="宋体" w:cs="Times New Roman"/>
                      <w:kern w:val="2"/>
                      <w:sz w:val="21"/>
                      <w:szCs w:val="21"/>
                      <w:u w:val="single"/>
                      <w:lang w:val="en-US" w:eastAsia="zh-CN" w:bidi="ar"/>
                    </w:rPr>
                    <w:t>石蜡</w:t>
                  </w:r>
                </w:p>
              </w:tc>
              <w:tc>
                <w:tcPr>
                  <w:tcW w:w="418" w:type="pct"/>
                  <w:noWrap w:val="0"/>
                  <w:vAlign w:val="center"/>
                </w:tcPr>
                <w:p w14:paraId="3E8D0263">
                  <w:pPr>
                    <w:widowControl/>
                    <w:adjustRightInd/>
                    <w:snapToGrid/>
                    <w:spacing w:line="240" w:lineRule="auto"/>
                    <w:jc w:val="center"/>
                    <w:rPr>
                      <w:rFonts w:hint="eastAsia"/>
                      <w:bCs w:val="0"/>
                      <w:sz w:val="21"/>
                      <w:szCs w:val="21"/>
                      <w:u w:val="single"/>
                    </w:rPr>
                  </w:pPr>
                  <w:r>
                    <w:rPr>
                      <w:rFonts w:hint="eastAsia"/>
                      <w:bCs w:val="0"/>
                      <w:sz w:val="21"/>
                      <w:szCs w:val="21"/>
                      <w:u w:val="single"/>
                    </w:rPr>
                    <w:t>CnH2n+2</w:t>
                  </w:r>
                </w:p>
              </w:tc>
              <w:tc>
                <w:tcPr>
                  <w:tcW w:w="1614" w:type="pct"/>
                  <w:noWrap w:val="0"/>
                  <w:vAlign w:val="center"/>
                </w:tcPr>
                <w:p w14:paraId="0118D756">
                  <w:pPr>
                    <w:widowControl/>
                    <w:adjustRightInd/>
                    <w:snapToGrid/>
                    <w:spacing w:line="240" w:lineRule="auto"/>
                    <w:jc w:val="center"/>
                    <w:rPr>
                      <w:rFonts w:hint="eastAsia"/>
                      <w:bCs w:val="0"/>
                      <w:sz w:val="21"/>
                      <w:szCs w:val="21"/>
                      <w:u w:val="single"/>
                    </w:rPr>
                  </w:pPr>
                  <w:r>
                    <w:rPr>
                      <w:rFonts w:hint="eastAsia"/>
                      <w:bCs w:val="0"/>
                      <w:sz w:val="21"/>
                      <w:szCs w:val="21"/>
                      <w:u w:val="single"/>
                    </w:rPr>
                    <w:t>熔点：58-62°C</w:t>
                  </w:r>
                  <w:r>
                    <w:rPr>
                      <w:rFonts w:hint="eastAsia"/>
                      <w:bCs w:val="0"/>
                      <w:spacing w:val="0"/>
                      <w:sz w:val="21"/>
                      <w:szCs w:val="21"/>
                      <w:u w:val="single"/>
                    </w:rPr>
                    <w:t>，沸点：</w:t>
                  </w:r>
                  <w:r>
                    <w:rPr>
                      <w:rFonts w:hint="eastAsia"/>
                      <w:bCs w:val="0"/>
                      <w:spacing w:val="0"/>
                      <w:sz w:val="21"/>
                      <w:szCs w:val="21"/>
                      <w:u w:val="single"/>
                      <w:lang w:val="en-US" w:eastAsia="zh-CN"/>
                    </w:rPr>
                    <w:t>322</w:t>
                  </w:r>
                  <w:r>
                    <w:rPr>
                      <w:rFonts w:hint="eastAsia"/>
                      <w:bCs w:val="0"/>
                      <w:spacing w:val="0"/>
                      <w:sz w:val="21"/>
                      <w:szCs w:val="21"/>
                      <w:u w:val="single"/>
                    </w:rPr>
                    <w:t>℃，</w:t>
                  </w:r>
                  <w:r>
                    <w:rPr>
                      <w:rFonts w:hint="eastAsia"/>
                      <w:bCs w:val="0"/>
                      <w:sz w:val="21"/>
                      <w:szCs w:val="21"/>
                      <w:u w:val="single"/>
                    </w:rPr>
                    <w:t>室温下呈硬质块状</w:t>
                  </w:r>
                  <w:r>
                    <w:rPr>
                      <w:rFonts w:hint="eastAsia"/>
                      <w:bCs w:val="0"/>
                      <w:sz w:val="21"/>
                      <w:szCs w:val="21"/>
                      <w:u w:val="single"/>
                      <w:lang w:eastAsia="zh-CN"/>
                    </w:rPr>
                    <w:t>，</w:t>
                  </w:r>
                  <w:r>
                    <w:rPr>
                      <w:rFonts w:hint="eastAsia"/>
                      <w:bCs w:val="0"/>
                      <w:sz w:val="21"/>
                      <w:szCs w:val="21"/>
                      <w:u w:val="single"/>
                    </w:rPr>
                    <w:t>几乎无味、无臭</w:t>
                  </w:r>
                  <w:r>
                    <w:rPr>
                      <w:rFonts w:hint="eastAsia"/>
                      <w:bCs w:val="0"/>
                      <w:sz w:val="21"/>
                      <w:szCs w:val="21"/>
                      <w:u w:val="single"/>
                      <w:lang w:eastAsia="zh-CN"/>
                    </w:rPr>
                    <w:t>，</w:t>
                  </w:r>
                  <w:r>
                    <w:rPr>
                      <w:rFonts w:hint="eastAsia"/>
                      <w:bCs w:val="0"/>
                      <w:sz w:val="21"/>
                      <w:szCs w:val="21"/>
                      <w:u w:val="single"/>
                    </w:rPr>
                    <w:t>有滑腻感；</w:t>
                  </w:r>
                  <w:r>
                    <w:rPr>
                      <w:rFonts w:hint="eastAsia"/>
                      <w:bCs w:val="0"/>
                      <w:spacing w:val="0"/>
                      <w:sz w:val="21"/>
                      <w:szCs w:val="21"/>
                      <w:u w:val="single"/>
                    </w:rPr>
                    <w:t>密度0.82g/mLat 20°C。</w:t>
                  </w:r>
                </w:p>
              </w:tc>
              <w:tc>
                <w:tcPr>
                  <w:tcW w:w="1063" w:type="pct"/>
                  <w:noWrap w:val="0"/>
                  <w:vAlign w:val="center"/>
                </w:tcPr>
                <w:p w14:paraId="107D3E92">
                  <w:pPr>
                    <w:widowControl/>
                    <w:adjustRightInd/>
                    <w:snapToGrid/>
                    <w:spacing w:line="240" w:lineRule="auto"/>
                    <w:jc w:val="center"/>
                    <w:rPr>
                      <w:rFonts w:hint="eastAsia"/>
                      <w:sz w:val="21"/>
                      <w:szCs w:val="21"/>
                      <w:u w:val="single"/>
                    </w:rPr>
                  </w:pPr>
                  <w:r>
                    <w:rPr>
                      <w:rFonts w:hint="eastAsia"/>
                      <w:sz w:val="21"/>
                      <w:szCs w:val="21"/>
                      <w:u w:val="single"/>
                      <w:lang w:eastAsia="zh-CN"/>
                    </w:rPr>
                    <w:t>不</w:t>
                  </w:r>
                  <w:r>
                    <w:rPr>
                      <w:rFonts w:hint="eastAsia"/>
                      <w:sz w:val="21"/>
                      <w:szCs w:val="21"/>
                      <w:u w:val="single"/>
                    </w:rPr>
                    <w:t>易燃，</w:t>
                  </w:r>
                  <w:r>
                    <w:rPr>
                      <w:rFonts w:hint="eastAsia"/>
                      <w:bCs w:val="0"/>
                      <w:sz w:val="21"/>
                      <w:szCs w:val="21"/>
                      <w:u w:val="single"/>
                    </w:rPr>
                    <w:t>石蜡的点燃温度较高，通常在200-300°C之间，这意味着石蜡可以在高温环境下使用，但不易受热损坏。</w:t>
                  </w:r>
                </w:p>
              </w:tc>
              <w:tc>
                <w:tcPr>
                  <w:tcW w:w="1355" w:type="pct"/>
                  <w:noWrap w:val="0"/>
                  <w:vAlign w:val="center"/>
                </w:tcPr>
                <w:p w14:paraId="091551B7">
                  <w:pPr>
                    <w:widowControl/>
                    <w:adjustRightInd/>
                    <w:snapToGrid/>
                    <w:spacing w:line="240" w:lineRule="auto"/>
                    <w:jc w:val="center"/>
                    <w:rPr>
                      <w:rFonts w:hint="eastAsia"/>
                      <w:bCs w:val="0"/>
                      <w:sz w:val="21"/>
                      <w:szCs w:val="21"/>
                      <w:u w:val="single"/>
                    </w:rPr>
                  </w:pPr>
                  <w:r>
                    <w:rPr>
                      <w:rFonts w:hint="eastAsia"/>
                      <w:sz w:val="21"/>
                      <w:szCs w:val="21"/>
                      <w:u w:val="single"/>
                    </w:rPr>
                    <w:t>通常是无色无味的蜡状固体。</w:t>
                  </w:r>
                </w:p>
              </w:tc>
            </w:tr>
            <w:tr w14:paraId="5B85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1" w:hRule="atLeast"/>
                <w:jc w:val="center"/>
              </w:trPr>
              <w:tc>
                <w:tcPr>
                  <w:tcW w:w="916" w:type="dxa"/>
                  <w:noWrap w:val="0"/>
                  <w:vAlign w:val="center"/>
                </w:tcPr>
                <w:p w14:paraId="24322409">
                  <w:pPr>
                    <w:widowControl/>
                    <w:spacing w:line="240" w:lineRule="auto"/>
                    <w:jc w:val="center"/>
                    <w:rPr>
                      <w:rFonts w:hint="eastAsia"/>
                      <w:sz w:val="21"/>
                      <w:szCs w:val="21"/>
                      <w:u w:val="single"/>
                    </w:rPr>
                  </w:pPr>
                  <w:r>
                    <w:rPr>
                      <w:rFonts w:hint="eastAsia" w:ascii="Times New Roman" w:hAnsi="Times New Roman" w:eastAsia="宋体" w:cs="Times New Roman"/>
                      <w:kern w:val="2"/>
                      <w:sz w:val="21"/>
                      <w:szCs w:val="21"/>
                      <w:u w:val="single"/>
                      <w:lang w:val="en-US" w:eastAsia="zh-CN" w:bidi="ar"/>
                    </w:rPr>
                    <w:t>聚乙烯蜡</w:t>
                  </w:r>
                </w:p>
              </w:tc>
              <w:tc>
                <w:tcPr>
                  <w:tcW w:w="418" w:type="pct"/>
                  <w:noWrap w:val="0"/>
                  <w:vAlign w:val="center"/>
                </w:tcPr>
                <w:p w14:paraId="051AA648">
                  <w:pPr>
                    <w:widowControl/>
                    <w:adjustRightInd/>
                    <w:snapToGrid/>
                    <w:spacing w:line="240" w:lineRule="auto"/>
                    <w:jc w:val="center"/>
                    <w:rPr>
                      <w:rFonts w:hint="eastAsia"/>
                      <w:bCs w:val="0"/>
                      <w:sz w:val="21"/>
                      <w:szCs w:val="21"/>
                      <w:u w:val="single"/>
                    </w:rPr>
                  </w:pPr>
                  <w:r>
                    <w:rPr>
                      <w:rFonts w:hint="eastAsia"/>
                      <w:bCs w:val="0"/>
                      <w:sz w:val="21"/>
                      <w:szCs w:val="21"/>
                      <w:u w:val="single"/>
                    </w:rPr>
                    <w:t>(C2H4)n</w:t>
                  </w:r>
                </w:p>
              </w:tc>
              <w:tc>
                <w:tcPr>
                  <w:tcW w:w="1614" w:type="pct"/>
                  <w:noWrap w:val="0"/>
                  <w:vAlign w:val="center"/>
                </w:tcPr>
                <w:p w14:paraId="2B056D65">
                  <w:pPr>
                    <w:widowControl/>
                    <w:adjustRightInd/>
                    <w:snapToGrid/>
                    <w:spacing w:line="240" w:lineRule="auto"/>
                    <w:jc w:val="center"/>
                    <w:rPr>
                      <w:rFonts w:hint="eastAsia"/>
                      <w:bCs w:val="0"/>
                      <w:sz w:val="21"/>
                      <w:szCs w:val="21"/>
                      <w:u w:val="single"/>
                    </w:rPr>
                  </w:pPr>
                  <w:r>
                    <w:rPr>
                      <w:rFonts w:hint="eastAsia"/>
                      <w:bCs w:val="0"/>
                      <w:sz w:val="21"/>
                      <w:szCs w:val="21"/>
                      <w:u w:val="single"/>
                    </w:rPr>
                    <w:t>熔点：90-120°C(随分子量变化)</w:t>
                  </w:r>
                  <w:r>
                    <w:rPr>
                      <w:rFonts w:hint="eastAsia"/>
                      <w:bCs w:val="0"/>
                      <w:spacing w:val="0"/>
                      <w:sz w:val="21"/>
                      <w:szCs w:val="21"/>
                      <w:u w:val="single"/>
                    </w:rPr>
                    <w:t>，</w:t>
                  </w:r>
                  <w:r>
                    <w:rPr>
                      <w:rFonts w:hint="eastAsia"/>
                      <w:bCs w:val="0"/>
                      <w:sz w:val="21"/>
                      <w:szCs w:val="21"/>
                      <w:u w:val="single"/>
                    </w:rPr>
                    <w:t>无腐蚀性、硬度较大</w:t>
                  </w:r>
                  <w:r>
                    <w:rPr>
                      <w:rFonts w:hint="eastAsia"/>
                      <w:bCs w:val="0"/>
                      <w:sz w:val="21"/>
                      <w:szCs w:val="21"/>
                      <w:u w:val="single"/>
                      <w:lang w:eastAsia="zh-CN"/>
                    </w:rPr>
                    <w:t>，外观为白色或淡黄色块状、片状或粉末状固体</w:t>
                  </w:r>
                  <w:r>
                    <w:rPr>
                      <w:rFonts w:hint="eastAsia"/>
                      <w:bCs w:val="0"/>
                      <w:spacing w:val="0"/>
                      <w:sz w:val="21"/>
                      <w:szCs w:val="21"/>
                      <w:u w:val="single"/>
                    </w:rPr>
                    <w:t>。</w:t>
                  </w:r>
                </w:p>
              </w:tc>
              <w:tc>
                <w:tcPr>
                  <w:tcW w:w="1063" w:type="pct"/>
                  <w:noWrap w:val="0"/>
                  <w:vAlign w:val="center"/>
                </w:tcPr>
                <w:p w14:paraId="51F0B5EB">
                  <w:pPr>
                    <w:widowControl/>
                    <w:adjustRightInd/>
                    <w:snapToGrid/>
                    <w:spacing w:line="240" w:lineRule="auto"/>
                    <w:jc w:val="center"/>
                    <w:rPr>
                      <w:rFonts w:hint="eastAsia"/>
                      <w:bCs w:val="0"/>
                      <w:sz w:val="21"/>
                      <w:szCs w:val="21"/>
                      <w:u w:val="single"/>
                    </w:rPr>
                  </w:pPr>
                  <w:r>
                    <w:rPr>
                      <w:rFonts w:hint="eastAsia"/>
                      <w:sz w:val="21"/>
                      <w:szCs w:val="21"/>
                      <w:u w:val="single"/>
                      <w:lang w:eastAsia="zh-CN"/>
                    </w:rPr>
                    <w:t>不</w:t>
                  </w:r>
                  <w:r>
                    <w:rPr>
                      <w:rFonts w:hint="eastAsia"/>
                      <w:sz w:val="21"/>
                      <w:szCs w:val="21"/>
                      <w:u w:val="single"/>
                    </w:rPr>
                    <w:t>易燃。</w:t>
                  </w:r>
                </w:p>
              </w:tc>
              <w:tc>
                <w:tcPr>
                  <w:tcW w:w="1355" w:type="pct"/>
                  <w:noWrap w:val="0"/>
                  <w:vAlign w:val="center"/>
                </w:tcPr>
                <w:p w14:paraId="66257C5B">
                  <w:pPr>
                    <w:widowControl/>
                    <w:adjustRightInd/>
                    <w:snapToGrid/>
                    <w:spacing w:line="240" w:lineRule="auto"/>
                    <w:jc w:val="center"/>
                    <w:rPr>
                      <w:rFonts w:hint="eastAsia" w:eastAsia="宋体"/>
                      <w:bCs w:val="0"/>
                      <w:sz w:val="21"/>
                      <w:szCs w:val="21"/>
                      <w:u w:val="single"/>
                      <w:lang w:eastAsia="zh-CN"/>
                    </w:rPr>
                  </w:pPr>
                  <w:r>
                    <w:rPr>
                      <w:rFonts w:hint="eastAsia"/>
                      <w:sz w:val="21"/>
                      <w:szCs w:val="21"/>
                      <w:u w:val="single"/>
                    </w:rPr>
                    <w:t>无毒、无气味</w:t>
                  </w:r>
                  <w:r>
                    <w:rPr>
                      <w:rFonts w:hint="eastAsia"/>
                      <w:sz w:val="21"/>
                      <w:szCs w:val="21"/>
                      <w:u w:val="single"/>
                      <w:lang w:eastAsia="zh-CN"/>
                    </w:rPr>
                    <w:t>。</w:t>
                  </w:r>
                </w:p>
              </w:tc>
            </w:tr>
          </w:tbl>
          <w:p w14:paraId="111C2FEC">
            <w:pPr>
              <w:pStyle w:val="30"/>
              <w:numPr>
                <w:ilvl w:val="1"/>
                <w:numId w:val="0"/>
              </w:numPr>
              <w:ind w:left="284"/>
              <w:rPr>
                <w:u w:val="single"/>
              </w:rPr>
            </w:pPr>
            <w:r>
              <w:t>2.</w:t>
            </w:r>
            <w:r>
              <w:rPr>
                <w:rFonts w:hint="eastAsia"/>
              </w:rPr>
              <w:t>6</w:t>
            </w:r>
            <w:r>
              <w:rPr>
                <w:rFonts w:hint="eastAsia"/>
                <w:bCs/>
                <w:lang w:eastAsia="zh-CN"/>
              </w:rPr>
              <w:t>改</w:t>
            </w:r>
            <w:r>
              <w:rPr>
                <w:rFonts w:hint="eastAsia"/>
                <w:u w:val="single"/>
                <w:lang w:eastAsia="zh-CN"/>
              </w:rPr>
              <w:t>扩建前后</w:t>
            </w:r>
            <w:r>
              <w:rPr>
                <w:u w:val="single"/>
              </w:rPr>
              <w:t>劳动定员及工作制度</w:t>
            </w:r>
            <w:bookmarkEnd w:id="23"/>
            <w:bookmarkEnd w:id="24"/>
          </w:p>
          <w:p w14:paraId="0F8B6CC5">
            <w:pPr>
              <w:pStyle w:val="2"/>
              <w:autoSpaceDE/>
              <w:autoSpaceDN/>
              <w:snapToGrid w:val="0"/>
              <w:spacing w:line="240" w:lineRule="auto"/>
              <w:jc w:val="center"/>
              <w:rPr>
                <w:rFonts w:hint="eastAsia" w:ascii="Times New Roman" w:hAnsi="Times New Roman" w:eastAsia="宋体" w:cs="Times New Roman"/>
                <w:b/>
                <w:bCs/>
                <w:color w:val="auto"/>
                <w:sz w:val="21"/>
                <w:szCs w:val="21"/>
                <w:u w:val="single"/>
              </w:rPr>
            </w:pPr>
            <w:r>
              <w:rPr>
                <w:rFonts w:hint="eastAsia" w:ascii="Times New Roman" w:hAnsi="Times New Roman" w:eastAsia="宋体" w:cs="Times New Roman"/>
                <w:b/>
                <w:bCs/>
                <w:color w:val="auto"/>
                <w:sz w:val="21"/>
                <w:szCs w:val="21"/>
                <w:highlight w:val="none"/>
                <w:u w:val="single"/>
              </w:rPr>
              <w:t>表2-</w:t>
            </w:r>
            <w:r>
              <w:rPr>
                <w:rFonts w:hint="eastAsia" w:ascii="Times New Roman" w:hAnsi="Times New Roman" w:eastAsia="宋体" w:cs="Times New Roman"/>
                <w:b/>
                <w:bCs/>
                <w:color w:val="auto"/>
                <w:sz w:val="21"/>
                <w:szCs w:val="21"/>
                <w:highlight w:val="none"/>
                <w:u w:val="single"/>
                <w:lang w:val="en-US" w:eastAsia="zh-CN"/>
              </w:rPr>
              <w:t>7</w:t>
            </w:r>
            <w:r>
              <w:rPr>
                <w:rFonts w:hint="eastAsia" w:ascii="Times New Roman" w:hAnsi="Times New Roman" w:eastAsia="宋体" w:cs="Times New Roman"/>
                <w:b/>
                <w:bCs/>
                <w:color w:val="auto"/>
                <w:sz w:val="21"/>
                <w:szCs w:val="21"/>
                <w:highlight w:val="none"/>
                <w:u w:val="single"/>
              </w:rPr>
              <w:t xml:space="preserve">  </w:t>
            </w:r>
            <w:r>
              <w:rPr>
                <w:rFonts w:hint="eastAsia" w:ascii="Times New Roman" w:hAnsi="Times New Roman" w:eastAsia="宋体" w:cs="Times New Roman"/>
                <w:b/>
                <w:bCs/>
                <w:color w:val="auto"/>
                <w:sz w:val="21"/>
                <w:szCs w:val="21"/>
                <w:highlight w:val="none"/>
                <w:u w:val="single"/>
                <w:lang w:eastAsia="zh-CN"/>
              </w:rPr>
              <w:t>改</w:t>
            </w:r>
            <w:r>
              <w:rPr>
                <w:rFonts w:hint="eastAsia" w:ascii="Times New Roman" w:hAnsi="Times New Roman" w:eastAsia="宋体" w:cs="Times New Roman"/>
                <w:b/>
                <w:bCs/>
                <w:color w:val="auto"/>
                <w:sz w:val="21"/>
                <w:szCs w:val="21"/>
                <w:highlight w:val="none"/>
                <w:u w:val="single"/>
              </w:rPr>
              <w:t>扩建</w:t>
            </w:r>
            <w:r>
              <w:rPr>
                <w:rFonts w:hint="eastAsia" w:ascii="Times New Roman" w:hAnsi="Times New Roman" w:eastAsia="宋体" w:cs="Times New Roman"/>
                <w:b/>
                <w:bCs/>
                <w:color w:val="auto"/>
                <w:sz w:val="21"/>
                <w:szCs w:val="21"/>
                <w:u w:val="single"/>
              </w:rPr>
              <w:t>前后劳动定员及工作制度</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3066"/>
              <w:gridCol w:w="3004"/>
              <w:gridCol w:w="1190"/>
            </w:tblGrid>
            <w:tr w14:paraId="0B51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pct"/>
                  <w:noWrap w:val="0"/>
                  <w:vAlign w:val="top"/>
                </w:tcPr>
                <w:p w14:paraId="39FF2CB5">
                  <w:pPr>
                    <w:pStyle w:val="20"/>
                    <w:tabs>
                      <w:tab w:val="right" w:leader="dot" w:pos="8949"/>
                    </w:tabs>
                    <w:adjustRightInd w:val="0"/>
                    <w:snapToGrid w:val="0"/>
                    <w:spacing w:after="0" w:line="240" w:lineRule="auto"/>
                    <w:ind w:left="0"/>
                    <w:jc w:val="center"/>
                    <w:rPr>
                      <w:rFonts w:hint="eastAsia" w:ascii="Times New Roman" w:hAnsi="Times New Roman" w:eastAsia="宋体" w:cs="Times New Roman"/>
                      <w:b/>
                      <w:bCs/>
                      <w:color w:val="auto"/>
                      <w:kern w:val="2"/>
                      <w:sz w:val="21"/>
                      <w:szCs w:val="21"/>
                      <w:u w:val="single"/>
                    </w:rPr>
                  </w:pPr>
                  <w:r>
                    <w:rPr>
                      <w:rFonts w:hint="eastAsia" w:ascii="Times New Roman" w:hAnsi="Times New Roman" w:eastAsia="宋体" w:cs="Times New Roman"/>
                      <w:b/>
                      <w:bCs/>
                      <w:color w:val="auto"/>
                      <w:kern w:val="2"/>
                      <w:sz w:val="21"/>
                      <w:szCs w:val="21"/>
                      <w:u w:val="single"/>
                    </w:rPr>
                    <w:t>名称</w:t>
                  </w:r>
                </w:p>
              </w:tc>
              <w:tc>
                <w:tcPr>
                  <w:tcW w:w="1829" w:type="pct"/>
                  <w:noWrap w:val="0"/>
                  <w:vAlign w:val="top"/>
                </w:tcPr>
                <w:p w14:paraId="2DD99708">
                  <w:pPr>
                    <w:pStyle w:val="20"/>
                    <w:tabs>
                      <w:tab w:val="right" w:leader="dot" w:pos="8949"/>
                    </w:tabs>
                    <w:adjustRightInd w:val="0"/>
                    <w:snapToGrid w:val="0"/>
                    <w:spacing w:after="0" w:line="240" w:lineRule="auto"/>
                    <w:ind w:left="0"/>
                    <w:jc w:val="center"/>
                    <w:rPr>
                      <w:rFonts w:hint="eastAsia" w:ascii="Times New Roman" w:hAnsi="Times New Roman" w:eastAsia="宋体" w:cs="Times New Roman"/>
                      <w:b/>
                      <w:bCs/>
                      <w:color w:val="auto"/>
                      <w:kern w:val="2"/>
                      <w:sz w:val="21"/>
                      <w:szCs w:val="21"/>
                      <w:u w:val="single"/>
                    </w:rPr>
                  </w:pPr>
                  <w:r>
                    <w:rPr>
                      <w:rFonts w:hint="eastAsia" w:ascii="Times New Roman" w:hAnsi="Times New Roman"/>
                      <w:b/>
                      <w:bCs/>
                      <w:color w:val="auto"/>
                      <w:kern w:val="2"/>
                      <w:sz w:val="21"/>
                      <w:szCs w:val="21"/>
                      <w:u w:val="single"/>
                      <w:lang w:eastAsia="zh-CN"/>
                    </w:rPr>
                    <w:t>改</w:t>
                  </w:r>
                  <w:r>
                    <w:rPr>
                      <w:rFonts w:hint="eastAsia" w:ascii="Times New Roman" w:hAnsi="Times New Roman" w:eastAsia="宋体" w:cs="Times New Roman"/>
                      <w:b/>
                      <w:bCs/>
                      <w:color w:val="auto"/>
                      <w:kern w:val="2"/>
                      <w:sz w:val="21"/>
                      <w:szCs w:val="21"/>
                      <w:u w:val="single"/>
                    </w:rPr>
                    <w:t>扩建前</w:t>
                  </w:r>
                </w:p>
              </w:tc>
              <w:tc>
                <w:tcPr>
                  <w:tcW w:w="1792" w:type="pct"/>
                  <w:noWrap w:val="0"/>
                  <w:vAlign w:val="top"/>
                </w:tcPr>
                <w:p w14:paraId="4C12BA34">
                  <w:pPr>
                    <w:pStyle w:val="20"/>
                    <w:tabs>
                      <w:tab w:val="right" w:leader="dot" w:pos="8949"/>
                    </w:tabs>
                    <w:adjustRightInd w:val="0"/>
                    <w:snapToGrid w:val="0"/>
                    <w:spacing w:after="0" w:line="240" w:lineRule="auto"/>
                    <w:ind w:left="0"/>
                    <w:jc w:val="center"/>
                    <w:rPr>
                      <w:rFonts w:hint="eastAsia" w:ascii="Times New Roman" w:hAnsi="Times New Roman" w:eastAsia="宋体" w:cs="Times New Roman"/>
                      <w:b/>
                      <w:bCs/>
                      <w:color w:val="auto"/>
                      <w:kern w:val="2"/>
                      <w:sz w:val="21"/>
                      <w:szCs w:val="21"/>
                      <w:u w:val="single"/>
                    </w:rPr>
                  </w:pPr>
                  <w:r>
                    <w:rPr>
                      <w:rFonts w:hint="eastAsia" w:ascii="Times New Roman" w:hAnsi="Times New Roman"/>
                      <w:b/>
                      <w:bCs/>
                      <w:color w:val="auto"/>
                      <w:kern w:val="2"/>
                      <w:sz w:val="21"/>
                      <w:szCs w:val="21"/>
                      <w:u w:val="single"/>
                      <w:lang w:eastAsia="zh-CN"/>
                    </w:rPr>
                    <w:t>改</w:t>
                  </w:r>
                  <w:r>
                    <w:rPr>
                      <w:rFonts w:hint="eastAsia" w:ascii="Times New Roman" w:hAnsi="Times New Roman" w:eastAsia="宋体" w:cs="Times New Roman"/>
                      <w:b/>
                      <w:bCs/>
                      <w:color w:val="auto"/>
                      <w:kern w:val="2"/>
                      <w:sz w:val="21"/>
                      <w:szCs w:val="21"/>
                      <w:u w:val="single"/>
                    </w:rPr>
                    <w:t>扩建后</w:t>
                  </w:r>
                </w:p>
              </w:tc>
              <w:tc>
                <w:tcPr>
                  <w:tcW w:w="710" w:type="pct"/>
                  <w:noWrap w:val="0"/>
                  <w:vAlign w:val="top"/>
                </w:tcPr>
                <w:p w14:paraId="5FE787DB">
                  <w:pPr>
                    <w:pStyle w:val="20"/>
                    <w:tabs>
                      <w:tab w:val="right" w:leader="dot" w:pos="8949"/>
                    </w:tabs>
                    <w:adjustRightInd w:val="0"/>
                    <w:snapToGrid w:val="0"/>
                    <w:spacing w:after="0" w:line="240" w:lineRule="auto"/>
                    <w:ind w:left="0"/>
                    <w:jc w:val="center"/>
                    <w:rPr>
                      <w:rFonts w:hint="eastAsia" w:ascii="Times New Roman" w:hAnsi="Times New Roman" w:eastAsia="宋体" w:cs="Times New Roman"/>
                      <w:b/>
                      <w:bCs/>
                      <w:color w:val="auto"/>
                      <w:kern w:val="2"/>
                      <w:sz w:val="21"/>
                      <w:szCs w:val="21"/>
                      <w:u w:val="single"/>
                    </w:rPr>
                  </w:pPr>
                  <w:r>
                    <w:rPr>
                      <w:rFonts w:hint="eastAsia" w:ascii="Times New Roman" w:hAnsi="Times New Roman" w:eastAsia="宋体" w:cs="Times New Roman"/>
                      <w:b/>
                      <w:bCs/>
                      <w:color w:val="auto"/>
                      <w:kern w:val="2"/>
                      <w:sz w:val="21"/>
                      <w:szCs w:val="21"/>
                      <w:u w:val="single"/>
                    </w:rPr>
                    <w:t>变化量</w:t>
                  </w:r>
                </w:p>
              </w:tc>
            </w:tr>
            <w:tr w14:paraId="5D88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667" w:type="pct"/>
                  <w:noWrap w:val="0"/>
                  <w:vAlign w:val="center"/>
                </w:tcPr>
                <w:p w14:paraId="62AF84F9">
                  <w:pPr>
                    <w:pStyle w:val="20"/>
                    <w:tabs>
                      <w:tab w:val="right" w:leader="dot" w:pos="8949"/>
                    </w:tabs>
                    <w:adjustRightInd w:val="0"/>
                    <w:snapToGrid w:val="0"/>
                    <w:spacing w:after="0" w:line="240" w:lineRule="auto"/>
                    <w:ind w:left="0"/>
                    <w:jc w:val="center"/>
                    <w:rPr>
                      <w:rFonts w:hint="eastAsia" w:ascii="Times New Roman" w:hAnsi="Times New Roman" w:eastAsia="宋体" w:cs="Times New Roman"/>
                      <w:color w:val="auto"/>
                      <w:kern w:val="2"/>
                      <w:sz w:val="21"/>
                      <w:szCs w:val="21"/>
                      <w:u w:val="single"/>
                    </w:rPr>
                  </w:pPr>
                  <w:r>
                    <w:rPr>
                      <w:rFonts w:hint="eastAsia" w:ascii="Times New Roman" w:hAnsi="Times New Roman" w:eastAsia="宋体" w:cs="Times New Roman"/>
                      <w:color w:val="auto"/>
                      <w:kern w:val="2"/>
                      <w:sz w:val="21"/>
                      <w:szCs w:val="21"/>
                      <w:u w:val="single"/>
                    </w:rPr>
                    <w:t>劳动定员</w:t>
                  </w:r>
                </w:p>
              </w:tc>
              <w:tc>
                <w:tcPr>
                  <w:tcW w:w="1829" w:type="pct"/>
                  <w:noWrap w:val="0"/>
                  <w:vAlign w:val="center"/>
                </w:tcPr>
                <w:p w14:paraId="762183E3">
                  <w:pPr>
                    <w:pStyle w:val="20"/>
                    <w:tabs>
                      <w:tab w:val="right" w:leader="dot" w:pos="8949"/>
                    </w:tabs>
                    <w:adjustRightInd w:val="0"/>
                    <w:snapToGrid w:val="0"/>
                    <w:spacing w:after="0" w:line="240" w:lineRule="auto"/>
                    <w:ind w:left="0"/>
                    <w:jc w:val="center"/>
                    <w:rPr>
                      <w:rFonts w:hint="eastAsia" w:ascii="Times New Roman" w:hAnsi="Times New Roman" w:eastAsia="宋体" w:cs="Times New Roman"/>
                      <w:color w:val="auto"/>
                      <w:kern w:val="2"/>
                      <w:sz w:val="21"/>
                      <w:szCs w:val="21"/>
                      <w:u w:val="single"/>
                    </w:rPr>
                  </w:pPr>
                  <w:r>
                    <w:rPr>
                      <w:rFonts w:hint="eastAsia" w:ascii="Times New Roman" w:hAnsi="Times New Roman" w:eastAsia="宋体" w:cs="Times New Roman"/>
                      <w:color w:val="auto"/>
                      <w:kern w:val="2"/>
                      <w:sz w:val="21"/>
                      <w:szCs w:val="21"/>
                      <w:u w:val="single"/>
                      <w:lang w:val="en-US" w:eastAsia="zh-CN"/>
                    </w:rPr>
                    <w:t>8</w:t>
                  </w:r>
                  <w:r>
                    <w:rPr>
                      <w:rFonts w:hint="eastAsia" w:ascii="Times New Roman" w:hAnsi="Times New Roman" w:eastAsia="宋体" w:cs="Times New Roman"/>
                      <w:color w:val="auto"/>
                      <w:kern w:val="2"/>
                      <w:sz w:val="21"/>
                      <w:szCs w:val="21"/>
                      <w:u w:val="single"/>
                    </w:rPr>
                    <w:t>人</w:t>
                  </w:r>
                </w:p>
              </w:tc>
              <w:tc>
                <w:tcPr>
                  <w:tcW w:w="1792" w:type="pct"/>
                  <w:noWrap w:val="0"/>
                  <w:vAlign w:val="center"/>
                </w:tcPr>
                <w:p w14:paraId="4BBB37E4">
                  <w:pPr>
                    <w:pStyle w:val="20"/>
                    <w:tabs>
                      <w:tab w:val="right" w:leader="dot" w:pos="8949"/>
                    </w:tabs>
                    <w:adjustRightInd w:val="0"/>
                    <w:snapToGrid w:val="0"/>
                    <w:spacing w:after="0" w:line="240" w:lineRule="auto"/>
                    <w:ind w:left="0"/>
                    <w:jc w:val="center"/>
                    <w:rPr>
                      <w:rFonts w:hint="eastAsia" w:ascii="Times New Roman" w:hAnsi="Times New Roman" w:eastAsia="宋体" w:cs="Times New Roman"/>
                      <w:color w:val="auto"/>
                      <w:kern w:val="2"/>
                      <w:sz w:val="21"/>
                      <w:szCs w:val="21"/>
                      <w:u w:val="single"/>
                    </w:rPr>
                  </w:pPr>
                  <w:r>
                    <w:rPr>
                      <w:rFonts w:hint="eastAsia" w:ascii="Times New Roman" w:hAnsi="Times New Roman" w:eastAsia="宋体" w:cs="Times New Roman"/>
                      <w:color w:val="auto"/>
                      <w:kern w:val="2"/>
                      <w:sz w:val="21"/>
                      <w:szCs w:val="21"/>
                      <w:u w:val="single"/>
                      <w:lang w:val="en-US" w:eastAsia="zh-CN"/>
                    </w:rPr>
                    <w:t>20</w:t>
                  </w:r>
                  <w:r>
                    <w:rPr>
                      <w:rFonts w:hint="eastAsia" w:ascii="Times New Roman" w:hAnsi="Times New Roman" w:eastAsia="宋体" w:cs="Times New Roman"/>
                      <w:color w:val="auto"/>
                      <w:kern w:val="2"/>
                      <w:sz w:val="21"/>
                      <w:szCs w:val="21"/>
                      <w:u w:val="single"/>
                    </w:rPr>
                    <w:t>人</w:t>
                  </w:r>
                </w:p>
              </w:tc>
              <w:tc>
                <w:tcPr>
                  <w:tcW w:w="710" w:type="pct"/>
                  <w:noWrap w:val="0"/>
                  <w:vAlign w:val="center"/>
                </w:tcPr>
                <w:p w14:paraId="13EED0E3">
                  <w:pPr>
                    <w:pStyle w:val="20"/>
                    <w:tabs>
                      <w:tab w:val="right" w:leader="dot" w:pos="8949"/>
                    </w:tabs>
                    <w:adjustRightInd w:val="0"/>
                    <w:snapToGrid w:val="0"/>
                    <w:spacing w:after="0" w:line="240" w:lineRule="auto"/>
                    <w:ind w:left="0"/>
                    <w:jc w:val="center"/>
                    <w:rPr>
                      <w:rFonts w:hint="eastAsia" w:ascii="Times New Roman" w:hAnsi="Times New Roman" w:eastAsia="宋体" w:cs="Times New Roman"/>
                      <w:color w:val="auto"/>
                      <w:kern w:val="2"/>
                      <w:sz w:val="21"/>
                      <w:szCs w:val="21"/>
                      <w:u w:val="single"/>
                    </w:rPr>
                  </w:pPr>
                  <w:r>
                    <w:rPr>
                      <w:rFonts w:hint="eastAsia" w:ascii="Times New Roman" w:hAnsi="Times New Roman" w:eastAsia="宋体" w:cs="Times New Roman"/>
                      <w:color w:val="auto"/>
                      <w:kern w:val="2"/>
                      <w:sz w:val="21"/>
                      <w:szCs w:val="21"/>
                      <w:u w:val="single"/>
                    </w:rPr>
                    <w:t>新增定员</w:t>
                  </w:r>
                  <w:r>
                    <w:rPr>
                      <w:rFonts w:hint="eastAsia" w:ascii="Times New Roman" w:hAnsi="Times New Roman" w:eastAsia="宋体" w:cs="Times New Roman"/>
                      <w:color w:val="auto"/>
                      <w:kern w:val="2"/>
                      <w:sz w:val="21"/>
                      <w:szCs w:val="21"/>
                      <w:u w:val="single"/>
                      <w:lang w:val="en-US" w:eastAsia="zh-CN"/>
                    </w:rPr>
                    <w:t>12</w:t>
                  </w:r>
                  <w:r>
                    <w:rPr>
                      <w:rFonts w:hint="eastAsia" w:ascii="Times New Roman" w:hAnsi="Times New Roman" w:eastAsia="宋体" w:cs="Times New Roman"/>
                      <w:color w:val="auto"/>
                      <w:kern w:val="2"/>
                      <w:sz w:val="21"/>
                      <w:szCs w:val="21"/>
                      <w:u w:val="single"/>
                    </w:rPr>
                    <w:t>人</w:t>
                  </w:r>
                </w:p>
              </w:tc>
            </w:tr>
            <w:tr w14:paraId="6C0A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67" w:type="pct"/>
                  <w:noWrap w:val="0"/>
                  <w:vAlign w:val="top"/>
                </w:tcPr>
                <w:p w14:paraId="79640A70">
                  <w:pPr>
                    <w:pStyle w:val="20"/>
                    <w:tabs>
                      <w:tab w:val="right" w:leader="dot" w:pos="8949"/>
                    </w:tabs>
                    <w:adjustRightInd w:val="0"/>
                    <w:snapToGrid w:val="0"/>
                    <w:spacing w:after="0" w:line="240" w:lineRule="auto"/>
                    <w:ind w:left="0" w:firstLine="210" w:firstLineChars="100"/>
                    <w:jc w:val="center"/>
                    <w:rPr>
                      <w:rFonts w:hint="eastAsia" w:ascii="Times New Roman" w:hAnsi="Times New Roman" w:eastAsia="宋体" w:cs="Times New Roman"/>
                      <w:color w:val="auto"/>
                      <w:kern w:val="2"/>
                      <w:sz w:val="21"/>
                      <w:szCs w:val="21"/>
                      <w:u w:val="single"/>
                    </w:rPr>
                  </w:pPr>
                </w:p>
                <w:p w14:paraId="07D82F24">
                  <w:pPr>
                    <w:pStyle w:val="20"/>
                    <w:tabs>
                      <w:tab w:val="right" w:leader="dot" w:pos="8949"/>
                    </w:tabs>
                    <w:adjustRightInd w:val="0"/>
                    <w:snapToGrid w:val="0"/>
                    <w:spacing w:after="0" w:line="240" w:lineRule="auto"/>
                    <w:ind w:left="0" w:firstLine="210" w:firstLineChars="100"/>
                    <w:jc w:val="center"/>
                    <w:rPr>
                      <w:rFonts w:hint="eastAsia" w:ascii="Times New Roman" w:hAnsi="Times New Roman" w:eastAsia="宋体" w:cs="Times New Roman"/>
                      <w:color w:val="auto"/>
                      <w:kern w:val="2"/>
                      <w:sz w:val="21"/>
                      <w:szCs w:val="21"/>
                      <w:u w:val="single"/>
                    </w:rPr>
                  </w:pPr>
                </w:p>
                <w:p w14:paraId="4AAE82A5">
                  <w:pPr>
                    <w:pStyle w:val="20"/>
                    <w:tabs>
                      <w:tab w:val="right" w:leader="dot" w:pos="8949"/>
                    </w:tabs>
                    <w:adjustRightInd w:val="0"/>
                    <w:snapToGrid w:val="0"/>
                    <w:spacing w:after="0" w:line="240" w:lineRule="auto"/>
                    <w:ind w:left="0"/>
                    <w:jc w:val="center"/>
                    <w:rPr>
                      <w:rFonts w:hint="eastAsia" w:ascii="Times New Roman" w:hAnsi="Times New Roman" w:eastAsia="宋体" w:cs="Times New Roman"/>
                      <w:color w:val="auto"/>
                      <w:kern w:val="2"/>
                      <w:sz w:val="21"/>
                      <w:szCs w:val="21"/>
                      <w:u w:val="single"/>
                    </w:rPr>
                  </w:pPr>
                  <w:r>
                    <w:rPr>
                      <w:rFonts w:hint="eastAsia" w:ascii="Times New Roman" w:hAnsi="Times New Roman" w:eastAsia="宋体" w:cs="Times New Roman"/>
                      <w:color w:val="auto"/>
                      <w:kern w:val="2"/>
                      <w:sz w:val="21"/>
                      <w:szCs w:val="21"/>
                      <w:u w:val="single"/>
                    </w:rPr>
                    <w:t>工作制度</w:t>
                  </w:r>
                </w:p>
              </w:tc>
              <w:tc>
                <w:tcPr>
                  <w:tcW w:w="1829" w:type="pct"/>
                  <w:noWrap w:val="0"/>
                  <w:vAlign w:val="top"/>
                </w:tcPr>
                <w:p w14:paraId="66790E58">
                  <w:pPr>
                    <w:widowControl/>
                    <w:adjustRightInd w:val="0"/>
                    <w:snapToGrid w:val="0"/>
                    <w:spacing w:line="240" w:lineRule="auto"/>
                    <w:ind w:right="96"/>
                    <w:jc w:val="center"/>
                    <w:rPr>
                      <w:rFonts w:hint="eastAsia" w:ascii="Times New Roman" w:hAnsi="Times New Roman" w:eastAsia="宋体" w:cs="Times New Roman"/>
                      <w:color w:val="auto"/>
                      <w:sz w:val="21"/>
                      <w:szCs w:val="21"/>
                      <w:u w:val="single"/>
                    </w:rPr>
                  </w:pPr>
                  <w:r>
                    <w:rPr>
                      <w:rFonts w:hint="eastAsia" w:ascii="Times New Roman" w:hAnsi="Times New Roman" w:eastAsia="宋体" w:cs="Times New Roman"/>
                      <w:color w:val="auto"/>
                      <w:spacing w:val="0"/>
                      <w:sz w:val="21"/>
                      <w:szCs w:val="21"/>
                      <w:u w:val="single"/>
                    </w:rPr>
                    <w:t>全年工作 3</w:t>
                  </w:r>
                  <w:r>
                    <w:rPr>
                      <w:rFonts w:hint="eastAsia" w:ascii="Times New Roman" w:hAnsi="Times New Roman" w:eastAsia="宋体" w:cs="Times New Roman"/>
                      <w:color w:val="auto"/>
                      <w:spacing w:val="0"/>
                      <w:sz w:val="21"/>
                      <w:szCs w:val="21"/>
                      <w:u w:val="single"/>
                      <w:lang w:val="en-US" w:eastAsia="zh-CN"/>
                    </w:rPr>
                    <w:t>0</w:t>
                  </w:r>
                  <w:r>
                    <w:rPr>
                      <w:rFonts w:hint="eastAsia" w:ascii="Times New Roman" w:hAnsi="Times New Roman" w:eastAsia="宋体" w:cs="Times New Roman"/>
                      <w:color w:val="auto"/>
                      <w:spacing w:val="0"/>
                      <w:sz w:val="21"/>
                      <w:szCs w:val="21"/>
                      <w:u w:val="single"/>
                    </w:rPr>
                    <w:t>0天，日工作班次为1班，每班工作8小时，实行白班</w:t>
                  </w:r>
                  <w:r>
                    <w:rPr>
                      <w:rFonts w:hint="eastAsia" w:ascii="Times New Roman" w:hAnsi="Times New Roman" w:eastAsia="宋体" w:cs="Times New Roman"/>
                      <w:color w:val="auto"/>
                      <w:sz w:val="21"/>
                      <w:szCs w:val="21"/>
                      <w:u w:val="single"/>
                    </w:rPr>
                    <w:t>制。厂区设置食堂和宿舍</w:t>
                  </w:r>
                  <w:r>
                    <w:rPr>
                      <w:rFonts w:hint="eastAsia" w:ascii="Times New Roman" w:hAnsi="Times New Roman" w:eastAsia="宋体" w:cs="Times New Roman"/>
                      <w:color w:val="auto"/>
                      <w:sz w:val="21"/>
                      <w:szCs w:val="21"/>
                      <w:u w:val="single"/>
                      <w:lang w:eastAsia="zh-CN"/>
                    </w:rPr>
                    <w:t>，3</w:t>
                  </w:r>
                  <w:r>
                    <w:rPr>
                      <w:rFonts w:hint="eastAsia" w:ascii="Times New Roman" w:hAnsi="Times New Roman" w:eastAsia="宋体" w:cs="Times New Roman"/>
                      <w:color w:val="auto"/>
                      <w:sz w:val="21"/>
                      <w:szCs w:val="21"/>
                      <w:u w:val="single"/>
                    </w:rPr>
                    <w:t>人在厂区内食宿，其余人员仅办公和用餐。</w:t>
                  </w:r>
                </w:p>
              </w:tc>
              <w:tc>
                <w:tcPr>
                  <w:tcW w:w="3003" w:type="dxa"/>
                  <w:noWrap w:val="0"/>
                  <w:vAlign w:val="top"/>
                </w:tcPr>
                <w:p w14:paraId="28F98070">
                  <w:pPr>
                    <w:widowControl/>
                    <w:adjustRightInd w:val="0"/>
                    <w:snapToGrid w:val="0"/>
                    <w:spacing w:line="240" w:lineRule="auto"/>
                    <w:ind w:right="96" w:rightChars="0"/>
                    <w:jc w:val="center"/>
                    <w:rPr>
                      <w:rFonts w:hint="eastAsia" w:ascii="Times New Roman" w:hAnsi="Times New Roman" w:eastAsia="宋体" w:cs="Times New Roman"/>
                      <w:color w:val="auto"/>
                      <w:sz w:val="21"/>
                      <w:szCs w:val="21"/>
                      <w:u w:val="single"/>
                    </w:rPr>
                  </w:pPr>
                  <w:r>
                    <w:rPr>
                      <w:rFonts w:hint="eastAsia" w:ascii="Times New Roman" w:hAnsi="Times New Roman" w:eastAsia="宋体" w:cs="Times New Roman"/>
                      <w:color w:val="auto"/>
                      <w:spacing w:val="0"/>
                      <w:sz w:val="21"/>
                      <w:szCs w:val="21"/>
                      <w:u w:val="single"/>
                    </w:rPr>
                    <w:t>全年工作 3</w:t>
                  </w:r>
                  <w:r>
                    <w:rPr>
                      <w:rFonts w:hint="eastAsia" w:ascii="Times New Roman" w:hAnsi="Times New Roman" w:eastAsia="宋体" w:cs="Times New Roman"/>
                      <w:color w:val="auto"/>
                      <w:spacing w:val="0"/>
                      <w:sz w:val="21"/>
                      <w:szCs w:val="21"/>
                      <w:u w:val="single"/>
                      <w:lang w:val="en-US" w:eastAsia="zh-CN"/>
                    </w:rPr>
                    <w:t>0</w:t>
                  </w:r>
                  <w:r>
                    <w:rPr>
                      <w:rFonts w:hint="eastAsia" w:ascii="Times New Roman" w:hAnsi="Times New Roman" w:eastAsia="宋体" w:cs="Times New Roman"/>
                      <w:color w:val="auto"/>
                      <w:spacing w:val="0"/>
                      <w:sz w:val="21"/>
                      <w:szCs w:val="21"/>
                      <w:u w:val="single"/>
                    </w:rPr>
                    <w:t>0天，日工作班次为1班，每班工作8小时，实行白班</w:t>
                  </w:r>
                  <w:r>
                    <w:rPr>
                      <w:rFonts w:hint="eastAsia" w:ascii="Times New Roman" w:hAnsi="Times New Roman" w:eastAsia="宋体" w:cs="Times New Roman"/>
                      <w:color w:val="auto"/>
                      <w:sz w:val="21"/>
                      <w:szCs w:val="21"/>
                      <w:u w:val="single"/>
                    </w:rPr>
                    <w:t>制。厂区设置食堂和宿舍</w:t>
                  </w:r>
                  <w:r>
                    <w:rPr>
                      <w:rFonts w:hint="eastAsia" w:ascii="Times New Roman" w:hAnsi="Times New Roman" w:eastAsia="宋体" w:cs="Times New Roman"/>
                      <w:color w:val="auto"/>
                      <w:sz w:val="21"/>
                      <w:szCs w:val="21"/>
                      <w:u w:val="single"/>
                      <w:lang w:eastAsia="zh-CN"/>
                    </w:rPr>
                    <w:t>，</w:t>
                  </w:r>
                  <w:r>
                    <w:rPr>
                      <w:rFonts w:hint="eastAsia" w:ascii="Times New Roman" w:hAnsi="Times New Roman" w:eastAsia="宋体" w:cs="Times New Roman"/>
                      <w:color w:val="auto"/>
                      <w:sz w:val="21"/>
                      <w:szCs w:val="21"/>
                      <w:u w:val="single"/>
                      <w:lang w:val="en-US" w:eastAsia="zh-CN"/>
                    </w:rPr>
                    <w:t>5</w:t>
                  </w:r>
                  <w:r>
                    <w:rPr>
                      <w:rFonts w:hint="eastAsia" w:ascii="Times New Roman" w:hAnsi="Times New Roman" w:eastAsia="宋体" w:cs="Times New Roman"/>
                      <w:color w:val="auto"/>
                      <w:sz w:val="21"/>
                      <w:szCs w:val="21"/>
                      <w:u w:val="single"/>
                    </w:rPr>
                    <w:t>人在厂区内食宿，其余人员仅办公和用餐。</w:t>
                  </w:r>
                </w:p>
              </w:tc>
              <w:tc>
                <w:tcPr>
                  <w:tcW w:w="710" w:type="pct"/>
                  <w:noWrap w:val="0"/>
                  <w:vAlign w:val="center"/>
                </w:tcPr>
                <w:p w14:paraId="6741CFFB">
                  <w:pPr>
                    <w:pStyle w:val="20"/>
                    <w:tabs>
                      <w:tab w:val="right" w:leader="dot" w:pos="8949"/>
                    </w:tabs>
                    <w:adjustRightInd w:val="0"/>
                    <w:snapToGrid w:val="0"/>
                    <w:spacing w:after="0" w:line="240" w:lineRule="auto"/>
                    <w:ind w:left="0"/>
                    <w:jc w:val="center"/>
                    <w:rPr>
                      <w:rFonts w:hint="default" w:ascii="Times New Roman" w:hAnsi="Times New Roman" w:eastAsia="宋体" w:cs="Times New Roman"/>
                      <w:color w:val="auto"/>
                      <w:kern w:val="2"/>
                      <w:sz w:val="21"/>
                      <w:szCs w:val="21"/>
                      <w:u w:val="single"/>
                      <w:lang w:val="en-US" w:eastAsia="zh-CN"/>
                    </w:rPr>
                  </w:pPr>
                  <w:r>
                    <w:rPr>
                      <w:rFonts w:hint="eastAsia" w:ascii="Times New Roman" w:hAnsi="Times New Roman" w:eastAsia="宋体" w:cs="Times New Roman"/>
                      <w:color w:val="auto"/>
                      <w:kern w:val="2"/>
                      <w:sz w:val="21"/>
                      <w:szCs w:val="21"/>
                      <w:u w:val="single"/>
                      <w:lang w:eastAsia="zh-CN"/>
                    </w:rPr>
                    <w:t>新增</w:t>
                  </w:r>
                  <w:r>
                    <w:rPr>
                      <w:rFonts w:hint="eastAsia" w:ascii="Times New Roman" w:hAnsi="Times New Roman" w:cs="Times New Roman"/>
                      <w:color w:val="auto"/>
                      <w:kern w:val="2"/>
                      <w:sz w:val="21"/>
                      <w:szCs w:val="21"/>
                      <w:u w:val="single"/>
                      <w:lang w:val="en-US" w:eastAsia="zh-CN"/>
                    </w:rPr>
                    <w:t>2</w:t>
                  </w:r>
                  <w:r>
                    <w:rPr>
                      <w:rFonts w:hint="eastAsia" w:ascii="Times New Roman" w:hAnsi="Times New Roman" w:eastAsia="宋体" w:cs="Times New Roman"/>
                      <w:color w:val="auto"/>
                      <w:kern w:val="2"/>
                      <w:sz w:val="21"/>
                      <w:szCs w:val="21"/>
                      <w:u w:val="single"/>
                      <w:lang w:eastAsia="zh-CN"/>
                    </w:rPr>
                    <w:t>人住宿，新增</w:t>
                  </w:r>
                  <w:r>
                    <w:rPr>
                      <w:rFonts w:hint="eastAsia" w:ascii="Times New Roman" w:hAnsi="Times New Roman" w:eastAsia="宋体" w:cs="Times New Roman"/>
                      <w:color w:val="auto"/>
                      <w:kern w:val="2"/>
                      <w:sz w:val="21"/>
                      <w:szCs w:val="21"/>
                      <w:u w:val="single"/>
                      <w:lang w:val="en-US" w:eastAsia="zh-CN"/>
                    </w:rPr>
                    <w:t>12人用餐</w:t>
                  </w:r>
                </w:p>
              </w:tc>
            </w:tr>
          </w:tbl>
          <w:p w14:paraId="37BDEC71">
            <w:pPr>
              <w:pStyle w:val="30"/>
              <w:numPr>
                <w:ilvl w:val="1"/>
                <w:numId w:val="0"/>
              </w:numPr>
              <w:ind w:left="284"/>
            </w:pPr>
            <w:bookmarkStart w:id="25" w:name="_Toc6037"/>
            <w:bookmarkStart w:id="26" w:name="_Toc68160356"/>
            <w:r>
              <w:t>2.</w:t>
            </w:r>
            <w:r>
              <w:rPr>
                <w:rFonts w:hint="eastAsia"/>
              </w:rPr>
              <w:t>7项目周边情况及</w:t>
            </w:r>
            <w:r>
              <w:t>平面布置</w:t>
            </w:r>
            <w:bookmarkEnd w:id="25"/>
            <w:bookmarkEnd w:id="26"/>
          </w:p>
          <w:p w14:paraId="6D41AFE7">
            <w:pPr>
              <w:adjustRightInd w:val="0"/>
              <w:snapToGrid w:val="0"/>
              <w:ind w:firstLine="480" w:firstLineChars="200"/>
              <w:rPr>
                <w:color w:val="0000C7"/>
              </w:rPr>
            </w:pPr>
            <w:r>
              <w:rPr>
                <w:bCs/>
              </w:rPr>
              <w:t>本项目位于</w:t>
            </w:r>
            <w:r>
              <w:t>湖南省</w:t>
            </w:r>
            <w:r>
              <w:rPr>
                <w:rFonts w:hint="eastAsia"/>
              </w:rPr>
              <w:t>怀化市靖州苗族侗族自治县渠阳镇高桥村七坡冲</w:t>
            </w:r>
            <w:r>
              <w:rPr>
                <w:bCs/>
              </w:rPr>
              <w:t>，项目</w:t>
            </w:r>
            <w:r>
              <w:rPr>
                <w:rFonts w:hint="eastAsia"/>
                <w:bCs/>
              </w:rPr>
              <w:t>北面18米为康安沥青厂</w:t>
            </w:r>
            <w:r>
              <w:rPr>
                <w:rFonts w:hint="eastAsia"/>
              </w:rPr>
              <w:t>，与项目地块间有山体阻隔；东面25</w:t>
            </w:r>
            <w:r>
              <w:t>米为</w:t>
            </w:r>
            <w:r>
              <w:rPr>
                <w:rFonts w:hint="eastAsia"/>
              </w:rPr>
              <w:t>怀志菌种厂，</w:t>
            </w:r>
            <w:r>
              <w:rPr>
                <w:rFonts w:hint="eastAsia"/>
                <w:bCs/>
              </w:rPr>
              <w:t>与项目地块间无山体阻隔；东北面20米为常度门窗厂，与项目地块间无山体阻隔</w:t>
            </w:r>
            <w:r>
              <w:rPr>
                <w:bCs/>
              </w:rPr>
              <w:t>；</w:t>
            </w:r>
            <w:r>
              <w:rPr>
                <w:rFonts w:hint="eastAsia"/>
                <w:bCs/>
              </w:rPr>
              <w:t>南</w:t>
            </w:r>
            <w:r>
              <w:rPr>
                <w:bCs/>
              </w:rPr>
              <w:t>面</w:t>
            </w:r>
            <w:r>
              <w:rPr>
                <w:rFonts w:hint="eastAsia"/>
                <w:bCs/>
              </w:rPr>
              <w:t>临近G356国道；东南面30米处为高桥村居民</w:t>
            </w:r>
            <w:r>
              <w:rPr>
                <w:rFonts w:hint="eastAsia"/>
                <w:bCs/>
                <w:lang w:val="en-US" w:eastAsia="zh-CN"/>
              </w:rPr>
              <w:t>1</w:t>
            </w:r>
            <w:r>
              <w:rPr>
                <w:rFonts w:hint="eastAsia"/>
                <w:bCs/>
              </w:rPr>
              <w:t>，与项目地块间无山体阻隔</w:t>
            </w:r>
            <w:r>
              <w:rPr>
                <w:bCs/>
              </w:rPr>
              <w:t>；</w:t>
            </w:r>
            <w:r>
              <w:rPr>
                <w:rFonts w:hint="eastAsia"/>
                <w:bCs/>
              </w:rPr>
              <w:t>西南面38米为高桥村居民</w:t>
            </w:r>
            <w:r>
              <w:rPr>
                <w:rFonts w:hint="eastAsia"/>
                <w:bCs/>
                <w:lang w:val="en-US" w:eastAsia="zh-CN"/>
              </w:rPr>
              <w:t>2</w:t>
            </w:r>
            <w:r>
              <w:rPr>
                <w:rFonts w:hint="eastAsia"/>
                <w:bCs/>
              </w:rPr>
              <w:t>，与项目地块间有山体阻隔；西北面5米处为机制炭厂，与项目地块间无山体阻隔</w:t>
            </w:r>
            <w:r>
              <w:rPr>
                <w:bCs/>
              </w:rPr>
              <w:t>。</w:t>
            </w:r>
          </w:p>
          <w:p w14:paraId="7FAFCF08">
            <w:pPr>
              <w:adjustRightInd w:val="0"/>
              <w:snapToGrid w:val="0"/>
              <w:ind w:firstLine="480" w:firstLineChars="200"/>
              <w:rPr>
                <w:color w:val="0000C7"/>
              </w:rPr>
            </w:pPr>
            <w:r>
              <w:rPr>
                <w:u w:val="single"/>
              </w:rPr>
              <w:t>项目</w:t>
            </w:r>
            <w:r>
              <w:rPr>
                <w:rFonts w:hint="eastAsia"/>
                <w:u w:val="single"/>
                <w:lang w:eastAsia="zh-CN"/>
              </w:rPr>
              <w:t>现有工程全部拆除。本项目建成后</w:t>
            </w:r>
            <w:r>
              <w:rPr>
                <w:rFonts w:hint="eastAsia"/>
                <w:u w:val="single"/>
              </w:rPr>
              <w:t>入口</w:t>
            </w:r>
            <w:r>
              <w:rPr>
                <w:u w:val="single"/>
              </w:rPr>
              <w:t>设置在</w:t>
            </w:r>
            <w:r>
              <w:rPr>
                <w:rFonts w:hint="eastAsia"/>
                <w:u w:val="single"/>
              </w:rPr>
              <w:t>东</w:t>
            </w:r>
            <w:r>
              <w:rPr>
                <w:u w:val="single"/>
              </w:rPr>
              <w:t>部，生产</w:t>
            </w:r>
            <w:r>
              <w:rPr>
                <w:rFonts w:hint="eastAsia"/>
                <w:u w:val="single"/>
              </w:rPr>
              <w:t>厂房</w:t>
            </w:r>
            <w:r>
              <w:rPr>
                <w:u w:val="single"/>
              </w:rPr>
              <w:t>分布在厂区</w:t>
            </w:r>
            <w:r>
              <w:rPr>
                <w:rFonts w:hint="eastAsia"/>
                <w:u w:val="single"/>
              </w:rPr>
              <w:t>中部</w:t>
            </w:r>
            <w:r>
              <w:rPr>
                <w:u w:val="single"/>
              </w:rPr>
              <w:t>，由</w:t>
            </w:r>
            <w:r>
              <w:rPr>
                <w:rFonts w:hint="eastAsia"/>
                <w:u w:val="single"/>
              </w:rPr>
              <w:t>北</w:t>
            </w:r>
            <w:r>
              <w:rPr>
                <w:u w:val="single"/>
              </w:rPr>
              <w:t>至</w:t>
            </w:r>
            <w:r>
              <w:rPr>
                <w:rFonts w:hint="eastAsia"/>
                <w:u w:val="single"/>
              </w:rPr>
              <w:t>南</w:t>
            </w:r>
            <w:r>
              <w:rPr>
                <w:u w:val="single"/>
              </w:rPr>
              <w:t>依次为</w:t>
            </w:r>
            <w:r>
              <w:rPr>
                <w:rFonts w:hint="eastAsia"/>
                <w:u w:val="single"/>
              </w:rPr>
              <w:t>1#厂房（打砂车间）、2#厂房（制砖车间）、3#厂房（雕刻车间）、4#厂房（小切车间）及5#厂房（大切车间），项目</w:t>
            </w:r>
            <w:r>
              <w:rPr>
                <w:rFonts w:hint="eastAsia"/>
                <w:u w:val="single"/>
                <w:lang w:eastAsia="zh-CN"/>
              </w:rPr>
              <w:t>东</w:t>
            </w:r>
            <w:r>
              <w:rPr>
                <w:rFonts w:hint="eastAsia"/>
                <w:u w:val="single"/>
              </w:rPr>
              <w:t>面设置一个原料堆场及成品堆场，项目南部设置一个</w:t>
            </w:r>
            <w:r>
              <w:rPr>
                <w:rFonts w:hint="eastAsia"/>
                <w:szCs w:val="20"/>
                <w:u w:val="single"/>
                <w:lang w:eastAsia="zh-CN"/>
              </w:rPr>
              <w:t>三级</w:t>
            </w:r>
            <w:r>
              <w:rPr>
                <w:rFonts w:hint="eastAsia"/>
                <w:u w:val="single"/>
              </w:rPr>
              <w:t>沉淀池（</w:t>
            </w:r>
            <w:r>
              <w:rPr>
                <w:rFonts w:hint="eastAsia"/>
                <w:u w:val="single"/>
                <w:lang w:val="en-US" w:eastAsia="zh-CN"/>
              </w:rPr>
              <w:t>20</w:t>
            </w:r>
            <w:r>
              <w:rPr>
                <w:rFonts w:hint="eastAsia"/>
                <w:u w:val="single"/>
              </w:rPr>
              <w:t>m³）以及初期雨水池（</w:t>
            </w:r>
            <w:r>
              <w:rPr>
                <w:rFonts w:hint="eastAsia"/>
                <w:u w:val="single"/>
                <w:lang w:eastAsia="zh-CN"/>
              </w:rPr>
              <w:t>不小于</w:t>
            </w:r>
            <w:r>
              <w:rPr>
                <w:rFonts w:hint="eastAsia"/>
                <w:u w:val="single"/>
              </w:rPr>
              <w:t>33m³）</w:t>
            </w:r>
            <w:r>
              <w:rPr>
                <w:u w:val="single"/>
              </w:rPr>
              <w:t>；</w:t>
            </w:r>
            <w:r>
              <w:rPr>
                <w:rFonts w:hint="eastAsia"/>
                <w:u w:val="single"/>
              </w:rPr>
              <w:t>综合办公楼</w:t>
            </w:r>
            <w:r>
              <w:rPr>
                <w:u w:val="single"/>
              </w:rPr>
              <w:t>设置在</w:t>
            </w:r>
            <w:r>
              <w:rPr>
                <w:rFonts w:hint="eastAsia"/>
                <w:u w:val="single"/>
              </w:rPr>
              <w:t>厂区</w:t>
            </w:r>
            <w:r>
              <w:rPr>
                <w:rFonts w:hint="eastAsia"/>
                <w:u w:val="single"/>
                <w:lang w:eastAsia="zh-CN"/>
              </w:rPr>
              <w:t>北</w:t>
            </w:r>
            <w:r>
              <w:rPr>
                <w:rFonts w:hint="eastAsia"/>
                <w:u w:val="single"/>
              </w:rPr>
              <w:t>部，内部设置一个隔油</w:t>
            </w:r>
            <w:r>
              <w:rPr>
                <w:rFonts w:hint="eastAsia"/>
                <w:szCs w:val="20"/>
                <w:u w:val="single"/>
              </w:rPr>
              <w:t>化粪</w:t>
            </w:r>
            <w:r>
              <w:rPr>
                <w:rFonts w:hint="eastAsia"/>
                <w:u w:val="single"/>
              </w:rPr>
              <w:t>池（</w:t>
            </w:r>
            <w:r>
              <w:rPr>
                <w:rFonts w:hint="eastAsia"/>
                <w:u w:val="single"/>
                <w:lang w:val="en-US" w:eastAsia="zh-CN"/>
              </w:rPr>
              <w:t>10</w:t>
            </w:r>
            <w:r>
              <w:rPr>
                <w:rFonts w:hint="eastAsia"/>
                <w:u w:val="single"/>
              </w:rPr>
              <w:t>m³），一般固废间（3m</w:t>
            </w:r>
            <w:r>
              <w:rPr>
                <w:rFonts w:hint="eastAsia"/>
                <w:u w:val="single"/>
                <w:vertAlign w:val="superscript"/>
              </w:rPr>
              <w:t>3</w:t>
            </w:r>
            <w:r>
              <w:rPr>
                <w:rFonts w:hint="eastAsia"/>
                <w:u w:val="single"/>
              </w:rPr>
              <w:t>）及仓库设置在综合办公楼1F</w:t>
            </w:r>
            <w:r>
              <w:rPr>
                <w:rFonts w:hint="eastAsia"/>
                <w:u w:val="single"/>
                <w:lang w:eastAsia="zh-CN"/>
              </w:rPr>
              <w:t>，</w:t>
            </w:r>
            <w:r>
              <w:rPr>
                <w:rFonts w:hint="eastAsia"/>
                <w:u w:val="single"/>
              </w:rPr>
              <w:t>均为新建。</w:t>
            </w:r>
          </w:p>
          <w:p w14:paraId="0CDF03DF">
            <w:pPr>
              <w:pStyle w:val="30"/>
              <w:numPr>
                <w:ilvl w:val="1"/>
                <w:numId w:val="0"/>
              </w:numPr>
              <w:ind w:left="284"/>
            </w:pPr>
            <w:bookmarkStart w:id="27" w:name="_Toc68160357"/>
            <w:bookmarkStart w:id="28" w:name="_Toc26752"/>
            <w:r>
              <w:rPr>
                <w:rFonts w:hint="eastAsia"/>
                <w:b w:val="0"/>
                <w:bCs/>
              </w:rPr>
              <w:t>本项目场区平面布置见附图2。</w:t>
            </w:r>
          </w:p>
          <w:p w14:paraId="2B442421">
            <w:pPr>
              <w:pStyle w:val="30"/>
              <w:numPr>
                <w:ilvl w:val="1"/>
                <w:numId w:val="0"/>
              </w:numPr>
              <w:ind w:left="284"/>
            </w:pPr>
            <w:r>
              <w:t>2.</w:t>
            </w:r>
            <w:r>
              <w:rPr>
                <w:rFonts w:hint="eastAsia"/>
              </w:rPr>
              <w:t>8</w:t>
            </w:r>
            <w:r>
              <w:t>公用工程</w:t>
            </w:r>
            <w:bookmarkEnd w:id="27"/>
            <w:bookmarkEnd w:id="28"/>
          </w:p>
          <w:p w14:paraId="4C67B1DF">
            <w:pPr>
              <w:pStyle w:val="34"/>
              <w:numPr>
                <w:ilvl w:val="2"/>
                <w:numId w:val="0"/>
              </w:numPr>
              <w:ind w:firstLine="482" w:firstLineChars="200"/>
            </w:pPr>
            <w:bookmarkStart w:id="29" w:name="_Toc19675"/>
            <w:bookmarkStart w:id="30" w:name="_Toc68160358"/>
            <w:r>
              <w:t>1、供电</w:t>
            </w:r>
            <w:bookmarkEnd w:id="29"/>
            <w:bookmarkEnd w:id="30"/>
          </w:p>
          <w:p w14:paraId="0CACDA8B">
            <w:pPr>
              <w:adjustRightInd w:val="0"/>
              <w:snapToGrid w:val="0"/>
              <w:ind w:firstLine="480" w:firstLineChars="200"/>
              <w:rPr>
                <w:rFonts w:hint="eastAsia" w:eastAsia="宋体"/>
                <w:lang w:eastAsia="zh-CN"/>
              </w:rPr>
            </w:pPr>
            <w:r>
              <w:rPr>
                <w:rFonts w:hint="eastAsia"/>
              </w:rPr>
              <w:t>本项目用电由当地电网供给，供电条件可以满足项目需要。年用电量为650万度/年。</w:t>
            </w:r>
          </w:p>
          <w:p w14:paraId="5B116EDA">
            <w:pPr>
              <w:adjustRightInd w:val="0"/>
              <w:snapToGrid w:val="0"/>
              <w:ind w:firstLine="480" w:firstLineChars="200"/>
            </w:pPr>
            <w:bookmarkStart w:id="31" w:name="_Toc28772"/>
            <w:bookmarkStart w:id="32" w:name="_Toc68160359"/>
            <w:r>
              <w:t>2、给排水</w:t>
            </w:r>
            <w:bookmarkEnd w:id="31"/>
            <w:bookmarkEnd w:id="32"/>
          </w:p>
          <w:p w14:paraId="5B6A107F">
            <w:pPr>
              <w:adjustRightInd w:val="0"/>
              <w:snapToGrid w:val="0"/>
              <w:ind w:firstLine="480" w:firstLineChars="200"/>
            </w:pPr>
            <w:r>
              <w:t>（1）给水</w:t>
            </w:r>
          </w:p>
          <w:p w14:paraId="5E148084">
            <w:pPr>
              <w:adjustRightInd w:val="0"/>
              <w:snapToGrid w:val="0"/>
              <w:ind w:firstLine="480" w:firstLineChars="200"/>
            </w:pPr>
            <w:r>
              <w:rPr>
                <w:rFonts w:hint="eastAsia"/>
              </w:rPr>
              <w:t>本项目生产和生活用水直接取厂区内的井水，项目</w:t>
            </w:r>
            <w:r>
              <w:rPr>
                <w:rFonts w:hint="eastAsia"/>
                <w:lang w:val="en-US" w:eastAsia="zh-CN"/>
              </w:rPr>
              <w:t>新鲜</w:t>
            </w:r>
            <w:r>
              <w:rPr>
                <w:rFonts w:hint="eastAsia"/>
              </w:rPr>
              <w:t>用水量</w:t>
            </w:r>
            <w:r>
              <w:t>为</w:t>
            </w:r>
            <w:r>
              <w:rPr>
                <w:rFonts w:hint="eastAsia"/>
              </w:rPr>
              <w:t>19</w:t>
            </w:r>
            <w:r>
              <w:rPr>
                <w:rFonts w:hint="eastAsia"/>
                <w:lang w:val="en-US" w:eastAsia="zh-CN"/>
              </w:rPr>
              <w:t>51.0</w:t>
            </w:r>
            <w:r>
              <w:rPr>
                <w:rFonts w:hint="eastAsia"/>
              </w:rPr>
              <w:t>8</w:t>
            </w:r>
            <w:r>
              <w:t>立方米/年</w:t>
            </w:r>
            <w:r>
              <w:rPr>
                <w:rFonts w:hint="eastAsia"/>
              </w:rPr>
              <w:t>。</w:t>
            </w:r>
          </w:p>
          <w:p w14:paraId="1C01CAE7">
            <w:pPr>
              <w:adjustRightInd w:val="0"/>
              <w:snapToGrid w:val="0"/>
              <w:ind w:firstLine="480" w:firstLineChars="200"/>
            </w:pPr>
            <w:r>
              <w:t>（2）排水</w:t>
            </w:r>
          </w:p>
          <w:p w14:paraId="1774BD88">
            <w:pPr>
              <w:adjustRightInd w:val="0"/>
              <w:snapToGrid w:val="0"/>
              <w:ind w:firstLine="480" w:firstLineChars="200"/>
            </w:pPr>
            <w:r>
              <w:t>项目废水不外排，本项目</w:t>
            </w:r>
            <w:r>
              <w:rPr>
                <w:rFonts w:hint="eastAsia"/>
              </w:rPr>
              <w:t>路沿石、</w:t>
            </w:r>
            <w:r>
              <w:rPr>
                <w:rFonts w:hint="default" w:ascii="Times New Roman" w:hAnsi="Times New Roman" w:eastAsia="宋体" w:cs="Times New Roman"/>
                <w:bCs/>
                <w:kern w:val="0"/>
                <w:sz w:val="24"/>
                <w:szCs w:val="21"/>
                <w:lang w:val="en-US" w:eastAsia="zh-CN" w:bidi="ar-SA"/>
              </w:rPr>
              <w:t>墓碑及附属产品和其他板材</w:t>
            </w:r>
            <w:r>
              <w:t>加工过程中</w:t>
            </w:r>
            <w:r>
              <w:rPr>
                <w:rFonts w:hint="eastAsia"/>
              </w:rPr>
              <w:t>切割、磨光、雕刻</w:t>
            </w:r>
            <w:r>
              <w:t>等工序产生的废水经沉淀处理后循环使用，不外排；</w:t>
            </w:r>
            <w:r>
              <w:rPr>
                <w:rFonts w:hint="eastAsia"/>
              </w:rPr>
              <w:t>破碎制砂和筛分为</w:t>
            </w:r>
            <w:r>
              <w:rPr>
                <w:rFonts w:ascii="Times New Roman"/>
                <w:kern w:val="2"/>
                <w:szCs w:val="24"/>
              </w:rPr>
              <w:t>为</w:t>
            </w:r>
            <w:r>
              <w:rPr>
                <w:rFonts w:hint="eastAsia"/>
                <w:kern w:val="2"/>
                <w:szCs w:val="24"/>
                <w:lang w:eastAsia="zh-CN"/>
              </w:rPr>
              <w:t>干</w:t>
            </w:r>
            <w:r>
              <w:rPr>
                <w:rFonts w:ascii="Times New Roman"/>
                <w:kern w:val="2"/>
                <w:szCs w:val="24"/>
              </w:rPr>
              <w:t>法作业，</w:t>
            </w:r>
            <w:r>
              <w:rPr>
                <w:rFonts w:hint="default"/>
                <w:kern w:val="2"/>
                <w:sz w:val="24"/>
                <w:szCs w:val="24"/>
                <w:lang w:eastAsia="zh-CN"/>
              </w:rPr>
              <w:t>采取喷淋降尘</w:t>
            </w:r>
            <w:r>
              <w:rPr>
                <w:rFonts w:hint="default"/>
                <w:kern w:val="2"/>
                <w:sz w:val="24"/>
                <w:szCs w:val="24"/>
              </w:rPr>
              <w:t>，</w:t>
            </w:r>
            <w:r>
              <w:rPr>
                <w:rFonts w:hint="default"/>
                <w:sz w:val="24"/>
                <w:szCs w:val="24"/>
              </w:rPr>
              <w:t>同时</w:t>
            </w:r>
            <w:r>
              <w:rPr>
                <w:rFonts w:hint="default"/>
                <w:kern w:val="2"/>
                <w:sz w:val="24"/>
                <w:szCs w:val="24"/>
                <w:lang w:eastAsia="zh-CN"/>
              </w:rPr>
              <w:t>采用密闭生产工序，</w:t>
            </w:r>
            <w:r>
              <w:rPr>
                <w:rFonts w:hint="eastAsia"/>
              </w:rPr>
              <w:t>用水量很小，所产生的</w:t>
            </w:r>
            <w:r>
              <w:rPr>
                <w:rFonts w:hint="eastAsia"/>
                <w:lang w:eastAsia="zh-CN"/>
              </w:rPr>
              <w:t>用</w:t>
            </w:r>
            <w:r>
              <w:rPr>
                <w:rFonts w:hint="eastAsia"/>
              </w:rPr>
              <w:t>水一部分自然蒸发，一部分被带入搅拌工序，故破碎制砂和筛分废水可忽略不计；搅拌</w:t>
            </w:r>
            <w:r>
              <w:rPr>
                <w:rFonts w:hint="eastAsia"/>
                <w:lang w:eastAsia="zh-CN"/>
              </w:rPr>
              <w:t>用</w:t>
            </w:r>
            <w:r>
              <w:t>水</w:t>
            </w:r>
            <w:r>
              <w:rPr>
                <w:rFonts w:hint="eastAsia"/>
                <w:lang w:eastAsia="zh-CN"/>
              </w:rPr>
              <w:t>及夏季砖养护用水</w:t>
            </w:r>
            <w:r>
              <w:rPr>
                <w:rFonts w:hint="eastAsia"/>
              </w:rPr>
              <w:t>作为原料进入产品中后晾干蒸发，不外排；厂区抑尘废水</w:t>
            </w:r>
            <w:r>
              <w:t>大部分进入板材中或进入扬尘中并随其沉降在地面，剩余部分全部蒸发损耗，</w:t>
            </w:r>
            <w:r>
              <w:rPr>
                <w:rFonts w:hint="eastAsia"/>
              </w:rPr>
              <w:t>不</w:t>
            </w:r>
            <w:r>
              <w:t>外排</w:t>
            </w:r>
            <w:r>
              <w:rPr>
                <w:rFonts w:hint="eastAsia"/>
              </w:rPr>
              <w:t>；</w:t>
            </w:r>
            <w:r>
              <w:t>生活污水经</w:t>
            </w:r>
            <w:r>
              <w:rPr>
                <w:rFonts w:hint="eastAsia"/>
              </w:rPr>
              <w:t>隔油</w:t>
            </w:r>
            <w:r>
              <w:t>化粪池处理用于周边林地、</w:t>
            </w:r>
            <w:r>
              <w:rPr>
                <w:rFonts w:hint="eastAsia"/>
              </w:rPr>
              <w:t>菜地</w:t>
            </w:r>
            <w:r>
              <w:t>浇灌，不外排</w:t>
            </w:r>
            <w:r>
              <w:rPr>
                <w:rFonts w:hint="eastAsia"/>
              </w:rPr>
              <w:t>；初期</w:t>
            </w:r>
            <w:r>
              <w:t>雨水经</w:t>
            </w:r>
            <w:r>
              <w:rPr>
                <w:rFonts w:hint="eastAsia"/>
              </w:rPr>
              <w:t>初期雨水收集池</w:t>
            </w:r>
            <w:r>
              <w:t>沉淀后回用于厂区降尘洒水</w:t>
            </w:r>
            <w:r>
              <w:rPr>
                <w:rFonts w:hint="eastAsia"/>
              </w:rPr>
              <w:t>。</w:t>
            </w:r>
          </w:p>
          <w:p w14:paraId="4D047B47">
            <w:pPr>
              <w:tabs>
                <w:tab w:val="left" w:pos="884"/>
              </w:tabs>
              <w:ind w:firstLine="480"/>
              <w:rPr>
                <w:b/>
                <w:bCs/>
              </w:rPr>
            </w:pPr>
            <w:r>
              <w:rPr>
                <w:rFonts w:hint="eastAsia"/>
                <w:b/>
                <w:bCs/>
              </w:rPr>
              <w:t>3、供热</w:t>
            </w:r>
          </w:p>
          <w:p w14:paraId="48C187A3">
            <w:pPr>
              <w:adjustRightInd w:val="0"/>
              <w:snapToGrid w:val="0"/>
              <w:ind w:firstLine="480" w:firstLineChars="200"/>
            </w:pPr>
            <w:r>
              <w:rPr>
                <w:rFonts w:hint="eastAsia"/>
              </w:rPr>
              <w:t>本项目</w:t>
            </w:r>
            <w:r>
              <w:rPr>
                <w:spacing w:val="9"/>
              </w:rPr>
              <w:t>不设锅炉</w:t>
            </w:r>
            <w:r>
              <w:rPr>
                <w:rFonts w:hint="eastAsia"/>
                <w:spacing w:val="9"/>
              </w:rPr>
              <w:t>，</w:t>
            </w:r>
            <w:r>
              <w:rPr>
                <w:rFonts w:hint="eastAsia"/>
              </w:rPr>
              <w:t>供热主要为电能。</w:t>
            </w:r>
          </w:p>
          <w:p w14:paraId="5498605A">
            <w:pPr>
              <w:pStyle w:val="30"/>
              <w:numPr>
                <w:ilvl w:val="1"/>
                <w:numId w:val="0"/>
              </w:numPr>
              <w:ind w:left="284"/>
            </w:pPr>
            <w:bookmarkStart w:id="33" w:name="_Toc21035"/>
            <w:r>
              <w:t>2.</w:t>
            </w:r>
            <w:r>
              <w:rPr>
                <w:rFonts w:hint="eastAsia"/>
              </w:rPr>
              <w:t>9</w:t>
            </w:r>
            <w:r>
              <w:t>项目用地现状</w:t>
            </w:r>
            <w:bookmarkEnd w:id="33"/>
          </w:p>
          <w:p w14:paraId="21486225">
            <w:pPr>
              <w:adjustRightInd w:val="0"/>
              <w:snapToGrid w:val="0"/>
              <w:ind w:firstLine="480" w:firstLineChars="200"/>
            </w:pPr>
            <w:r>
              <w:t>项目位于湖南省</w:t>
            </w:r>
            <w:r>
              <w:rPr>
                <w:rFonts w:hint="eastAsia"/>
              </w:rPr>
              <w:t>怀化市靖州苗族侗族自治县渠阳镇高桥村七坡冲</w:t>
            </w:r>
            <w:r>
              <w:t>，占地面积为</w:t>
            </w:r>
            <w:r>
              <w:rPr>
                <w:rFonts w:hint="eastAsia"/>
              </w:rPr>
              <w:t>10642.28</w:t>
            </w:r>
            <w:r>
              <w:t>m</w:t>
            </w:r>
            <w:r>
              <w:rPr>
                <w:vertAlign w:val="superscript"/>
              </w:rPr>
              <w:t>2</w:t>
            </w:r>
            <w:r>
              <w:t>，根据</w:t>
            </w:r>
            <w:r>
              <w:rPr>
                <w:rFonts w:hint="eastAsia"/>
                <w:lang w:eastAsia="zh-CN"/>
              </w:rPr>
              <w:t>本项目空间检测报告（见附件</w:t>
            </w:r>
            <w:r>
              <w:rPr>
                <w:rFonts w:hint="eastAsia"/>
                <w:lang w:val="en-US" w:eastAsia="zh-CN"/>
              </w:rPr>
              <w:t>6</w:t>
            </w:r>
            <w:r>
              <w:rPr>
                <w:rFonts w:hint="eastAsia"/>
                <w:lang w:eastAsia="zh-CN"/>
              </w:rPr>
              <w:t>）</w:t>
            </w:r>
            <w:r>
              <w:t>，项目不占用林地及基本农田，环境敏感性较低</w:t>
            </w:r>
            <w:r>
              <w:rPr>
                <w:rFonts w:hint="eastAsia"/>
              </w:rPr>
              <w:t>。</w:t>
            </w:r>
          </w:p>
          <w:p w14:paraId="26889760">
            <w:pPr>
              <w:pStyle w:val="4"/>
              <w:ind w:firstLine="480" w:firstLineChars="200"/>
              <w:jc w:val="both"/>
              <w:rPr>
                <w:color w:val="0000C7"/>
              </w:rPr>
            </w:pPr>
            <w:r>
              <w:rPr>
                <w:rFonts w:hint="eastAsia" w:ascii="Times New Roman" w:hAnsi="Times New Roman"/>
                <w:bCs w:val="0"/>
                <w:snapToGrid/>
                <w:color w:val="auto"/>
                <w:kern w:val="2"/>
                <w:sz w:val="24"/>
                <w:szCs w:val="24"/>
              </w:rPr>
              <w:t>项目地块东面目前为已建厂房、沉淀池以及综合办公楼，中部为七座坟，西面为空地。</w:t>
            </w:r>
          </w:p>
        </w:tc>
      </w:tr>
      <w:tr w14:paraId="2C83A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vAlign w:val="center"/>
          </w:tcPr>
          <w:p w14:paraId="17124FEC">
            <w:pPr>
              <w:widowControl/>
              <w:adjustRightInd w:val="0"/>
              <w:snapToGrid w:val="0"/>
              <w:spacing w:line="240" w:lineRule="auto"/>
              <w:jc w:val="center"/>
              <w:rPr>
                <w:kern w:val="0"/>
                <w:szCs w:val="21"/>
              </w:rPr>
            </w:pPr>
            <w:r>
              <w:rPr>
                <w:kern w:val="0"/>
                <w:szCs w:val="21"/>
              </w:rPr>
              <w:t>工艺流程和产排污环节</w:t>
            </w:r>
          </w:p>
        </w:tc>
        <w:tc>
          <w:tcPr>
            <w:tcW w:w="8606" w:type="dxa"/>
          </w:tcPr>
          <w:p w14:paraId="18F8C8BE">
            <w:pPr>
              <w:pStyle w:val="30"/>
              <w:numPr>
                <w:ilvl w:val="1"/>
                <w:numId w:val="0"/>
              </w:numPr>
              <w:ind w:left="284"/>
            </w:pPr>
            <w:bookmarkStart w:id="34" w:name="_Toc19742"/>
            <w:bookmarkStart w:id="35" w:name="_Toc68160360"/>
            <w:r>
              <w:t>2.9工艺流程及产污环节</w:t>
            </w:r>
            <w:bookmarkEnd w:id="34"/>
            <w:bookmarkEnd w:id="35"/>
            <w:bookmarkStart w:id="36" w:name="_Toc11038"/>
          </w:p>
          <w:p w14:paraId="330203A7">
            <w:pPr>
              <w:pStyle w:val="30"/>
              <w:numPr>
                <w:ilvl w:val="1"/>
                <w:numId w:val="0"/>
              </w:numPr>
              <w:ind w:firstLine="482" w:firstLineChars="200"/>
            </w:pPr>
            <w:r>
              <w:t>1、施工期工艺流程及产污环节</w:t>
            </w:r>
            <w:bookmarkEnd w:id="36"/>
          </w:p>
          <w:p w14:paraId="208B2884">
            <w:pPr>
              <w:pStyle w:val="35"/>
              <w:ind w:firstLine="0"/>
              <w:jc w:val="center"/>
              <w:rPr>
                <w:rFonts w:ascii="Times New Roman" w:hAnsi="Times New Roman" w:cs="Times New Roman"/>
                <w:color w:val="0000C7"/>
              </w:rPr>
            </w:pPr>
            <w:r>
              <w:drawing>
                <wp:inline distT="0" distB="0" distL="114300" distR="114300">
                  <wp:extent cx="5346065" cy="1531620"/>
                  <wp:effectExtent l="0" t="0" r="6985"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4"/>
                          <a:stretch>
                            <a:fillRect/>
                          </a:stretch>
                        </pic:blipFill>
                        <pic:spPr>
                          <a:xfrm>
                            <a:off x="0" y="0"/>
                            <a:ext cx="5346065" cy="1531620"/>
                          </a:xfrm>
                          <a:prstGeom prst="rect">
                            <a:avLst/>
                          </a:prstGeom>
                          <a:noFill/>
                          <a:ln>
                            <a:noFill/>
                          </a:ln>
                        </pic:spPr>
                      </pic:pic>
                    </a:graphicData>
                  </a:graphic>
                </wp:inline>
              </w:drawing>
            </w:r>
          </w:p>
          <w:p w14:paraId="38DDCCA4">
            <w:pPr>
              <w:pStyle w:val="35"/>
              <w:ind w:firstLine="0"/>
              <w:jc w:val="center"/>
              <w:rPr>
                <w:rFonts w:ascii="Times New Roman" w:hAnsi="Times New Roman" w:cs="Times New Roman"/>
                <w:b/>
                <w:bCs/>
                <w:sz w:val="21"/>
                <w:szCs w:val="21"/>
              </w:rPr>
            </w:pPr>
            <w:r>
              <w:rPr>
                <w:rFonts w:ascii="Times New Roman" w:hAnsi="Times New Roman" w:cs="Times New Roman"/>
                <w:b/>
                <w:bCs/>
                <w:sz w:val="21"/>
                <w:szCs w:val="21"/>
              </w:rPr>
              <w:t>图2-</w:t>
            </w:r>
            <w:r>
              <w:rPr>
                <w:rFonts w:hint="eastAsia" w:ascii="Times New Roman" w:hAnsi="Times New Roman" w:cs="Times New Roman"/>
                <w:b/>
                <w:bCs/>
                <w:sz w:val="21"/>
                <w:szCs w:val="21"/>
              </w:rPr>
              <w:t>1</w:t>
            </w:r>
            <w:r>
              <w:rPr>
                <w:rFonts w:ascii="Times New Roman" w:hAnsi="Times New Roman" w:cs="Times New Roman"/>
                <w:b/>
                <w:bCs/>
                <w:sz w:val="21"/>
                <w:szCs w:val="21"/>
              </w:rPr>
              <w:t xml:space="preserve"> </w:t>
            </w:r>
            <w:r>
              <w:rPr>
                <w:rFonts w:ascii="Times New Roman" w:hAnsi="Times New Roman" w:cs="Times New Roman"/>
                <w:b/>
                <w:bCs/>
                <w:color w:val="0000C7"/>
                <w:sz w:val="21"/>
                <w:szCs w:val="21"/>
              </w:rPr>
              <w:t xml:space="preserve"> </w:t>
            </w:r>
            <w:r>
              <w:rPr>
                <w:rFonts w:ascii="Times New Roman" w:hAnsi="Times New Roman" w:cs="Times New Roman"/>
                <w:b/>
                <w:bCs/>
                <w:sz w:val="21"/>
                <w:szCs w:val="21"/>
              </w:rPr>
              <w:t>施工工艺流程图及产污环节图</w:t>
            </w:r>
          </w:p>
          <w:p w14:paraId="77B2D6BD">
            <w:pPr>
              <w:pStyle w:val="34"/>
              <w:numPr>
                <w:ilvl w:val="2"/>
                <w:numId w:val="0"/>
              </w:numPr>
              <w:ind w:firstLine="482" w:firstLineChars="200"/>
            </w:pPr>
            <w:bookmarkStart w:id="37" w:name="_Toc21895"/>
            <w:r>
              <w:t>2、营运期工艺流程及产污环节</w:t>
            </w:r>
            <w:bookmarkEnd w:id="37"/>
          </w:p>
          <w:p w14:paraId="30217E8B">
            <w:pPr>
              <w:pStyle w:val="34"/>
              <w:numPr>
                <w:ilvl w:val="2"/>
                <w:numId w:val="0"/>
              </w:numPr>
              <w:ind w:firstLine="480" w:firstLineChars="200"/>
              <w:rPr>
                <w:rFonts w:hint="eastAsia" w:ascii="宋体" w:hAnsi="宋体" w:cs="宋体"/>
                <w:b w:val="0"/>
                <w:bCs/>
                <w:kern w:val="0"/>
                <w:u w:val="single"/>
                <w:lang w:bidi="ar"/>
              </w:rPr>
            </w:pPr>
            <w:r>
              <w:rPr>
                <w:rFonts w:hint="eastAsia" w:ascii="宋体" w:hAnsi="宋体" w:cs="宋体"/>
                <w:b w:val="0"/>
                <w:bCs/>
                <w:kern w:val="0"/>
                <w:u w:val="single"/>
                <w:lang w:bidi="ar"/>
              </w:rPr>
              <w:t>本项目设备维修委外，产生的废机油及含油抹布由第三方维修单位带走，不在厂区内暂存。</w:t>
            </w:r>
          </w:p>
          <w:p w14:paraId="49FAC178">
            <w:pPr>
              <w:pStyle w:val="34"/>
              <w:numPr>
                <w:ilvl w:val="2"/>
                <w:numId w:val="0"/>
              </w:numPr>
              <w:ind w:firstLine="482" w:firstLineChars="200"/>
            </w:pPr>
            <w:r>
              <w:t>（1）本项目</w:t>
            </w:r>
            <w:r>
              <w:rPr>
                <w:rFonts w:hint="eastAsia"/>
              </w:rPr>
              <w:t>路沿石</w:t>
            </w:r>
            <w:r>
              <w:t>生产工艺及产污流程见下图：</w:t>
            </w:r>
          </w:p>
          <w:p w14:paraId="7B08C6B1">
            <w:pPr>
              <w:pStyle w:val="34"/>
              <w:numPr>
                <w:ilvl w:val="0"/>
                <w:numId w:val="0"/>
              </w:numPr>
              <w:spacing w:line="240" w:lineRule="auto"/>
              <w:jc w:val="center"/>
              <w:rPr>
                <w:color w:val="0000C7"/>
              </w:rPr>
            </w:pPr>
            <w:r>
              <w:drawing>
                <wp:inline distT="0" distB="0" distL="114300" distR="114300">
                  <wp:extent cx="5344795" cy="1548130"/>
                  <wp:effectExtent l="0" t="0" r="8255"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5344795" cy="1548130"/>
                          </a:xfrm>
                          <a:prstGeom prst="rect">
                            <a:avLst/>
                          </a:prstGeom>
                          <a:noFill/>
                          <a:ln>
                            <a:noFill/>
                          </a:ln>
                        </pic:spPr>
                      </pic:pic>
                    </a:graphicData>
                  </a:graphic>
                </wp:inline>
              </w:drawing>
            </w:r>
          </w:p>
          <w:p w14:paraId="630AFEC9">
            <w:pPr>
              <w:jc w:val="center"/>
            </w:pPr>
            <w:r>
              <w:rPr>
                <w:b/>
                <w:bCs/>
                <w:snapToGrid w:val="0"/>
                <w:kern w:val="0"/>
                <w:sz w:val="21"/>
                <w:szCs w:val="21"/>
              </w:rPr>
              <w:t>图2-</w:t>
            </w:r>
            <w:r>
              <w:rPr>
                <w:rFonts w:hint="eastAsia"/>
                <w:b/>
                <w:bCs/>
                <w:snapToGrid w:val="0"/>
                <w:kern w:val="0"/>
                <w:sz w:val="21"/>
                <w:szCs w:val="21"/>
              </w:rPr>
              <w:t>2本项目路沿石生产线</w:t>
            </w:r>
            <w:r>
              <w:rPr>
                <w:b/>
                <w:bCs/>
                <w:snapToGrid w:val="0"/>
                <w:kern w:val="0"/>
                <w:sz w:val="21"/>
                <w:szCs w:val="21"/>
              </w:rPr>
              <w:t>生产工艺流程及产污环节图</w:t>
            </w:r>
          </w:p>
          <w:p w14:paraId="04B35217">
            <w:pPr>
              <w:ind w:left="240" w:leftChars="100" w:firstLine="284" w:firstLineChars="118"/>
              <w:jc w:val="left"/>
              <w:outlineLvl w:val="0"/>
              <w:rPr>
                <w:b/>
              </w:rPr>
            </w:pPr>
            <w:bookmarkStart w:id="38" w:name="_Toc11438"/>
            <w:r>
              <w:rPr>
                <w:b/>
              </w:rPr>
              <w:t>工艺流程简介：</w:t>
            </w:r>
            <w:bookmarkEnd w:id="38"/>
          </w:p>
          <w:p w14:paraId="68D35DA0">
            <w:pPr>
              <w:ind w:firstLine="480" w:firstLineChars="200"/>
              <w:outlineLvl w:val="0"/>
              <w:rPr>
                <w:color w:val="0000C7"/>
              </w:rPr>
            </w:pPr>
            <w:r>
              <w:rPr>
                <w:rFonts w:hint="eastAsia" w:ascii="宋体" w:hAnsi="宋体" w:cs="宋体"/>
                <w:kern w:val="0"/>
                <w:lang w:bidi="ar"/>
              </w:rPr>
              <w:t>主要使用大切机及小切机将外购的花岗岩石料按产品所需形状规格进行切割，产生的废水经</w:t>
            </w:r>
            <w:r>
              <w:rPr>
                <w:rFonts w:hint="eastAsia"/>
                <w:szCs w:val="20"/>
                <w:lang w:eastAsia="zh-CN"/>
              </w:rPr>
              <w:t>三级</w:t>
            </w:r>
            <w:r>
              <w:rPr>
                <w:rFonts w:hint="eastAsia" w:ascii="宋体" w:hAnsi="宋体" w:cs="宋体"/>
                <w:kern w:val="0"/>
                <w:lang w:bidi="ar"/>
              </w:rPr>
              <w:t>沉淀池处理后循环使用，</w:t>
            </w:r>
            <w:r>
              <w:rPr>
                <w:rFonts w:hint="eastAsia"/>
                <w:bCs/>
                <w:kern w:val="0"/>
                <w:lang w:bidi="ar"/>
              </w:rPr>
              <w:t>产生的边角料作为</w:t>
            </w:r>
            <w:r>
              <w:rPr>
                <w:rFonts w:hint="eastAsia" w:ascii="Times New Roman" w:hAnsi="Times New Roman" w:eastAsia="宋体" w:cs="Times New Roman"/>
                <w:bCs/>
                <w:kern w:val="0"/>
                <w:sz w:val="24"/>
                <w:szCs w:val="24"/>
                <w:u w:val="none"/>
                <w:lang w:val="en-US" w:eastAsia="zh-CN" w:bidi="ar"/>
              </w:rPr>
              <w:t>透水砖、路面砖</w:t>
            </w:r>
            <w:r>
              <w:rPr>
                <w:rFonts w:hint="eastAsia"/>
                <w:bCs/>
                <w:kern w:val="0"/>
                <w:lang w:bidi="ar"/>
              </w:rPr>
              <w:t>生产线的原料。</w:t>
            </w:r>
          </w:p>
          <w:p w14:paraId="41DE4F71">
            <w:pPr>
              <w:pStyle w:val="34"/>
              <w:numPr>
                <w:ilvl w:val="2"/>
                <w:numId w:val="0"/>
              </w:numPr>
              <w:ind w:left="709"/>
              <w:rPr>
                <w:color w:val="0000C7"/>
              </w:rPr>
            </w:pPr>
            <w:r>
              <w:rPr>
                <w:u w:val="single"/>
              </w:rPr>
              <w:t>（2）本项目</w:t>
            </w:r>
            <w:r>
              <w:rPr>
                <w:rFonts w:hint="default" w:ascii="Times New Roman" w:hAnsi="Times New Roman" w:eastAsia="宋体" w:cs="Times New Roman"/>
                <w:kern w:val="2"/>
                <w:sz w:val="24"/>
                <w:szCs w:val="24"/>
                <w:u w:val="single"/>
                <w:lang w:val="en-US" w:eastAsia="zh-CN" w:bidi="ar-SA"/>
              </w:rPr>
              <w:t>墓碑及附属产品和其他板材</w:t>
            </w:r>
            <w:r>
              <w:rPr>
                <w:u w:val="single"/>
              </w:rPr>
              <w:t>生产工艺及产污流程见下图：</w:t>
            </w:r>
          </w:p>
          <w:p w14:paraId="6A64D3E8">
            <w:pPr>
              <w:pStyle w:val="34"/>
              <w:numPr>
                <w:ilvl w:val="2"/>
                <w:numId w:val="0"/>
              </w:numPr>
              <w:rPr>
                <w:color w:val="0000C7"/>
              </w:rPr>
            </w:pPr>
            <w:r>
              <w:drawing>
                <wp:inline distT="0" distB="0" distL="114300" distR="114300">
                  <wp:extent cx="5321935" cy="4140835"/>
                  <wp:effectExtent l="0" t="0" r="1206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5321935" cy="4140835"/>
                          </a:xfrm>
                          <a:prstGeom prst="rect">
                            <a:avLst/>
                          </a:prstGeom>
                          <a:noFill/>
                          <a:ln>
                            <a:noFill/>
                          </a:ln>
                        </pic:spPr>
                      </pic:pic>
                    </a:graphicData>
                  </a:graphic>
                </wp:inline>
              </w:drawing>
            </w:r>
          </w:p>
          <w:p w14:paraId="466CF035">
            <w:pPr>
              <w:jc w:val="center"/>
            </w:pPr>
            <w:r>
              <w:rPr>
                <w:b/>
                <w:bCs/>
                <w:snapToGrid w:val="0"/>
                <w:kern w:val="0"/>
                <w:sz w:val="21"/>
                <w:szCs w:val="21"/>
                <w:u w:val="single"/>
              </w:rPr>
              <w:t>图2-</w:t>
            </w:r>
            <w:r>
              <w:rPr>
                <w:rFonts w:hint="eastAsia"/>
                <w:b/>
                <w:bCs/>
                <w:snapToGrid w:val="0"/>
                <w:kern w:val="0"/>
                <w:sz w:val="21"/>
                <w:szCs w:val="21"/>
                <w:u w:val="single"/>
              </w:rPr>
              <w:t>3本项目</w:t>
            </w:r>
            <w:r>
              <w:rPr>
                <w:rFonts w:hint="eastAsia" w:ascii="Times New Roman" w:hAnsi="Times New Roman" w:eastAsia="宋体" w:cs="Times New Roman"/>
                <w:b/>
                <w:bCs/>
                <w:snapToGrid w:val="0"/>
                <w:kern w:val="0"/>
                <w:sz w:val="21"/>
                <w:szCs w:val="21"/>
                <w:u w:val="single"/>
                <w:lang w:val="en-US" w:eastAsia="zh-CN" w:bidi="ar-SA"/>
              </w:rPr>
              <w:t>墓碑及附属产品和其他板材</w:t>
            </w:r>
            <w:r>
              <w:rPr>
                <w:rFonts w:hint="eastAsia"/>
                <w:b/>
                <w:bCs/>
                <w:snapToGrid w:val="0"/>
                <w:kern w:val="0"/>
                <w:sz w:val="21"/>
                <w:szCs w:val="21"/>
                <w:u w:val="single"/>
              </w:rPr>
              <w:t>生产线</w:t>
            </w:r>
            <w:r>
              <w:rPr>
                <w:b/>
                <w:bCs/>
                <w:snapToGrid w:val="0"/>
                <w:kern w:val="0"/>
                <w:sz w:val="21"/>
                <w:szCs w:val="21"/>
                <w:u w:val="single"/>
              </w:rPr>
              <w:t>生产工艺流程及产污环节图</w:t>
            </w:r>
          </w:p>
          <w:p w14:paraId="2892F515">
            <w:pPr>
              <w:pStyle w:val="34"/>
              <w:numPr>
                <w:ilvl w:val="2"/>
                <w:numId w:val="0"/>
              </w:numPr>
              <w:ind w:firstLine="482" w:firstLineChars="200"/>
              <w:rPr>
                <w:color w:val="0000C7"/>
              </w:rPr>
            </w:pPr>
            <w:r>
              <w:t>工艺流程简介：</w:t>
            </w:r>
          </w:p>
          <w:p w14:paraId="0BA7D5D2">
            <w:pPr>
              <w:pStyle w:val="34"/>
              <w:numPr>
                <w:ilvl w:val="2"/>
                <w:numId w:val="0"/>
              </w:numPr>
              <w:ind w:firstLine="480" w:firstLineChars="200"/>
              <w:jc w:val="both"/>
              <w:rPr>
                <w:rFonts w:ascii="宋体" w:hAnsi="宋体" w:cs="宋体"/>
                <w:kern w:val="0"/>
                <w:lang w:bidi="ar"/>
              </w:rPr>
            </w:pPr>
            <w:r>
              <w:rPr>
                <w:rFonts w:hint="eastAsia" w:ascii="Times New Roman" w:hAnsi="Times New Roman" w:eastAsia="宋体" w:cs="Times New Roman"/>
                <w:b w:val="0"/>
                <w:bCs/>
                <w:kern w:val="0"/>
                <w:sz w:val="24"/>
                <w:szCs w:val="24"/>
                <w:u w:val="single"/>
                <w:lang w:val="en-US" w:eastAsia="zh-CN" w:bidi="ar"/>
              </w:rPr>
              <w:t>墓碑及附属产品和其他板材</w:t>
            </w:r>
            <w:r>
              <w:rPr>
                <w:rFonts w:hint="eastAsia"/>
                <w:b w:val="0"/>
                <w:bCs/>
                <w:kern w:val="0"/>
                <w:u w:val="single"/>
                <w:lang w:bidi="ar"/>
              </w:rPr>
              <w:t>生产线采用湿法作业，青石原料先经大切机、小切机切割成合适大小，经</w:t>
            </w:r>
            <w:r>
              <w:rPr>
                <w:rFonts w:hint="eastAsia"/>
                <w:b w:val="0"/>
                <w:bCs/>
                <w:kern w:val="0"/>
                <w:u w:val="single"/>
                <w:lang w:eastAsia="zh-CN" w:bidi="ar"/>
              </w:rPr>
              <w:t>磨光</w:t>
            </w:r>
            <w:r>
              <w:rPr>
                <w:rFonts w:hint="eastAsia"/>
                <w:b w:val="0"/>
                <w:bCs/>
                <w:kern w:val="0"/>
                <w:u w:val="single"/>
                <w:lang w:bidi="ar"/>
              </w:rPr>
              <w:t>机将边缘打磨光滑，再根据设计要求进行雕刻成型;石材在每个加工过程(切割、磨光、雕刻)中，均需持续加水，既可以保护刀具，亦可以抑制粉尘产生。</w:t>
            </w:r>
            <w:r>
              <w:rPr>
                <w:rFonts w:hint="eastAsia"/>
                <w:b w:val="0"/>
                <w:bCs/>
                <w:kern w:val="0"/>
                <w:u w:val="single"/>
                <w:lang w:eastAsia="zh-CN" w:bidi="ar"/>
              </w:rPr>
              <w:t>其中部分墓碑根据市场需求需刷黑色蜡或无色蜡，产生的有机废气量很小，生产区加强通风后无组织排放，刷蜡风干后用抛光布进行手工抛光后形成成品外售，其他</w:t>
            </w:r>
            <w:r>
              <w:rPr>
                <w:rFonts w:hint="eastAsia" w:ascii="Times New Roman" w:hAnsi="Times New Roman" w:eastAsia="宋体" w:cs="Times New Roman"/>
                <w:b w:val="0"/>
                <w:bCs/>
                <w:kern w:val="0"/>
                <w:sz w:val="24"/>
                <w:szCs w:val="24"/>
                <w:u w:val="single"/>
                <w:lang w:val="en-US" w:eastAsia="zh-CN" w:bidi="ar"/>
              </w:rPr>
              <w:t>墓碑及附属产品和其他板材</w:t>
            </w:r>
            <w:r>
              <w:rPr>
                <w:rFonts w:hint="eastAsia" w:cs="Times New Roman"/>
                <w:b w:val="0"/>
                <w:bCs/>
                <w:kern w:val="0"/>
                <w:sz w:val="24"/>
                <w:szCs w:val="24"/>
                <w:u w:val="single"/>
                <w:lang w:val="en-US" w:eastAsia="zh-CN" w:bidi="ar"/>
              </w:rPr>
              <w:t>雕刻后直接作为成品外售</w:t>
            </w:r>
            <w:r>
              <w:rPr>
                <w:rFonts w:hint="eastAsia"/>
                <w:b w:val="0"/>
                <w:bCs/>
                <w:kern w:val="0"/>
                <w:u w:val="single"/>
                <w:lang w:eastAsia="zh-CN" w:bidi="ar"/>
              </w:rPr>
              <w:t>。</w:t>
            </w:r>
            <w:r>
              <w:rPr>
                <w:rFonts w:hint="eastAsia"/>
                <w:b w:val="0"/>
                <w:bCs/>
                <w:kern w:val="0"/>
                <w:u w:val="single"/>
                <w:lang w:bidi="ar"/>
              </w:rPr>
              <w:t>生产过程产生的废水循环利用不外排，产生的边角料作为</w:t>
            </w:r>
            <w:r>
              <w:rPr>
                <w:rFonts w:hint="eastAsia" w:ascii="Times New Roman" w:hAnsi="Times New Roman" w:eastAsia="宋体" w:cs="Times New Roman"/>
                <w:b w:val="0"/>
                <w:bCs/>
                <w:kern w:val="0"/>
                <w:sz w:val="24"/>
                <w:szCs w:val="24"/>
                <w:u w:val="single"/>
                <w:lang w:val="en-US" w:eastAsia="zh-CN" w:bidi="ar"/>
              </w:rPr>
              <w:t>透水砖、路面砖</w:t>
            </w:r>
            <w:r>
              <w:rPr>
                <w:rFonts w:hint="eastAsia"/>
                <w:b w:val="0"/>
                <w:bCs/>
                <w:kern w:val="0"/>
                <w:u w:val="single"/>
                <w:lang w:bidi="ar"/>
              </w:rPr>
              <w:t>生产线的原料</w:t>
            </w:r>
            <w:r>
              <w:rPr>
                <w:rFonts w:hint="eastAsia"/>
                <w:b w:val="0"/>
                <w:bCs/>
                <w:kern w:val="0"/>
                <w:u w:val="single"/>
                <w:lang w:eastAsia="zh-CN" w:bidi="ar"/>
              </w:rPr>
              <w:t>，产生的废弃包装物、废抛光布交由环卫部门统一清理</w:t>
            </w:r>
            <w:r>
              <w:rPr>
                <w:rFonts w:hint="eastAsia"/>
                <w:b w:val="0"/>
                <w:bCs/>
                <w:kern w:val="0"/>
                <w:u w:val="single"/>
                <w:lang w:bidi="ar"/>
              </w:rPr>
              <w:t>。</w:t>
            </w:r>
          </w:p>
          <w:p w14:paraId="297F1B7F">
            <w:pPr>
              <w:pStyle w:val="34"/>
              <w:numPr>
                <w:ilvl w:val="2"/>
                <w:numId w:val="0"/>
              </w:numPr>
              <w:ind w:firstLine="482" w:firstLineChars="200"/>
              <w:rPr>
                <w:color w:val="0000C7"/>
              </w:rPr>
            </w:pPr>
            <w:r>
              <w:t>（</w:t>
            </w:r>
            <w:r>
              <w:rPr>
                <w:rFonts w:hint="eastAsia"/>
              </w:rPr>
              <w:t>3</w:t>
            </w:r>
            <w:r>
              <w:t>）本项目</w:t>
            </w:r>
            <w:r>
              <w:rPr>
                <w:rFonts w:hint="eastAsia" w:ascii="Times New Roman" w:hAnsi="Times New Roman" w:eastAsia="宋体" w:cs="Times New Roman"/>
                <w:bCs w:val="0"/>
                <w:kern w:val="2"/>
                <w:sz w:val="24"/>
                <w:szCs w:val="24"/>
                <w:u w:val="none"/>
                <w:lang w:val="en-US" w:eastAsia="zh-CN" w:bidi="ar"/>
              </w:rPr>
              <w:t>透水砖、路面砖</w:t>
            </w:r>
            <w:r>
              <w:t>生产工艺及产污流程见下图：</w:t>
            </w:r>
          </w:p>
          <w:p w14:paraId="503399A3">
            <w:pPr>
              <w:pStyle w:val="34"/>
              <w:numPr>
                <w:ilvl w:val="2"/>
                <w:numId w:val="0"/>
              </w:numPr>
              <w:rPr>
                <w:color w:val="0000C7"/>
              </w:rPr>
            </w:pPr>
            <w:r>
              <w:drawing>
                <wp:inline distT="0" distB="0" distL="114300" distR="114300">
                  <wp:extent cx="5340985" cy="3253740"/>
                  <wp:effectExtent l="0" t="0" r="12065" b="38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5340985" cy="3253740"/>
                          </a:xfrm>
                          <a:prstGeom prst="rect">
                            <a:avLst/>
                          </a:prstGeom>
                          <a:noFill/>
                          <a:ln>
                            <a:noFill/>
                          </a:ln>
                        </pic:spPr>
                      </pic:pic>
                    </a:graphicData>
                  </a:graphic>
                </wp:inline>
              </w:drawing>
            </w:r>
          </w:p>
          <w:p w14:paraId="0529A629">
            <w:pPr>
              <w:jc w:val="center"/>
            </w:pPr>
            <w:r>
              <w:rPr>
                <w:b/>
                <w:bCs/>
                <w:snapToGrid w:val="0"/>
                <w:kern w:val="0"/>
                <w:sz w:val="21"/>
                <w:szCs w:val="21"/>
              </w:rPr>
              <w:t>图2-</w:t>
            </w:r>
            <w:r>
              <w:rPr>
                <w:rFonts w:hint="eastAsia"/>
                <w:b/>
                <w:bCs/>
                <w:snapToGrid w:val="0"/>
                <w:kern w:val="0"/>
                <w:sz w:val="21"/>
                <w:szCs w:val="21"/>
              </w:rPr>
              <w:t>4本项目</w:t>
            </w:r>
            <w:r>
              <w:rPr>
                <w:rFonts w:hint="eastAsia" w:ascii="Times New Roman" w:hAnsi="Times New Roman" w:eastAsia="宋体" w:cs="Times New Roman"/>
                <w:b/>
                <w:bCs/>
                <w:snapToGrid w:val="0"/>
                <w:kern w:val="0"/>
                <w:sz w:val="21"/>
                <w:szCs w:val="21"/>
                <w:u w:val="none"/>
                <w:lang w:val="en-US" w:eastAsia="zh-CN" w:bidi="ar"/>
              </w:rPr>
              <w:t>透水砖、路面砖</w:t>
            </w:r>
            <w:r>
              <w:rPr>
                <w:rFonts w:hint="eastAsia"/>
                <w:b/>
                <w:bCs/>
                <w:snapToGrid w:val="0"/>
                <w:kern w:val="0"/>
                <w:sz w:val="21"/>
                <w:szCs w:val="21"/>
              </w:rPr>
              <w:t>生产线</w:t>
            </w:r>
            <w:r>
              <w:rPr>
                <w:b/>
                <w:bCs/>
                <w:snapToGrid w:val="0"/>
                <w:kern w:val="0"/>
                <w:sz w:val="21"/>
                <w:szCs w:val="21"/>
              </w:rPr>
              <w:t>生产工艺流程及产污环节图</w:t>
            </w:r>
          </w:p>
          <w:p w14:paraId="495054A7">
            <w:pPr>
              <w:pStyle w:val="34"/>
              <w:numPr>
                <w:ilvl w:val="2"/>
                <w:numId w:val="0"/>
              </w:numPr>
              <w:ind w:firstLine="482" w:firstLineChars="200"/>
              <w:rPr>
                <w:color w:val="0000C7"/>
              </w:rPr>
            </w:pPr>
            <w:r>
              <w:t>工艺流程简介：</w:t>
            </w:r>
          </w:p>
          <w:p w14:paraId="5C5DFE3E">
            <w:pPr>
              <w:pStyle w:val="34"/>
              <w:numPr>
                <w:ilvl w:val="2"/>
                <w:numId w:val="0"/>
              </w:numPr>
              <w:ind w:firstLine="480" w:firstLineChars="200"/>
              <w:jc w:val="both"/>
              <w:rPr>
                <w:b w:val="0"/>
                <w:bCs/>
                <w:kern w:val="0"/>
                <w:lang w:bidi="ar"/>
              </w:rPr>
            </w:pPr>
            <w:r>
              <w:rPr>
                <w:rFonts w:hint="eastAsia"/>
                <w:b w:val="0"/>
                <w:bCs/>
                <w:kern w:val="0"/>
                <w:lang w:bidi="ar"/>
              </w:rPr>
              <w:t>将路沿石生产线、</w:t>
            </w:r>
            <w:r>
              <w:rPr>
                <w:rFonts w:hint="eastAsia"/>
                <w:b w:val="0"/>
                <w:bCs/>
                <w:kern w:val="0"/>
                <w:u w:val="none"/>
                <w:lang w:eastAsia="zh-CN" w:bidi="ar"/>
              </w:rPr>
              <w:t>墓碑</w:t>
            </w:r>
            <w:r>
              <w:rPr>
                <w:rFonts w:hint="eastAsia" w:ascii="Times New Roman" w:hAnsi="Times New Roman" w:eastAsia="宋体" w:cs="Times New Roman"/>
                <w:b w:val="0"/>
                <w:bCs/>
                <w:kern w:val="0"/>
                <w:sz w:val="24"/>
                <w:szCs w:val="24"/>
                <w:u w:val="none"/>
                <w:lang w:val="en-US" w:eastAsia="zh-CN" w:bidi="ar"/>
              </w:rPr>
              <w:t>及附属产品和其他板材</w:t>
            </w:r>
            <w:r>
              <w:rPr>
                <w:rFonts w:hint="eastAsia"/>
                <w:b w:val="0"/>
                <w:bCs/>
                <w:kern w:val="0"/>
                <w:lang w:bidi="ar"/>
              </w:rPr>
              <w:t>生产线产生的边角料投入破碎机中进行破碎，输送至筛选机进行筛分，筛下物可进入制砂，筛上物需进一步使用破碎机进行破碎后成粒径较小的石子才可使用。</w:t>
            </w:r>
            <w:r>
              <w:rPr>
                <w:rFonts w:hint="eastAsia"/>
                <w:b w:val="0"/>
                <w:bCs/>
                <w:kern w:val="0"/>
                <w:lang w:eastAsia="zh-CN" w:bidi="ar"/>
              </w:rPr>
              <w:t>破碎筛分</w:t>
            </w:r>
            <w:r>
              <w:rPr>
                <w:rFonts w:hint="eastAsia"/>
                <w:b w:val="0"/>
                <w:bCs/>
                <w:kern w:val="0"/>
                <w:szCs w:val="24"/>
                <w:lang w:bidi="ar"/>
              </w:rPr>
              <w:t>采用</w:t>
            </w:r>
            <w:r>
              <w:rPr>
                <w:rFonts w:hint="eastAsia"/>
                <w:b w:val="0"/>
                <w:bCs/>
                <w:snapToGrid/>
                <w:spacing w:val="0"/>
                <w:kern w:val="0"/>
                <w:sz w:val="24"/>
                <w:szCs w:val="24"/>
                <w:lang w:eastAsia="zh-CN" w:bidi="ar"/>
              </w:rPr>
              <w:t>干法作业</w:t>
            </w:r>
            <w:r>
              <w:rPr>
                <w:rFonts w:hint="eastAsia"/>
                <w:b w:val="0"/>
                <w:bCs/>
                <w:kern w:val="0"/>
                <w:szCs w:val="24"/>
                <w:lang w:bidi="ar"/>
              </w:rPr>
              <w:t>的生产工艺，</w:t>
            </w:r>
            <w:r>
              <w:rPr>
                <w:rFonts w:hint="eastAsia"/>
                <w:b w:val="0"/>
                <w:bCs/>
                <w:kern w:val="0"/>
                <w:szCs w:val="24"/>
                <w:lang w:eastAsia="zh-CN" w:bidi="ar"/>
              </w:rPr>
              <w:t>采取喷淋降尘</w:t>
            </w:r>
            <w:r>
              <w:rPr>
                <w:rFonts w:hint="eastAsia"/>
                <w:b w:val="0"/>
                <w:bCs/>
                <w:kern w:val="0"/>
                <w:szCs w:val="24"/>
                <w:lang w:bidi="ar"/>
              </w:rPr>
              <w:t>，同时</w:t>
            </w:r>
            <w:r>
              <w:rPr>
                <w:rFonts w:hint="eastAsia"/>
                <w:b w:val="0"/>
                <w:bCs/>
                <w:kern w:val="0"/>
                <w:szCs w:val="24"/>
                <w:lang w:eastAsia="zh-CN" w:bidi="ar"/>
              </w:rPr>
              <w:t>采用密闭生产工序，</w:t>
            </w:r>
            <w:r>
              <w:rPr>
                <w:rFonts w:hint="eastAsia"/>
                <w:b w:val="0"/>
                <w:bCs/>
                <w:kern w:val="0"/>
                <w:lang w:bidi="ar"/>
              </w:rPr>
              <w:t>砂通过密闭皮带输送至搅拌机，同时加入水泥和水，制作成为底料。</w:t>
            </w:r>
          </w:p>
          <w:p w14:paraId="73D38388">
            <w:pPr>
              <w:pStyle w:val="34"/>
              <w:numPr>
                <w:ilvl w:val="2"/>
                <w:numId w:val="0"/>
              </w:numPr>
              <w:ind w:firstLine="480" w:firstLineChars="200"/>
              <w:jc w:val="both"/>
              <w:rPr>
                <w:b w:val="0"/>
                <w:bCs/>
                <w:kern w:val="0"/>
                <w:lang w:bidi="ar"/>
              </w:rPr>
            </w:pPr>
            <w:r>
              <w:rPr>
                <w:rFonts w:hint="eastAsia"/>
                <w:b w:val="0"/>
                <w:bCs/>
                <w:kern w:val="0"/>
                <w:lang w:bidi="ar"/>
              </w:rPr>
              <w:t>面料配置过程需加入</w:t>
            </w:r>
            <w:r>
              <w:rPr>
                <w:rFonts w:hint="eastAsia"/>
                <w:b w:val="0"/>
                <w:bCs w:val="0"/>
                <w:kern w:val="0"/>
                <w:lang w:bidi="ar"/>
              </w:rPr>
              <w:t>外购石粉（粒径极小）</w:t>
            </w:r>
            <w:r>
              <w:rPr>
                <w:rFonts w:hint="eastAsia"/>
                <w:b w:val="0"/>
                <w:bCs/>
                <w:kern w:val="0"/>
                <w:lang w:bidi="ar"/>
              </w:rPr>
              <w:t>、颜料、水泥和水，生产过程会用到3种颜色的</w:t>
            </w:r>
            <w:r>
              <w:rPr>
                <w:rFonts w:hint="eastAsia" w:ascii="Times New Roman" w:hAnsi="Times New Roman" w:eastAsia="宋体" w:cs="Times New Roman"/>
                <w:b w:val="0"/>
                <w:bCs/>
                <w:sz w:val="24"/>
                <w:szCs w:val="24"/>
                <w:lang w:eastAsia="zh-CN"/>
              </w:rPr>
              <w:t>无机颜料</w:t>
            </w:r>
            <w:r>
              <w:rPr>
                <w:rFonts w:hint="eastAsia"/>
                <w:b w:val="0"/>
                <w:bCs/>
                <w:kern w:val="0"/>
                <w:lang w:bidi="ar"/>
              </w:rPr>
              <w:t>，</w:t>
            </w:r>
            <w:r>
              <w:rPr>
                <w:rFonts w:hint="eastAsia" w:ascii="Times New Roman" w:hAnsi="Times New Roman" w:eastAsia="宋体" w:cs="Times New Roman"/>
                <w:b w:val="0"/>
                <w:bCs/>
                <w:sz w:val="24"/>
                <w:szCs w:val="24"/>
                <w:lang w:eastAsia="zh-CN"/>
              </w:rPr>
              <w:t>无机颜料</w:t>
            </w:r>
            <w:r>
              <w:rPr>
                <w:rFonts w:hint="eastAsia"/>
                <w:b w:val="0"/>
                <w:bCs/>
                <w:kern w:val="0"/>
                <w:lang w:bidi="ar"/>
              </w:rPr>
              <w:t>为三环，生产过程中不会产生废气，每一次更换颜料时将颜色搅拌机中的颜料用小铲子刮干净后回用于生产，无需清洗颜</w:t>
            </w:r>
            <w:r>
              <w:rPr>
                <w:rFonts w:hint="eastAsia"/>
                <w:b w:val="0"/>
                <w:bCs/>
                <w:kern w:val="0"/>
                <w:lang w:val="en-US" w:eastAsia="zh-CN" w:bidi="ar"/>
              </w:rPr>
              <w:t>料</w:t>
            </w:r>
            <w:r>
              <w:rPr>
                <w:rFonts w:hint="eastAsia"/>
                <w:b w:val="0"/>
                <w:bCs/>
                <w:kern w:val="0"/>
                <w:lang w:bidi="ar"/>
              </w:rPr>
              <w:t>搅拌机，故无废水产生。</w:t>
            </w:r>
          </w:p>
          <w:p w14:paraId="548EDEDE">
            <w:pPr>
              <w:pStyle w:val="34"/>
              <w:numPr>
                <w:ilvl w:val="2"/>
                <w:numId w:val="0"/>
              </w:numPr>
              <w:ind w:firstLine="480" w:firstLineChars="200"/>
              <w:jc w:val="both"/>
              <w:rPr>
                <w:color w:val="0000C7"/>
              </w:rPr>
            </w:pPr>
            <w:r>
              <w:rPr>
                <w:rFonts w:hint="eastAsia"/>
                <w:b w:val="0"/>
                <w:bCs/>
                <w:kern w:val="0"/>
                <w:lang w:bidi="ar"/>
              </w:rPr>
              <w:t>将搅拌好的面料和底料投入自动砌块成型机中，压头下压并同时启动快速成型后出砖，整个生产过程用控制系统全自动控制。砖经浸泡池浸泡1小时后放置于</w:t>
            </w:r>
            <w:r>
              <w:rPr>
                <w:rFonts w:hint="eastAsia"/>
                <w:b w:val="0"/>
                <w:bCs/>
                <w:kern w:val="0"/>
                <w:lang w:val="en-US" w:eastAsia="zh-CN" w:bidi="ar"/>
              </w:rPr>
              <w:t>2#厂房内</w:t>
            </w:r>
            <w:r>
              <w:rPr>
                <w:rFonts w:hint="eastAsia"/>
                <w:b w:val="0"/>
                <w:bCs/>
                <w:kern w:val="0"/>
                <w:lang w:bidi="ar"/>
              </w:rPr>
              <w:t>晾干后为成品砖,夏季放置12小时，冬季放置24小时，</w:t>
            </w:r>
            <w:r>
              <w:rPr>
                <w:rFonts w:hint="eastAsia"/>
                <w:b w:val="0"/>
                <w:bCs/>
                <w:kern w:val="0"/>
                <w:lang w:eastAsia="zh-CN" w:bidi="ar"/>
              </w:rPr>
              <w:t>夏季</w:t>
            </w:r>
            <w:r>
              <w:rPr>
                <w:rFonts w:hint="eastAsia"/>
                <w:b w:val="0"/>
                <w:bCs/>
                <w:kern w:val="0"/>
                <w:lang w:bidi="ar"/>
              </w:rPr>
              <w:t>晾干期需洒水</w:t>
            </w:r>
            <w:r>
              <w:rPr>
                <w:rFonts w:hint="eastAsia"/>
                <w:b w:val="0"/>
                <w:bCs/>
                <w:kern w:val="0"/>
                <w:lang w:eastAsia="zh-CN" w:bidi="ar"/>
              </w:rPr>
              <w:t>进行养护，用水</w:t>
            </w:r>
            <w:r>
              <w:rPr>
                <w:rFonts w:hint="eastAsia" w:ascii="Times New Roman"/>
                <w:b w:val="0"/>
                <w:bCs/>
                <w:kern w:val="0"/>
                <w:szCs w:val="24"/>
                <w:lang w:bidi="ar"/>
              </w:rPr>
              <w:t>作为原料进入产品中后晾干蒸发，不外排</w:t>
            </w:r>
            <w:r>
              <w:rPr>
                <w:rFonts w:hint="eastAsia"/>
                <w:b w:val="0"/>
                <w:bCs/>
                <w:kern w:val="0"/>
                <w:lang w:bidi="ar"/>
              </w:rPr>
              <w:t>。</w:t>
            </w:r>
          </w:p>
          <w:p w14:paraId="69062668">
            <w:pPr>
              <w:adjustRightInd w:val="0"/>
              <w:snapToGrid w:val="0"/>
              <w:ind w:firstLine="478" w:firstLineChars="200"/>
              <w:rPr>
                <w:b/>
                <w:spacing w:val="-1"/>
              </w:rPr>
            </w:pPr>
            <w:r>
              <w:rPr>
                <w:rFonts w:hint="eastAsia"/>
                <w:b/>
                <w:spacing w:val="-1"/>
              </w:rPr>
              <w:t>（4）物料平衡</w:t>
            </w:r>
          </w:p>
          <w:p w14:paraId="0B0A115F">
            <w:pPr>
              <w:adjustRightInd w:val="0"/>
              <w:snapToGrid w:val="0"/>
              <w:ind w:firstLine="480" w:firstLineChars="200"/>
            </w:pPr>
            <w:r>
              <w:rPr>
                <w:rFonts w:hint="eastAsia"/>
              </w:rPr>
              <w:t>项目物料平衡见下表。</w:t>
            </w:r>
          </w:p>
          <w:p w14:paraId="6500F9EA">
            <w:pPr>
              <w:adjustRightInd w:val="0"/>
              <w:snapToGrid w:val="0"/>
              <w:spacing w:line="240" w:lineRule="auto"/>
              <w:ind w:firstLine="438" w:firstLineChars="200"/>
              <w:jc w:val="center"/>
              <w:rPr>
                <w:b/>
                <w:bCs/>
                <w:snapToGrid w:val="0"/>
                <w:spacing w:val="4"/>
                <w:kern w:val="0"/>
                <w:sz w:val="21"/>
                <w:szCs w:val="18"/>
                <w:highlight w:val="none"/>
                <w:u w:val="single"/>
              </w:rPr>
            </w:pPr>
            <w:r>
              <w:rPr>
                <w:rFonts w:hint="eastAsia"/>
                <w:b/>
                <w:bCs/>
                <w:snapToGrid w:val="0"/>
                <w:spacing w:val="4"/>
                <w:kern w:val="0"/>
                <w:sz w:val="21"/>
                <w:szCs w:val="18"/>
                <w:highlight w:val="none"/>
                <w:u w:val="single"/>
              </w:rPr>
              <w:t>表2-</w:t>
            </w:r>
            <w:r>
              <w:rPr>
                <w:rFonts w:hint="eastAsia"/>
                <w:b/>
                <w:bCs/>
                <w:snapToGrid w:val="0"/>
                <w:spacing w:val="4"/>
                <w:kern w:val="0"/>
                <w:sz w:val="21"/>
                <w:szCs w:val="18"/>
                <w:highlight w:val="none"/>
                <w:u w:val="single"/>
                <w:lang w:val="en-US" w:eastAsia="zh-CN"/>
              </w:rPr>
              <w:t>8</w:t>
            </w:r>
            <w:r>
              <w:rPr>
                <w:rFonts w:hint="eastAsia"/>
                <w:b/>
                <w:bCs/>
                <w:snapToGrid w:val="0"/>
                <w:spacing w:val="4"/>
                <w:kern w:val="0"/>
                <w:sz w:val="21"/>
                <w:szCs w:val="18"/>
                <w:highlight w:val="none"/>
                <w:u w:val="single"/>
              </w:rPr>
              <w:t xml:space="preserve">   项目</w:t>
            </w:r>
            <w:r>
              <w:rPr>
                <w:rFonts w:hint="eastAsia"/>
                <w:b w:val="0"/>
                <w:bCs/>
                <w:kern w:val="0"/>
                <w:highlight w:val="none"/>
                <w:u w:val="single"/>
                <w:lang w:eastAsia="zh-CN" w:bidi="ar"/>
              </w:rPr>
              <w:t>墓碑</w:t>
            </w:r>
            <w:r>
              <w:rPr>
                <w:rFonts w:hint="eastAsia" w:ascii="Times New Roman" w:hAnsi="Times New Roman" w:eastAsia="宋体" w:cs="Times New Roman"/>
                <w:b w:val="0"/>
                <w:bCs/>
                <w:kern w:val="0"/>
                <w:sz w:val="24"/>
                <w:szCs w:val="24"/>
                <w:highlight w:val="none"/>
                <w:u w:val="single"/>
                <w:lang w:val="en-US" w:eastAsia="zh-CN" w:bidi="ar"/>
              </w:rPr>
              <w:t>及附属产品和其他板材</w:t>
            </w:r>
            <w:r>
              <w:rPr>
                <w:b/>
                <w:bCs/>
                <w:snapToGrid w:val="0"/>
                <w:spacing w:val="4"/>
                <w:kern w:val="0"/>
                <w:sz w:val="21"/>
                <w:szCs w:val="18"/>
                <w:highlight w:val="none"/>
                <w:u w:val="single"/>
              </w:rPr>
              <w:t>生产线</w:t>
            </w:r>
            <w:r>
              <w:rPr>
                <w:rFonts w:hint="eastAsia"/>
                <w:b/>
                <w:bCs/>
                <w:snapToGrid w:val="0"/>
                <w:spacing w:val="4"/>
                <w:kern w:val="0"/>
                <w:sz w:val="21"/>
                <w:szCs w:val="18"/>
                <w:highlight w:val="none"/>
                <w:u w:val="single"/>
              </w:rPr>
              <w:t>物料平衡表  单位： （t/a）</w:t>
            </w:r>
          </w:p>
          <w:tbl>
            <w:tblPr>
              <w:tblStyle w:val="24"/>
              <w:tblW w:w="837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22"/>
              <w:gridCol w:w="1768"/>
              <w:gridCol w:w="826"/>
              <w:gridCol w:w="1939"/>
              <w:gridCol w:w="1721"/>
            </w:tblGrid>
            <w:tr w14:paraId="326D65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gridSpan w:val="2"/>
                  <w:tcBorders>
                    <w:top w:val="single" w:color="auto" w:sz="4" w:space="0"/>
                    <w:left w:val="single" w:color="auto" w:sz="4" w:space="0"/>
                    <w:bottom w:val="single" w:color="auto" w:sz="6" w:space="0"/>
                    <w:right w:val="single" w:color="auto" w:sz="6" w:space="0"/>
                  </w:tcBorders>
                  <w:vAlign w:val="center"/>
                </w:tcPr>
                <w:p w14:paraId="55EAB747">
                  <w:pPr>
                    <w:widowControl/>
                    <w:spacing w:line="240" w:lineRule="auto"/>
                    <w:jc w:val="center"/>
                    <w:rPr>
                      <w:b/>
                      <w:sz w:val="21"/>
                      <w:szCs w:val="21"/>
                      <w:highlight w:val="none"/>
                      <w:u w:val="single"/>
                    </w:rPr>
                  </w:pPr>
                  <w:r>
                    <w:rPr>
                      <w:rFonts w:hAnsi="宋体"/>
                      <w:b/>
                      <w:sz w:val="21"/>
                      <w:szCs w:val="21"/>
                      <w:highlight w:val="none"/>
                      <w:u w:val="single"/>
                    </w:rPr>
                    <w:t>投入</w:t>
                  </w:r>
                </w:p>
              </w:tc>
              <w:tc>
                <w:tcPr>
                  <w:tcW w:w="2677" w:type="pct"/>
                  <w:gridSpan w:val="3"/>
                  <w:tcBorders>
                    <w:top w:val="single" w:color="auto" w:sz="4" w:space="0"/>
                    <w:left w:val="single" w:color="auto" w:sz="6" w:space="0"/>
                    <w:bottom w:val="single" w:color="auto" w:sz="6" w:space="0"/>
                    <w:right w:val="single" w:color="auto" w:sz="4" w:space="0"/>
                  </w:tcBorders>
                  <w:vAlign w:val="center"/>
                </w:tcPr>
                <w:p w14:paraId="683D3E82">
                  <w:pPr>
                    <w:widowControl/>
                    <w:spacing w:line="240" w:lineRule="auto"/>
                    <w:jc w:val="center"/>
                    <w:rPr>
                      <w:b/>
                      <w:sz w:val="21"/>
                      <w:szCs w:val="21"/>
                      <w:highlight w:val="none"/>
                      <w:u w:val="single"/>
                    </w:rPr>
                  </w:pPr>
                  <w:r>
                    <w:rPr>
                      <w:rFonts w:hAnsi="宋体"/>
                      <w:b/>
                      <w:sz w:val="21"/>
                      <w:szCs w:val="21"/>
                      <w:highlight w:val="none"/>
                      <w:u w:val="single"/>
                    </w:rPr>
                    <w:t>产出</w:t>
                  </w:r>
                </w:p>
              </w:tc>
            </w:tr>
            <w:tr w14:paraId="31C406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7" w:type="pct"/>
                  <w:tcBorders>
                    <w:top w:val="single" w:color="auto" w:sz="6" w:space="0"/>
                    <w:left w:val="single" w:color="auto" w:sz="4" w:space="0"/>
                    <w:bottom w:val="single" w:color="auto" w:sz="6" w:space="0"/>
                    <w:right w:val="single" w:color="auto" w:sz="6" w:space="0"/>
                  </w:tcBorders>
                  <w:vAlign w:val="center"/>
                </w:tcPr>
                <w:p w14:paraId="5E1CCE27">
                  <w:pPr>
                    <w:widowControl/>
                    <w:spacing w:line="240" w:lineRule="auto"/>
                    <w:jc w:val="center"/>
                    <w:rPr>
                      <w:b/>
                      <w:sz w:val="21"/>
                      <w:szCs w:val="21"/>
                      <w:highlight w:val="none"/>
                      <w:u w:val="single"/>
                    </w:rPr>
                  </w:pPr>
                  <w:r>
                    <w:rPr>
                      <w:rFonts w:hAnsi="宋体"/>
                      <w:b/>
                      <w:sz w:val="21"/>
                      <w:szCs w:val="21"/>
                      <w:highlight w:val="none"/>
                      <w:u w:val="single"/>
                    </w:rPr>
                    <w:t>名称</w:t>
                  </w:r>
                </w:p>
              </w:tc>
              <w:tc>
                <w:tcPr>
                  <w:tcW w:w="1054" w:type="pct"/>
                  <w:tcBorders>
                    <w:top w:val="single" w:color="auto" w:sz="6" w:space="0"/>
                    <w:left w:val="single" w:color="auto" w:sz="6" w:space="0"/>
                    <w:bottom w:val="single" w:color="auto" w:sz="6" w:space="0"/>
                    <w:right w:val="single" w:color="auto" w:sz="6" w:space="0"/>
                  </w:tcBorders>
                  <w:vAlign w:val="center"/>
                </w:tcPr>
                <w:p w14:paraId="75FB66DD">
                  <w:pPr>
                    <w:widowControl/>
                    <w:spacing w:line="240" w:lineRule="auto"/>
                    <w:jc w:val="center"/>
                    <w:rPr>
                      <w:b/>
                      <w:sz w:val="21"/>
                      <w:szCs w:val="21"/>
                      <w:highlight w:val="none"/>
                      <w:u w:val="single"/>
                    </w:rPr>
                  </w:pPr>
                  <w:r>
                    <w:rPr>
                      <w:rFonts w:hAnsi="宋体"/>
                      <w:b/>
                      <w:sz w:val="21"/>
                      <w:szCs w:val="21"/>
                      <w:highlight w:val="none"/>
                      <w:u w:val="single"/>
                    </w:rPr>
                    <w:t>数量</w:t>
                  </w:r>
                </w:p>
              </w:tc>
              <w:tc>
                <w:tcPr>
                  <w:tcW w:w="1650" w:type="pct"/>
                  <w:gridSpan w:val="2"/>
                  <w:tcBorders>
                    <w:top w:val="single" w:color="auto" w:sz="6" w:space="0"/>
                    <w:left w:val="single" w:color="auto" w:sz="6" w:space="0"/>
                    <w:bottom w:val="single" w:color="auto" w:sz="6" w:space="0"/>
                    <w:right w:val="single" w:color="auto" w:sz="6" w:space="0"/>
                  </w:tcBorders>
                  <w:vAlign w:val="center"/>
                </w:tcPr>
                <w:p w14:paraId="7236D710">
                  <w:pPr>
                    <w:widowControl/>
                    <w:spacing w:line="240" w:lineRule="auto"/>
                    <w:jc w:val="center"/>
                    <w:rPr>
                      <w:b/>
                      <w:sz w:val="21"/>
                      <w:szCs w:val="21"/>
                      <w:highlight w:val="none"/>
                      <w:u w:val="single"/>
                    </w:rPr>
                  </w:pPr>
                  <w:r>
                    <w:rPr>
                      <w:rFonts w:hAnsi="宋体"/>
                      <w:b/>
                      <w:sz w:val="21"/>
                      <w:szCs w:val="21"/>
                      <w:highlight w:val="none"/>
                      <w:u w:val="single"/>
                    </w:rPr>
                    <w:t>名称</w:t>
                  </w:r>
                </w:p>
              </w:tc>
              <w:tc>
                <w:tcPr>
                  <w:tcW w:w="1027" w:type="pct"/>
                  <w:tcBorders>
                    <w:top w:val="single" w:color="auto" w:sz="6" w:space="0"/>
                    <w:left w:val="single" w:color="auto" w:sz="6" w:space="0"/>
                    <w:bottom w:val="single" w:color="auto" w:sz="6" w:space="0"/>
                    <w:right w:val="single" w:color="auto" w:sz="4" w:space="0"/>
                  </w:tcBorders>
                  <w:vAlign w:val="center"/>
                </w:tcPr>
                <w:p w14:paraId="382CE04D">
                  <w:pPr>
                    <w:widowControl/>
                    <w:spacing w:line="240" w:lineRule="auto"/>
                    <w:jc w:val="center"/>
                    <w:rPr>
                      <w:b/>
                      <w:sz w:val="21"/>
                      <w:szCs w:val="21"/>
                      <w:highlight w:val="none"/>
                      <w:u w:val="single"/>
                    </w:rPr>
                  </w:pPr>
                  <w:r>
                    <w:rPr>
                      <w:rFonts w:hAnsi="宋体"/>
                      <w:b/>
                      <w:sz w:val="21"/>
                      <w:szCs w:val="21"/>
                      <w:highlight w:val="none"/>
                      <w:u w:val="single"/>
                    </w:rPr>
                    <w:t>数量</w:t>
                  </w:r>
                </w:p>
              </w:tc>
            </w:tr>
            <w:tr w14:paraId="5076BF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1267" w:type="pct"/>
                  <w:tcBorders>
                    <w:top w:val="single" w:color="auto" w:sz="6" w:space="0"/>
                    <w:left w:val="single" w:color="auto" w:sz="4" w:space="0"/>
                    <w:right w:val="single" w:color="auto" w:sz="6" w:space="0"/>
                  </w:tcBorders>
                  <w:vAlign w:val="center"/>
                </w:tcPr>
                <w:p w14:paraId="64A5A60B">
                  <w:pPr>
                    <w:widowControl/>
                    <w:spacing w:line="240" w:lineRule="auto"/>
                    <w:jc w:val="center"/>
                    <w:rPr>
                      <w:sz w:val="21"/>
                      <w:szCs w:val="21"/>
                      <w:highlight w:val="none"/>
                      <w:u w:val="single"/>
                    </w:rPr>
                  </w:pPr>
                  <w:r>
                    <w:rPr>
                      <w:rFonts w:hint="eastAsia"/>
                      <w:sz w:val="21"/>
                      <w:szCs w:val="21"/>
                      <w:highlight w:val="none"/>
                      <w:u w:val="single"/>
                    </w:rPr>
                    <w:t>青石</w:t>
                  </w:r>
                </w:p>
              </w:tc>
              <w:tc>
                <w:tcPr>
                  <w:tcW w:w="1054" w:type="pct"/>
                  <w:tcBorders>
                    <w:top w:val="single" w:color="auto" w:sz="6" w:space="0"/>
                    <w:left w:val="single" w:color="auto" w:sz="6" w:space="0"/>
                    <w:bottom w:val="single" w:color="auto" w:sz="6" w:space="0"/>
                    <w:right w:val="single" w:color="auto" w:sz="6" w:space="0"/>
                  </w:tcBorders>
                  <w:vAlign w:val="center"/>
                </w:tcPr>
                <w:p w14:paraId="00D498D2">
                  <w:pPr>
                    <w:widowControl/>
                    <w:spacing w:line="240" w:lineRule="auto"/>
                    <w:jc w:val="center"/>
                    <w:rPr>
                      <w:rFonts w:hint="default" w:eastAsia="宋体"/>
                      <w:sz w:val="21"/>
                      <w:szCs w:val="21"/>
                      <w:highlight w:val="none"/>
                      <w:u w:val="single"/>
                      <w:lang w:val="en-US" w:eastAsia="zh-CN"/>
                    </w:rPr>
                  </w:pPr>
                  <w:r>
                    <w:rPr>
                      <w:rFonts w:hint="eastAsia"/>
                      <w:sz w:val="21"/>
                      <w:szCs w:val="21"/>
                      <w:highlight w:val="none"/>
                      <w:u w:val="single"/>
                    </w:rPr>
                    <w:t>1572.</w:t>
                  </w:r>
                  <w:r>
                    <w:rPr>
                      <w:rFonts w:hint="eastAsia"/>
                      <w:sz w:val="21"/>
                      <w:szCs w:val="21"/>
                      <w:highlight w:val="none"/>
                      <w:u w:val="single"/>
                      <w:lang w:val="en-US" w:eastAsia="zh-CN"/>
                    </w:rPr>
                    <w:t>73</w:t>
                  </w:r>
                </w:p>
              </w:tc>
              <w:tc>
                <w:tcPr>
                  <w:tcW w:w="493" w:type="pct"/>
                  <w:tcBorders>
                    <w:top w:val="single" w:color="auto" w:sz="6" w:space="0"/>
                    <w:left w:val="single" w:color="auto" w:sz="6" w:space="0"/>
                    <w:right w:val="single" w:color="auto" w:sz="6" w:space="0"/>
                  </w:tcBorders>
                  <w:vAlign w:val="center"/>
                </w:tcPr>
                <w:p w14:paraId="2B776B37">
                  <w:pPr>
                    <w:widowControl/>
                    <w:spacing w:line="240" w:lineRule="auto"/>
                    <w:jc w:val="center"/>
                    <w:rPr>
                      <w:sz w:val="21"/>
                      <w:szCs w:val="21"/>
                      <w:highlight w:val="none"/>
                      <w:u w:val="single"/>
                    </w:rPr>
                  </w:pPr>
                  <w:r>
                    <w:rPr>
                      <w:rFonts w:hint="eastAsia"/>
                      <w:sz w:val="21"/>
                      <w:szCs w:val="21"/>
                      <w:highlight w:val="none"/>
                      <w:u w:val="single"/>
                    </w:rPr>
                    <w:t>产品</w:t>
                  </w:r>
                </w:p>
              </w:tc>
              <w:tc>
                <w:tcPr>
                  <w:tcW w:w="1157" w:type="pct"/>
                  <w:tcBorders>
                    <w:top w:val="single" w:color="auto" w:sz="6" w:space="0"/>
                    <w:left w:val="single" w:color="auto" w:sz="6" w:space="0"/>
                    <w:right w:val="single" w:color="auto" w:sz="6" w:space="0"/>
                  </w:tcBorders>
                  <w:vAlign w:val="center"/>
                </w:tcPr>
                <w:p w14:paraId="1C29B41E">
                  <w:pPr>
                    <w:widowControl/>
                    <w:spacing w:line="240" w:lineRule="auto"/>
                    <w:jc w:val="center"/>
                    <w:rPr>
                      <w:sz w:val="21"/>
                      <w:szCs w:val="21"/>
                      <w:highlight w:val="none"/>
                      <w:u w:val="single"/>
                    </w:rPr>
                  </w:pPr>
                  <w:r>
                    <w:rPr>
                      <w:rFonts w:hint="eastAsia"/>
                      <w:sz w:val="21"/>
                      <w:szCs w:val="21"/>
                      <w:highlight w:val="none"/>
                      <w:u w:val="single"/>
                    </w:rPr>
                    <w:t>墓碑及其附属产品</w:t>
                  </w:r>
                </w:p>
              </w:tc>
              <w:tc>
                <w:tcPr>
                  <w:tcW w:w="1027" w:type="pct"/>
                  <w:tcBorders>
                    <w:top w:val="single" w:color="auto" w:sz="6" w:space="0"/>
                    <w:left w:val="single" w:color="auto" w:sz="6" w:space="0"/>
                    <w:right w:val="single" w:color="auto" w:sz="4" w:space="0"/>
                  </w:tcBorders>
                  <w:vAlign w:val="center"/>
                </w:tcPr>
                <w:p w14:paraId="27DD53D8">
                  <w:pPr>
                    <w:widowControl/>
                    <w:spacing w:line="240" w:lineRule="auto"/>
                    <w:jc w:val="center"/>
                    <w:rPr>
                      <w:rFonts w:hint="default" w:eastAsia="宋体"/>
                      <w:sz w:val="21"/>
                      <w:szCs w:val="21"/>
                      <w:highlight w:val="none"/>
                      <w:u w:val="single"/>
                      <w:lang w:val="en-US" w:eastAsia="zh-CN"/>
                    </w:rPr>
                  </w:pPr>
                  <w:r>
                    <w:rPr>
                      <w:rFonts w:hint="eastAsia"/>
                      <w:sz w:val="21"/>
                      <w:szCs w:val="21"/>
                      <w:highlight w:val="none"/>
                      <w:u w:val="single"/>
                      <w:lang w:val="en-US" w:eastAsia="zh-CN"/>
                    </w:rPr>
                    <w:t>655</w:t>
                  </w:r>
                </w:p>
              </w:tc>
            </w:tr>
            <w:tr w14:paraId="1635E4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1267" w:type="pct"/>
                  <w:tcBorders>
                    <w:top w:val="single" w:color="auto" w:sz="6" w:space="0"/>
                    <w:left w:val="single" w:color="auto" w:sz="4" w:space="0"/>
                    <w:right w:val="single" w:color="auto" w:sz="6" w:space="0"/>
                  </w:tcBorders>
                  <w:vAlign w:val="center"/>
                </w:tcPr>
                <w:p w14:paraId="55C0669D">
                  <w:pPr>
                    <w:widowControl/>
                    <w:spacing w:line="240" w:lineRule="auto"/>
                    <w:jc w:val="center"/>
                    <w:rPr>
                      <w:rFonts w:hint="eastAsia" w:ascii="Times New Roman" w:hAnsi="Times New Roman" w:eastAsia="宋体" w:cs="Times New Roman"/>
                      <w:kern w:val="2"/>
                      <w:sz w:val="21"/>
                      <w:szCs w:val="21"/>
                      <w:highlight w:val="none"/>
                      <w:u w:val="single"/>
                      <w:lang w:val="en-US" w:eastAsia="zh-CN" w:bidi="ar-SA"/>
                    </w:rPr>
                  </w:pPr>
                  <w:r>
                    <w:rPr>
                      <w:rFonts w:hint="eastAsia" w:hAnsi="宋体"/>
                      <w:sz w:val="21"/>
                      <w:szCs w:val="21"/>
                      <w:highlight w:val="none"/>
                      <w:u w:val="single"/>
                      <w:lang w:eastAsia="zh-CN"/>
                    </w:rPr>
                    <w:t>石材蜡</w:t>
                  </w:r>
                </w:p>
              </w:tc>
              <w:tc>
                <w:tcPr>
                  <w:tcW w:w="1054" w:type="pct"/>
                  <w:tcBorders>
                    <w:top w:val="single" w:color="auto" w:sz="6" w:space="0"/>
                    <w:left w:val="single" w:color="auto" w:sz="6" w:space="0"/>
                    <w:bottom w:val="single" w:color="auto" w:sz="6" w:space="0"/>
                    <w:right w:val="single" w:color="auto" w:sz="6" w:space="0"/>
                  </w:tcBorders>
                  <w:vAlign w:val="center"/>
                </w:tcPr>
                <w:p w14:paraId="3C8C21C4">
                  <w:pPr>
                    <w:widowControl/>
                    <w:spacing w:line="240" w:lineRule="auto"/>
                    <w:jc w:val="center"/>
                    <w:rPr>
                      <w:rFonts w:hint="eastAsia" w:ascii="Times New Roman" w:hAnsi="Times New Roman" w:eastAsia="宋体" w:cs="Times New Roman"/>
                      <w:kern w:val="2"/>
                      <w:sz w:val="21"/>
                      <w:szCs w:val="21"/>
                      <w:highlight w:val="none"/>
                      <w:u w:val="single"/>
                      <w:lang w:val="en-US" w:eastAsia="zh-CN" w:bidi="ar-SA"/>
                    </w:rPr>
                  </w:pPr>
                  <w:r>
                    <w:rPr>
                      <w:rFonts w:hint="eastAsia" w:hAnsi="宋体"/>
                      <w:sz w:val="21"/>
                      <w:szCs w:val="21"/>
                      <w:highlight w:val="none"/>
                      <w:u w:val="single"/>
                      <w:lang w:val="en-US" w:eastAsia="zh-CN"/>
                    </w:rPr>
                    <w:t>0.009</w:t>
                  </w:r>
                </w:p>
              </w:tc>
              <w:tc>
                <w:tcPr>
                  <w:tcW w:w="493" w:type="pct"/>
                  <w:tcBorders>
                    <w:top w:val="single" w:color="auto" w:sz="6" w:space="0"/>
                    <w:left w:val="single" w:color="auto" w:sz="6" w:space="0"/>
                    <w:right w:val="single" w:color="auto" w:sz="6" w:space="0"/>
                  </w:tcBorders>
                  <w:vAlign w:val="center"/>
                </w:tcPr>
                <w:p w14:paraId="1D2DD814">
                  <w:pPr>
                    <w:widowControl/>
                    <w:spacing w:line="240" w:lineRule="auto"/>
                    <w:jc w:val="center"/>
                    <w:rPr>
                      <w:rFonts w:hint="eastAsia" w:eastAsia="宋体"/>
                      <w:sz w:val="21"/>
                      <w:szCs w:val="21"/>
                      <w:highlight w:val="none"/>
                      <w:u w:val="single"/>
                      <w:lang w:eastAsia="zh-CN"/>
                    </w:rPr>
                  </w:pPr>
                  <w:r>
                    <w:rPr>
                      <w:rFonts w:hint="eastAsia"/>
                      <w:sz w:val="21"/>
                      <w:szCs w:val="21"/>
                      <w:highlight w:val="none"/>
                      <w:u w:val="single"/>
                      <w:lang w:eastAsia="zh-CN"/>
                    </w:rPr>
                    <w:t>产品</w:t>
                  </w:r>
                </w:p>
              </w:tc>
              <w:tc>
                <w:tcPr>
                  <w:tcW w:w="1157" w:type="pct"/>
                  <w:tcBorders>
                    <w:top w:val="single" w:color="auto" w:sz="6" w:space="0"/>
                    <w:left w:val="single" w:color="auto" w:sz="6" w:space="0"/>
                    <w:right w:val="single" w:color="auto" w:sz="6" w:space="0"/>
                  </w:tcBorders>
                  <w:vAlign w:val="center"/>
                </w:tcPr>
                <w:p w14:paraId="7493E1F4">
                  <w:pPr>
                    <w:widowControl/>
                    <w:spacing w:line="240" w:lineRule="auto"/>
                    <w:jc w:val="center"/>
                    <w:rPr>
                      <w:rFonts w:hint="eastAsia" w:eastAsia="宋体"/>
                      <w:sz w:val="21"/>
                      <w:szCs w:val="21"/>
                      <w:highlight w:val="none"/>
                      <w:u w:val="single"/>
                      <w:lang w:eastAsia="zh-CN"/>
                    </w:rPr>
                  </w:pPr>
                  <w:r>
                    <w:rPr>
                      <w:rFonts w:hint="eastAsia"/>
                      <w:sz w:val="21"/>
                      <w:szCs w:val="21"/>
                      <w:highlight w:val="none"/>
                      <w:u w:val="single"/>
                      <w:lang w:eastAsia="zh-CN"/>
                    </w:rPr>
                    <w:t>其他板材</w:t>
                  </w:r>
                </w:p>
              </w:tc>
              <w:tc>
                <w:tcPr>
                  <w:tcW w:w="1027" w:type="pct"/>
                  <w:tcBorders>
                    <w:top w:val="single" w:color="auto" w:sz="6" w:space="0"/>
                    <w:left w:val="single" w:color="auto" w:sz="6" w:space="0"/>
                    <w:right w:val="single" w:color="auto" w:sz="4" w:space="0"/>
                  </w:tcBorders>
                  <w:vAlign w:val="center"/>
                </w:tcPr>
                <w:p w14:paraId="2D1149D4">
                  <w:pPr>
                    <w:widowControl/>
                    <w:spacing w:line="240" w:lineRule="auto"/>
                    <w:jc w:val="center"/>
                    <w:rPr>
                      <w:rFonts w:hint="default" w:eastAsia="宋体"/>
                      <w:sz w:val="21"/>
                      <w:szCs w:val="21"/>
                      <w:highlight w:val="none"/>
                      <w:u w:val="single"/>
                      <w:lang w:val="en-US" w:eastAsia="zh-CN"/>
                    </w:rPr>
                  </w:pPr>
                  <w:r>
                    <w:rPr>
                      <w:rFonts w:hint="eastAsia"/>
                      <w:sz w:val="21"/>
                      <w:szCs w:val="21"/>
                      <w:highlight w:val="none"/>
                      <w:u w:val="single"/>
                      <w:lang w:val="en-US" w:eastAsia="zh-CN"/>
                    </w:rPr>
                    <w:t>131</w:t>
                  </w:r>
                </w:p>
              </w:tc>
            </w:tr>
            <w:tr w14:paraId="5CFE66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1267" w:type="pct"/>
                  <w:tcBorders>
                    <w:left w:val="single" w:color="auto" w:sz="4" w:space="0"/>
                    <w:right w:val="single" w:color="auto" w:sz="6" w:space="0"/>
                  </w:tcBorders>
                  <w:vAlign w:val="center"/>
                </w:tcPr>
                <w:p w14:paraId="74B2137F">
                  <w:pPr>
                    <w:widowControl/>
                    <w:spacing w:line="240" w:lineRule="auto"/>
                    <w:jc w:val="center"/>
                    <w:rPr>
                      <w:rFonts w:hint="eastAsia" w:eastAsia="宋体"/>
                      <w:sz w:val="21"/>
                      <w:szCs w:val="21"/>
                      <w:u w:val="single"/>
                      <w:lang w:eastAsia="zh-CN"/>
                    </w:rPr>
                  </w:pPr>
                  <w:r>
                    <w:rPr>
                      <w:rFonts w:hint="eastAsia" w:hAnsi="宋体"/>
                      <w:sz w:val="21"/>
                      <w:szCs w:val="21"/>
                      <w:u w:val="single"/>
                    </w:rPr>
                    <w:t>/</w:t>
                  </w:r>
                </w:p>
              </w:tc>
              <w:tc>
                <w:tcPr>
                  <w:tcW w:w="1054" w:type="pct"/>
                  <w:tcBorders>
                    <w:top w:val="single" w:color="auto" w:sz="6" w:space="0"/>
                    <w:left w:val="single" w:color="auto" w:sz="6" w:space="0"/>
                    <w:bottom w:val="single" w:color="auto" w:sz="6" w:space="0"/>
                    <w:right w:val="single" w:color="auto" w:sz="6" w:space="0"/>
                  </w:tcBorders>
                  <w:vAlign w:val="center"/>
                </w:tcPr>
                <w:p w14:paraId="3ABB8155">
                  <w:pPr>
                    <w:widowControl/>
                    <w:spacing w:line="240" w:lineRule="auto"/>
                    <w:jc w:val="center"/>
                    <w:rPr>
                      <w:rFonts w:hint="default" w:eastAsia="宋体"/>
                      <w:sz w:val="21"/>
                      <w:szCs w:val="21"/>
                      <w:u w:val="single"/>
                      <w:lang w:val="en-US" w:eastAsia="zh-CN"/>
                    </w:rPr>
                  </w:pPr>
                  <w:r>
                    <w:rPr>
                      <w:rFonts w:hint="eastAsia" w:hAnsi="宋体"/>
                      <w:sz w:val="21"/>
                      <w:szCs w:val="21"/>
                      <w:u w:val="single"/>
                    </w:rPr>
                    <w:t>/</w:t>
                  </w:r>
                </w:p>
              </w:tc>
              <w:tc>
                <w:tcPr>
                  <w:tcW w:w="493" w:type="pct"/>
                  <w:vMerge w:val="restart"/>
                  <w:tcBorders>
                    <w:top w:val="single" w:color="auto" w:sz="6" w:space="0"/>
                    <w:left w:val="single" w:color="auto" w:sz="6" w:space="0"/>
                    <w:right w:val="single" w:color="auto" w:sz="6" w:space="0"/>
                  </w:tcBorders>
                  <w:vAlign w:val="center"/>
                </w:tcPr>
                <w:p w14:paraId="30B1CCFC">
                  <w:pPr>
                    <w:widowControl/>
                    <w:spacing w:line="240" w:lineRule="auto"/>
                    <w:jc w:val="center"/>
                    <w:rPr>
                      <w:sz w:val="21"/>
                      <w:szCs w:val="21"/>
                      <w:u w:val="single"/>
                    </w:rPr>
                  </w:pPr>
                  <w:r>
                    <w:rPr>
                      <w:rFonts w:hint="eastAsia"/>
                      <w:sz w:val="21"/>
                      <w:szCs w:val="21"/>
                      <w:u w:val="single"/>
                    </w:rPr>
                    <w:t>污染物</w:t>
                  </w:r>
                </w:p>
              </w:tc>
              <w:tc>
                <w:tcPr>
                  <w:tcW w:w="1157" w:type="pct"/>
                  <w:tcBorders>
                    <w:top w:val="single" w:color="auto" w:sz="6" w:space="0"/>
                    <w:left w:val="single" w:color="auto" w:sz="6" w:space="0"/>
                    <w:right w:val="single" w:color="auto" w:sz="6" w:space="0"/>
                  </w:tcBorders>
                  <w:vAlign w:val="center"/>
                </w:tcPr>
                <w:p w14:paraId="76847104">
                  <w:pPr>
                    <w:widowControl/>
                    <w:spacing w:line="240" w:lineRule="auto"/>
                    <w:jc w:val="center"/>
                    <w:rPr>
                      <w:sz w:val="21"/>
                      <w:szCs w:val="21"/>
                      <w:u w:val="single"/>
                    </w:rPr>
                  </w:pPr>
                  <w:r>
                    <w:rPr>
                      <w:rFonts w:hint="eastAsia"/>
                      <w:sz w:val="21"/>
                      <w:szCs w:val="21"/>
                      <w:u w:val="single"/>
                    </w:rPr>
                    <w:t>粉尘</w:t>
                  </w:r>
                </w:p>
              </w:tc>
              <w:tc>
                <w:tcPr>
                  <w:tcW w:w="1027" w:type="pct"/>
                  <w:tcBorders>
                    <w:top w:val="single" w:color="auto" w:sz="6" w:space="0"/>
                    <w:left w:val="single" w:color="auto" w:sz="6" w:space="0"/>
                    <w:right w:val="single" w:color="auto" w:sz="4" w:space="0"/>
                  </w:tcBorders>
                  <w:vAlign w:val="center"/>
                </w:tcPr>
                <w:p w14:paraId="25D52AD1">
                  <w:pPr>
                    <w:widowControl/>
                    <w:spacing w:line="240" w:lineRule="auto"/>
                    <w:jc w:val="center"/>
                    <w:rPr>
                      <w:rFonts w:hint="default" w:eastAsia="宋体"/>
                      <w:sz w:val="21"/>
                      <w:szCs w:val="21"/>
                      <w:u w:val="single"/>
                      <w:lang w:val="en-US" w:eastAsia="zh-CN"/>
                    </w:rPr>
                  </w:pPr>
                  <w:r>
                    <w:rPr>
                      <w:rFonts w:hint="eastAsia"/>
                      <w:sz w:val="21"/>
                      <w:szCs w:val="21"/>
                      <w:u w:val="single"/>
                    </w:rPr>
                    <w:t>0.0</w:t>
                  </w:r>
                  <w:r>
                    <w:rPr>
                      <w:rFonts w:hint="eastAsia"/>
                      <w:sz w:val="21"/>
                      <w:szCs w:val="21"/>
                      <w:u w:val="single"/>
                      <w:lang w:val="en-US" w:eastAsia="zh-CN"/>
                    </w:rPr>
                    <w:t>79</w:t>
                  </w:r>
                </w:p>
              </w:tc>
            </w:tr>
            <w:tr w14:paraId="0C43AB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1267" w:type="pct"/>
                  <w:tcBorders>
                    <w:left w:val="single" w:color="auto" w:sz="4" w:space="0"/>
                    <w:right w:val="single" w:color="auto" w:sz="6" w:space="0"/>
                  </w:tcBorders>
                  <w:vAlign w:val="center"/>
                </w:tcPr>
                <w:p w14:paraId="5D08786A">
                  <w:pPr>
                    <w:widowControl/>
                    <w:spacing w:line="240" w:lineRule="auto"/>
                    <w:jc w:val="center"/>
                    <w:rPr>
                      <w:rFonts w:hAnsi="宋体"/>
                      <w:sz w:val="21"/>
                      <w:szCs w:val="21"/>
                      <w:u w:val="single"/>
                    </w:rPr>
                  </w:pPr>
                  <w:r>
                    <w:rPr>
                      <w:rFonts w:hint="eastAsia" w:hAnsi="宋体"/>
                      <w:sz w:val="21"/>
                      <w:szCs w:val="21"/>
                      <w:u w:val="single"/>
                    </w:rPr>
                    <w:t>/</w:t>
                  </w:r>
                </w:p>
              </w:tc>
              <w:tc>
                <w:tcPr>
                  <w:tcW w:w="1054" w:type="pct"/>
                  <w:tcBorders>
                    <w:top w:val="single" w:color="auto" w:sz="6" w:space="0"/>
                    <w:left w:val="single" w:color="auto" w:sz="6" w:space="0"/>
                    <w:bottom w:val="single" w:color="auto" w:sz="6" w:space="0"/>
                    <w:right w:val="single" w:color="auto" w:sz="6" w:space="0"/>
                  </w:tcBorders>
                  <w:vAlign w:val="center"/>
                </w:tcPr>
                <w:p w14:paraId="242D6C5B">
                  <w:pPr>
                    <w:widowControl/>
                    <w:spacing w:line="240" w:lineRule="auto"/>
                    <w:jc w:val="center"/>
                    <w:rPr>
                      <w:rFonts w:hAnsi="宋体"/>
                      <w:sz w:val="21"/>
                      <w:szCs w:val="21"/>
                      <w:u w:val="single"/>
                    </w:rPr>
                  </w:pPr>
                  <w:r>
                    <w:rPr>
                      <w:rFonts w:hint="eastAsia" w:hAnsi="宋体"/>
                      <w:sz w:val="21"/>
                      <w:szCs w:val="21"/>
                      <w:u w:val="single"/>
                    </w:rPr>
                    <w:t>/</w:t>
                  </w:r>
                </w:p>
              </w:tc>
              <w:tc>
                <w:tcPr>
                  <w:tcW w:w="493" w:type="pct"/>
                  <w:vMerge w:val="continue"/>
                  <w:tcBorders>
                    <w:left w:val="single" w:color="auto" w:sz="6" w:space="0"/>
                    <w:right w:val="single" w:color="auto" w:sz="6" w:space="0"/>
                  </w:tcBorders>
                  <w:vAlign w:val="center"/>
                </w:tcPr>
                <w:p w14:paraId="34B87667">
                  <w:pPr>
                    <w:widowControl/>
                    <w:spacing w:line="240" w:lineRule="auto"/>
                    <w:jc w:val="center"/>
                    <w:rPr>
                      <w:sz w:val="21"/>
                      <w:szCs w:val="21"/>
                      <w:u w:val="single"/>
                    </w:rPr>
                  </w:pPr>
                </w:p>
              </w:tc>
              <w:tc>
                <w:tcPr>
                  <w:tcW w:w="1157" w:type="pct"/>
                  <w:tcBorders>
                    <w:top w:val="single" w:color="auto" w:sz="6" w:space="0"/>
                    <w:left w:val="single" w:color="auto" w:sz="6" w:space="0"/>
                    <w:right w:val="single" w:color="auto" w:sz="6" w:space="0"/>
                  </w:tcBorders>
                  <w:vAlign w:val="center"/>
                </w:tcPr>
                <w:p w14:paraId="61336D32">
                  <w:pPr>
                    <w:widowControl/>
                    <w:spacing w:line="240" w:lineRule="auto"/>
                    <w:jc w:val="center"/>
                    <w:rPr>
                      <w:sz w:val="21"/>
                      <w:szCs w:val="21"/>
                      <w:u w:val="single"/>
                    </w:rPr>
                  </w:pPr>
                  <w:r>
                    <w:rPr>
                      <w:rFonts w:hint="eastAsia"/>
                      <w:sz w:val="21"/>
                      <w:szCs w:val="21"/>
                      <w:u w:val="single"/>
                    </w:rPr>
                    <w:t>废边角料</w:t>
                  </w:r>
                </w:p>
              </w:tc>
              <w:tc>
                <w:tcPr>
                  <w:tcW w:w="1027" w:type="pct"/>
                  <w:tcBorders>
                    <w:top w:val="single" w:color="auto" w:sz="6" w:space="0"/>
                    <w:left w:val="single" w:color="auto" w:sz="6" w:space="0"/>
                    <w:right w:val="single" w:color="auto" w:sz="4" w:space="0"/>
                  </w:tcBorders>
                  <w:vAlign w:val="center"/>
                </w:tcPr>
                <w:p w14:paraId="363D1FCC">
                  <w:pPr>
                    <w:widowControl/>
                    <w:spacing w:line="240" w:lineRule="auto"/>
                    <w:jc w:val="center"/>
                    <w:rPr>
                      <w:sz w:val="21"/>
                      <w:szCs w:val="21"/>
                      <w:u w:val="single"/>
                    </w:rPr>
                  </w:pPr>
                  <w:r>
                    <w:rPr>
                      <w:rFonts w:hint="eastAsia"/>
                      <w:sz w:val="21"/>
                      <w:szCs w:val="21"/>
                      <w:u w:val="single"/>
                    </w:rPr>
                    <w:t>786</w:t>
                  </w:r>
                </w:p>
              </w:tc>
            </w:tr>
            <w:tr w14:paraId="6653E1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7" w:type="pct"/>
                  <w:tcBorders>
                    <w:left w:val="single" w:color="auto" w:sz="4" w:space="0"/>
                    <w:right w:val="single" w:color="auto" w:sz="6" w:space="0"/>
                  </w:tcBorders>
                  <w:vAlign w:val="center"/>
                </w:tcPr>
                <w:p w14:paraId="2151EA0A">
                  <w:pPr>
                    <w:widowControl/>
                    <w:spacing w:line="240" w:lineRule="auto"/>
                    <w:jc w:val="center"/>
                    <w:rPr>
                      <w:sz w:val="21"/>
                      <w:szCs w:val="21"/>
                      <w:u w:val="single"/>
                    </w:rPr>
                  </w:pPr>
                  <w:r>
                    <w:rPr>
                      <w:rFonts w:hint="eastAsia" w:hAnsi="宋体"/>
                      <w:sz w:val="21"/>
                      <w:szCs w:val="21"/>
                      <w:u w:val="single"/>
                    </w:rPr>
                    <w:t>/</w:t>
                  </w:r>
                </w:p>
              </w:tc>
              <w:tc>
                <w:tcPr>
                  <w:tcW w:w="1054" w:type="pct"/>
                  <w:tcBorders>
                    <w:top w:val="single" w:color="auto" w:sz="6" w:space="0"/>
                    <w:left w:val="single" w:color="auto" w:sz="6" w:space="0"/>
                    <w:bottom w:val="single" w:color="auto" w:sz="6" w:space="0"/>
                    <w:right w:val="single" w:color="auto" w:sz="6" w:space="0"/>
                  </w:tcBorders>
                  <w:vAlign w:val="center"/>
                </w:tcPr>
                <w:p w14:paraId="6EBC92F6">
                  <w:pPr>
                    <w:widowControl/>
                    <w:spacing w:line="240" w:lineRule="auto"/>
                    <w:jc w:val="center"/>
                    <w:rPr>
                      <w:sz w:val="21"/>
                      <w:szCs w:val="21"/>
                      <w:u w:val="single"/>
                    </w:rPr>
                  </w:pPr>
                  <w:r>
                    <w:rPr>
                      <w:rFonts w:hint="eastAsia" w:hAnsi="宋体"/>
                      <w:sz w:val="21"/>
                      <w:szCs w:val="21"/>
                      <w:u w:val="single"/>
                    </w:rPr>
                    <w:t>/</w:t>
                  </w:r>
                </w:p>
              </w:tc>
              <w:tc>
                <w:tcPr>
                  <w:tcW w:w="493" w:type="pct"/>
                  <w:vMerge w:val="continue"/>
                  <w:tcBorders>
                    <w:left w:val="single" w:color="auto" w:sz="6" w:space="0"/>
                    <w:right w:val="single" w:color="auto" w:sz="6" w:space="0"/>
                  </w:tcBorders>
                  <w:vAlign w:val="center"/>
                </w:tcPr>
                <w:p w14:paraId="10FF57E8">
                  <w:pPr>
                    <w:widowControl/>
                    <w:spacing w:line="240" w:lineRule="auto"/>
                    <w:jc w:val="center"/>
                    <w:rPr>
                      <w:sz w:val="21"/>
                      <w:szCs w:val="21"/>
                      <w:u w:val="single"/>
                    </w:rPr>
                  </w:pPr>
                </w:p>
              </w:tc>
              <w:tc>
                <w:tcPr>
                  <w:tcW w:w="1157" w:type="pct"/>
                  <w:tcBorders>
                    <w:top w:val="single" w:color="auto" w:sz="6" w:space="0"/>
                    <w:left w:val="single" w:color="auto" w:sz="6" w:space="0"/>
                    <w:bottom w:val="single" w:color="auto" w:sz="6" w:space="0"/>
                    <w:right w:val="single" w:color="auto" w:sz="6" w:space="0"/>
                  </w:tcBorders>
                  <w:vAlign w:val="center"/>
                </w:tcPr>
                <w:p w14:paraId="0CA070D1">
                  <w:pPr>
                    <w:widowControl/>
                    <w:spacing w:line="240" w:lineRule="auto"/>
                    <w:jc w:val="center"/>
                    <w:rPr>
                      <w:rFonts w:hint="eastAsia" w:eastAsia="宋体"/>
                      <w:sz w:val="21"/>
                      <w:szCs w:val="21"/>
                      <w:u w:val="single"/>
                      <w:lang w:eastAsia="zh-CN"/>
                    </w:rPr>
                  </w:pPr>
                  <w:r>
                    <w:rPr>
                      <w:rFonts w:hint="eastAsia"/>
                      <w:sz w:val="21"/>
                      <w:szCs w:val="21"/>
                      <w:u w:val="single"/>
                    </w:rPr>
                    <w:t>沉淀污泥</w:t>
                  </w:r>
                  <w:r>
                    <w:rPr>
                      <w:rFonts w:hint="eastAsia"/>
                      <w:sz w:val="21"/>
                      <w:szCs w:val="21"/>
                      <w:u w:val="single"/>
                      <w:lang w:eastAsia="zh-CN"/>
                    </w:rPr>
                    <w:t>（以绝干计算）</w:t>
                  </w:r>
                </w:p>
              </w:tc>
              <w:tc>
                <w:tcPr>
                  <w:tcW w:w="1027" w:type="pct"/>
                  <w:tcBorders>
                    <w:top w:val="single" w:color="auto" w:sz="4" w:space="0"/>
                    <w:left w:val="single" w:color="auto" w:sz="6" w:space="0"/>
                    <w:bottom w:val="single" w:color="auto" w:sz="4" w:space="0"/>
                    <w:right w:val="single" w:color="auto" w:sz="4" w:space="0"/>
                  </w:tcBorders>
                  <w:vAlign w:val="center"/>
                </w:tcPr>
                <w:p w14:paraId="535926C6">
                  <w:pPr>
                    <w:widowControl/>
                    <w:spacing w:line="240" w:lineRule="auto"/>
                    <w:jc w:val="center"/>
                    <w:rPr>
                      <w:sz w:val="21"/>
                      <w:szCs w:val="21"/>
                      <w:u w:val="single"/>
                    </w:rPr>
                  </w:pPr>
                  <w:r>
                    <w:rPr>
                      <w:rFonts w:hint="eastAsia"/>
                      <w:sz w:val="21"/>
                      <w:szCs w:val="21"/>
                      <w:u w:val="single"/>
                    </w:rPr>
                    <w:t>0.66</w:t>
                  </w:r>
                </w:p>
              </w:tc>
            </w:tr>
            <w:tr w14:paraId="31FE14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7" w:type="pct"/>
                  <w:tcBorders>
                    <w:left w:val="single" w:color="auto" w:sz="4" w:space="0"/>
                    <w:bottom w:val="single" w:color="auto" w:sz="6" w:space="0"/>
                    <w:right w:val="single" w:color="auto" w:sz="6" w:space="0"/>
                  </w:tcBorders>
                  <w:vAlign w:val="center"/>
                </w:tcPr>
                <w:p w14:paraId="12D7C574">
                  <w:pPr>
                    <w:widowControl/>
                    <w:spacing w:line="240" w:lineRule="auto"/>
                    <w:jc w:val="center"/>
                    <w:rPr>
                      <w:sz w:val="21"/>
                      <w:szCs w:val="21"/>
                      <w:u w:val="single"/>
                    </w:rPr>
                  </w:pPr>
                  <w:r>
                    <w:rPr>
                      <w:rFonts w:hAnsi="宋体"/>
                      <w:sz w:val="21"/>
                      <w:szCs w:val="21"/>
                      <w:u w:val="single"/>
                    </w:rPr>
                    <w:t>合计</w:t>
                  </w:r>
                </w:p>
              </w:tc>
              <w:tc>
                <w:tcPr>
                  <w:tcW w:w="1054" w:type="pct"/>
                  <w:tcBorders>
                    <w:top w:val="single" w:color="auto" w:sz="6" w:space="0"/>
                    <w:left w:val="single" w:color="auto" w:sz="6" w:space="0"/>
                    <w:bottom w:val="single" w:color="auto" w:sz="6" w:space="0"/>
                    <w:right w:val="single" w:color="auto" w:sz="6" w:space="0"/>
                  </w:tcBorders>
                  <w:vAlign w:val="center"/>
                </w:tcPr>
                <w:p w14:paraId="1C1022BF">
                  <w:pPr>
                    <w:widowControl/>
                    <w:spacing w:line="240" w:lineRule="auto"/>
                    <w:jc w:val="center"/>
                    <w:rPr>
                      <w:rFonts w:hint="default" w:eastAsia="宋体"/>
                      <w:sz w:val="21"/>
                      <w:szCs w:val="21"/>
                      <w:u w:val="single"/>
                      <w:lang w:val="en-US" w:eastAsia="zh-CN"/>
                    </w:rPr>
                  </w:pPr>
                  <w:r>
                    <w:rPr>
                      <w:rFonts w:hint="eastAsia"/>
                      <w:sz w:val="21"/>
                      <w:szCs w:val="21"/>
                      <w:u w:val="single"/>
                      <w:lang w:val="en-US" w:eastAsia="zh-CN"/>
                    </w:rPr>
                    <w:t>1572.739</w:t>
                  </w:r>
                </w:p>
              </w:tc>
              <w:tc>
                <w:tcPr>
                  <w:tcW w:w="1650" w:type="pct"/>
                  <w:gridSpan w:val="2"/>
                  <w:tcBorders>
                    <w:top w:val="single" w:color="auto" w:sz="6" w:space="0"/>
                    <w:left w:val="single" w:color="auto" w:sz="6" w:space="0"/>
                    <w:bottom w:val="single" w:color="auto" w:sz="6" w:space="0"/>
                    <w:right w:val="single" w:color="auto" w:sz="6" w:space="0"/>
                  </w:tcBorders>
                  <w:vAlign w:val="center"/>
                </w:tcPr>
                <w:p w14:paraId="10B280EC">
                  <w:pPr>
                    <w:widowControl/>
                    <w:spacing w:line="240" w:lineRule="auto"/>
                    <w:jc w:val="center"/>
                    <w:rPr>
                      <w:sz w:val="21"/>
                      <w:szCs w:val="21"/>
                      <w:u w:val="single"/>
                    </w:rPr>
                  </w:pPr>
                  <w:r>
                    <w:rPr>
                      <w:rFonts w:hint="eastAsia"/>
                      <w:sz w:val="21"/>
                      <w:szCs w:val="21"/>
                      <w:u w:val="single"/>
                    </w:rPr>
                    <w:t>合计</w:t>
                  </w:r>
                </w:p>
              </w:tc>
              <w:tc>
                <w:tcPr>
                  <w:tcW w:w="1027" w:type="pct"/>
                  <w:tcBorders>
                    <w:top w:val="single" w:color="auto" w:sz="6" w:space="0"/>
                    <w:left w:val="single" w:color="auto" w:sz="6" w:space="0"/>
                    <w:bottom w:val="single" w:color="auto" w:sz="6" w:space="0"/>
                    <w:right w:val="single" w:color="auto" w:sz="4" w:space="0"/>
                  </w:tcBorders>
                  <w:vAlign w:val="center"/>
                </w:tcPr>
                <w:p w14:paraId="0B7561F7">
                  <w:pPr>
                    <w:widowControl/>
                    <w:spacing w:line="240" w:lineRule="auto"/>
                    <w:jc w:val="center"/>
                    <w:rPr>
                      <w:rFonts w:hint="default" w:eastAsia="宋体"/>
                      <w:sz w:val="21"/>
                      <w:szCs w:val="21"/>
                      <w:u w:val="single"/>
                      <w:lang w:val="en-US" w:eastAsia="zh-CN"/>
                    </w:rPr>
                  </w:pPr>
                  <w:r>
                    <w:rPr>
                      <w:rFonts w:hint="eastAsia"/>
                      <w:sz w:val="21"/>
                      <w:szCs w:val="21"/>
                      <w:u w:val="single"/>
                      <w:lang w:val="en-US" w:eastAsia="zh-CN"/>
                    </w:rPr>
                    <w:t>1572.739</w:t>
                  </w:r>
                </w:p>
              </w:tc>
            </w:tr>
          </w:tbl>
          <w:p w14:paraId="0C59D708">
            <w:pPr>
              <w:adjustRightInd w:val="0"/>
              <w:snapToGrid w:val="0"/>
              <w:spacing w:line="240" w:lineRule="auto"/>
              <w:ind w:firstLine="438" w:firstLineChars="200"/>
              <w:jc w:val="center"/>
              <w:rPr>
                <w:b/>
                <w:bCs/>
                <w:snapToGrid w:val="0"/>
                <w:spacing w:val="4"/>
                <w:kern w:val="0"/>
                <w:sz w:val="21"/>
                <w:szCs w:val="18"/>
              </w:rPr>
            </w:pPr>
            <w:r>
              <w:rPr>
                <w:rFonts w:hint="eastAsia"/>
                <w:b/>
                <w:bCs/>
                <w:snapToGrid w:val="0"/>
                <w:spacing w:val="4"/>
                <w:kern w:val="0"/>
                <w:sz w:val="21"/>
                <w:szCs w:val="18"/>
              </w:rPr>
              <w:t>表2-</w:t>
            </w:r>
            <w:r>
              <w:rPr>
                <w:rFonts w:hint="eastAsia"/>
                <w:b/>
                <w:bCs/>
                <w:snapToGrid w:val="0"/>
                <w:spacing w:val="4"/>
                <w:kern w:val="0"/>
                <w:sz w:val="21"/>
                <w:szCs w:val="18"/>
                <w:lang w:val="en-US" w:eastAsia="zh-CN"/>
              </w:rPr>
              <w:t>9</w:t>
            </w:r>
            <w:r>
              <w:rPr>
                <w:rFonts w:hint="eastAsia"/>
                <w:b/>
                <w:bCs/>
                <w:snapToGrid w:val="0"/>
                <w:spacing w:val="4"/>
                <w:kern w:val="0"/>
                <w:sz w:val="21"/>
                <w:szCs w:val="18"/>
              </w:rPr>
              <w:t xml:space="preserve">   项目路沿石</w:t>
            </w:r>
            <w:r>
              <w:rPr>
                <w:b/>
                <w:bCs/>
                <w:snapToGrid w:val="0"/>
                <w:spacing w:val="4"/>
                <w:kern w:val="0"/>
                <w:sz w:val="21"/>
                <w:szCs w:val="18"/>
              </w:rPr>
              <w:t>生产线</w:t>
            </w:r>
            <w:r>
              <w:rPr>
                <w:rFonts w:hint="eastAsia"/>
                <w:b/>
                <w:bCs/>
                <w:snapToGrid w:val="0"/>
                <w:spacing w:val="4"/>
                <w:kern w:val="0"/>
                <w:sz w:val="21"/>
                <w:szCs w:val="18"/>
              </w:rPr>
              <w:t>物料平衡表  单位： （t/a）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25"/>
              <w:gridCol w:w="1766"/>
              <w:gridCol w:w="826"/>
              <w:gridCol w:w="1939"/>
              <w:gridCol w:w="1721"/>
            </w:tblGrid>
            <w:tr w14:paraId="2B2DCE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gridSpan w:val="2"/>
                  <w:tcBorders>
                    <w:top w:val="single" w:color="auto" w:sz="4" w:space="0"/>
                    <w:left w:val="single" w:color="auto" w:sz="4" w:space="0"/>
                    <w:bottom w:val="single" w:color="auto" w:sz="6" w:space="0"/>
                    <w:right w:val="single" w:color="auto" w:sz="6" w:space="0"/>
                  </w:tcBorders>
                  <w:vAlign w:val="center"/>
                </w:tcPr>
                <w:p w14:paraId="486A64A0">
                  <w:pPr>
                    <w:widowControl/>
                    <w:spacing w:line="240" w:lineRule="auto"/>
                    <w:jc w:val="center"/>
                    <w:rPr>
                      <w:b/>
                      <w:sz w:val="21"/>
                      <w:szCs w:val="21"/>
                    </w:rPr>
                  </w:pPr>
                  <w:r>
                    <w:rPr>
                      <w:rFonts w:hAnsi="宋体"/>
                      <w:b/>
                      <w:sz w:val="21"/>
                      <w:szCs w:val="21"/>
                    </w:rPr>
                    <w:t>投入</w:t>
                  </w:r>
                </w:p>
              </w:tc>
              <w:tc>
                <w:tcPr>
                  <w:tcW w:w="2677" w:type="pct"/>
                  <w:gridSpan w:val="3"/>
                  <w:tcBorders>
                    <w:top w:val="single" w:color="auto" w:sz="4" w:space="0"/>
                    <w:left w:val="single" w:color="auto" w:sz="6" w:space="0"/>
                    <w:bottom w:val="single" w:color="auto" w:sz="6" w:space="0"/>
                    <w:right w:val="single" w:color="auto" w:sz="4" w:space="0"/>
                  </w:tcBorders>
                  <w:vAlign w:val="center"/>
                </w:tcPr>
                <w:p w14:paraId="155B8C7A">
                  <w:pPr>
                    <w:widowControl/>
                    <w:spacing w:line="240" w:lineRule="auto"/>
                    <w:jc w:val="center"/>
                    <w:rPr>
                      <w:b/>
                      <w:sz w:val="21"/>
                      <w:szCs w:val="21"/>
                    </w:rPr>
                  </w:pPr>
                  <w:r>
                    <w:rPr>
                      <w:rFonts w:hAnsi="宋体"/>
                      <w:b/>
                      <w:sz w:val="21"/>
                      <w:szCs w:val="21"/>
                    </w:rPr>
                    <w:t>产出</w:t>
                  </w:r>
                </w:p>
              </w:tc>
            </w:tr>
            <w:tr w14:paraId="72FAD3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8" w:type="pct"/>
                  <w:tcBorders>
                    <w:top w:val="single" w:color="auto" w:sz="6" w:space="0"/>
                    <w:left w:val="single" w:color="auto" w:sz="4" w:space="0"/>
                    <w:bottom w:val="single" w:color="auto" w:sz="6" w:space="0"/>
                    <w:right w:val="single" w:color="auto" w:sz="6" w:space="0"/>
                  </w:tcBorders>
                  <w:vAlign w:val="center"/>
                </w:tcPr>
                <w:p w14:paraId="1828B359">
                  <w:pPr>
                    <w:widowControl/>
                    <w:spacing w:line="240" w:lineRule="auto"/>
                    <w:jc w:val="center"/>
                    <w:rPr>
                      <w:b/>
                      <w:sz w:val="21"/>
                      <w:szCs w:val="21"/>
                    </w:rPr>
                  </w:pPr>
                  <w:r>
                    <w:rPr>
                      <w:rFonts w:hAnsi="宋体"/>
                      <w:b/>
                      <w:sz w:val="21"/>
                      <w:szCs w:val="21"/>
                    </w:rPr>
                    <w:t>名称</w:t>
                  </w:r>
                </w:p>
              </w:tc>
              <w:tc>
                <w:tcPr>
                  <w:tcW w:w="1054" w:type="pct"/>
                  <w:tcBorders>
                    <w:top w:val="single" w:color="auto" w:sz="6" w:space="0"/>
                    <w:left w:val="single" w:color="auto" w:sz="6" w:space="0"/>
                    <w:bottom w:val="single" w:color="auto" w:sz="6" w:space="0"/>
                    <w:right w:val="single" w:color="auto" w:sz="6" w:space="0"/>
                  </w:tcBorders>
                  <w:vAlign w:val="center"/>
                </w:tcPr>
                <w:p w14:paraId="3031CF89">
                  <w:pPr>
                    <w:widowControl/>
                    <w:spacing w:line="240" w:lineRule="auto"/>
                    <w:jc w:val="center"/>
                    <w:rPr>
                      <w:b/>
                      <w:sz w:val="21"/>
                      <w:szCs w:val="21"/>
                    </w:rPr>
                  </w:pPr>
                  <w:r>
                    <w:rPr>
                      <w:rFonts w:hAnsi="宋体"/>
                      <w:b/>
                      <w:sz w:val="21"/>
                      <w:szCs w:val="21"/>
                    </w:rPr>
                    <w:t>数量</w:t>
                  </w:r>
                </w:p>
              </w:tc>
              <w:tc>
                <w:tcPr>
                  <w:tcW w:w="1650" w:type="pct"/>
                  <w:gridSpan w:val="2"/>
                  <w:tcBorders>
                    <w:top w:val="single" w:color="auto" w:sz="6" w:space="0"/>
                    <w:left w:val="single" w:color="auto" w:sz="6" w:space="0"/>
                    <w:bottom w:val="single" w:color="auto" w:sz="6" w:space="0"/>
                    <w:right w:val="single" w:color="auto" w:sz="6" w:space="0"/>
                  </w:tcBorders>
                  <w:vAlign w:val="center"/>
                </w:tcPr>
                <w:p w14:paraId="4597E0F3">
                  <w:pPr>
                    <w:widowControl/>
                    <w:spacing w:line="240" w:lineRule="auto"/>
                    <w:jc w:val="center"/>
                    <w:rPr>
                      <w:b/>
                      <w:sz w:val="21"/>
                      <w:szCs w:val="21"/>
                    </w:rPr>
                  </w:pPr>
                  <w:r>
                    <w:rPr>
                      <w:rFonts w:hAnsi="宋体"/>
                      <w:b/>
                      <w:sz w:val="21"/>
                      <w:szCs w:val="21"/>
                    </w:rPr>
                    <w:t>名称</w:t>
                  </w:r>
                </w:p>
              </w:tc>
              <w:tc>
                <w:tcPr>
                  <w:tcW w:w="1027" w:type="pct"/>
                  <w:tcBorders>
                    <w:top w:val="single" w:color="auto" w:sz="6" w:space="0"/>
                    <w:left w:val="single" w:color="auto" w:sz="6" w:space="0"/>
                    <w:bottom w:val="single" w:color="auto" w:sz="6" w:space="0"/>
                    <w:right w:val="single" w:color="auto" w:sz="4" w:space="0"/>
                  </w:tcBorders>
                  <w:vAlign w:val="center"/>
                </w:tcPr>
                <w:p w14:paraId="11ADEAD1">
                  <w:pPr>
                    <w:widowControl/>
                    <w:spacing w:line="240" w:lineRule="auto"/>
                    <w:jc w:val="center"/>
                    <w:rPr>
                      <w:b/>
                      <w:sz w:val="21"/>
                      <w:szCs w:val="21"/>
                    </w:rPr>
                  </w:pPr>
                  <w:r>
                    <w:rPr>
                      <w:rFonts w:hAnsi="宋体"/>
                      <w:b/>
                      <w:sz w:val="21"/>
                      <w:szCs w:val="21"/>
                    </w:rPr>
                    <w:t>数量</w:t>
                  </w:r>
                </w:p>
              </w:tc>
            </w:tr>
            <w:tr w14:paraId="088448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1268" w:type="pct"/>
                  <w:tcBorders>
                    <w:top w:val="single" w:color="auto" w:sz="6" w:space="0"/>
                    <w:left w:val="single" w:color="auto" w:sz="4" w:space="0"/>
                    <w:right w:val="single" w:color="auto" w:sz="6" w:space="0"/>
                  </w:tcBorders>
                  <w:vAlign w:val="center"/>
                </w:tcPr>
                <w:p w14:paraId="51B15D07">
                  <w:pPr>
                    <w:widowControl/>
                    <w:spacing w:line="240" w:lineRule="auto"/>
                    <w:jc w:val="center"/>
                    <w:rPr>
                      <w:sz w:val="21"/>
                      <w:szCs w:val="21"/>
                    </w:rPr>
                  </w:pPr>
                  <w:r>
                    <w:rPr>
                      <w:rFonts w:hint="eastAsia"/>
                      <w:sz w:val="21"/>
                      <w:szCs w:val="21"/>
                    </w:rPr>
                    <w:t>花岗岩</w:t>
                  </w:r>
                </w:p>
              </w:tc>
              <w:tc>
                <w:tcPr>
                  <w:tcW w:w="1054" w:type="pct"/>
                  <w:tcBorders>
                    <w:top w:val="single" w:color="auto" w:sz="6" w:space="0"/>
                    <w:left w:val="single" w:color="auto" w:sz="6" w:space="0"/>
                    <w:bottom w:val="single" w:color="auto" w:sz="6" w:space="0"/>
                    <w:right w:val="single" w:color="auto" w:sz="6" w:space="0"/>
                  </w:tcBorders>
                  <w:vAlign w:val="center"/>
                </w:tcPr>
                <w:p w14:paraId="63949BC3">
                  <w:pPr>
                    <w:widowControl/>
                    <w:spacing w:line="240" w:lineRule="auto"/>
                    <w:jc w:val="center"/>
                    <w:rPr>
                      <w:rFonts w:hint="eastAsia" w:eastAsia="宋体"/>
                      <w:sz w:val="21"/>
                      <w:szCs w:val="21"/>
                      <w:lang w:eastAsia="zh-CN"/>
                    </w:rPr>
                  </w:pPr>
                  <w:r>
                    <w:rPr>
                      <w:rFonts w:hint="eastAsia"/>
                      <w:sz w:val="21"/>
                      <w:szCs w:val="21"/>
                    </w:rPr>
                    <w:t>289.020</w:t>
                  </w:r>
                  <w:r>
                    <w:rPr>
                      <w:rFonts w:hint="eastAsia"/>
                      <w:sz w:val="21"/>
                      <w:szCs w:val="21"/>
                      <w:lang w:val="en-US" w:eastAsia="zh-CN"/>
                    </w:rPr>
                    <w:t>4</w:t>
                  </w:r>
                </w:p>
              </w:tc>
              <w:tc>
                <w:tcPr>
                  <w:tcW w:w="493" w:type="pct"/>
                  <w:tcBorders>
                    <w:top w:val="single" w:color="auto" w:sz="6" w:space="0"/>
                    <w:left w:val="single" w:color="auto" w:sz="6" w:space="0"/>
                    <w:right w:val="single" w:color="auto" w:sz="6" w:space="0"/>
                  </w:tcBorders>
                  <w:vAlign w:val="center"/>
                </w:tcPr>
                <w:p w14:paraId="5EAB4552">
                  <w:pPr>
                    <w:widowControl/>
                    <w:spacing w:line="240" w:lineRule="auto"/>
                    <w:jc w:val="center"/>
                    <w:rPr>
                      <w:sz w:val="21"/>
                      <w:szCs w:val="21"/>
                    </w:rPr>
                  </w:pPr>
                  <w:r>
                    <w:rPr>
                      <w:rFonts w:hint="eastAsia"/>
                      <w:sz w:val="21"/>
                      <w:szCs w:val="21"/>
                    </w:rPr>
                    <w:t>产品</w:t>
                  </w:r>
                </w:p>
              </w:tc>
              <w:tc>
                <w:tcPr>
                  <w:tcW w:w="1157" w:type="pct"/>
                  <w:tcBorders>
                    <w:top w:val="single" w:color="auto" w:sz="6" w:space="0"/>
                    <w:left w:val="single" w:color="auto" w:sz="6" w:space="0"/>
                    <w:right w:val="single" w:color="auto" w:sz="6" w:space="0"/>
                  </w:tcBorders>
                  <w:vAlign w:val="center"/>
                </w:tcPr>
                <w:p w14:paraId="71CF348B">
                  <w:pPr>
                    <w:widowControl/>
                    <w:spacing w:line="240" w:lineRule="auto"/>
                    <w:jc w:val="center"/>
                    <w:rPr>
                      <w:sz w:val="21"/>
                      <w:szCs w:val="21"/>
                    </w:rPr>
                  </w:pPr>
                  <w:r>
                    <w:rPr>
                      <w:rFonts w:hint="eastAsia"/>
                      <w:sz w:val="21"/>
                      <w:szCs w:val="21"/>
                    </w:rPr>
                    <w:t>路沿石</w:t>
                  </w:r>
                </w:p>
              </w:tc>
              <w:tc>
                <w:tcPr>
                  <w:tcW w:w="1027" w:type="pct"/>
                  <w:tcBorders>
                    <w:top w:val="single" w:color="auto" w:sz="6" w:space="0"/>
                    <w:left w:val="single" w:color="auto" w:sz="6" w:space="0"/>
                    <w:right w:val="single" w:color="auto" w:sz="4" w:space="0"/>
                  </w:tcBorders>
                  <w:vAlign w:val="center"/>
                </w:tcPr>
                <w:p w14:paraId="51A8FECF">
                  <w:pPr>
                    <w:widowControl/>
                    <w:spacing w:line="240" w:lineRule="auto"/>
                    <w:jc w:val="center"/>
                    <w:rPr>
                      <w:sz w:val="21"/>
                      <w:szCs w:val="21"/>
                    </w:rPr>
                  </w:pPr>
                  <w:r>
                    <w:rPr>
                      <w:rFonts w:hint="eastAsia"/>
                      <w:sz w:val="21"/>
                      <w:szCs w:val="21"/>
                    </w:rPr>
                    <w:t>269</w:t>
                  </w:r>
                </w:p>
              </w:tc>
            </w:tr>
            <w:tr w14:paraId="165636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8" w:type="pct"/>
                  <w:tcBorders>
                    <w:left w:val="single" w:color="auto" w:sz="4" w:space="0"/>
                    <w:right w:val="single" w:color="auto" w:sz="6" w:space="0"/>
                  </w:tcBorders>
                  <w:vAlign w:val="center"/>
                </w:tcPr>
                <w:p w14:paraId="13371A06">
                  <w:pPr>
                    <w:widowControl/>
                    <w:spacing w:line="240" w:lineRule="auto"/>
                    <w:jc w:val="center"/>
                    <w:rPr>
                      <w:sz w:val="21"/>
                      <w:szCs w:val="21"/>
                    </w:rPr>
                  </w:pPr>
                  <w:r>
                    <w:rPr>
                      <w:rFonts w:hint="eastAsia" w:hAnsi="宋体"/>
                      <w:sz w:val="21"/>
                      <w:szCs w:val="21"/>
                    </w:rPr>
                    <w:t>/</w:t>
                  </w:r>
                </w:p>
              </w:tc>
              <w:tc>
                <w:tcPr>
                  <w:tcW w:w="1054" w:type="pct"/>
                  <w:tcBorders>
                    <w:top w:val="single" w:color="auto" w:sz="6" w:space="0"/>
                    <w:left w:val="single" w:color="auto" w:sz="6" w:space="0"/>
                    <w:bottom w:val="single" w:color="auto" w:sz="6" w:space="0"/>
                    <w:right w:val="single" w:color="auto" w:sz="6" w:space="0"/>
                  </w:tcBorders>
                  <w:vAlign w:val="center"/>
                </w:tcPr>
                <w:p w14:paraId="1BD89CEC">
                  <w:pPr>
                    <w:widowControl/>
                    <w:spacing w:line="240" w:lineRule="auto"/>
                    <w:jc w:val="center"/>
                    <w:rPr>
                      <w:sz w:val="21"/>
                      <w:szCs w:val="21"/>
                    </w:rPr>
                  </w:pPr>
                  <w:r>
                    <w:rPr>
                      <w:rFonts w:hint="eastAsia" w:hAnsi="宋体"/>
                      <w:sz w:val="21"/>
                      <w:szCs w:val="21"/>
                    </w:rPr>
                    <w:t>/</w:t>
                  </w:r>
                </w:p>
              </w:tc>
              <w:tc>
                <w:tcPr>
                  <w:tcW w:w="493" w:type="pct"/>
                  <w:vMerge w:val="restart"/>
                  <w:tcBorders>
                    <w:top w:val="single" w:color="auto" w:sz="6" w:space="0"/>
                    <w:left w:val="single" w:color="auto" w:sz="6" w:space="0"/>
                    <w:right w:val="single" w:color="auto" w:sz="6" w:space="0"/>
                  </w:tcBorders>
                  <w:vAlign w:val="center"/>
                </w:tcPr>
                <w:p w14:paraId="669C5CFC">
                  <w:pPr>
                    <w:widowControl/>
                    <w:spacing w:line="240" w:lineRule="auto"/>
                    <w:jc w:val="center"/>
                    <w:rPr>
                      <w:sz w:val="21"/>
                      <w:szCs w:val="21"/>
                    </w:rPr>
                  </w:pPr>
                  <w:r>
                    <w:rPr>
                      <w:rFonts w:hint="eastAsia"/>
                      <w:sz w:val="21"/>
                      <w:szCs w:val="21"/>
                    </w:rPr>
                    <w:t>污染物</w:t>
                  </w:r>
                </w:p>
              </w:tc>
              <w:tc>
                <w:tcPr>
                  <w:tcW w:w="1157" w:type="pct"/>
                  <w:tcBorders>
                    <w:top w:val="single" w:color="auto" w:sz="6" w:space="0"/>
                    <w:left w:val="single" w:color="auto" w:sz="6" w:space="0"/>
                    <w:right w:val="single" w:color="auto" w:sz="6" w:space="0"/>
                  </w:tcBorders>
                  <w:vAlign w:val="center"/>
                </w:tcPr>
                <w:p w14:paraId="4269E7BE">
                  <w:pPr>
                    <w:widowControl/>
                    <w:spacing w:line="240" w:lineRule="auto"/>
                    <w:jc w:val="center"/>
                    <w:rPr>
                      <w:sz w:val="21"/>
                      <w:szCs w:val="21"/>
                    </w:rPr>
                  </w:pPr>
                  <w:r>
                    <w:rPr>
                      <w:rFonts w:hint="eastAsia"/>
                      <w:sz w:val="21"/>
                      <w:szCs w:val="21"/>
                    </w:rPr>
                    <w:t>粉尘</w:t>
                  </w:r>
                </w:p>
              </w:tc>
              <w:tc>
                <w:tcPr>
                  <w:tcW w:w="1027" w:type="pct"/>
                  <w:tcBorders>
                    <w:top w:val="single" w:color="auto" w:sz="6" w:space="0"/>
                    <w:left w:val="single" w:color="auto" w:sz="6" w:space="0"/>
                    <w:right w:val="single" w:color="auto" w:sz="4" w:space="0"/>
                  </w:tcBorders>
                  <w:vAlign w:val="center"/>
                </w:tcPr>
                <w:p w14:paraId="2AFA29FA">
                  <w:pPr>
                    <w:widowControl/>
                    <w:spacing w:line="240" w:lineRule="auto"/>
                    <w:jc w:val="center"/>
                    <w:rPr>
                      <w:rFonts w:hint="eastAsia" w:eastAsia="宋体"/>
                      <w:sz w:val="21"/>
                      <w:szCs w:val="21"/>
                      <w:lang w:eastAsia="zh-CN"/>
                    </w:rPr>
                  </w:pPr>
                  <w:r>
                    <w:rPr>
                      <w:rFonts w:hint="eastAsia"/>
                      <w:sz w:val="21"/>
                      <w:szCs w:val="21"/>
                    </w:rPr>
                    <w:t>0.00</w:t>
                  </w:r>
                  <w:r>
                    <w:rPr>
                      <w:rFonts w:hint="eastAsia"/>
                      <w:sz w:val="21"/>
                      <w:szCs w:val="21"/>
                      <w:lang w:val="en-US" w:eastAsia="zh-CN"/>
                    </w:rPr>
                    <w:t>2</w:t>
                  </w:r>
                </w:p>
              </w:tc>
            </w:tr>
            <w:tr w14:paraId="35DF19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68" w:type="pct"/>
                  <w:tcBorders>
                    <w:left w:val="single" w:color="auto" w:sz="4" w:space="0"/>
                    <w:right w:val="single" w:color="auto" w:sz="6" w:space="0"/>
                  </w:tcBorders>
                  <w:vAlign w:val="center"/>
                </w:tcPr>
                <w:p w14:paraId="5734565F">
                  <w:pPr>
                    <w:widowControl/>
                    <w:spacing w:line="240" w:lineRule="auto"/>
                    <w:jc w:val="center"/>
                    <w:rPr>
                      <w:rFonts w:hAnsi="宋体"/>
                      <w:sz w:val="21"/>
                      <w:szCs w:val="21"/>
                    </w:rPr>
                  </w:pPr>
                  <w:r>
                    <w:rPr>
                      <w:rFonts w:hint="eastAsia" w:hAnsi="宋体"/>
                      <w:sz w:val="21"/>
                      <w:szCs w:val="21"/>
                    </w:rPr>
                    <w:t>/</w:t>
                  </w:r>
                </w:p>
              </w:tc>
              <w:tc>
                <w:tcPr>
                  <w:tcW w:w="1054" w:type="pct"/>
                  <w:tcBorders>
                    <w:top w:val="single" w:color="auto" w:sz="6" w:space="0"/>
                    <w:left w:val="single" w:color="auto" w:sz="6" w:space="0"/>
                    <w:bottom w:val="single" w:color="auto" w:sz="6" w:space="0"/>
                    <w:right w:val="single" w:color="auto" w:sz="6" w:space="0"/>
                  </w:tcBorders>
                  <w:vAlign w:val="center"/>
                </w:tcPr>
                <w:p w14:paraId="4205403A">
                  <w:pPr>
                    <w:widowControl/>
                    <w:spacing w:line="240" w:lineRule="auto"/>
                    <w:jc w:val="center"/>
                    <w:rPr>
                      <w:rFonts w:hAnsi="宋体"/>
                      <w:sz w:val="21"/>
                      <w:szCs w:val="21"/>
                    </w:rPr>
                  </w:pPr>
                  <w:r>
                    <w:rPr>
                      <w:rFonts w:hint="eastAsia" w:hAnsi="宋体"/>
                      <w:sz w:val="21"/>
                      <w:szCs w:val="21"/>
                    </w:rPr>
                    <w:t>/</w:t>
                  </w:r>
                </w:p>
              </w:tc>
              <w:tc>
                <w:tcPr>
                  <w:tcW w:w="493" w:type="pct"/>
                  <w:vMerge w:val="continue"/>
                  <w:tcBorders>
                    <w:left w:val="single" w:color="auto" w:sz="6" w:space="0"/>
                    <w:right w:val="single" w:color="auto" w:sz="6" w:space="0"/>
                  </w:tcBorders>
                  <w:vAlign w:val="center"/>
                </w:tcPr>
                <w:p w14:paraId="640B2CAB">
                  <w:pPr>
                    <w:widowControl/>
                    <w:spacing w:line="240" w:lineRule="auto"/>
                    <w:jc w:val="center"/>
                    <w:rPr>
                      <w:sz w:val="21"/>
                      <w:szCs w:val="21"/>
                    </w:rPr>
                  </w:pPr>
                </w:p>
              </w:tc>
              <w:tc>
                <w:tcPr>
                  <w:tcW w:w="1939" w:type="dxa"/>
                  <w:tcBorders>
                    <w:left w:val="single" w:color="auto" w:sz="6" w:space="0"/>
                    <w:bottom w:val="single" w:color="auto" w:sz="6" w:space="0"/>
                    <w:right w:val="single" w:color="auto" w:sz="6" w:space="0"/>
                  </w:tcBorders>
                  <w:vAlign w:val="center"/>
                </w:tcPr>
                <w:p w14:paraId="0316559F">
                  <w:pPr>
                    <w:widowControl/>
                    <w:spacing w:line="240" w:lineRule="auto"/>
                    <w:jc w:val="center"/>
                    <w:rPr>
                      <w:sz w:val="21"/>
                      <w:szCs w:val="21"/>
                    </w:rPr>
                  </w:pPr>
                  <w:r>
                    <w:rPr>
                      <w:rFonts w:hint="eastAsia"/>
                      <w:sz w:val="21"/>
                      <w:szCs w:val="21"/>
                    </w:rPr>
                    <w:t>废边角料</w:t>
                  </w:r>
                </w:p>
              </w:tc>
              <w:tc>
                <w:tcPr>
                  <w:tcW w:w="1721" w:type="dxa"/>
                  <w:tcBorders>
                    <w:left w:val="single" w:color="auto" w:sz="6" w:space="0"/>
                    <w:bottom w:val="single" w:color="auto" w:sz="4" w:space="0"/>
                    <w:right w:val="single" w:color="auto" w:sz="4" w:space="0"/>
                  </w:tcBorders>
                  <w:vAlign w:val="center"/>
                </w:tcPr>
                <w:p w14:paraId="257F77F3">
                  <w:pPr>
                    <w:widowControl/>
                    <w:spacing w:line="240" w:lineRule="auto"/>
                    <w:jc w:val="center"/>
                    <w:rPr>
                      <w:sz w:val="21"/>
                      <w:szCs w:val="21"/>
                    </w:rPr>
                  </w:pPr>
                  <w:r>
                    <w:rPr>
                      <w:rFonts w:hint="eastAsia"/>
                      <w:sz w:val="21"/>
                      <w:szCs w:val="21"/>
                    </w:rPr>
                    <w:t>20</w:t>
                  </w:r>
                </w:p>
              </w:tc>
            </w:tr>
            <w:tr w14:paraId="033236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8" w:type="pct"/>
                  <w:tcBorders>
                    <w:left w:val="single" w:color="auto" w:sz="4" w:space="0"/>
                    <w:right w:val="single" w:color="auto" w:sz="6" w:space="0"/>
                  </w:tcBorders>
                  <w:vAlign w:val="center"/>
                </w:tcPr>
                <w:p w14:paraId="2A48F371">
                  <w:pPr>
                    <w:widowControl/>
                    <w:spacing w:line="240" w:lineRule="auto"/>
                    <w:jc w:val="center"/>
                    <w:rPr>
                      <w:sz w:val="21"/>
                      <w:szCs w:val="21"/>
                    </w:rPr>
                  </w:pPr>
                  <w:r>
                    <w:rPr>
                      <w:rFonts w:hint="eastAsia" w:hAnsi="宋体"/>
                      <w:sz w:val="21"/>
                      <w:szCs w:val="21"/>
                    </w:rPr>
                    <w:t>/</w:t>
                  </w:r>
                </w:p>
              </w:tc>
              <w:tc>
                <w:tcPr>
                  <w:tcW w:w="1054" w:type="pct"/>
                  <w:tcBorders>
                    <w:top w:val="single" w:color="auto" w:sz="6" w:space="0"/>
                    <w:left w:val="single" w:color="auto" w:sz="6" w:space="0"/>
                    <w:bottom w:val="single" w:color="auto" w:sz="6" w:space="0"/>
                    <w:right w:val="single" w:color="auto" w:sz="6" w:space="0"/>
                  </w:tcBorders>
                  <w:vAlign w:val="center"/>
                </w:tcPr>
                <w:p w14:paraId="6E05B74B">
                  <w:pPr>
                    <w:widowControl/>
                    <w:spacing w:line="240" w:lineRule="auto"/>
                    <w:jc w:val="center"/>
                    <w:rPr>
                      <w:sz w:val="21"/>
                      <w:szCs w:val="21"/>
                    </w:rPr>
                  </w:pPr>
                  <w:r>
                    <w:rPr>
                      <w:rFonts w:hint="eastAsia" w:hAnsi="宋体"/>
                      <w:sz w:val="21"/>
                      <w:szCs w:val="21"/>
                    </w:rPr>
                    <w:t>/</w:t>
                  </w:r>
                </w:p>
              </w:tc>
              <w:tc>
                <w:tcPr>
                  <w:tcW w:w="493" w:type="pct"/>
                  <w:vMerge w:val="continue"/>
                  <w:tcBorders>
                    <w:left w:val="single" w:color="auto" w:sz="6" w:space="0"/>
                    <w:right w:val="single" w:color="auto" w:sz="6" w:space="0"/>
                  </w:tcBorders>
                  <w:vAlign w:val="center"/>
                </w:tcPr>
                <w:p w14:paraId="6C8B29B9">
                  <w:pPr>
                    <w:widowControl/>
                    <w:spacing w:line="240" w:lineRule="auto"/>
                    <w:jc w:val="center"/>
                    <w:rPr>
                      <w:sz w:val="21"/>
                      <w:szCs w:val="21"/>
                    </w:rPr>
                  </w:pPr>
                </w:p>
              </w:tc>
              <w:tc>
                <w:tcPr>
                  <w:tcW w:w="1157" w:type="pct"/>
                  <w:tcBorders>
                    <w:top w:val="single" w:color="auto" w:sz="6" w:space="0"/>
                    <w:left w:val="single" w:color="auto" w:sz="6" w:space="0"/>
                    <w:bottom w:val="single" w:color="auto" w:sz="6" w:space="0"/>
                    <w:right w:val="single" w:color="auto" w:sz="6" w:space="0"/>
                  </w:tcBorders>
                  <w:vAlign w:val="center"/>
                </w:tcPr>
                <w:p w14:paraId="08FE18A4">
                  <w:pPr>
                    <w:widowControl/>
                    <w:spacing w:line="240" w:lineRule="auto"/>
                    <w:jc w:val="center"/>
                    <w:rPr>
                      <w:sz w:val="21"/>
                      <w:szCs w:val="21"/>
                    </w:rPr>
                  </w:pPr>
                  <w:r>
                    <w:rPr>
                      <w:rFonts w:hint="eastAsia"/>
                      <w:sz w:val="21"/>
                      <w:szCs w:val="21"/>
                    </w:rPr>
                    <w:t>沉淀污泥</w:t>
                  </w:r>
                </w:p>
              </w:tc>
              <w:tc>
                <w:tcPr>
                  <w:tcW w:w="1027" w:type="pct"/>
                  <w:tcBorders>
                    <w:top w:val="single" w:color="auto" w:sz="4" w:space="0"/>
                    <w:left w:val="single" w:color="auto" w:sz="6" w:space="0"/>
                    <w:bottom w:val="single" w:color="auto" w:sz="4" w:space="0"/>
                    <w:right w:val="single" w:color="auto" w:sz="4" w:space="0"/>
                  </w:tcBorders>
                  <w:vAlign w:val="center"/>
                </w:tcPr>
                <w:p w14:paraId="156891F2">
                  <w:pPr>
                    <w:widowControl/>
                    <w:spacing w:line="240" w:lineRule="auto"/>
                    <w:jc w:val="center"/>
                    <w:rPr>
                      <w:sz w:val="21"/>
                      <w:szCs w:val="21"/>
                    </w:rPr>
                  </w:pPr>
                  <w:r>
                    <w:rPr>
                      <w:rFonts w:hint="eastAsia"/>
                      <w:sz w:val="21"/>
                      <w:szCs w:val="21"/>
                    </w:rPr>
                    <w:t>0.02</w:t>
                  </w:r>
                </w:p>
              </w:tc>
            </w:tr>
            <w:tr w14:paraId="68E472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8" w:type="pct"/>
                  <w:tcBorders>
                    <w:left w:val="single" w:color="auto" w:sz="4" w:space="0"/>
                    <w:bottom w:val="single" w:color="auto" w:sz="6" w:space="0"/>
                    <w:right w:val="single" w:color="auto" w:sz="6" w:space="0"/>
                  </w:tcBorders>
                  <w:vAlign w:val="center"/>
                </w:tcPr>
                <w:p w14:paraId="35148382">
                  <w:pPr>
                    <w:widowControl/>
                    <w:spacing w:line="240" w:lineRule="auto"/>
                    <w:jc w:val="center"/>
                    <w:rPr>
                      <w:sz w:val="21"/>
                      <w:szCs w:val="21"/>
                    </w:rPr>
                  </w:pPr>
                  <w:r>
                    <w:rPr>
                      <w:rFonts w:hAnsi="宋体"/>
                      <w:sz w:val="21"/>
                      <w:szCs w:val="21"/>
                    </w:rPr>
                    <w:t>合计</w:t>
                  </w:r>
                </w:p>
              </w:tc>
              <w:tc>
                <w:tcPr>
                  <w:tcW w:w="1054" w:type="pct"/>
                  <w:tcBorders>
                    <w:top w:val="single" w:color="auto" w:sz="6" w:space="0"/>
                    <w:left w:val="single" w:color="auto" w:sz="6" w:space="0"/>
                    <w:bottom w:val="single" w:color="auto" w:sz="6" w:space="0"/>
                    <w:right w:val="single" w:color="auto" w:sz="6" w:space="0"/>
                  </w:tcBorders>
                  <w:vAlign w:val="center"/>
                </w:tcPr>
                <w:p w14:paraId="2460D1B0">
                  <w:pPr>
                    <w:widowControl/>
                    <w:spacing w:line="240" w:lineRule="auto"/>
                    <w:jc w:val="center"/>
                    <w:rPr>
                      <w:rFonts w:hint="default" w:eastAsia="宋体"/>
                      <w:sz w:val="21"/>
                      <w:szCs w:val="21"/>
                      <w:lang w:val="en-US" w:eastAsia="zh-CN"/>
                    </w:rPr>
                  </w:pPr>
                  <w:r>
                    <w:rPr>
                      <w:rFonts w:hint="eastAsia"/>
                      <w:sz w:val="21"/>
                      <w:szCs w:val="21"/>
                      <w:lang w:val="en-US" w:eastAsia="zh-CN"/>
                    </w:rPr>
                    <w:t>289.0204</w:t>
                  </w:r>
                </w:p>
              </w:tc>
              <w:tc>
                <w:tcPr>
                  <w:tcW w:w="1650" w:type="pct"/>
                  <w:gridSpan w:val="2"/>
                  <w:tcBorders>
                    <w:top w:val="single" w:color="auto" w:sz="6" w:space="0"/>
                    <w:left w:val="single" w:color="auto" w:sz="6" w:space="0"/>
                    <w:bottom w:val="single" w:color="auto" w:sz="6" w:space="0"/>
                    <w:right w:val="single" w:color="auto" w:sz="6" w:space="0"/>
                  </w:tcBorders>
                  <w:vAlign w:val="center"/>
                </w:tcPr>
                <w:p w14:paraId="3F687AB2">
                  <w:pPr>
                    <w:widowControl/>
                    <w:spacing w:line="240" w:lineRule="auto"/>
                    <w:jc w:val="center"/>
                    <w:rPr>
                      <w:sz w:val="21"/>
                      <w:szCs w:val="21"/>
                    </w:rPr>
                  </w:pPr>
                  <w:r>
                    <w:rPr>
                      <w:rFonts w:hint="eastAsia"/>
                      <w:sz w:val="21"/>
                      <w:szCs w:val="21"/>
                    </w:rPr>
                    <w:t>合计</w:t>
                  </w:r>
                </w:p>
              </w:tc>
              <w:tc>
                <w:tcPr>
                  <w:tcW w:w="1027" w:type="pct"/>
                  <w:tcBorders>
                    <w:top w:val="single" w:color="auto" w:sz="6" w:space="0"/>
                    <w:left w:val="single" w:color="auto" w:sz="6" w:space="0"/>
                    <w:bottom w:val="single" w:color="auto" w:sz="6" w:space="0"/>
                    <w:right w:val="single" w:color="auto" w:sz="4" w:space="0"/>
                  </w:tcBorders>
                  <w:vAlign w:val="center"/>
                </w:tcPr>
                <w:p w14:paraId="10AD9F39">
                  <w:pPr>
                    <w:widowControl/>
                    <w:spacing w:line="240" w:lineRule="auto"/>
                    <w:jc w:val="center"/>
                    <w:rPr>
                      <w:rFonts w:hint="default" w:eastAsia="宋体"/>
                      <w:sz w:val="21"/>
                      <w:szCs w:val="21"/>
                      <w:lang w:val="en-US" w:eastAsia="zh-CN"/>
                    </w:rPr>
                  </w:pPr>
                  <w:r>
                    <w:rPr>
                      <w:rFonts w:hint="eastAsia"/>
                      <w:sz w:val="21"/>
                      <w:szCs w:val="21"/>
                      <w:lang w:val="en-US" w:eastAsia="zh-CN"/>
                    </w:rPr>
                    <w:t>289.0204</w:t>
                  </w:r>
                </w:p>
              </w:tc>
            </w:tr>
          </w:tbl>
          <w:p w14:paraId="18A85022">
            <w:pPr>
              <w:adjustRightInd w:val="0"/>
              <w:snapToGrid w:val="0"/>
              <w:spacing w:line="240" w:lineRule="auto"/>
              <w:ind w:firstLine="438" w:firstLineChars="200"/>
              <w:jc w:val="center"/>
              <w:rPr>
                <w:b/>
                <w:bCs/>
                <w:snapToGrid w:val="0"/>
                <w:spacing w:val="4"/>
                <w:kern w:val="0"/>
                <w:sz w:val="21"/>
                <w:szCs w:val="18"/>
              </w:rPr>
            </w:pPr>
            <w:r>
              <w:rPr>
                <w:rFonts w:hint="eastAsia"/>
                <w:b/>
                <w:bCs/>
                <w:snapToGrid w:val="0"/>
                <w:spacing w:val="4"/>
                <w:kern w:val="0"/>
                <w:sz w:val="21"/>
                <w:szCs w:val="18"/>
                <w:u w:val="single"/>
              </w:rPr>
              <w:t>表2-</w:t>
            </w:r>
            <w:r>
              <w:rPr>
                <w:rFonts w:hint="eastAsia"/>
                <w:b/>
                <w:bCs/>
                <w:snapToGrid w:val="0"/>
                <w:spacing w:val="4"/>
                <w:kern w:val="0"/>
                <w:sz w:val="21"/>
                <w:szCs w:val="18"/>
                <w:u w:val="single"/>
                <w:lang w:val="en-US" w:eastAsia="zh-CN"/>
              </w:rPr>
              <w:t>10</w:t>
            </w:r>
            <w:r>
              <w:rPr>
                <w:rFonts w:hint="eastAsia"/>
                <w:b/>
                <w:bCs/>
                <w:snapToGrid w:val="0"/>
                <w:spacing w:val="4"/>
                <w:kern w:val="0"/>
                <w:sz w:val="21"/>
                <w:szCs w:val="18"/>
                <w:u w:val="single"/>
              </w:rPr>
              <w:t xml:space="preserve">  </w:t>
            </w:r>
            <w:r>
              <w:rPr>
                <w:rFonts w:hint="eastAsia"/>
                <w:b/>
                <w:bCs/>
                <w:snapToGrid w:val="0"/>
                <w:spacing w:val="4"/>
                <w:kern w:val="0"/>
                <w:sz w:val="21"/>
                <w:szCs w:val="18"/>
              </w:rPr>
              <w:t xml:space="preserve"> </w:t>
            </w:r>
            <w:r>
              <w:rPr>
                <w:rFonts w:hint="eastAsia"/>
                <w:b/>
                <w:bCs/>
                <w:snapToGrid w:val="0"/>
                <w:spacing w:val="4"/>
                <w:kern w:val="0"/>
                <w:sz w:val="21"/>
                <w:szCs w:val="18"/>
                <w:u w:val="single"/>
              </w:rPr>
              <w:t>项目</w:t>
            </w:r>
            <w:r>
              <w:rPr>
                <w:rFonts w:hint="eastAsia" w:ascii="Times New Roman" w:hAnsi="Times New Roman" w:eastAsia="宋体" w:cs="Times New Roman"/>
                <w:b/>
                <w:bCs/>
                <w:snapToGrid w:val="0"/>
                <w:spacing w:val="4"/>
                <w:kern w:val="0"/>
                <w:sz w:val="21"/>
                <w:szCs w:val="18"/>
                <w:u w:val="single"/>
                <w:lang w:val="en-US" w:eastAsia="zh-CN" w:bidi="ar"/>
              </w:rPr>
              <w:t>透水砖、路面砖</w:t>
            </w:r>
            <w:r>
              <w:rPr>
                <w:b/>
                <w:bCs/>
                <w:snapToGrid w:val="0"/>
                <w:spacing w:val="4"/>
                <w:kern w:val="0"/>
                <w:sz w:val="21"/>
                <w:szCs w:val="18"/>
                <w:u w:val="single"/>
              </w:rPr>
              <w:t>生产线</w:t>
            </w:r>
            <w:r>
              <w:rPr>
                <w:rFonts w:hint="eastAsia"/>
                <w:b/>
                <w:bCs/>
                <w:snapToGrid w:val="0"/>
                <w:spacing w:val="4"/>
                <w:kern w:val="0"/>
                <w:sz w:val="21"/>
                <w:szCs w:val="18"/>
                <w:u w:val="single"/>
              </w:rPr>
              <w:t>物料平衡表  单位： （t/a）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25"/>
              <w:gridCol w:w="1766"/>
              <w:gridCol w:w="826"/>
              <w:gridCol w:w="1939"/>
              <w:gridCol w:w="1721"/>
            </w:tblGrid>
            <w:tr w14:paraId="478197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gridSpan w:val="2"/>
                  <w:tcBorders>
                    <w:top w:val="single" w:color="auto" w:sz="4" w:space="0"/>
                    <w:left w:val="single" w:color="auto" w:sz="4" w:space="0"/>
                    <w:bottom w:val="single" w:color="auto" w:sz="6" w:space="0"/>
                    <w:right w:val="single" w:color="auto" w:sz="6" w:space="0"/>
                  </w:tcBorders>
                  <w:vAlign w:val="center"/>
                </w:tcPr>
                <w:p w14:paraId="4DB47CEA">
                  <w:pPr>
                    <w:widowControl/>
                    <w:spacing w:line="240" w:lineRule="auto"/>
                    <w:jc w:val="center"/>
                    <w:rPr>
                      <w:b/>
                      <w:sz w:val="21"/>
                      <w:szCs w:val="21"/>
                    </w:rPr>
                  </w:pPr>
                  <w:r>
                    <w:rPr>
                      <w:rFonts w:hAnsi="宋体"/>
                      <w:b/>
                      <w:sz w:val="21"/>
                      <w:szCs w:val="21"/>
                    </w:rPr>
                    <w:t>投入</w:t>
                  </w:r>
                </w:p>
              </w:tc>
              <w:tc>
                <w:tcPr>
                  <w:tcW w:w="2677" w:type="pct"/>
                  <w:gridSpan w:val="3"/>
                  <w:tcBorders>
                    <w:top w:val="single" w:color="auto" w:sz="4" w:space="0"/>
                    <w:left w:val="single" w:color="auto" w:sz="6" w:space="0"/>
                    <w:bottom w:val="single" w:color="auto" w:sz="6" w:space="0"/>
                    <w:right w:val="single" w:color="auto" w:sz="4" w:space="0"/>
                  </w:tcBorders>
                  <w:vAlign w:val="center"/>
                </w:tcPr>
                <w:p w14:paraId="09590436">
                  <w:pPr>
                    <w:widowControl/>
                    <w:spacing w:line="240" w:lineRule="auto"/>
                    <w:jc w:val="center"/>
                    <w:rPr>
                      <w:b/>
                      <w:sz w:val="21"/>
                      <w:szCs w:val="21"/>
                    </w:rPr>
                  </w:pPr>
                  <w:r>
                    <w:rPr>
                      <w:rFonts w:hAnsi="宋体"/>
                      <w:b/>
                      <w:sz w:val="21"/>
                      <w:szCs w:val="21"/>
                    </w:rPr>
                    <w:t>产出</w:t>
                  </w:r>
                </w:p>
              </w:tc>
            </w:tr>
            <w:tr w14:paraId="4F51E3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8" w:type="pct"/>
                  <w:tcBorders>
                    <w:top w:val="single" w:color="auto" w:sz="6" w:space="0"/>
                    <w:left w:val="single" w:color="auto" w:sz="4" w:space="0"/>
                    <w:bottom w:val="single" w:color="auto" w:sz="6" w:space="0"/>
                    <w:right w:val="single" w:color="auto" w:sz="6" w:space="0"/>
                  </w:tcBorders>
                  <w:vAlign w:val="center"/>
                </w:tcPr>
                <w:p w14:paraId="52B10B1E">
                  <w:pPr>
                    <w:widowControl/>
                    <w:spacing w:line="240" w:lineRule="auto"/>
                    <w:jc w:val="center"/>
                    <w:rPr>
                      <w:b/>
                      <w:sz w:val="21"/>
                      <w:szCs w:val="21"/>
                      <w:u w:val="single"/>
                    </w:rPr>
                  </w:pPr>
                  <w:r>
                    <w:rPr>
                      <w:rFonts w:hAnsi="宋体"/>
                      <w:b/>
                      <w:sz w:val="21"/>
                      <w:szCs w:val="21"/>
                      <w:u w:val="single"/>
                    </w:rPr>
                    <w:t>名称</w:t>
                  </w:r>
                </w:p>
              </w:tc>
              <w:tc>
                <w:tcPr>
                  <w:tcW w:w="1054" w:type="pct"/>
                  <w:tcBorders>
                    <w:top w:val="single" w:color="auto" w:sz="6" w:space="0"/>
                    <w:left w:val="single" w:color="auto" w:sz="6" w:space="0"/>
                    <w:bottom w:val="single" w:color="auto" w:sz="6" w:space="0"/>
                    <w:right w:val="single" w:color="auto" w:sz="6" w:space="0"/>
                  </w:tcBorders>
                  <w:vAlign w:val="center"/>
                </w:tcPr>
                <w:p w14:paraId="3A0D0888">
                  <w:pPr>
                    <w:widowControl/>
                    <w:spacing w:line="240" w:lineRule="auto"/>
                    <w:jc w:val="center"/>
                    <w:rPr>
                      <w:b/>
                      <w:sz w:val="21"/>
                      <w:szCs w:val="21"/>
                      <w:u w:val="single"/>
                    </w:rPr>
                  </w:pPr>
                  <w:r>
                    <w:rPr>
                      <w:rFonts w:hAnsi="宋体"/>
                      <w:b/>
                      <w:sz w:val="21"/>
                      <w:szCs w:val="21"/>
                      <w:u w:val="single"/>
                    </w:rPr>
                    <w:t>数量</w:t>
                  </w:r>
                </w:p>
              </w:tc>
              <w:tc>
                <w:tcPr>
                  <w:tcW w:w="1650" w:type="pct"/>
                  <w:gridSpan w:val="2"/>
                  <w:tcBorders>
                    <w:top w:val="single" w:color="auto" w:sz="6" w:space="0"/>
                    <w:left w:val="single" w:color="auto" w:sz="6" w:space="0"/>
                    <w:bottom w:val="single" w:color="auto" w:sz="6" w:space="0"/>
                    <w:right w:val="single" w:color="auto" w:sz="6" w:space="0"/>
                  </w:tcBorders>
                  <w:vAlign w:val="center"/>
                </w:tcPr>
                <w:p w14:paraId="673BD853">
                  <w:pPr>
                    <w:widowControl/>
                    <w:spacing w:line="240" w:lineRule="auto"/>
                    <w:jc w:val="center"/>
                    <w:rPr>
                      <w:b/>
                      <w:sz w:val="21"/>
                      <w:szCs w:val="21"/>
                      <w:u w:val="single"/>
                    </w:rPr>
                  </w:pPr>
                  <w:r>
                    <w:rPr>
                      <w:rFonts w:hAnsi="宋体"/>
                      <w:b/>
                      <w:sz w:val="21"/>
                      <w:szCs w:val="21"/>
                      <w:u w:val="single"/>
                    </w:rPr>
                    <w:t>名称</w:t>
                  </w:r>
                </w:p>
              </w:tc>
              <w:tc>
                <w:tcPr>
                  <w:tcW w:w="1027" w:type="pct"/>
                  <w:tcBorders>
                    <w:top w:val="single" w:color="auto" w:sz="6" w:space="0"/>
                    <w:left w:val="single" w:color="auto" w:sz="6" w:space="0"/>
                    <w:bottom w:val="single" w:color="auto" w:sz="6" w:space="0"/>
                    <w:right w:val="single" w:color="auto" w:sz="4" w:space="0"/>
                  </w:tcBorders>
                  <w:vAlign w:val="center"/>
                </w:tcPr>
                <w:p w14:paraId="2A5C8DB4">
                  <w:pPr>
                    <w:widowControl/>
                    <w:spacing w:line="240" w:lineRule="auto"/>
                    <w:jc w:val="center"/>
                    <w:rPr>
                      <w:b/>
                      <w:sz w:val="21"/>
                      <w:szCs w:val="21"/>
                      <w:u w:val="single"/>
                    </w:rPr>
                  </w:pPr>
                  <w:r>
                    <w:rPr>
                      <w:rFonts w:hAnsi="宋体"/>
                      <w:b/>
                      <w:sz w:val="21"/>
                      <w:szCs w:val="21"/>
                      <w:u w:val="single"/>
                    </w:rPr>
                    <w:t>数量</w:t>
                  </w:r>
                </w:p>
              </w:tc>
            </w:tr>
            <w:tr w14:paraId="7F965A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1268" w:type="pct"/>
                  <w:tcBorders>
                    <w:top w:val="single" w:color="auto" w:sz="6" w:space="0"/>
                    <w:left w:val="single" w:color="auto" w:sz="4" w:space="0"/>
                    <w:right w:val="single" w:color="auto" w:sz="6" w:space="0"/>
                  </w:tcBorders>
                  <w:vAlign w:val="center"/>
                </w:tcPr>
                <w:p w14:paraId="10E13C24">
                  <w:pPr>
                    <w:widowControl/>
                    <w:spacing w:line="240" w:lineRule="auto"/>
                    <w:jc w:val="center"/>
                    <w:rPr>
                      <w:sz w:val="21"/>
                      <w:szCs w:val="21"/>
                      <w:u w:val="single"/>
                    </w:rPr>
                  </w:pPr>
                  <w:r>
                    <w:rPr>
                      <w:rFonts w:hint="eastAsia"/>
                      <w:sz w:val="21"/>
                      <w:szCs w:val="21"/>
                      <w:u w:val="single"/>
                    </w:rPr>
                    <w:t>青石、花岗岩边角料</w:t>
                  </w:r>
                </w:p>
              </w:tc>
              <w:tc>
                <w:tcPr>
                  <w:tcW w:w="1054" w:type="pct"/>
                  <w:tcBorders>
                    <w:top w:val="single" w:color="auto" w:sz="6" w:space="0"/>
                    <w:left w:val="single" w:color="auto" w:sz="6" w:space="0"/>
                    <w:bottom w:val="single" w:color="auto" w:sz="6" w:space="0"/>
                    <w:right w:val="single" w:color="auto" w:sz="6" w:space="0"/>
                  </w:tcBorders>
                  <w:vAlign w:val="center"/>
                </w:tcPr>
                <w:p w14:paraId="40329AF6">
                  <w:pPr>
                    <w:widowControl/>
                    <w:spacing w:line="240" w:lineRule="auto"/>
                    <w:jc w:val="center"/>
                    <w:rPr>
                      <w:sz w:val="21"/>
                      <w:szCs w:val="21"/>
                      <w:u w:val="single"/>
                    </w:rPr>
                  </w:pPr>
                  <w:r>
                    <w:rPr>
                      <w:rFonts w:hint="eastAsia"/>
                      <w:sz w:val="21"/>
                      <w:szCs w:val="21"/>
                      <w:u w:val="single"/>
                    </w:rPr>
                    <w:t>806</w:t>
                  </w:r>
                </w:p>
              </w:tc>
              <w:tc>
                <w:tcPr>
                  <w:tcW w:w="493" w:type="pct"/>
                  <w:tcBorders>
                    <w:top w:val="single" w:color="auto" w:sz="6" w:space="0"/>
                    <w:left w:val="single" w:color="auto" w:sz="6" w:space="0"/>
                    <w:right w:val="single" w:color="auto" w:sz="6" w:space="0"/>
                  </w:tcBorders>
                  <w:vAlign w:val="center"/>
                </w:tcPr>
                <w:p w14:paraId="748C4752">
                  <w:pPr>
                    <w:widowControl/>
                    <w:spacing w:line="240" w:lineRule="auto"/>
                    <w:jc w:val="center"/>
                    <w:rPr>
                      <w:sz w:val="21"/>
                      <w:szCs w:val="21"/>
                      <w:u w:val="single"/>
                    </w:rPr>
                  </w:pPr>
                  <w:r>
                    <w:rPr>
                      <w:rFonts w:hint="eastAsia"/>
                      <w:sz w:val="21"/>
                      <w:szCs w:val="21"/>
                      <w:u w:val="single"/>
                    </w:rPr>
                    <w:t>产品</w:t>
                  </w:r>
                </w:p>
              </w:tc>
              <w:tc>
                <w:tcPr>
                  <w:tcW w:w="1157" w:type="pct"/>
                  <w:tcBorders>
                    <w:top w:val="single" w:color="auto" w:sz="6" w:space="0"/>
                    <w:left w:val="single" w:color="auto" w:sz="6" w:space="0"/>
                    <w:right w:val="single" w:color="auto" w:sz="6" w:space="0"/>
                  </w:tcBorders>
                  <w:vAlign w:val="center"/>
                </w:tcPr>
                <w:p w14:paraId="2A37BE19">
                  <w:pPr>
                    <w:widowControl/>
                    <w:spacing w:line="240" w:lineRule="auto"/>
                    <w:jc w:val="center"/>
                    <w:rPr>
                      <w:sz w:val="21"/>
                      <w:szCs w:val="21"/>
                      <w:u w:val="single"/>
                    </w:rPr>
                  </w:pPr>
                  <w:r>
                    <w:rPr>
                      <w:rFonts w:hint="eastAsia" w:ascii="Times New Roman" w:hAnsi="Times New Roman" w:eastAsia="宋体" w:cs="Times New Roman"/>
                      <w:kern w:val="2"/>
                      <w:sz w:val="21"/>
                      <w:szCs w:val="21"/>
                      <w:u w:val="single"/>
                      <w:lang w:val="en-US" w:eastAsia="zh-CN" w:bidi="ar-SA"/>
                    </w:rPr>
                    <w:t>透水砖、路面砖</w:t>
                  </w:r>
                </w:p>
              </w:tc>
              <w:tc>
                <w:tcPr>
                  <w:tcW w:w="1027" w:type="pct"/>
                  <w:tcBorders>
                    <w:top w:val="single" w:color="auto" w:sz="6" w:space="0"/>
                    <w:left w:val="single" w:color="auto" w:sz="6" w:space="0"/>
                    <w:right w:val="single" w:color="auto" w:sz="4" w:space="0"/>
                  </w:tcBorders>
                  <w:vAlign w:val="center"/>
                </w:tcPr>
                <w:p w14:paraId="0D5909CD">
                  <w:pPr>
                    <w:widowControl/>
                    <w:spacing w:line="240" w:lineRule="auto"/>
                    <w:jc w:val="center"/>
                    <w:rPr>
                      <w:rFonts w:hint="default" w:eastAsia="宋体"/>
                      <w:sz w:val="21"/>
                      <w:szCs w:val="21"/>
                      <w:u w:val="single"/>
                      <w:lang w:val="en-US" w:eastAsia="zh-CN"/>
                    </w:rPr>
                  </w:pPr>
                  <w:r>
                    <w:rPr>
                      <w:rFonts w:hint="eastAsia"/>
                      <w:sz w:val="21"/>
                      <w:szCs w:val="21"/>
                      <w:u w:val="single"/>
                    </w:rPr>
                    <w:t>41</w:t>
                  </w:r>
                  <w:r>
                    <w:rPr>
                      <w:rFonts w:hint="eastAsia"/>
                      <w:sz w:val="21"/>
                      <w:szCs w:val="21"/>
                      <w:u w:val="single"/>
                      <w:lang w:val="en-US" w:eastAsia="zh-CN"/>
                    </w:rPr>
                    <w:t>68</w:t>
                  </w:r>
                  <w:r>
                    <w:rPr>
                      <w:rFonts w:hint="eastAsia"/>
                      <w:sz w:val="21"/>
                      <w:szCs w:val="21"/>
                      <w:u w:val="single"/>
                    </w:rPr>
                    <w:t>.7</w:t>
                  </w:r>
                  <w:r>
                    <w:rPr>
                      <w:rFonts w:hint="eastAsia"/>
                      <w:sz w:val="21"/>
                      <w:szCs w:val="21"/>
                      <w:u w:val="single"/>
                      <w:lang w:val="en-US" w:eastAsia="zh-CN"/>
                    </w:rPr>
                    <w:t>04</w:t>
                  </w:r>
                </w:p>
              </w:tc>
            </w:tr>
            <w:tr w14:paraId="1AD0D5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8" w:type="pct"/>
                  <w:tcBorders>
                    <w:left w:val="single" w:color="auto" w:sz="4" w:space="0"/>
                    <w:right w:val="single" w:color="auto" w:sz="6" w:space="0"/>
                  </w:tcBorders>
                  <w:vAlign w:val="center"/>
                </w:tcPr>
                <w:p w14:paraId="280A0E75">
                  <w:pPr>
                    <w:widowControl/>
                    <w:spacing w:line="240" w:lineRule="auto"/>
                    <w:jc w:val="center"/>
                    <w:rPr>
                      <w:sz w:val="21"/>
                      <w:szCs w:val="21"/>
                      <w:u w:val="single"/>
                    </w:rPr>
                  </w:pPr>
                  <w:r>
                    <w:rPr>
                      <w:rFonts w:hint="eastAsia" w:hAnsi="宋体"/>
                      <w:sz w:val="21"/>
                      <w:szCs w:val="21"/>
                      <w:u w:val="single"/>
                    </w:rPr>
                    <w:t>水泥</w:t>
                  </w:r>
                </w:p>
              </w:tc>
              <w:tc>
                <w:tcPr>
                  <w:tcW w:w="1054" w:type="pct"/>
                  <w:tcBorders>
                    <w:top w:val="single" w:color="auto" w:sz="6" w:space="0"/>
                    <w:left w:val="single" w:color="auto" w:sz="6" w:space="0"/>
                    <w:bottom w:val="single" w:color="auto" w:sz="6" w:space="0"/>
                    <w:right w:val="single" w:color="auto" w:sz="6" w:space="0"/>
                  </w:tcBorders>
                  <w:vAlign w:val="center"/>
                </w:tcPr>
                <w:p w14:paraId="505183B3">
                  <w:pPr>
                    <w:widowControl/>
                    <w:spacing w:line="240" w:lineRule="auto"/>
                    <w:jc w:val="center"/>
                    <w:rPr>
                      <w:sz w:val="21"/>
                      <w:szCs w:val="21"/>
                      <w:u w:val="single"/>
                    </w:rPr>
                  </w:pPr>
                  <w:r>
                    <w:rPr>
                      <w:rFonts w:hint="eastAsia"/>
                      <w:sz w:val="21"/>
                      <w:szCs w:val="21"/>
                      <w:u w:val="single"/>
                    </w:rPr>
                    <w:t>1464</w:t>
                  </w:r>
                </w:p>
              </w:tc>
              <w:tc>
                <w:tcPr>
                  <w:tcW w:w="493" w:type="pct"/>
                  <w:vMerge w:val="restart"/>
                  <w:tcBorders>
                    <w:top w:val="single" w:color="auto" w:sz="6" w:space="0"/>
                    <w:left w:val="single" w:color="auto" w:sz="6" w:space="0"/>
                    <w:right w:val="single" w:color="auto" w:sz="6" w:space="0"/>
                  </w:tcBorders>
                  <w:vAlign w:val="center"/>
                </w:tcPr>
                <w:p w14:paraId="0FD048CB">
                  <w:pPr>
                    <w:widowControl/>
                    <w:spacing w:line="240" w:lineRule="auto"/>
                    <w:jc w:val="center"/>
                    <w:rPr>
                      <w:sz w:val="21"/>
                      <w:szCs w:val="21"/>
                      <w:u w:val="single"/>
                    </w:rPr>
                  </w:pPr>
                  <w:r>
                    <w:rPr>
                      <w:rFonts w:hint="eastAsia"/>
                      <w:sz w:val="21"/>
                      <w:szCs w:val="21"/>
                      <w:u w:val="single"/>
                    </w:rPr>
                    <w:t>污染物</w:t>
                  </w:r>
                </w:p>
              </w:tc>
              <w:tc>
                <w:tcPr>
                  <w:tcW w:w="1157" w:type="pct"/>
                  <w:vMerge w:val="restart"/>
                  <w:tcBorders>
                    <w:top w:val="single" w:color="auto" w:sz="6" w:space="0"/>
                    <w:left w:val="single" w:color="auto" w:sz="6" w:space="0"/>
                    <w:right w:val="single" w:color="auto" w:sz="6" w:space="0"/>
                  </w:tcBorders>
                  <w:vAlign w:val="center"/>
                </w:tcPr>
                <w:p w14:paraId="31531DDC">
                  <w:pPr>
                    <w:widowControl/>
                    <w:spacing w:line="240" w:lineRule="auto"/>
                    <w:jc w:val="center"/>
                    <w:rPr>
                      <w:sz w:val="21"/>
                      <w:szCs w:val="21"/>
                      <w:u w:val="single"/>
                    </w:rPr>
                  </w:pPr>
                  <w:r>
                    <w:rPr>
                      <w:rFonts w:hint="eastAsia"/>
                      <w:sz w:val="21"/>
                      <w:szCs w:val="21"/>
                      <w:u w:val="single"/>
                    </w:rPr>
                    <w:t>粉尘</w:t>
                  </w:r>
                </w:p>
              </w:tc>
              <w:tc>
                <w:tcPr>
                  <w:tcW w:w="1027" w:type="pct"/>
                  <w:vMerge w:val="restart"/>
                  <w:tcBorders>
                    <w:top w:val="single" w:color="auto" w:sz="6" w:space="0"/>
                    <w:left w:val="single" w:color="auto" w:sz="6" w:space="0"/>
                    <w:right w:val="single" w:color="auto" w:sz="4" w:space="0"/>
                  </w:tcBorders>
                  <w:vAlign w:val="center"/>
                </w:tcPr>
                <w:p w14:paraId="3F7CF385">
                  <w:pPr>
                    <w:widowControl/>
                    <w:spacing w:line="240" w:lineRule="auto"/>
                    <w:jc w:val="center"/>
                    <w:rPr>
                      <w:rFonts w:hint="default" w:eastAsia="宋体"/>
                      <w:sz w:val="21"/>
                      <w:szCs w:val="21"/>
                      <w:u w:val="single"/>
                      <w:lang w:val="en-US" w:eastAsia="zh-CN"/>
                    </w:rPr>
                  </w:pPr>
                  <w:r>
                    <w:rPr>
                      <w:rFonts w:hint="eastAsia"/>
                      <w:sz w:val="21"/>
                      <w:szCs w:val="21"/>
                      <w:u w:val="single"/>
                    </w:rPr>
                    <w:t>0.</w:t>
                  </w:r>
                  <w:r>
                    <w:rPr>
                      <w:rFonts w:hint="eastAsia"/>
                      <w:sz w:val="21"/>
                      <w:szCs w:val="21"/>
                      <w:u w:val="single"/>
                      <w:lang w:val="en-US" w:eastAsia="zh-CN"/>
                    </w:rPr>
                    <w:t>296</w:t>
                  </w:r>
                </w:p>
              </w:tc>
            </w:tr>
            <w:tr w14:paraId="5A1453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68" w:type="pct"/>
                  <w:tcBorders>
                    <w:left w:val="single" w:color="auto" w:sz="4" w:space="0"/>
                    <w:right w:val="single" w:color="auto" w:sz="6" w:space="0"/>
                  </w:tcBorders>
                  <w:vAlign w:val="center"/>
                </w:tcPr>
                <w:p w14:paraId="66479C96">
                  <w:pPr>
                    <w:widowControl/>
                    <w:spacing w:line="240" w:lineRule="auto"/>
                    <w:jc w:val="center"/>
                    <w:rPr>
                      <w:rFonts w:hAnsi="宋体"/>
                      <w:sz w:val="21"/>
                      <w:szCs w:val="21"/>
                      <w:u w:val="single"/>
                    </w:rPr>
                  </w:pPr>
                  <w:r>
                    <w:rPr>
                      <w:rFonts w:hint="eastAsia" w:hAnsi="宋体"/>
                      <w:sz w:val="21"/>
                      <w:szCs w:val="21"/>
                      <w:u w:val="single"/>
                    </w:rPr>
                    <w:t>石粉</w:t>
                  </w:r>
                </w:p>
              </w:tc>
              <w:tc>
                <w:tcPr>
                  <w:tcW w:w="1054" w:type="pct"/>
                  <w:tcBorders>
                    <w:top w:val="single" w:color="auto" w:sz="6" w:space="0"/>
                    <w:left w:val="single" w:color="auto" w:sz="6" w:space="0"/>
                    <w:bottom w:val="single" w:color="auto" w:sz="6" w:space="0"/>
                    <w:right w:val="single" w:color="auto" w:sz="6" w:space="0"/>
                  </w:tcBorders>
                  <w:vAlign w:val="center"/>
                </w:tcPr>
                <w:p w14:paraId="6D555D4B">
                  <w:pPr>
                    <w:widowControl/>
                    <w:spacing w:line="240" w:lineRule="auto"/>
                    <w:jc w:val="center"/>
                    <w:rPr>
                      <w:rFonts w:hint="default" w:hAnsi="宋体" w:eastAsia="宋体"/>
                      <w:sz w:val="21"/>
                      <w:szCs w:val="21"/>
                      <w:u w:val="single"/>
                      <w:lang w:val="en-US" w:eastAsia="zh-CN"/>
                    </w:rPr>
                  </w:pPr>
                  <w:r>
                    <w:rPr>
                      <w:rFonts w:hint="eastAsia"/>
                      <w:sz w:val="21"/>
                      <w:szCs w:val="21"/>
                      <w:u w:val="single"/>
                    </w:rPr>
                    <w:t>18</w:t>
                  </w:r>
                  <w:r>
                    <w:rPr>
                      <w:rFonts w:hint="eastAsia"/>
                      <w:sz w:val="21"/>
                      <w:szCs w:val="21"/>
                      <w:u w:val="single"/>
                      <w:lang w:val="en-US" w:eastAsia="zh-CN"/>
                    </w:rPr>
                    <w:t>96</w:t>
                  </w:r>
                </w:p>
              </w:tc>
              <w:tc>
                <w:tcPr>
                  <w:tcW w:w="493" w:type="pct"/>
                  <w:vMerge w:val="continue"/>
                  <w:tcBorders>
                    <w:left w:val="single" w:color="auto" w:sz="6" w:space="0"/>
                    <w:right w:val="single" w:color="auto" w:sz="6" w:space="0"/>
                  </w:tcBorders>
                  <w:vAlign w:val="center"/>
                </w:tcPr>
                <w:p w14:paraId="1D5C8C4A">
                  <w:pPr>
                    <w:widowControl/>
                    <w:spacing w:line="240" w:lineRule="auto"/>
                    <w:jc w:val="center"/>
                    <w:rPr>
                      <w:sz w:val="21"/>
                      <w:szCs w:val="21"/>
                      <w:u w:val="single"/>
                    </w:rPr>
                  </w:pPr>
                </w:p>
              </w:tc>
              <w:tc>
                <w:tcPr>
                  <w:tcW w:w="1157" w:type="pct"/>
                  <w:vMerge w:val="continue"/>
                  <w:tcBorders>
                    <w:left w:val="single" w:color="auto" w:sz="6" w:space="0"/>
                    <w:right w:val="single" w:color="auto" w:sz="6" w:space="0"/>
                  </w:tcBorders>
                  <w:vAlign w:val="center"/>
                </w:tcPr>
                <w:p w14:paraId="601777DB">
                  <w:pPr>
                    <w:widowControl/>
                    <w:spacing w:line="240" w:lineRule="auto"/>
                    <w:jc w:val="center"/>
                    <w:rPr>
                      <w:sz w:val="21"/>
                      <w:szCs w:val="21"/>
                      <w:u w:val="single"/>
                    </w:rPr>
                  </w:pPr>
                </w:p>
              </w:tc>
              <w:tc>
                <w:tcPr>
                  <w:tcW w:w="1027" w:type="pct"/>
                  <w:vMerge w:val="continue"/>
                  <w:tcBorders>
                    <w:left w:val="single" w:color="auto" w:sz="6" w:space="0"/>
                    <w:right w:val="single" w:color="auto" w:sz="4" w:space="0"/>
                  </w:tcBorders>
                  <w:vAlign w:val="center"/>
                </w:tcPr>
                <w:p w14:paraId="6C4C1475">
                  <w:pPr>
                    <w:widowControl/>
                    <w:spacing w:line="240" w:lineRule="auto"/>
                    <w:jc w:val="center"/>
                    <w:rPr>
                      <w:sz w:val="21"/>
                      <w:szCs w:val="21"/>
                      <w:u w:val="single"/>
                    </w:rPr>
                  </w:pPr>
                </w:p>
              </w:tc>
            </w:tr>
            <w:tr w14:paraId="25E3A9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68" w:type="pct"/>
                  <w:tcBorders>
                    <w:left w:val="single" w:color="auto" w:sz="4" w:space="0"/>
                    <w:right w:val="single" w:color="auto" w:sz="6" w:space="0"/>
                  </w:tcBorders>
                  <w:vAlign w:val="center"/>
                </w:tcPr>
                <w:p w14:paraId="74C4A7D4">
                  <w:pPr>
                    <w:widowControl/>
                    <w:spacing w:line="240" w:lineRule="auto"/>
                    <w:jc w:val="center"/>
                    <w:rPr>
                      <w:rFonts w:hint="eastAsia" w:ascii="Times New Roman" w:hAnsi="宋体" w:eastAsia="宋体" w:cs="Times New Roman"/>
                      <w:sz w:val="21"/>
                      <w:szCs w:val="21"/>
                      <w:u w:val="single"/>
                    </w:rPr>
                  </w:pPr>
                  <w:r>
                    <w:rPr>
                      <w:rFonts w:hint="eastAsia" w:ascii="Times New Roman" w:hAnsi="宋体" w:eastAsia="宋体" w:cs="Times New Roman"/>
                      <w:sz w:val="21"/>
                      <w:szCs w:val="21"/>
                      <w:u w:val="single"/>
                    </w:rPr>
                    <w:t>绿色</w:t>
                  </w:r>
                  <w:r>
                    <w:rPr>
                      <w:rFonts w:hint="eastAsia" w:ascii="Times New Roman" w:hAnsi="宋体" w:eastAsia="宋体" w:cs="Times New Roman"/>
                      <w:b w:val="0"/>
                      <w:bCs w:val="0"/>
                      <w:sz w:val="21"/>
                      <w:szCs w:val="21"/>
                      <w:u w:val="single"/>
                      <w:lang w:eastAsia="zh-CN"/>
                    </w:rPr>
                    <w:t>无机颜料</w:t>
                  </w:r>
                </w:p>
              </w:tc>
              <w:tc>
                <w:tcPr>
                  <w:tcW w:w="1054" w:type="pct"/>
                  <w:tcBorders>
                    <w:top w:val="single" w:color="auto" w:sz="6" w:space="0"/>
                    <w:left w:val="single" w:color="auto" w:sz="6" w:space="0"/>
                    <w:bottom w:val="single" w:color="auto" w:sz="6" w:space="0"/>
                    <w:right w:val="single" w:color="auto" w:sz="6" w:space="0"/>
                  </w:tcBorders>
                  <w:vAlign w:val="center"/>
                </w:tcPr>
                <w:p w14:paraId="7FB97A33">
                  <w:pPr>
                    <w:widowControl/>
                    <w:spacing w:line="240" w:lineRule="auto"/>
                    <w:jc w:val="center"/>
                    <w:rPr>
                      <w:rFonts w:hint="default" w:hAnsi="宋体" w:eastAsia="宋体"/>
                      <w:sz w:val="21"/>
                      <w:szCs w:val="21"/>
                      <w:u w:val="single"/>
                      <w:lang w:val="en-US" w:eastAsia="zh-CN"/>
                    </w:rPr>
                  </w:pPr>
                  <w:r>
                    <w:rPr>
                      <w:rFonts w:hint="eastAsia" w:hAnsi="宋体"/>
                      <w:sz w:val="21"/>
                      <w:szCs w:val="21"/>
                      <w:u w:val="single"/>
                      <w:lang w:val="en-US" w:eastAsia="zh-CN"/>
                    </w:rPr>
                    <w:t>1</w:t>
                  </w:r>
                </w:p>
              </w:tc>
              <w:tc>
                <w:tcPr>
                  <w:tcW w:w="493" w:type="pct"/>
                  <w:vMerge w:val="continue"/>
                  <w:tcBorders>
                    <w:left w:val="single" w:color="auto" w:sz="6" w:space="0"/>
                    <w:right w:val="single" w:color="auto" w:sz="6" w:space="0"/>
                  </w:tcBorders>
                  <w:vAlign w:val="center"/>
                </w:tcPr>
                <w:p w14:paraId="3A4B2B34">
                  <w:pPr>
                    <w:widowControl/>
                    <w:spacing w:line="240" w:lineRule="auto"/>
                    <w:jc w:val="center"/>
                    <w:rPr>
                      <w:sz w:val="21"/>
                      <w:szCs w:val="21"/>
                      <w:u w:val="single"/>
                    </w:rPr>
                  </w:pPr>
                </w:p>
              </w:tc>
              <w:tc>
                <w:tcPr>
                  <w:tcW w:w="1157" w:type="pct"/>
                  <w:vMerge w:val="continue"/>
                  <w:tcBorders>
                    <w:left w:val="single" w:color="auto" w:sz="6" w:space="0"/>
                    <w:right w:val="single" w:color="auto" w:sz="6" w:space="0"/>
                  </w:tcBorders>
                  <w:vAlign w:val="center"/>
                </w:tcPr>
                <w:p w14:paraId="4C8F0353">
                  <w:pPr>
                    <w:widowControl/>
                    <w:spacing w:line="240" w:lineRule="auto"/>
                    <w:jc w:val="center"/>
                    <w:rPr>
                      <w:sz w:val="21"/>
                      <w:szCs w:val="21"/>
                      <w:u w:val="single"/>
                    </w:rPr>
                  </w:pPr>
                </w:p>
              </w:tc>
              <w:tc>
                <w:tcPr>
                  <w:tcW w:w="1027" w:type="pct"/>
                  <w:vMerge w:val="continue"/>
                  <w:tcBorders>
                    <w:left w:val="single" w:color="auto" w:sz="6" w:space="0"/>
                    <w:right w:val="single" w:color="auto" w:sz="4" w:space="0"/>
                  </w:tcBorders>
                  <w:vAlign w:val="center"/>
                </w:tcPr>
                <w:p w14:paraId="050002AE">
                  <w:pPr>
                    <w:widowControl/>
                    <w:spacing w:line="240" w:lineRule="auto"/>
                    <w:jc w:val="center"/>
                    <w:rPr>
                      <w:sz w:val="21"/>
                      <w:szCs w:val="21"/>
                      <w:u w:val="single"/>
                    </w:rPr>
                  </w:pPr>
                </w:p>
              </w:tc>
            </w:tr>
            <w:tr w14:paraId="3AAC99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68" w:type="pct"/>
                  <w:tcBorders>
                    <w:left w:val="single" w:color="auto" w:sz="4" w:space="0"/>
                    <w:right w:val="single" w:color="auto" w:sz="6" w:space="0"/>
                  </w:tcBorders>
                  <w:vAlign w:val="center"/>
                </w:tcPr>
                <w:p w14:paraId="08E03AA5">
                  <w:pPr>
                    <w:widowControl/>
                    <w:spacing w:line="240" w:lineRule="auto"/>
                    <w:jc w:val="center"/>
                    <w:rPr>
                      <w:rFonts w:hint="eastAsia" w:ascii="Times New Roman" w:hAnsi="宋体" w:eastAsia="宋体" w:cs="Times New Roman"/>
                      <w:sz w:val="21"/>
                      <w:szCs w:val="21"/>
                      <w:u w:val="single"/>
                    </w:rPr>
                  </w:pPr>
                  <w:r>
                    <w:rPr>
                      <w:rFonts w:hint="eastAsia" w:ascii="Times New Roman" w:hAnsi="宋体" w:eastAsia="宋体" w:cs="Times New Roman"/>
                      <w:sz w:val="21"/>
                      <w:szCs w:val="21"/>
                      <w:u w:val="single"/>
                    </w:rPr>
                    <w:t>红色</w:t>
                  </w:r>
                  <w:r>
                    <w:rPr>
                      <w:rFonts w:hint="eastAsia" w:ascii="Times New Roman" w:hAnsi="宋体" w:eastAsia="宋体" w:cs="Times New Roman"/>
                      <w:b w:val="0"/>
                      <w:bCs w:val="0"/>
                      <w:sz w:val="21"/>
                      <w:szCs w:val="21"/>
                      <w:u w:val="single"/>
                      <w:lang w:eastAsia="zh-CN"/>
                    </w:rPr>
                    <w:t>无机颜料</w:t>
                  </w:r>
                </w:p>
              </w:tc>
              <w:tc>
                <w:tcPr>
                  <w:tcW w:w="1054" w:type="pct"/>
                  <w:tcBorders>
                    <w:top w:val="single" w:color="auto" w:sz="6" w:space="0"/>
                    <w:left w:val="single" w:color="auto" w:sz="6" w:space="0"/>
                    <w:bottom w:val="single" w:color="auto" w:sz="6" w:space="0"/>
                    <w:right w:val="single" w:color="auto" w:sz="6" w:space="0"/>
                  </w:tcBorders>
                  <w:vAlign w:val="center"/>
                </w:tcPr>
                <w:p w14:paraId="0CDA80C6">
                  <w:pPr>
                    <w:widowControl/>
                    <w:spacing w:line="240" w:lineRule="auto"/>
                    <w:jc w:val="center"/>
                    <w:rPr>
                      <w:rFonts w:hAnsi="宋体"/>
                      <w:sz w:val="21"/>
                      <w:szCs w:val="21"/>
                      <w:u w:val="single"/>
                    </w:rPr>
                  </w:pPr>
                  <w:r>
                    <w:rPr>
                      <w:rFonts w:hint="eastAsia" w:hAnsi="宋体"/>
                      <w:sz w:val="21"/>
                      <w:szCs w:val="21"/>
                      <w:u w:val="single"/>
                    </w:rPr>
                    <w:t>1</w:t>
                  </w:r>
                </w:p>
              </w:tc>
              <w:tc>
                <w:tcPr>
                  <w:tcW w:w="493" w:type="pct"/>
                  <w:vMerge w:val="continue"/>
                  <w:tcBorders>
                    <w:left w:val="single" w:color="auto" w:sz="6" w:space="0"/>
                    <w:right w:val="single" w:color="auto" w:sz="6" w:space="0"/>
                  </w:tcBorders>
                  <w:vAlign w:val="center"/>
                </w:tcPr>
                <w:p w14:paraId="6E074CAD">
                  <w:pPr>
                    <w:widowControl/>
                    <w:spacing w:line="240" w:lineRule="auto"/>
                    <w:jc w:val="center"/>
                    <w:rPr>
                      <w:sz w:val="21"/>
                      <w:szCs w:val="21"/>
                      <w:u w:val="single"/>
                    </w:rPr>
                  </w:pPr>
                </w:p>
              </w:tc>
              <w:tc>
                <w:tcPr>
                  <w:tcW w:w="1157" w:type="pct"/>
                  <w:vMerge w:val="continue"/>
                  <w:tcBorders>
                    <w:left w:val="single" w:color="auto" w:sz="6" w:space="0"/>
                    <w:right w:val="single" w:color="auto" w:sz="6" w:space="0"/>
                  </w:tcBorders>
                  <w:vAlign w:val="center"/>
                </w:tcPr>
                <w:p w14:paraId="5F5CFB67">
                  <w:pPr>
                    <w:widowControl/>
                    <w:spacing w:line="240" w:lineRule="auto"/>
                    <w:jc w:val="center"/>
                    <w:rPr>
                      <w:sz w:val="21"/>
                      <w:szCs w:val="21"/>
                      <w:u w:val="single"/>
                    </w:rPr>
                  </w:pPr>
                </w:p>
              </w:tc>
              <w:tc>
                <w:tcPr>
                  <w:tcW w:w="1027" w:type="pct"/>
                  <w:vMerge w:val="continue"/>
                  <w:tcBorders>
                    <w:left w:val="single" w:color="auto" w:sz="6" w:space="0"/>
                    <w:right w:val="single" w:color="auto" w:sz="4" w:space="0"/>
                  </w:tcBorders>
                  <w:vAlign w:val="center"/>
                </w:tcPr>
                <w:p w14:paraId="1CAD2DF4">
                  <w:pPr>
                    <w:widowControl/>
                    <w:spacing w:line="240" w:lineRule="auto"/>
                    <w:jc w:val="center"/>
                    <w:rPr>
                      <w:sz w:val="21"/>
                      <w:szCs w:val="21"/>
                      <w:u w:val="single"/>
                    </w:rPr>
                  </w:pPr>
                </w:p>
              </w:tc>
            </w:tr>
            <w:tr w14:paraId="0A11B5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8" w:type="pct"/>
                  <w:tcBorders>
                    <w:left w:val="single" w:color="auto" w:sz="4" w:space="0"/>
                    <w:right w:val="single" w:color="auto" w:sz="6" w:space="0"/>
                  </w:tcBorders>
                  <w:vAlign w:val="center"/>
                </w:tcPr>
                <w:p w14:paraId="2412C21B">
                  <w:pPr>
                    <w:widowControl/>
                    <w:spacing w:line="240" w:lineRule="auto"/>
                    <w:jc w:val="center"/>
                    <w:rPr>
                      <w:rFonts w:hint="eastAsia" w:ascii="Times New Roman" w:hAnsi="宋体" w:eastAsia="宋体" w:cs="Times New Roman"/>
                      <w:sz w:val="21"/>
                      <w:szCs w:val="21"/>
                      <w:u w:val="single"/>
                    </w:rPr>
                  </w:pPr>
                  <w:r>
                    <w:rPr>
                      <w:rFonts w:hint="eastAsia" w:ascii="Times New Roman" w:hAnsi="宋体" w:eastAsia="宋体" w:cs="Times New Roman"/>
                      <w:sz w:val="21"/>
                      <w:szCs w:val="21"/>
                      <w:u w:val="single"/>
                    </w:rPr>
                    <w:t>黄色</w:t>
                  </w:r>
                  <w:r>
                    <w:rPr>
                      <w:rFonts w:hint="eastAsia" w:ascii="Times New Roman" w:hAnsi="宋体" w:eastAsia="宋体" w:cs="Times New Roman"/>
                      <w:b w:val="0"/>
                      <w:bCs w:val="0"/>
                      <w:sz w:val="21"/>
                      <w:szCs w:val="21"/>
                      <w:u w:val="single"/>
                      <w:lang w:eastAsia="zh-CN"/>
                    </w:rPr>
                    <w:t>无机颜料</w:t>
                  </w:r>
                </w:p>
              </w:tc>
              <w:tc>
                <w:tcPr>
                  <w:tcW w:w="1054" w:type="pct"/>
                  <w:tcBorders>
                    <w:top w:val="single" w:color="auto" w:sz="6" w:space="0"/>
                    <w:left w:val="single" w:color="auto" w:sz="6" w:space="0"/>
                    <w:bottom w:val="single" w:color="auto" w:sz="6" w:space="0"/>
                    <w:right w:val="single" w:color="auto" w:sz="6" w:space="0"/>
                  </w:tcBorders>
                  <w:vAlign w:val="center"/>
                </w:tcPr>
                <w:p w14:paraId="234DFB98">
                  <w:pPr>
                    <w:widowControl/>
                    <w:spacing w:line="240" w:lineRule="auto"/>
                    <w:jc w:val="center"/>
                    <w:rPr>
                      <w:sz w:val="21"/>
                      <w:szCs w:val="21"/>
                      <w:u w:val="single"/>
                    </w:rPr>
                  </w:pPr>
                  <w:r>
                    <w:rPr>
                      <w:rFonts w:hint="eastAsia" w:hAnsi="宋体"/>
                      <w:sz w:val="21"/>
                      <w:szCs w:val="21"/>
                      <w:u w:val="single"/>
                    </w:rPr>
                    <w:t>1</w:t>
                  </w:r>
                </w:p>
              </w:tc>
              <w:tc>
                <w:tcPr>
                  <w:tcW w:w="493" w:type="pct"/>
                  <w:vMerge w:val="continue"/>
                  <w:tcBorders>
                    <w:left w:val="single" w:color="auto" w:sz="6" w:space="0"/>
                    <w:right w:val="single" w:color="auto" w:sz="6" w:space="0"/>
                  </w:tcBorders>
                  <w:vAlign w:val="center"/>
                </w:tcPr>
                <w:p w14:paraId="4149780B">
                  <w:pPr>
                    <w:widowControl/>
                    <w:spacing w:line="240" w:lineRule="auto"/>
                    <w:jc w:val="center"/>
                    <w:rPr>
                      <w:sz w:val="21"/>
                      <w:szCs w:val="21"/>
                      <w:u w:val="single"/>
                    </w:rPr>
                  </w:pPr>
                </w:p>
              </w:tc>
              <w:tc>
                <w:tcPr>
                  <w:tcW w:w="1157" w:type="pct"/>
                  <w:vMerge w:val="continue"/>
                  <w:tcBorders>
                    <w:left w:val="single" w:color="auto" w:sz="6" w:space="0"/>
                    <w:bottom w:val="single" w:color="auto" w:sz="6" w:space="0"/>
                    <w:right w:val="single" w:color="auto" w:sz="6" w:space="0"/>
                  </w:tcBorders>
                  <w:vAlign w:val="center"/>
                </w:tcPr>
                <w:p w14:paraId="70921E2F">
                  <w:pPr>
                    <w:widowControl/>
                    <w:spacing w:line="240" w:lineRule="auto"/>
                    <w:jc w:val="center"/>
                    <w:rPr>
                      <w:sz w:val="21"/>
                      <w:szCs w:val="21"/>
                      <w:u w:val="single"/>
                    </w:rPr>
                  </w:pPr>
                </w:p>
              </w:tc>
              <w:tc>
                <w:tcPr>
                  <w:tcW w:w="1027" w:type="pct"/>
                  <w:vMerge w:val="continue"/>
                  <w:tcBorders>
                    <w:left w:val="single" w:color="auto" w:sz="6" w:space="0"/>
                    <w:bottom w:val="single" w:color="auto" w:sz="4" w:space="0"/>
                    <w:right w:val="single" w:color="auto" w:sz="4" w:space="0"/>
                  </w:tcBorders>
                  <w:vAlign w:val="center"/>
                </w:tcPr>
                <w:p w14:paraId="6722F806">
                  <w:pPr>
                    <w:widowControl/>
                    <w:spacing w:line="240" w:lineRule="auto"/>
                    <w:jc w:val="center"/>
                    <w:rPr>
                      <w:sz w:val="21"/>
                      <w:szCs w:val="21"/>
                      <w:u w:val="single"/>
                    </w:rPr>
                  </w:pPr>
                </w:p>
              </w:tc>
            </w:tr>
            <w:tr w14:paraId="4BD658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8" w:type="pct"/>
                  <w:tcBorders>
                    <w:left w:val="single" w:color="auto" w:sz="4" w:space="0"/>
                    <w:right w:val="single" w:color="auto" w:sz="6" w:space="0"/>
                  </w:tcBorders>
                  <w:vAlign w:val="center"/>
                </w:tcPr>
                <w:p w14:paraId="4EE658A6">
                  <w:pPr>
                    <w:widowControl/>
                    <w:spacing w:line="240" w:lineRule="auto"/>
                    <w:jc w:val="center"/>
                    <w:rPr>
                      <w:rFonts w:hint="eastAsia" w:eastAsia="宋体"/>
                      <w:sz w:val="21"/>
                      <w:szCs w:val="21"/>
                      <w:u w:val="single"/>
                      <w:lang w:eastAsia="zh-CN"/>
                    </w:rPr>
                  </w:pPr>
                  <w:r>
                    <w:rPr>
                      <w:rFonts w:hint="eastAsia"/>
                      <w:sz w:val="21"/>
                      <w:szCs w:val="21"/>
                      <w:u w:val="single"/>
                      <w:lang w:eastAsia="zh-CN"/>
                    </w:rPr>
                    <w:t>回用不合格品</w:t>
                  </w:r>
                </w:p>
              </w:tc>
              <w:tc>
                <w:tcPr>
                  <w:tcW w:w="1054" w:type="pct"/>
                  <w:tcBorders>
                    <w:top w:val="single" w:color="auto" w:sz="6" w:space="0"/>
                    <w:left w:val="single" w:color="auto" w:sz="6" w:space="0"/>
                    <w:bottom w:val="single" w:color="auto" w:sz="6" w:space="0"/>
                    <w:right w:val="single" w:color="auto" w:sz="6" w:space="0"/>
                  </w:tcBorders>
                  <w:vAlign w:val="center"/>
                </w:tcPr>
                <w:p w14:paraId="47649605">
                  <w:pPr>
                    <w:widowControl/>
                    <w:spacing w:line="240" w:lineRule="auto"/>
                    <w:jc w:val="center"/>
                    <w:rPr>
                      <w:rFonts w:hint="eastAsia" w:hAnsi="宋体" w:eastAsia="宋体"/>
                      <w:sz w:val="21"/>
                      <w:szCs w:val="21"/>
                      <w:u w:val="single"/>
                      <w:lang w:val="en-US" w:eastAsia="zh-CN"/>
                    </w:rPr>
                  </w:pPr>
                  <w:r>
                    <w:rPr>
                      <w:rFonts w:hint="eastAsia" w:hAnsi="宋体"/>
                      <w:sz w:val="21"/>
                      <w:szCs w:val="21"/>
                      <w:u w:val="single"/>
                      <w:lang w:val="en-US" w:eastAsia="zh-CN"/>
                    </w:rPr>
                    <w:t>5</w:t>
                  </w:r>
                </w:p>
              </w:tc>
              <w:tc>
                <w:tcPr>
                  <w:tcW w:w="493" w:type="pct"/>
                  <w:vMerge w:val="continue"/>
                  <w:tcBorders>
                    <w:left w:val="single" w:color="auto" w:sz="6" w:space="0"/>
                    <w:right w:val="single" w:color="auto" w:sz="6" w:space="0"/>
                  </w:tcBorders>
                  <w:vAlign w:val="center"/>
                </w:tcPr>
                <w:p w14:paraId="052F3D44">
                  <w:pPr>
                    <w:widowControl/>
                    <w:spacing w:line="240" w:lineRule="auto"/>
                    <w:jc w:val="center"/>
                    <w:rPr>
                      <w:sz w:val="21"/>
                      <w:szCs w:val="21"/>
                      <w:u w:val="single"/>
                    </w:rPr>
                  </w:pPr>
                </w:p>
              </w:tc>
              <w:tc>
                <w:tcPr>
                  <w:tcW w:w="1157" w:type="pct"/>
                  <w:tcBorders>
                    <w:left w:val="single" w:color="auto" w:sz="6" w:space="0"/>
                    <w:bottom w:val="single" w:color="auto" w:sz="6" w:space="0"/>
                    <w:right w:val="single" w:color="auto" w:sz="6" w:space="0"/>
                  </w:tcBorders>
                  <w:vAlign w:val="center"/>
                </w:tcPr>
                <w:p w14:paraId="3D494989">
                  <w:pPr>
                    <w:widowControl/>
                    <w:spacing w:line="240" w:lineRule="auto"/>
                    <w:jc w:val="center"/>
                    <w:rPr>
                      <w:rFonts w:hint="eastAsia" w:eastAsia="宋体"/>
                      <w:sz w:val="21"/>
                      <w:szCs w:val="21"/>
                      <w:u w:val="single"/>
                      <w:lang w:eastAsia="zh-CN"/>
                    </w:rPr>
                  </w:pPr>
                  <w:r>
                    <w:rPr>
                      <w:rFonts w:hint="eastAsia"/>
                      <w:sz w:val="21"/>
                      <w:szCs w:val="21"/>
                      <w:u w:val="single"/>
                      <w:lang w:eastAsia="zh-CN"/>
                    </w:rPr>
                    <w:t>不合格品</w:t>
                  </w:r>
                </w:p>
              </w:tc>
              <w:tc>
                <w:tcPr>
                  <w:tcW w:w="1027" w:type="pct"/>
                  <w:tcBorders>
                    <w:left w:val="single" w:color="auto" w:sz="6" w:space="0"/>
                    <w:bottom w:val="single" w:color="auto" w:sz="4" w:space="0"/>
                    <w:right w:val="single" w:color="auto" w:sz="4" w:space="0"/>
                  </w:tcBorders>
                  <w:vAlign w:val="center"/>
                </w:tcPr>
                <w:p w14:paraId="4B348201">
                  <w:pPr>
                    <w:widowControl/>
                    <w:spacing w:line="240" w:lineRule="auto"/>
                    <w:jc w:val="center"/>
                    <w:rPr>
                      <w:rFonts w:hint="eastAsia" w:eastAsia="宋体"/>
                      <w:sz w:val="21"/>
                      <w:szCs w:val="21"/>
                      <w:u w:val="single"/>
                      <w:lang w:val="en-US" w:eastAsia="zh-CN"/>
                    </w:rPr>
                  </w:pPr>
                  <w:r>
                    <w:rPr>
                      <w:rFonts w:hint="eastAsia"/>
                      <w:sz w:val="21"/>
                      <w:szCs w:val="21"/>
                      <w:u w:val="single"/>
                      <w:lang w:val="en-US" w:eastAsia="zh-CN"/>
                    </w:rPr>
                    <w:t>5</w:t>
                  </w:r>
                </w:p>
              </w:tc>
            </w:tr>
            <w:tr w14:paraId="4899A5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8" w:type="pct"/>
                  <w:tcBorders>
                    <w:left w:val="single" w:color="auto" w:sz="4" w:space="0"/>
                    <w:bottom w:val="single" w:color="auto" w:sz="6" w:space="0"/>
                    <w:right w:val="single" w:color="auto" w:sz="6" w:space="0"/>
                  </w:tcBorders>
                  <w:vAlign w:val="center"/>
                </w:tcPr>
                <w:p w14:paraId="0D4F7396">
                  <w:pPr>
                    <w:widowControl/>
                    <w:spacing w:line="240" w:lineRule="auto"/>
                    <w:jc w:val="center"/>
                    <w:rPr>
                      <w:sz w:val="21"/>
                      <w:szCs w:val="21"/>
                      <w:u w:val="single"/>
                    </w:rPr>
                  </w:pPr>
                  <w:r>
                    <w:rPr>
                      <w:rFonts w:hAnsi="宋体"/>
                      <w:sz w:val="21"/>
                      <w:szCs w:val="21"/>
                      <w:u w:val="single"/>
                    </w:rPr>
                    <w:t>合计</w:t>
                  </w:r>
                </w:p>
              </w:tc>
              <w:tc>
                <w:tcPr>
                  <w:tcW w:w="1054" w:type="pct"/>
                  <w:tcBorders>
                    <w:top w:val="single" w:color="auto" w:sz="6" w:space="0"/>
                    <w:left w:val="single" w:color="auto" w:sz="6" w:space="0"/>
                    <w:bottom w:val="single" w:color="auto" w:sz="6" w:space="0"/>
                    <w:right w:val="single" w:color="auto" w:sz="6" w:space="0"/>
                  </w:tcBorders>
                  <w:vAlign w:val="center"/>
                </w:tcPr>
                <w:p w14:paraId="74154FC8">
                  <w:pPr>
                    <w:widowControl/>
                    <w:spacing w:line="240" w:lineRule="auto"/>
                    <w:jc w:val="center"/>
                    <w:rPr>
                      <w:rFonts w:hint="default" w:eastAsia="宋体"/>
                      <w:sz w:val="21"/>
                      <w:szCs w:val="21"/>
                      <w:u w:val="single"/>
                      <w:lang w:val="en-US" w:eastAsia="zh-CN"/>
                    </w:rPr>
                  </w:pPr>
                  <w:r>
                    <w:rPr>
                      <w:rFonts w:hint="eastAsia"/>
                      <w:sz w:val="21"/>
                      <w:szCs w:val="21"/>
                      <w:u w:val="single"/>
                      <w:lang w:val="en-US" w:eastAsia="zh-CN"/>
                    </w:rPr>
                    <w:t>4174</w:t>
                  </w:r>
                </w:p>
              </w:tc>
              <w:tc>
                <w:tcPr>
                  <w:tcW w:w="1650" w:type="pct"/>
                  <w:gridSpan w:val="2"/>
                  <w:tcBorders>
                    <w:top w:val="single" w:color="auto" w:sz="6" w:space="0"/>
                    <w:left w:val="single" w:color="auto" w:sz="6" w:space="0"/>
                    <w:bottom w:val="single" w:color="auto" w:sz="6" w:space="0"/>
                    <w:right w:val="single" w:color="auto" w:sz="6" w:space="0"/>
                  </w:tcBorders>
                  <w:vAlign w:val="center"/>
                </w:tcPr>
                <w:p w14:paraId="046D2941">
                  <w:pPr>
                    <w:widowControl/>
                    <w:spacing w:line="240" w:lineRule="auto"/>
                    <w:jc w:val="center"/>
                    <w:rPr>
                      <w:sz w:val="21"/>
                      <w:szCs w:val="21"/>
                      <w:u w:val="single"/>
                    </w:rPr>
                  </w:pPr>
                  <w:r>
                    <w:rPr>
                      <w:rFonts w:hint="eastAsia"/>
                      <w:sz w:val="21"/>
                      <w:szCs w:val="21"/>
                      <w:u w:val="single"/>
                    </w:rPr>
                    <w:t>合计</w:t>
                  </w:r>
                </w:p>
              </w:tc>
              <w:tc>
                <w:tcPr>
                  <w:tcW w:w="1027" w:type="pct"/>
                  <w:tcBorders>
                    <w:top w:val="single" w:color="auto" w:sz="6" w:space="0"/>
                    <w:left w:val="single" w:color="auto" w:sz="6" w:space="0"/>
                    <w:bottom w:val="single" w:color="auto" w:sz="6" w:space="0"/>
                    <w:right w:val="single" w:color="auto" w:sz="4" w:space="0"/>
                  </w:tcBorders>
                  <w:vAlign w:val="center"/>
                </w:tcPr>
                <w:p w14:paraId="2D4A1A34">
                  <w:pPr>
                    <w:widowControl/>
                    <w:spacing w:line="240" w:lineRule="auto"/>
                    <w:jc w:val="center"/>
                    <w:rPr>
                      <w:rFonts w:hint="default" w:eastAsia="宋体"/>
                      <w:sz w:val="21"/>
                      <w:szCs w:val="21"/>
                      <w:u w:val="single"/>
                      <w:lang w:val="en-US" w:eastAsia="zh-CN"/>
                    </w:rPr>
                  </w:pPr>
                  <w:r>
                    <w:rPr>
                      <w:rFonts w:hint="eastAsia"/>
                      <w:sz w:val="21"/>
                      <w:szCs w:val="21"/>
                      <w:u w:val="single"/>
                      <w:lang w:val="en-US" w:eastAsia="zh-CN"/>
                    </w:rPr>
                    <w:t>4174</w:t>
                  </w:r>
                </w:p>
              </w:tc>
            </w:tr>
          </w:tbl>
          <w:p w14:paraId="6FA7E730">
            <w:pPr>
              <w:pStyle w:val="2"/>
              <w:rPr>
                <w:rFonts w:hint="default" w:ascii="Times New Roman" w:hAnsi="Times New Roman" w:eastAsia="宋体" w:cs="Times New Roman"/>
                <w:color w:val="0000C7"/>
              </w:rPr>
            </w:pPr>
          </w:p>
        </w:tc>
      </w:tr>
      <w:tr w14:paraId="58E42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vAlign w:val="center"/>
          </w:tcPr>
          <w:p w14:paraId="302801BC">
            <w:pPr>
              <w:widowControl/>
              <w:adjustRightInd w:val="0"/>
              <w:snapToGrid w:val="0"/>
              <w:spacing w:line="240" w:lineRule="auto"/>
              <w:jc w:val="center"/>
              <w:rPr>
                <w:kern w:val="0"/>
                <w:szCs w:val="21"/>
              </w:rPr>
            </w:pPr>
            <w:r>
              <w:rPr>
                <w:bCs/>
                <w:szCs w:val="21"/>
              </w:rPr>
              <w:t>与项目有关的原有环境污染问题</w:t>
            </w:r>
          </w:p>
        </w:tc>
        <w:tc>
          <w:tcPr>
            <w:tcW w:w="8606" w:type="dxa"/>
          </w:tcPr>
          <w:p w14:paraId="1CAF381A">
            <w:pPr>
              <w:numPr>
                <w:ilvl w:val="255"/>
                <w:numId w:val="0"/>
              </w:numPr>
              <w:adjustRightInd w:val="0"/>
              <w:snapToGrid w:val="0"/>
              <w:ind w:firstLine="482" w:firstLineChars="200"/>
              <w:rPr>
                <w:b/>
                <w:bCs/>
              </w:rPr>
            </w:pPr>
            <w:r>
              <w:rPr>
                <w:rFonts w:hint="eastAsia"/>
                <w:b/>
                <w:bCs/>
              </w:rPr>
              <w:t>1、</w:t>
            </w:r>
            <w:r>
              <w:rPr>
                <w:b/>
                <w:bCs/>
              </w:rPr>
              <w:t>原有项目概况</w:t>
            </w:r>
          </w:p>
          <w:p w14:paraId="4C6CF0B6">
            <w:pPr>
              <w:pStyle w:val="36"/>
              <w:ind w:firstLine="482"/>
              <w:rPr>
                <w:rFonts w:hint="eastAsia" w:eastAsia="宋体"/>
                <w:b/>
                <w:bCs/>
                <w:lang w:eastAsia="zh-CN"/>
              </w:rPr>
            </w:pPr>
            <w:r>
              <w:rPr>
                <w:rFonts w:hint="eastAsia"/>
                <w:u w:val="single"/>
              </w:rPr>
              <w:t>靖州县鑫宏石材加工有限公司成立于2023年9月28日，曾用名为靖州县鑫宏石材雕刻加工厂</w:t>
            </w:r>
            <w:r>
              <w:rPr>
                <w:u w:val="single"/>
              </w:rPr>
              <w:t>，注册地位于</w:t>
            </w:r>
            <w:r>
              <w:rPr>
                <w:rFonts w:hint="eastAsia"/>
                <w:u w:val="single"/>
              </w:rPr>
              <w:t>湖南省怀化市靖州苗族侗族自治县渠阳镇高桥村七坡冲</w:t>
            </w:r>
            <w:r>
              <w:rPr>
                <w:rFonts w:hint="eastAsia"/>
                <w:u w:val="single"/>
                <w:lang w:eastAsia="zh-CN"/>
              </w:rPr>
              <w:t>。企业于</w:t>
            </w:r>
            <w:r>
              <w:rPr>
                <w:rFonts w:hint="eastAsia"/>
                <w:u w:val="single"/>
                <w:lang w:val="en-US" w:eastAsia="zh-CN"/>
              </w:rPr>
              <w:t>2021年1月</w:t>
            </w:r>
            <w:r>
              <w:rPr>
                <w:rFonts w:hint="eastAsia"/>
                <w:u w:val="single"/>
              </w:rPr>
              <w:t>已建设完成</w:t>
            </w:r>
            <w:r>
              <w:rPr>
                <w:u w:val="single"/>
              </w:rPr>
              <w:t>一条</w:t>
            </w:r>
            <w:r>
              <w:rPr>
                <w:rFonts w:hint="eastAsia" w:ascii="Times New Roman" w:hAnsi="Times New Roman" w:eastAsia="宋体" w:cs="Times New Roman"/>
                <w:kern w:val="2"/>
                <w:sz w:val="24"/>
                <w:szCs w:val="24"/>
                <w:u w:val="single"/>
                <w:lang w:val="en-US" w:eastAsia="zh-CN" w:bidi="ar-SA"/>
              </w:rPr>
              <w:t>年产300m</w:t>
            </w:r>
            <w:r>
              <w:rPr>
                <w:rFonts w:hint="eastAsia" w:ascii="Times New Roman" w:hAnsi="Times New Roman" w:eastAsia="宋体" w:cs="Times New Roman"/>
                <w:kern w:val="2"/>
                <w:sz w:val="24"/>
                <w:szCs w:val="24"/>
                <w:u w:val="single"/>
                <w:vertAlign w:val="superscript"/>
                <w:lang w:val="en-US" w:eastAsia="zh-CN" w:bidi="ar-SA"/>
              </w:rPr>
              <w:t>3</w:t>
            </w:r>
            <w:r>
              <w:rPr>
                <w:rFonts w:hint="eastAsia" w:ascii="Times New Roman" w:hAnsi="Times New Roman" w:eastAsia="宋体" w:cs="Times New Roman"/>
                <w:kern w:val="2"/>
                <w:sz w:val="24"/>
                <w:szCs w:val="24"/>
                <w:u w:val="single"/>
                <w:lang w:val="en-US" w:eastAsia="zh-CN" w:bidi="ar-SA"/>
              </w:rPr>
              <w:t>墓碑及附属产品和其他板材生产线</w:t>
            </w:r>
            <w:r>
              <w:rPr>
                <w:rFonts w:hint="eastAsia"/>
                <w:u w:val="single"/>
                <w:lang w:eastAsia="zh-CN"/>
              </w:rPr>
              <w:t>，生产工艺为“切割、磨光、雕刻”，根据</w:t>
            </w:r>
            <w:r>
              <w:rPr>
                <w:rFonts w:hint="eastAsia"/>
                <w:u w:val="single"/>
              </w:rPr>
              <w:t>《建设项目环境影响评价分类管理名录（2021年版）》</w:t>
            </w:r>
            <w:r>
              <w:rPr>
                <w:rFonts w:hint="eastAsia"/>
                <w:u w:val="single"/>
                <w:lang w:eastAsia="zh-CN"/>
              </w:rPr>
              <w:t>，</w:t>
            </w:r>
            <w:r>
              <w:rPr>
                <w:rFonts w:hint="eastAsia" w:ascii="Times New Roman" w:hAnsi="Times New Roman" w:eastAsia="宋体" w:cs="Times New Roman"/>
                <w:kern w:val="2"/>
                <w:sz w:val="24"/>
                <w:szCs w:val="24"/>
                <w:u w:val="single"/>
                <w:lang w:val="en-US" w:eastAsia="zh-CN" w:bidi="ar-SA"/>
              </w:rPr>
              <w:t>墓碑及附属产品和其他板材生产线</w:t>
            </w:r>
            <w:r>
              <w:rPr>
                <w:rFonts w:hint="eastAsia"/>
                <w:u w:val="single"/>
              </w:rPr>
              <w:t>属于</w:t>
            </w:r>
            <w:r>
              <w:rPr>
                <w:rFonts w:ascii="宋体" w:hAnsi="宋体"/>
                <w:u w:val="single"/>
              </w:rPr>
              <w:t>“</w:t>
            </w:r>
            <w:r>
              <w:rPr>
                <w:u w:val="single"/>
              </w:rPr>
              <w:t>二十七、非金属矿物制品业30，56砖瓦、石材等建筑材料制造303</w:t>
            </w:r>
            <w:r>
              <w:rPr>
                <w:rFonts w:ascii="宋体" w:hAnsi="宋体"/>
                <w:u w:val="single"/>
              </w:rPr>
              <w:t>”</w:t>
            </w:r>
            <w:r>
              <w:rPr>
                <w:u w:val="single"/>
              </w:rPr>
              <w:t>中的</w:t>
            </w:r>
            <w:r>
              <w:rPr>
                <w:rFonts w:ascii="宋体" w:hAnsi="宋体"/>
                <w:u w:val="single"/>
              </w:rPr>
              <w:t>“</w:t>
            </w:r>
            <w:r>
              <w:rPr>
                <w:u w:val="single"/>
              </w:rPr>
              <w:t>粘土砖瓦及建筑砌块制造；建筑用石加工；防水建筑材料制造；隔热、隔音材料制造；其他建筑材料制造（含干粉砂浆搅拌站）以上均不含利用石材板材切割、打磨、成型的</w:t>
            </w:r>
            <w:r>
              <w:rPr>
                <w:rFonts w:ascii="宋体" w:hAnsi="宋体"/>
                <w:u w:val="single"/>
              </w:rPr>
              <w:t>”</w:t>
            </w:r>
            <w:r>
              <w:rPr>
                <w:rFonts w:hint="eastAsia"/>
                <w:u w:val="single"/>
              </w:rPr>
              <w:t>，</w:t>
            </w:r>
            <w:r>
              <w:rPr>
                <w:rFonts w:hint="eastAsia"/>
                <w:u w:val="single"/>
                <w:lang w:eastAsia="zh-CN"/>
              </w:rPr>
              <w:t>则</w:t>
            </w:r>
            <w:r>
              <w:rPr>
                <w:u w:val="single"/>
              </w:rPr>
              <w:t>利用石材板材切割、打磨、成型的</w:t>
            </w:r>
            <w:r>
              <w:rPr>
                <w:rFonts w:hint="eastAsia"/>
                <w:u w:val="single"/>
              </w:rPr>
              <w:t>无需</w:t>
            </w:r>
            <w:r>
              <w:rPr>
                <w:rFonts w:hint="eastAsia"/>
                <w:u w:val="single"/>
                <w:lang w:eastAsia="zh-CN"/>
              </w:rPr>
              <w:t>编制</w:t>
            </w:r>
            <w:r>
              <w:rPr>
                <w:rFonts w:hint="eastAsia"/>
                <w:u w:val="single"/>
              </w:rPr>
              <w:t>环评</w:t>
            </w:r>
            <w:r>
              <w:rPr>
                <w:rFonts w:hint="eastAsia"/>
                <w:u w:val="single"/>
                <w:lang w:eastAsia="zh-CN"/>
              </w:rPr>
              <w:t>报告或填写登记表，</w:t>
            </w:r>
            <w:r>
              <w:rPr>
                <w:rFonts w:hint="eastAsia"/>
                <w:lang w:eastAsia="zh-CN"/>
              </w:rPr>
              <w:t>且</w:t>
            </w:r>
            <w:r>
              <w:rPr>
                <w:rFonts w:hint="eastAsia"/>
                <w:u w:val="single"/>
                <w:lang w:eastAsia="zh-CN"/>
              </w:rPr>
              <w:t>企业自运营以来未受到周边居民投诉或发生环境纠纷事件</w:t>
            </w:r>
            <w:r>
              <w:rPr>
                <w:rFonts w:hint="eastAsia"/>
                <w:u w:val="single"/>
              </w:rPr>
              <w:t>。</w:t>
            </w:r>
          </w:p>
          <w:p w14:paraId="5633C6BF">
            <w:pPr>
              <w:pStyle w:val="36"/>
              <w:ind w:firstLine="482"/>
              <w:rPr>
                <w:rFonts w:hint="eastAsia"/>
                <w:b/>
                <w:bCs/>
                <w:u w:val="single"/>
                <w:lang w:val="en-US" w:eastAsia="zh-CN"/>
              </w:rPr>
            </w:pPr>
            <w:r>
              <w:rPr>
                <w:rFonts w:hint="eastAsia"/>
                <w:b/>
                <w:bCs/>
                <w:u w:val="single"/>
                <w:lang w:val="en-US" w:eastAsia="zh-CN"/>
              </w:rPr>
              <w:t>2、原有工程内容一览表</w:t>
            </w:r>
          </w:p>
          <w:p w14:paraId="5D195299">
            <w:pPr>
              <w:pStyle w:val="36"/>
              <w:adjustRightInd w:val="0"/>
              <w:snapToGrid w:val="0"/>
              <w:spacing w:line="240" w:lineRule="auto"/>
              <w:ind w:firstLine="0" w:firstLineChars="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highlight w:val="none"/>
                <w:lang w:eastAsia="zh-CN"/>
              </w:rPr>
              <w:t>表</w:t>
            </w:r>
            <w:r>
              <w:rPr>
                <w:rFonts w:hint="default" w:ascii="Times New Roman" w:hAnsi="Times New Roman" w:cs="Times New Roman" w:eastAsiaTheme="minorEastAsia"/>
                <w:b/>
                <w:bCs/>
                <w:sz w:val="21"/>
                <w:szCs w:val="21"/>
                <w:highlight w:val="none"/>
                <w:lang w:val="en-US" w:eastAsia="zh-CN"/>
              </w:rPr>
              <w:t>2-</w:t>
            </w:r>
            <w:r>
              <w:rPr>
                <w:rFonts w:hint="eastAsia" w:ascii="Times New Roman" w:cs="Times New Roman" w:eastAsiaTheme="minorEastAsia"/>
                <w:b/>
                <w:bCs/>
                <w:sz w:val="21"/>
                <w:szCs w:val="21"/>
                <w:highlight w:val="none"/>
                <w:lang w:val="en-US" w:eastAsia="zh-CN"/>
              </w:rPr>
              <w:t>11</w:t>
            </w:r>
            <w:r>
              <w:rPr>
                <w:rFonts w:hint="default" w:ascii="Times New Roman" w:hAnsi="Times New Roman" w:cs="Times New Roman" w:eastAsiaTheme="minorEastAsia"/>
                <w:b/>
                <w:bCs/>
                <w:sz w:val="21"/>
                <w:szCs w:val="21"/>
                <w:highlight w:val="none"/>
                <w:lang w:val="en-US" w:eastAsia="zh-CN"/>
              </w:rPr>
              <w:t xml:space="preserve">  </w:t>
            </w:r>
            <w:r>
              <w:rPr>
                <w:rFonts w:hint="default" w:ascii="Times New Roman" w:hAnsi="Times New Roman" w:cs="Times New Roman" w:eastAsiaTheme="minorEastAsia"/>
                <w:b/>
                <w:bCs/>
                <w:sz w:val="21"/>
                <w:szCs w:val="21"/>
                <w:lang w:val="en-US" w:eastAsia="zh-CN"/>
              </w:rPr>
              <w:t>现有工程</w:t>
            </w:r>
            <w:r>
              <w:rPr>
                <w:rFonts w:hint="eastAsia" w:ascii="Times New Roman" w:cs="Times New Roman" w:eastAsiaTheme="minorEastAsia"/>
                <w:b/>
                <w:bCs/>
                <w:sz w:val="21"/>
                <w:szCs w:val="21"/>
                <w:lang w:val="en-US" w:eastAsia="zh-CN"/>
              </w:rPr>
              <w:t>实际建设</w:t>
            </w:r>
            <w:r>
              <w:rPr>
                <w:rFonts w:hint="default" w:ascii="Times New Roman" w:hAnsi="Times New Roman" w:cs="Times New Roman" w:eastAsiaTheme="minorEastAsia"/>
                <w:b/>
                <w:bCs/>
                <w:sz w:val="21"/>
                <w:szCs w:val="21"/>
                <w:lang w:val="en-US" w:eastAsia="zh-CN"/>
              </w:rPr>
              <w:t>内容及规模</w:t>
            </w:r>
          </w:p>
          <w:tbl>
            <w:tblPr>
              <w:tblStyle w:val="25"/>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
              <w:gridCol w:w="1434"/>
              <w:gridCol w:w="2420"/>
              <w:gridCol w:w="4130"/>
            </w:tblGrid>
            <w:tr w14:paraId="3B32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0" w:type="pct"/>
                  <w:gridSpan w:val="2"/>
                  <w:vAlign w:val="center"/>
                </w:tcPr>
                <w:p w14:paraId="6818FDEC">
                  <w:pPr>
                    <w:pStyle w:val="36"/>
                    <w:adjustRightInd w:val="0"/>
                    <w:snapToGrid w:val="0"/>
                    <w:spacing w:line="240" w:lineRule="auto"/>
                    <w:ind w:firstLine="0" w:firstLineChars="0"/>
                    <w:jc w:val="center"/>
                    <w:rPr>
                      <w:rFonts w:hint="default" w:ascii="Times New Roman" w:hAnsi="Times New Roman" w:cs="Times New Roman" w:eastAsiaTheme="minorEastAsia"/>
                      <w:b/>
                      <w:bCs/>
                      <w:sz w:val="21"/>
                      <w:szCs w:val="21"/>
                      <w:u w:val="single"/>
                      <w:vertAlign w:val="baseline"/>
                      <w:lang w:eastAsia="zh-CN"/>
                    </w:rPr>
                  </w:pPr>
                  <w:r>
                    <w:rPr>
                      <w:rFonts w:hint="default" w:ascii="Times New Roman" w:hAnsi="Times New Roman" w:cs="Times New Roman" w:eastAsiaTheme="minorEastAsia"/>
                      <w:b/>
                      <w:bCs/>
                      <w:sz w:val="21"/>
                      <w:szCs w:val="21"/>
                      <w:u w:val="single"/>
                      <w:vertAlign w:val="baseline"/>
                      <w:lang w:eastAsia="zh-CN"/>
                    </w:rPr>
                    <w:t>序号</w:t>
                  </w:r>
                </w:p>
              </w:tc>
              <w:tc>
                <w:tcPr>
                  <w:tcW w:w="3909" w:type="pct"/>
                  <w:gridSpan w:val="2"/>
                  <w:vAlign w:val="center"/>
                </w:tcPr>
                <w:p w14:paraId="15FDD64B">
                  <w:pPr>
                    <w:pStyle w:val="36"/>
                    <w:adjustRightInd w:val="0"/>
                    <w:snapToGrid w:val="0"/>
                    <w:spacing w:line="240" w:lineRule="auto"/>
                    <w:ind w:firstLine="0" w:firstLineChars="0"/>
                    <w:jc w:val="center"/>
                    <w:rPr>
                      <w:rFonts w:hint="default" w:ascii="Times New Roman" w:hAnsi="Times New Roman" w:cs="Times New Roman" w:eastAsiaTheme="minorEastAsia"/>
                      <w:b/>
                      <w:bCs/>
                      <w:sz w:val="21"/>
                      <w:szCs w:val="21"/>
                      <w:u w:val="single"/>
                      <w:vertAlign w:val="baseline"/>
                      <w:lang w:eastAsia="zh-CN"/>
                    </w:rPr>
                  </w:pPr>
                  <w:r>
                    <w:rPr>
                      <w:rFonts w:hint="default" w:ascii="Times New Roman" w:hAnsi="Times New Roman" w:cs="Times New Roman" w:eastAsiaTheme="minorEastAsia"/>
                      <w:b/>
                      <w:bCs/>
                      <w:sz w:val="21"/>
                      <w:szCs w:val="21"/>
                      <w:u w:val="single"/>
                      <w:vertAlign w:val="baseline"/>
                      <w:lang w:eastAsia="zh-CN"/>
                    </w:rPr>
                    <w:t>现有工程</w:t>
                  </w:r>
                  <w:r>
                    <w:rPr>
                      <w:rFonts w:hint="eastAsia" w:ascii="Times New Roman" w:cs="Times New Roman" w:eastAsiaTheme="minorEastAsia"/>
                      <w:b/>
                      <w:bCs/>
                      <w:sz w:val="21"/>
                      <w:szCs w:val="21"/>
                      <w:u w:val="single"/>
                      <w:vertAlign w:val="baseline"/>
                      <w:lang w:eastAsia="zh-CN"/>
                    </w:rPr>
                    <w:t>实际建设</w:t>
                  </w:r>
                  <w:r>
                    <w:rPr>
                      <w:rFonts w:hint="default" w:ascii="Times New Roman" w:hAnsi="Times New Roman" w:cs="Times New Roman" w:eastAsiaTheme="minorEastAsia"/>
                      <w:b/>
                      <w:bCs/>
                      <w:sz w:val="21"/>
                      <w:szCs w:val="21"/>
                      <w:u w:val="single"/>
                      <w:vertAlign w:val="baseline"/>
                      <w:lang w:eastAsia="zh-CN"/>
                    </w:rPr>
                    <w:t>内容及规模</w:t>
                  </w:r>
                </w:p>
              </w:tc>
            </w:tr>
            <w:tr w14:paraId="257B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restart"/>
                  <w:vAlign w:val="center"/>
                </w:tcPr>
                <w:p w14:paraId="5BFA0E5D">
                  <w:pPr>
                    <w:pStyle w:val="36"/>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u w:val="single"/>
                      <w:vertAlign w:val="baseline"/>
                      <w:lang w:val="en-US" w:eastAsia="zh-CN"/>
                    </w:rPr>
                  </w:pPr>
                  <w:r>
                    <w:rPr>
                      <w:rFonts w:hint="eastAsia" w:ascii="Times New Roman" w:hAnsi="Times New Roman" w:cs="Times New Roman" w:eastAsiaTheme="minorEastAsia"/>
                      <w:b w:val="0"/>
                      <w:bCs w:val="0"/>
                      <w:sz w:val="21"/>
                      <w:szCs w:val="21"/>
                      <w:u w:val="single"/>
                      <w:vertAlign w:val="baseline"/>
                      <w:lang w:val="en-US" w:eastAsia="zh-CN"/>
                    </w:rPr>
                    <w:t>1</w:t>
                  </w:r>
                </w:p>
                <w:p w14:paraId="6F23CCEF">
                  <w:pPr>
                    <w:pStyle w:val="36"/>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u w:val="single"/>
                      <w:vertAlign w:val="baseline"/>
                      <w:lang w:val="en-US" w:eastAsia="zh-CN"/>
                    </w:rPr>
                  </w:pPr>
                </w:p>
              </w:tc>
              <w:tc>
                <w:tcPr>
                  <w:tcW w:w="856" w:type="pct"/>
                  <w:vMerge w:val="restart"/>
                  <w:vAlign w:val="center"/>
                </w:tcPr>
                <w:p w14:paraId="0E3A792E">
                  <w:pPr>
                    <w:pStyle w:val="36"/>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u w:val="single"/>
                      <w:vertAlign w:val="baseline"/>
                      <w:lang w:val="en-US" w:eastAsia="zh-CN"/>
                    </w:rPr>
                  </w:pPr>
                  <w:r>
                    <w:rPr>
                      <w:rFonts w:hint="eastAsia" w:ascii="Times New Roman" w:cs="Times New Roman" w:eastAsiaTheme="minorEastAsia"/>
                      <w:b w:val="0"/>
                      <w:bCs w:val="0"/>
                      <w:sz w:val="21"/>
                      <w:szCs w:val="21"/>
                      <w:u w:val="single"/>
                      <w:vertAlign w:val="baseline"/>
                      <w:lang w:val="en-US" w:eastAsia="zh-CN"/>
                    </w:rPr>
                    <w:t>主体工程</w:t>
                  </w:r>
                </w:p>
              </w:tc>
              <w:tc>
                <w:tcPr>
                  <w:tcW w:w="1444" w:type="pct"/>
                  <w:vAlign w:val="center"/>
                </w:tcPr>
                <w:p w14:paraId="585C650A">
                  <w:pPr>
                    <w:pStyle w:val="36"/>
                    <w:adjustRightInd w:val="0"/>
                    <w:snapToGrid w:val="0"/>
                    <w:spacing w:line="240" w:lineRule="auto"/>
                    <w:ind w:firstLine="0" w:firstLineChars="0"/>
                    <w:jc w:val="center"/>
                    <w:rPr>
                      <w:rFonts w:hint="eastAsia" w:ascii="Times New Roman" w:hAnsi="Times New Roman" w:eastAsia="宋体" w:cs="Times New Roman"/>
                      <w:b w:val="0"/>
                      <w:bCs w:val="0"/>
                      <w:sz w:val="21"/>
                      <w:szCs w:val="21"/>
                      <w:u w:val="single"/>
                      <w:vertAlign w:val="baseline"/>
                      <w:lang w:val="en-US" w:eastAsia="zh-CN"/>
                    </w:rPr>
                  </w:pPr>
                  <w:r>
                    <w:rPr>
                      <w:rFonts w:hint="eastAsia" w:ascii="Times New Roman" w:cs="Times New Roman" w:eastAsiaTheme="minorEastAsia"/>
                      <w:b w:val="0"/>
                      <w:bCs w:val="0"/>
                      <w:sz w:val="21"/>
                      <w:szCs w:val="21"/>
                      <w:u w:val="single"/>
                      <w:vertAlign w:val="baseline"/>
                      <w:lang w:val="en-US" w:eastAsia="zh-CN"/>
                    </w:rPr>
                    <w:t>6</w:t>
                  </w:r>
                  <w:r>
                    <w:rPr>
                      <w:rFonts w:hint="eastAsia"/>
                      <w:sz w:val="21"/>
                      <w:szCs w:val="21"/>
                      <w:u w:val="single"/>
                    </w:rPr>
                    <w:t>#</w:t>
                  </w:r>
                  <w:r>
                    <w:rPr>
                      <w:rFonts w:hint="eastAsia"/>
                      <w:sz w:val="21"/>
                      <w:szCs w:val="21"/>
                      <w:u w:val="single"/>
                      <w:lang w:eastAsia="zh-CN"/>
                    </w:rPr>
                    <w:t>厂房</w:t>
                  </w:r>
                </w:p>
              </w:tc>
              <w:tc>
                <w:tcPr>
                  <w:tcW w:w="2465" w:type="pct"/>
                  <w:vAlign w:val="center"/>
                </w:tcPr>
                <w:p w14:paraId="394BAFC2">
                  <w:pPr>
                    <w:pStyle w:val="36"/>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u w:val="single"/>
                      <w:vertAlign w:val="baseline"/>
                      <w:lang w:eastAsia="zh-CN"/>
                    </w:rPr>
                  </w:pPr>
                  <w:r>
                    <w:rPr>
                      <w:rFonts w:hint="default" w:ascii="Times New Roman" w:eastAsia="宋体" w:cs="Times New Roman"/>
                      <w:b w:val="0"/>
                      <w:bCs w:val="0"/>
                      <w:kern w:val="2"/>
                      <w:sz w:val="21"/>
                      <w:szCs w:val="21"/>
                      <w:u w:val="single"/>
                      <w:vertAlign w:val="baseline"/>
                      <w:lang w:val="en-US" w:eastAsia="zh-CN"/>
                    </w:rPr>
                    <w:t>6</w:t>
                  </w:r>
                  <w:r>
                    <w:rPr>
                      <w:rFonts w:hint="default" w:ascii="Times New Roman"/>
                      <w:kern w:val="2"/>
                      <w:sz w:val="21"/>
                      <w:szCs w:val="21"/>
                      <w:u w:val="single"/>
                    </w:rPr>
                    <w:t>#</w:t>
                  </w:r>
                  <w:r>
                    <w:rPr>
                      <w:rFonts w:hint="default" w:ascii="Times New Roman"/>
                      <w:kern w:val="2"/>
                      <w:sz w:val="21"/>
                      <w:szCs w:val="21"/>
                      <w:u w:val="single"/>
                      <w:lang w:eastAsia="zh-CN"/>
                    </w:rPr>
                    <w:t>厂房为雕刻、小切及大切车间，占地</w:t>
                  </w:r>
                  <w:r>
                    <w:rPr>
                      <w:rFonts w:hint="default" w:ascii="Times New Roman"/>
                      <w:kern w:val="2"/>
                      <w:sz w:val="21"/>
                      <w:szCs w:val="21"/>
                      <w:u w:val="single"/>
                    </w:rPr>
                    <w:t>面积约为1</w:t>
                  </w:r>
                  <w:r>
                    <w:rPr>
                      <w:rFonts w:hint="default" w:ascii="Times New Roman"/>
                      <w:kern w:val="2"/>
                      <w:sz w:val="21"/>
                      <w:szCs w:val="21"/>
                      <w:u w:val="single"/>
                      <w:lang w:val="en-US" w:eastAsia="zh-CN"/>
                    </w:rPr>
                    <w:t>2</w:t>
                  </w:r>
                  <w:r>
                    <w:rPr>
                      <w:rFonts w:hint="default" w:ascii="Times New Roman"/>
                      <w:kern w:val="2"/>
                      <w:sz w:val="21"/>
                      <w:szCs w:val="21"/>
                      <w:u w:val="single"/>
                    </w:rPr>
                    <w:t>00m</w:t>
                  </w:r>
                  <w:r>
                    <w:rPr>
                      <w:rFonts w:hint="default" w:ascii="Times New Roman"/>
                      <w:kern w:val="2"/>
                      <w:sz w:val="21"/>
                      <w:szCs w:val="21"/>
                      <w:u w:val="single"/>
                      <w:vertAlign w:val="superscript"/>
                    </w:rPr>
                    <w:t>2</w:t>
                  </w:r>
                  <w:r>
                    <w:rPr>
                      <w:rFonts w:hint="default" w:ascii="Times New Roman"/>
                      <w:kern w:val="2"/>
                      <w:sz w:val="21"/>
                      <w:szCs w:val="21"/>
                      <w:u w:val="single"/>
                    </w:rPr>
                    <w:t>，轻钢结构，1F，层高6m</w:t>
                  </w:r>
                  <w:r>
                    <w:rPr>
                      <w:rFonts w:hint="default" w:ascii="Times New Roman"/>
                      <w:kern w:val="2"/>
                      <w:sz w:val="21"/>
                      <w:szCs w:val="21"/>
                      <w:u w:val="single"/>
                      <w:lang w:eastAsia="zh-CN"/>
                    </w:rPr>
                    <w:t>，位于厂区北部</w:t>
                  </w:r>
                </w:p>
              </w:tc>
            </w:tr>
            <w:tr w14:paraId="5C79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continue"/>
                  <w:vAlign w:val="center"/>
                </w:tcPr>
                <w:p w14:paraId="0E6E467B">
                  <w:pPr>
                    <w:pStyle w:val="36"/>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u w:val="single"/>
                      <w:vertAlign w:val="baseline"/>
                      <w:lang w:val="en-US" w:eastAsia="zh-CN"/>
                    </w:rPr>
                  </w:pPr>
                </w:p>
              </w:tc>
              <w:tc>
                <w:tcPr>
                  <w:tcW w:w="856" w:type="pct"/>
                  <w:vMerge w:val="continue"/>
                  <w:vAlign w:val="center"/>
                </w:tcPr>
                <w:p w14:paraId="5D1666E0">
                  <w:pPr>
                    <w:pStyle w:val="36"/>
                    <w:adjustRightInd w:val="0"/>
                    <w:snapToGrid w:val="0"/>
                    <w:spacing w:line="240" w:lineRule="auto"/>
                    <w:ind w:firstLine="0" w:firstLineChars="0"/>
                    <w:jc w:val="center"/>
                    <w:rPr>
                      <w:rFonts w:hint="eastAsia" w:ascii="Times New Roman" w:cs="Times New Roman" w:eastAsiaTheme="minorEastAsia"/>
                      <w:b w:val="0"/>
                      <w:bCs w:val="0"/>
                      <w:sz w:val="21"/>
                      <w:szCs w:val="21"/>
                      <w:u w:val="single"/>
                      <w:vertAlign w:val="baseline"/>
                      <w:lang w:val="en-US" w:eastAsia="zh-CN"/>
                    </w:rPr>
                  </w:pPr>
                </w:p>
              </w:tc>
              <w:tc>
                <w:tcPr>
                  <w:tcW w:w="1444" w:type="pct"/>
                  <w:vAlign w:val="center"/>
                </w:tcPr>
                <w:p w14:paraId="71F64735">
                  <w:pPr>
                    <w:pStyle w:val="36"/>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u w:val="single"/>
                      <w:vertAlign w:val="baseline"/>
                    </w:rPr>
                  </w:pPr>
                  <w:r>
                    <w:rPr>
                      <w:rFonts w:hint="eastAsia" w:ascii="Times New Roman" w:cs="Times New Roman" w:eastAsiaTheme="minorEastAsia"/>
                      <w:b w:val="0"/>
                      <w:bCs w:val="0"/>
                      <w:sz w:val="21"/>
                      <w:szCs w:val="21"/>
                      <w:u w:val="single"/>
                      <w:vertAlign w:val="baseline"/>
                      <w:lang w:val="en-US" w:eastAsia="zh-CN"/>
                    </w:rPr>
                    <w:t>7</w:t>
                  </w:r>
                  <w:r>
                    <w:rPr>
                      <w:rFonts w:hint="eastAsia"/>
                      <w:sz w:val="21"/>
                      <w:szCs w:val="21"/>
                      <w:u w:val="single"/>
                    </w:rPr>
                    <w:t>#</w:t>
                  </w:r>
                  <w:r>
                    <w:rPr>
                      <w:rFonts w:hint="eastAsia"/>
                      <w:sz w:val="21"/>
                      <w:szCs w:val="21"/>
                      <w:u w:val="single"/>
                      <w:lang w:eastAsia="zh-CN"/>
                    </w:rPr>
                    <w:t>厂房</w:t>
                  </w:r>
                </w:p>
              </w:tc>
              <w:tc>
                <w:tcPr>
                  <w:tcW w:w="2465" w:type="pct"/>
                  <w:vAlign w:val="center"/>
                </w:tcPr>
                <w:p w14:paraId="61EAFE91">
                  <w:pPr>
                    <w:pStyle w:val="36"/>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u w:val="single"/>
                      <w:vertAlign w:val="baseline"/>
                      <w:lang w:val="en-US" w:eastAsia="zh-CN"/>
                    </w:rPr>
                  </w:pPr>
                  <w:r>
                    <w:rPr>
                      <w:rFonts w:hint="default" w:ascii="Times New Roman" w:eastAsia="宋体" w:cs="Times New Roman"/>
                      <w:b w:val="0"/>
                      <w:bCs w:val="0"/>
                      <w:kern w:val="2"/>
                      <w:sz w:val="21"/>
                      <w:szCs w:val="21"/>
                      <w:u w:val="single"/>
                      <w:vertAlign w:val="baseline"/>
                      <w:lang w:val="en-US" w:eastAsia="zh-CN"/>
                    </w:rPr>
                    <w:t>7#厂房为打砂、制砖车间，</w:t>
                  </w:r>
                  <w:r>
                    <w:rPr>
                      <w:rFonts w:hint="default" w:ascii="Times New Roman"/>
                      <w:kern w:val="2"/>
                      <w:sz w:val="21"/>
                      <w:szCs w:val="21"/>
                      <w:u w:val="single"/>
                      <w:lang w:eastAsia="zh-CN"/>
                    </w:rPr>
                    <w:t>占地</w:t>
                  </w:r>
                  <w:r>
                    <w:rPr>
                      <w:rFonts w:hint="default" w:ascii="Times New Roman"/>
                      <w:kern w:val="2"/>
                      <w:sz w:val="21"/>
                      <w:szCs w:val="21"/>
                      <w:u w:val="single"/>
                    </w:rPr>
                    <w:t>面积约为</w:t>
                  </w:r>
                  <w:r>
                    <w:rPr>
                      <w:rFonts w:hint="default" w:ascii="Times New Roman"/>
                      <w:kern w:val="2"/>
                      <w:sz w:val="21"/>
                      <w:szCs w:val="21"/>
                      <w:u w:val="single"/>
                      <w:lang w:val="en-US" w:eastAsia="zh-CN"/>
                    </w:rPr>
                    <w:t>30</w:t>
                  </w:r>
                  <w:r>
                    <w:rPr>
                      <w:rFonts w:hint="default" w:ascii="Times New Roman"/>
                      <w:kern w:val="2"/>
                      <w:sz w:val="21"/>
                      <w:szCs w:val="21"/>
                      <w:u w:val="single"/>
                    </w:rPr>
                    <w:t>m</w:t>
                  </w:r>
                  <w:r>
                    <w:rPr>
                      <w:rFonts w:hint="default" w:ascii="Times New Roman"/>
                      <w:kern w:val="2"/>
                      <w:sz w:val="21"/>
                      <w:szCs w:val="21"/>
                      <w:u w:val="single"/>
                      <w:vertAlign w:val="superscript"/>
                    </w:rPr>
                    <w:t>2</w:t>
                  </w:r>
                  <w:r>
                    <w:rPr>
                      <w:rFonts w:hint="default" w:ascii="Times New Roman"/>
                      <w:kern w:val="2"/>
                      <w:sz w:val="21"/>
                      <w:szCs w:val="21"/>
                      <w:u w:val="single"/>
                    </w:rPr>
                    <w:t>，轻钢结构，1F，层高6m</w:t>
                  </w:r>
                  <w:r>
                    <w:rPr>
                      <w:rFonts w:hint="default" w:ascii="Times New Roman"/>
                      <w:kern w:val="2"/>
                      <w:sz w:val="21"/>
                      <w:szCs w:val="21"/>
                      <w:u w:val="single"/>
                      <w:lang w:eastAsia="zh-CN"/>
                    </w:rPr>
                    <w:t>，位于厂区北部</w:t>
                  </w:r>
                </w:p>
              </w:tc>
            </w:tr>
            <w:tr w14:paraId="0E1D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restart"/>
                  <w:vAlign w:val="center"/>
                </w:tcPr>
                <w:p w14:paraId="1366EE2E">
                  <w:pPr>
                    <w:pStyle w:val="36"/>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u w:val="single"/>
                      <w:vertAlign w:val="baseline"/>
                      <w:lang w:val="en-US" w:eastAsia="zh-CN"/>
                    </w:rPr>
                  </w:pPr>
                  <w:r>
                    <w:rPr>
                      <w:rFonts w:hint="eastAsia" w:ascii="Times New Roman" w:cs="Times New Roman" w:eastAsiaTheme="minorEastAsia"/>
                      <w:b w:val="0"/>
                      <w:bCs w:val="0"/>
                      <w:sz w:val="21"/>
                      <w:szCs w:val="21"/>
                      <w:u w:val="single"/>
                      <w:vertAlign w:val="baseline"/>
                      <w:lang w:val="en-US" w:eastAsia="zh-CN"/>
                    </w:rPr>
                    <w:t>2</w:t>
                  </w:r>
                </w:p>
              </w:tc>
              <w:tc>
                <w:tcPr>
                  <w:tcW w:w="856" w:type="pct"/>
                  <w:vMerge w:val="restart"/>
                  <w:vAlign w:val="center"/>
                </w:tcPr>
                <w:p w14:paraId="58BDE799">
                  <w:pPr>
                    <w:pStyle w:val="36"/>
                    <w:adjustRightInd w:val="0"/>
                    <w:snapToGrid w:val="0"/>
                    <w:spacing w:line="240" w:lineRule="auto"/>
                    <w:ind w:firstLine="0" w:firstLineChars="0"/>
                    <w:jc w:val="center"/>
                    <w:rPr>
                      <w:rFonts w:hint="eastAsia" w:ascii="Times New Roman" w:cs="Times New Roman" w:eastAsiaTheme="minorEastAsia"/>
                      <w:b w:val="0"/>
                      <w:bCs w:val="0"/>
                      <w:sz w:val="21"/>
                      <w:szCs w:val="21"/>
                      <w:u w:val="single"/>
                      <w:vertAlign w:val="baseline"/>
                      <w:lang w:val="en-US" w:eastAsia="zh-CN"/>
                    </w:rPr>
                  </w:pPr>
                  <w:r>
                    <w:rPr>
                      <w:rFonts w:hint="eastAsia" w:ascii="Times New Roman" w:cs="Times New Roman" w:eastAsiaTheme="minorEastAsia"/>
                      <w:b w:val="0"/>
                      <w:bCs w:val="0"/>
                      <w:sz w:val="21"/>
                      <w:szCs w:val="21"/>
                      <w:u w:val="single"/>
                      <w:vertAlign w:val="baseline"/>
                      <w:lang w:val="en-US" w:eastAsia="zh-CN"/>
                    </w:rPr>
                    <w:t>储运工程</w:t>
                  </w:r>
                </w:p>
              </w:tc>
              <w:tc>
                <w:tcPr>
                  <w:tcW w:w="1444" w:type="pct"/>
                  <w:vAlign w:val="center"/>
                </w:tcPr>
                <w:p w14:paraId="1606E6AD">
                  <w:pPr>
                    <w:spacing w:line="240" w:lineRule="auto"/>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rPr>
                    <w:t>成品</w:t>
                  </w:r>
                  <w:r>
                    <w:rPr>
                      <w:sz w:val="21"/>
                      <w:szCs w:val="21"/>
                      <w:u w:val="single"/>
                    </w:rPr>
                    <w:t>堆场</w:t>
                  </w:r>
                </w:p>
              </w:tc>
              <w:tc>
                <w:tcPr>
                  <w:tcW w:w="2465" w:type="pct"/>
                  <w:vAlign w:val="center"/>
                </w:tcPr>
                <w:p w14:paraId="3B799EB2">
                  <w:pPr>
                    <w:spacing w:line="240" w:lineRule="auto"/>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eastAsia="zh-CN"/>
                    </w:rPr>
                    <w:t>临时</w:t>
                  </w:r>
                  <w:r>
                    <w:rPr>
                      <w:sz w:val="21"/>
                      <w:szCs w:val="21"/>
                      <w:u w:val="single"/>
                    </w:rPr>
                    <w:t>堆存产品</w:t>
                  </w:r>
                  <w:r>
                    <w:rPr>
                      <w:rFonts w:hint="eastAsia"/>
                      <w:sz w:val="21"/>
                      <w:szCs w:val="21"/>
                      <w:u w:val="single"/>
                    </w:rPr>
                    <w:t>，</w:t>
                  </w:r>
                  <w:r>
                    <w:rPr>
                      <w:sz w:val="21"/>
                      <w:szCs w:val="21"/>
                      <w:u w:val="single"/>
                    </w:rPr>
                    <w:t>占地面积</w:t>
                  </w:r>
                  <w:r>
                    <w:rPr>
                      <w:rFonts w:hint="eastAsia"/>
                      <w:sz w:val="21"/>
                      <w:szCs w:val="21"/>
                      <w:u w:val="single"/>
                      <w:lang w:val="en-US" w:eastAsia="zh-CN"/>
                    </w:rPr>
                    <w:t>19</w:t>
                  </w:r>
                  <w:r>
                    <w:rPr>
                      <w:rFonts w:hint="eastAsia"/>
                      <w:sz w:val="21"/>
                      <w:szCs w:val="21"/>
                      <w:u w:val="single"/>
                    </w:rPr>
                    <w:t>00</w:t>
                  </w:r>
                  <w:r>
                    <w:rPr>
                      <w:sz w:val="21"/>
                      <w:szCs w:val="21"/>
                      <w:u w:val="single"/>
                    </w:rPr>
                    <w:t>m</w:t>
                  </w:r>
                  <w:r>
                    <w:rPr>
                      <w:sz w:val="21"/>
                      <w:szCs w:val="21"/>
                      <w:u w:val="single"/>
                      <w:vertAlign w:val="superscript"/>
                    </w:rPr>
                    <w:t>2</w:t>
                  </w:r>
                  <w:r>
                    <w:rPr>
                      <w:sz w:val="21"/>
                      <w:szCs w:val="21"/>
                      <w:u w:val="single"/>
                    </w:rPr>
                    <w:t>。</w:t>
                  </w:r>
                </w:p>
              </w:tc>
            </w:tr>
            <w:tr w14:paraId="0247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continue"/>
                  <w:vAlign w:val="center"/>
                </w:tcPr>
                <w:p w14:paraId="3162CFC0">
                  <w:pPr>
                    <w:pStyle w:val="36"/>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u w:val="single"/>
                      <w:vertAlign w:val="baseline"/>
                    </w:rPr>
                  </w:pPr>
                </w:p>
              </w:tc>
              <w:tc>
                <w:tcPr>
                  <w:tcW w:w="856" w:type="pct"/>
                  <w:vMerge w:val="continue"/>
                  <w:vAlign w:val="center"/>
                </w:tcPr>
                <w:p w14:paraId="0503A9ED">
                  <w:pPr>
                    <w:pStyle w:val="36"/>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u w:val="single"/>
                      <w:vertAlign w:val="baseline"/>
                    </w:rPr>
                  </w:pPr>
                </w:p>
              </w:tc>
              <w:tc>
                <w:tcPr>
                  <w:tcW w:w="1444" w:type="pct"/>
                  <w:vAlign w:val="center"/>
                </w:tcPr>
                <w:p w14:paraId="3EBE3BBC">
                  <w:pPr>
                    <w:spacing w:line="240" w:lineRule="auto"/>
                    <w:jc w:val="center"/>
                    <w:rPr>
                      <w:rFonts w:hint="default" w:ascii="Times New Roman" w:hAnsi="Times New Roman" w:eastAsia="宋体" w:cs="Times New Roman"/>
                      <w:color w:val="0000C7"/>
                      <w:kern w:val="2"/>
                      <w:sz w:val="21"/>
                      <w:szCs w:val="21"/>
                      <w:u w:val="single"/>
                      <w:lang w:val="en-US" w:eastAsia="zh-CN" w:bidi="ar-SA"/>
                    </w:rPr>
                  </w:pPr>
                  <w:r>
                    <w:rPr>
                      <w:sz w:val="21"/>
                      <w:szCs w:val="21"/>
                      <w:u w:val="single"/>
                    </w:rPr>
                    <w:t>原料堆场</w:t>
                  </w:r>
                </w:p>
              </w:tc>
              <w:tc>
                <w:tcPr>
                  <w:tcW w:w="2465" w:type="pct"/>
                  <w:vAlign w:val="center"/>
                </w:tcPr>
                <w:p w14:paraId="47BF27EC">
                  <w:pPr>
                    <w:spacing w:line="240" w:lineRule="auto"/>
                    <w:jc w:val="center"/>
                    <w:rPr>
                      <w:rFonts w:hint="default" w:ascii="Times New Roman" w:hAnsi="Times New Roman" w:eastAsia="宋体" w:cs="Times New Roman"/>
                      <w:kern w:val="2"/>
                      <w:sz w:val="21"/>
                      <w:szCs w:val="21"/>
                      <w:u w:val="single"/>
                      <w:lang w:val="en-US" w:eastAsia="zh-CN" w:bidi="ar-SA"/>
                    </w:rPr>
                  </w:pPr>
                  <w:r>
                    <w:rPr>
                      <w:sz w:val="21"/>
                      <w:szCs w:val="21"/>
                      <w:u w:val="single"/>
                    </w:rPr>
                    <w:t>用于</w:t>
                  </w:r>
                  <w:r>
                    <w:rPr>
                      <w:rFonts w:hint="eastAsia"/>
                      <w:sz w:val="21"/>
                      <w:szCs w:val="21"/>
                      <w:u w:val="single"/>
                      <w:lang w:eastAsia="zh-CN"/>
                    </w:rPr>
                    <w:t>暂存</w:t>
                  </w:r>
                  <w:r>
                    <w:rPr>
                      <w:sz w:val="21"/>
                      <w:szCs w:val="21"/>
                      <w:u w:val="single"/>
                    </w:rPr>
                    <w:t>原料，占地面积</w:t>
                  </w:r>
                  <w:r>
                    <w:rPr>
                      <w:rFonts w:hint="eastAsia"/>
                      <w:sz w:val="21"/>
                      <w:szCs w:val="21"/>
                      <w:u w:val="single"/>
                      <w:lang w:val="en-US" w:eastAsia="zh-CN"/>
                    </w:rPr>
                    <w:t>46</w:t>
                  </w:r>
                  <w:r>
                    <w:rPr>
                      <w:rFonts w:hint="eastAsia"/>
                      <w:sz w:val="21"/>
                      <w:szCs w:val="21"/>
                      <w:u w:val="single"/>
                    </w:rPr>
                    <w:t>0</w:t>
                  </w:r>
                  <w:r>
                    <w:rPr>
                      <w:sz w:val="21"/>
                      <w:szCs w:val="21"/>
                      <w:u w:val="single"/>
                    </w:rPr>
                    <w:t>m</w:t>
                  </w:r>
                  <w:r>
                    <w:rPr>
                      <w:sz w:val="21"/>
                      <w:szCs w:val="21"/>
                      <w:u w:val="single"/>
                      <w:vertAlign w:val="superscript"/>
                    </w:rPr>
                    <w:t>2</w:t>
                  </w:r>
                  <w:r>
                    <w:rPr>
                      <w:sz w:val="21"/>
                      <w:szCs w:val="21"/>
                      <w:u w:val="single"/>
                    </w:rPr>
                    <w:t>。</w:t>
                  </w:r>
                </w:p>
              </w:tc>
            </w:tr>
            <w:tr w14:paraId="603C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Align w:val="center"/>
                </w:tcPr>
                <w:p w14:paraId="74CF0BE5">
                  <w:pPr>
                    <w:pStyle w:val="36"/>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u w:val="single"/>
                      <w:vertAlign w:val="baseline"/>
                      <w:lang w:val="en-US" w:eastAsia="zh-CN"/>
                    </w:rPr>
                  </w:pPr>
                  <w:r>
                    <w:rPr>
                      <w:rFonts w:hint="eastAsia" w:ascii="Times New Roman" w:cs="Times New Roman" w:eastAsiaTheme="minorEastAsia"/>
                      <w:b w:val="0"/>
                      <w:bCs w:val="0"/>
                      <w:sz w:val="21"/>
                      <w:szCs w:val="21"/>
                      <w:u w:val="single"/>
                      <w:vertAlign w:val="baseline"/>
                      <w:lang w:val="en-US" w:eastAsia="zh-CN"/>
                    </w:rPr>
                    <w:t>3</w:t>
                  </w:r>
                </w:p>
              </w:tc>
              <w:tc>
                <w:tcPr>
                  <w:tcW w:w="856" w:type="pct"/>
                  <w:vAlign w:val="center"/>
                </w:tcPr>
                <w:p w14:paraId="41C0668E">
                  <w:pPr>
                    <w:pStyle w:val="36"/>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u w:val="single"/>
                      <w:vertAlign w:val="baseline"/>
                      <w:lang w:eastAsia="zh-CN"/>
                    </w:rPr>
                  </w:pPr>
                  <w:r>
                    <w:rPr>
                      <w:rFonts w:hint="eastAsia" w:ascii="Times New Roman" w:cs="Times New Roman" w:eastAsiaTheme="minorEastAsia"/>
                      <w:b w:val="0"/>
                      <w:bCs w:val="0"/>
                      <w:sz w:val="21"/>
                      <w:szCs w:val="21"/>
                      <w:u w:val="single"/>
                      <w:vertAlign w:val="baseline"/>
                      <w:lang w:eastAsia="zh-CN"/>
                    </w:rPr>
                    <w:t>辅助工程</w:t>
                  </w:r>
                </w:p>
              </w:tc>
              <w:tc>
                <w:tcPr>
                  <w:tcW w:w="1444" w:type="pct"/>
                  <w:vAlign w:val="center"/>
                </w:tcPr>
                <w:p w14:paraId="4C562202">
                  <w:pPr>
                    <w:pStyle w:val="36"/>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u w:val="single"/>
                      <w:vertAlign w:val="baseline"/>
                    </w:rPr>
                  </w:pPr>
                  <w:r>
                    <w:rPr>
                      <w:rFonts w:hint="eastAsia"/>
                      <w:sz w:val="21"/>
                      <w:szCs w:val="21"/>
                      <w:u w:val="single"/>
                    </w:rPr>
                    <w:t>综合办公楼</w:t>
                  </w:r>
                </w:p>
              </w:tc>
              <w:tc>
                <w:tcPr>
                  <w:tcW w:w="2465" w:type="pct"/>
                  <w:vAlign w:val="center"/>
                </w:tcPr>
                <w:p w14:paraId="76C47991">
                  <w:pPr>
                    <w:pStyle w:val="36"/>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u w:val="single"/>
                      <w:vertAlign w:val="baseline"/>
                      <w:lang w:eastAsia="zh-CN"/>
                    </w:rPr>
                  </w:pPr>
                  <w:r>
                    <w:rPr>
                      <w:rFonts w:ascii="Times New Roman"/>
                      <w:kern w:val="2"/>
                      <w:sz w:val="21"/>
                      <w:szCs w:val="21"/>
                      <w:u w:val="single"/>
                    </w:rPr>
                    <w:t>一栋</w:t>
                  </w:r>
                  <w:r>
                    <w:rPr>
                      <w:rFonts w:hint="default" w:ascii="Times New Roman"/>
                      <w:kern w:val="2"/>
                      <w:sz w:val="21"/>
                      <w:szCs w:val="21"/>
                      <w:u w:val="single"/>
                      <w:lang w:val="en-US" w:eastAsia="zh-CN"/>
                    </w:rPr>
                    <w:t>1</w:t>
                  </w:r>
                  <w:r>
                    <w:rPr>
                      <w:rFonts w:ascii="Times New Roman"/>
                      <w:kern w:val="2"/>
                      <w:sz w:val="21"/>
                      <w:szCs w:val="21"/>
                      <w:u w:val="single"/>
                    </w:rPr>
                    <w:t>F</w:t>
                  </w:r>
                  <w:r>
                    <w:rPr>
                      <w:rFonts w:hint="default" w:ascii="Times New Roman"/>
                      <w:kern w:val="2"/>
                      <w:sz w:val="21"/>
                      <w:szCs w:val="21"/>
                      <w:u w:val="single"/>
                    </w:rPr>
                    <w:t>综合办公楼</w:t>
                  </w:r>
                  <w:r>
                    <w:rPr>
                      <w:rFonts w:ascii="Times New Roman"/>
                      <w:kern w:val="2"/>
                      <w:sz w:val="21"/>
                      <w:szCs w:val="21"/>
                      <w:u w:val="single"/>
                    </w:rPr>
                    <w:t>，设置值班室、</w:t>
                  </w:r>
                  <w:r>
                    <w:rPr>
                      <w:rFonts w:hint="default" w:ascii="Times New Roman"/>
                      <w:kern w:val="2"/>
                      <w:sz w:val="21"/>
                      <w:szCs w:val="21"/>
                      <w:u w:val="single"/>
                    </w:rPr>
                    <w:t>仓库、</w:t>
                  </w:r>
                  <w:r>
                    <w:rPr>
                      <w:rFonts w:ascii="Times New Roman"/>
                      <w:kern w:val="2"/>
                      <w:sz w:val="21"/>
                      <w:szCs w:val="21"/>
                      <w:u w:val="single"/>
                    </w:rPr>
                    <w:t>食堂、</w:t>
                  </w:r>
                  <w:r>
                    <w:rPr>
                      <w:rFonts w:hint="default" w:ascii="Times New Roman"/>
                      <w:kern w:val="2"/>
                      <w:sz w:val="21"/>
                      <w:szCs w:val="21"/>
                      <w:u w:val="single"/>
                    </w:rPr>
                    <w:t>宿舍、</w:t>
                  </w:r>
                  <w:r>
                    <w:rPr>
                      <w:rFonts w:ascii="Times New Roman"/>
                      <w:kern w:val="2"/>
                      <w:sz w:val="21"/>
                      <w:szCs w:val="21"/>
                      <w:u w:val="single"/>
                    </w:rPr>
                    <w:t>工具房</w:t>
                  </w:r>
                  <w:r>
                    <w:rPr>
                      <w:rFonts w:hint="default" w:ascii="Times New Roman"/>
                      <w:kern w:val="2"/>
                      <w:sz w:val="21"/>
                      <w:szCs w:val="21"/>
                      <w:u w:val="single"/>
                      <w:lang w:eastAsia="zh-CN"/>
                    </w:rPr>
                    <w:t>等，</w:t>
                  </w:r>
                  <w:r>
                    <w:rPr>
                      <w:rFonts w:ascii="Times New Roman"/>
                      <w:kern w:val="2"/>
                      <w:sz w:val="21"/>
                      <w:szCs w:val="21"/>
                      <w:u w:val="single"/>
                    </w:rPr>
                    <w:t>占地面积约</w:t>
                  </w:r>
                  <w:r>
                    <w:rPr>
                      <w:rFonts w:hint="default" w:ascii="Times New Roman"/>
                      <w:kern w:val="2"/>
                      <w:sz w:val="21"/>
                      <w:szCs w:val="21"/>
                      <w:u w:val="single"/>
                      <w:lang w:val="en-US" w:eastAsia="zh-CN"/>
                    </w:rPr>
                    <w:t>38</w:t>
                  </w:r>
                  <w:r>
                    <w:rPr>
                      <w:rFonts w:hint="default" w:ascii="Times New Roman"/>
                      <w:kern w:val="2"/>
                      <w:sz w:val="21"/>
                      <w:szCs w:val="21"/>
                      <w:u w:val="single"/>
                    </w:rPr>
                    <w:t>0</w:t>
                  </w:r>
                  <w:r>
                    <w:rPr>
                      <w:rFonts w:ascii="Times New Roman"/>
                      <w:kern w:val="2"/>
                      <w:sz w:val="21"/>
                      <w:szCs w:val="21"/>
                      <w:u w:val="single"/>
                    </w:rPr>
                    <w:t>m</w:t>
                  </w:r>
                  <w:r>
                    <w:rPr>
                      <w:rFonts w:ascii="Times New Roman"/>
                      <w:kern w:val="2"/>
                      <w:sz w:val="21"/>
                      <w:szCs w:val="21"/>
                      <w:u w:val="single"/>
                      <w:vertAlign w:val="superscript"/>
                    </w:rPr>
                    <w:t>2</w:t>
                  </w:r>
                  <w:r>
                    <w:rPr>
                      <w:rFonts w:ascii="Times New Roman"/>
                      <w:kern w:val="2"/>
                      <w:sz w:val="21"/>
                      <w:szCs w:val="21"/>
                      <w:u w:val="single"/>
                    </w:rPr>
                    <w:t>。</w:t>
                  </w:r>
                </w:p>
              </w:tc>
            </w:tr>
            <w:tr w14:paraId="524C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restart"/>
                  <w:vAlign w:val="center"/>
                </w:tcPr>
                <w:p w14:paraId="7AFBCE57">
                  <w:pPr>
                    <w:pStyle w:val="36"/>
                    <w:adjustRightInd w:val="0"/>
                    <w:snapToGrid w:val="0"/>
                    <w:spacing w:line="240" w:lineRule="auto"/>
                    <w:ind w:firstLine="0" w:firstLineChars="0"/>
                    <w:jc w:val="center"/>
                    <w:rPr>
                      <w:rFonts w:hint="eastAsia" w:ascii="Times New Roman" w:hAnsi="Times New Roman" w:cs="Times New Roman" w:eastAsiaTheme="minorEastAsia"/>
                      <w:b w:val="0"/>
                      <w:bCs w:val="0"/>
                      <w:sz w:val="21"/>
                      <w:szCs w:val="21"/>
                      <w:u w:val="single"/>
                      <w:vertAlign w:val="baseline"/>
                      <w:lang w:val="en-US" w:eastAsia="zh-CN"/>
                    </w:rPr>
                  </w:pPr>
                  <w:r>
                    <w:rPr>
                      <w:rFonts w:hint="eastAsia" w:ascii="Times New Roman" w:cs="Times New Roman" w:eastAsiaTheme="minorEastAsia"/>
                      <w:b w:val="0"/>
                      <w:bCs w:val="0"/>
                      <w:sz w:val="21"/>
                      <w:szCs w:val="21"/>
                      <w:u w:val="single"/>
                      <w:vertAlign w:val="baseline"/>
                      <w:lang w:val="en-US" w:eastAsia="zh-CN"/>
                    </w:rPr>
                    <w:t>4</w:t>
                  </w:r>
                </w:p>
              </w:tc>
              <w:tc>
                <w:tcPr>
                  <w:tcW w:w="856" w:type="pct"/>
                  <w:vMerge w:val="restart"/>
                  <w:vAlign w:val="center"/>
                </w:tcPr>
                <w:p w14:paraId="6C92CE2E">
                  <w:pPr>
                    <w:spacing w:line="240" w:lineRule="auto"/>
                    <w:jc w:val="center"/>
                    <w:rPr>
                      <w:rFonts w:hint="default" w:ascii="Times New Roman" w:hAnsi="Times New Roman" w:cs="Times New Roman" w:eastAsiaTheme="minorEastAsia"/>
                      <w:b w:val="0"/>
                      <w:bCs w:val="0"/>
                      <w:sz w:val="21"/>
                      <w:szCs w:val="21"/>
                      <w:u w:val="single"/>
                      <w:vertAlign w:val="baseline"/>
                    </w:rPr>
                  </w:pPr>
                  <w:r>
                    <w:rPr>
                      <w:sz w:val="21"/>
                      <w:szCs w:val="21"/>
                      <w:u w:val="single"/>
                    </w:rPr>
                    <w:t>公用工程</w:t>
                  </w:r>
                </w:p>
              </w:tc>
              <w:tc>
                <w:tcPr>
                  <w:tcW w:w="1444" w:type="pct"/>
                  <w:vAlign w:val="center"/>
                </w:tcPr>
                <w:p w14:paraId="2A38B5A4">
                  <w:pPr>
                    <w:spacing w:line="240" w:lineRule="auto"/>
                    <w:jc w:val="center"/>
                    <w:rPr>
                      <w:rFonts w:hint="default" w:ascii="Times New Roman" w:hAnsi="Times New Roman" w:cs="Times New Roman" w:eastAsiaTheme="minorEastAsia"/>
                      <w:b w:val="0"/>
                      <w:bCs w:val="0"/>
                      <w:sz w:val="21"/>
                      <w:szCs w:val="21"/>
                      <w:u w:val="single"/>
                      <w:vertAlign w:val="baseline"/>
                    </w:rPr>
                  </w:pPr>
                  <w:r>
                    <w:rPr>
                      <w:sz w:val="21"/>
                      <w:szCs w:val="21"/>
                      <w:u w:val="single"/>
                    </w:rPr>
                    <w:t>供水</w:t>
                  </w:r>
                </w:p>
              </w:tc>
              <w:tc>
                <w:tcPr>
                  <w:tcW w:w="2465" w:type="pct"/>
                  <w:vAlign w:val="center"/>
                </w:tcPr>
                <w:p w14:paraId="76E80582">
                  <w:pPr>
                    <w:pStyle w:val="9"/>
                    <w:numPr>
                      <w:ilvl w:val="3"/>
                      <w:numId w:val="0"/>
                    </w:numPr>
                    <w:ind w:left="0" w:leftChars="0" w:firstLine="0" w:firstLineChars="0"/>
                    <w:jc w:val="center"/>
                    <w:rPr>
                      <w:rFonts w:hint="default" w:ascii="Times New Roman" w:hAnsi="Times New Roman" w:cs="Times New Roman" w:eastAsiaTheme="minorEastAsia"/>
                      <w:b w:val="0"/>
                      <w:bCs w:val="0"/>
                      <w:sz w:val="21"/>
                      <w:szCs w:val="21"/>
                      <w:u w:val="single"/>
                      <w:vertAlign w:val="baseline"/>
                    </w:rPr>
                  </w:pPr>
                  <w:r>
                    <w:rPr>
                      <w:rFonts w:hint="eastAsia" w:ascii="Times New Roman" w:hAnsi="Times New Roman" w:eastAsia="宋体" w:cs="Times New Roman"/>
                      <w:szCs w:val="21"/>
                      <w:u w:val="single"/>
                    </w:rPr>
                    <w:t>生产用水及</w:t>
                  </w:r>
                  <w:r>
                    <w:rPr>
                      <w:rFonts w:ascii="Times New Roman" w:hAnsi="Times New Roman" w:eastAsia="宋体" w:cs="Times New Roman"/>
                      <w:szCs w:val="21"/>
                      <w:u w:val="single"/>
                    </w:rPr>
                    <w:t>生活用水等用水</w:t>
                  </w:r>
                  <w:r>
                    <w:rPr>
                      <w:rFonts w:hint="eastAsia" w:ascii="Times New Roman" w:hAnsi="Times New Roman" w:eastAsia="宋体" w:cs="Times New Roman"/>
                      <w:szCs w:val="21"/>
                      <w:u w:val="single"/>
                    </w:rPr>
                    <w:t>直接从厂区内井水中抽取</w:t>
                  </w:r>
                  <w:r>
                    <w:rPr>
                      <w:rFonts w:ascii="Times New Roman" w:hAnsi="Times New Roman" w:eastAsia="宋体" w:cs="Times New Roman"/>
                      <w:szCs w:val="21"/>
                      <w:u w:val="single"/>
                    </w:rPr>
                    <w:t>。</w:t>
                  </w:r>
                </w:p>
              </w:tc>
            </w:tr>
            <w:tr w14:paraId="1C26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continue"/>
                  <w:vAlign w:val="center"/>
                </w:tcPr>
                <w:p w14:paraId="1164A618">
                  <w:pPr>
                    <w:pStyle w:val="36"/>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u w:val="single"/>
                      <w:vertAlign w:val="baseline"/>
                    </w:rPr>
                  </w:pPr>
                </w:p>
              </w:tc>
              <w:tc>
                <w:tcPr>
                  <w:tcW w:w="856" w:type="pct"/>
                  <w:vMerge w:val="continue"/>
                  <w:vAlign w:val="center"/>
                </w:tcPr>
                <w:p w14:paraId="0CF59418">
                  <w:pPr>
                    <w:spacing w:line="240" w:lineRule="auto"/>
                    <w:jc w:val="center"/>
                    <w:rPr>
                      <w:rFonts w:hint="default" w:ascii="Times New Roman" w:hAnsi="Times New Roman" w:cs="Times New Roman" w:eastAsiaTheme="minorEastAsia"/>
                      <w:b w:val="0"/>
                      <w:bCs w:val="0"/>
                      <w:sz w:val="21"/>
                      <w:szCs w:val="21"/>
                      <w:u w:val="single"/>
                      <w:vertAlign w:val="baseline"/>
                    </w:rPr>
                  </w:pPr>
                </w:p>
              </w:tc>
              <w:tc>
                <w:tcPr>
                  <w:tcW w:w="1444" w:type="pct"/>
                  <w:vAlign w:val="center"/>
                </w:tcPr>
                <w:p w14:paraId="7F56A6D2">
                  <w:pPr>
                    <w:spacing w:line="240" w:lineRule="auto"/>
                    <w:jc w:val="center"/>
                    <w:rPr>
                      <w:rFonts w:hint="default" w:ascii="Times New Roman" w:hAnsi="Times New Roman" w:cs="Times New Roman" w:eastAsiaTheme="minorEastAsia"/>
                      <w:b w:val="0"/>
                      <w:bCs w:val="0"/>
                      <w:sz w:val="21"/>
                      <w:szCs w:val="21"/>
                      <w:u w:val="single"/>
                      <w:vertAlign w:val="baseline"/>
                    </w:rPr>
                  </w:pPr>
                  <w:r>
                    <w:rPr>
                      <w:sz w:val="21"/>
                      <w:szCs w:val="21"/>
                      <w:u w:val="single"/>
                    </w:rPr>
                    <w:t>供电</w:t>
                  </w:r>
                </w:p>
              </w:tc>
              <w:tc>
                <w:tcPr>
                  <w:tcW w:w="2465" w:type="pct"/>
                  <w:vAlign w:val="center"/>
                </w:tcPr>
                <w:p w14:paraId="697DF519">
                  <w:pPr>
                    <w:spacing w:line="240" w:lineRule="auto"/>
                    <w:jc w:val="center"/>
                    <w:rPr>
                      <w:rFonts w:hint="default" w:ascii="Times New Roman" w:hAnsi="Times New Roman" w:cs="Times New Roman" w:eastAsiaTheme="minorEastAsia"/>
                      <w:b w:val="0"/>
                      <w:bCs w:val="0"/>
                      <w:sz w:val="21"/>
                      <w:szCs w:val="21"/>
                      <w:u w:val="single"/>
                      <w:vertAlign w:val="baseline"/>
                    </w:rPr>
                  </w:pPr>
                  <w:r>
                    <w:rPr>
                      <w:sz w:val="21"/>
                      <w:szCs w:val="21"/>
                      <w:u w:val="single"/>
                    </w:rPr>
                    <w:t>生产、生活电源来自附近变电站，架设一条输变线路引至配电室。</w:t>
                  </w:r>
                </w:p>
              </w:tc>
            </w:tr>
            <w:tr w14:paraId="714E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34" w:type="pct"/>
                  <w:vMerge w:val="restart"/>
                  <w:vAlign w:val="center"/>
                </w:tcPr>
                <w:p w14:paraId="41563B29">
                  <w:pPr>
                    <w:spacing w:line="240" w:lineRule="auto"/>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rPr>
                    <w:t>5</w:t>
                  </w:r>
                </w:p>
              </w:tc>
              <w:tc>
                <w:tcPr>
                  <w:tcW w:w="856" w:type="pct"/>
                  <w:vMerge w:val="restart"/>
                  <w:vAlign w:val="center"/>
                </w:tcPr>
                <w:p w14:paraId="506EBF9A">
                  <w:pPr>
                    <w:spacing w:line="240" w:lineRule="auto"/>
                    <w:jc w:val="center"/>
                    <w:rPr>
                      <w:rFonts w:hint="default" w:ascii="Times New Roman" w:hAnsi="Times New Roman" w:eastAsia="宋体" w:cs="Times New Roman"/>
                      <w:kern w:val="2"/>
                      <w:sz w:val="21"/>
                      <w:szCs w:val="21"/>
                      <w:u w:val="single"/>
                      <w:lang w:val="en-US" w:eastAsia="zh-CN" w:bidi="ar-SA"/>
                    </w:rPr>
                  </w:pPr>
                  <w:r>
                    <w:rPr>
                      <w:sz w:val="21"/>
                      <w:szCs w:val="21"/>
                      <w:u w:val="single"/>
                    </w:rPr>
                    <w:t>环保工程</w:t>
                  </w:r>
                </w:p>
              </w:tc>
              <w:tc>
                <w:tcPr>
                  <w:tcW w:w="1444" w:type="pct"/>
                  <w:vMerge w:val="restart"/>
                  <w:vAlign w:val="center"/>
                </w:tcPr>
                <w:p w14:paraId="34898230">
                  <w:pPr>
                    <w:spacing w:line="240" w:lineRule="auto"/>
                    <w:jc w:val="center"/>
                    <w:rPr>
                      <w:rFonts w:ascii="Times New Roman" w:hAnsi="Times New Roman" w:eastAsia="宋体" w:cs="Times New Roman"/>
                      <w:kern w:val="2"/>
                      <w:sz w:val="21"/>
                      <w:szCs w:val="21"/>
                      <w:u w:val="single"/>
                      <w:lang w:val="en-US" w:eastAsia="zh-CN" w:bidi="ar-SA"/>
                    </w:rPr>
                  </w:pPr>
                  <w:r>
                    <w:rPr>
                      <w:sz w:val="21"/>
                      <w:szCs w:val="21"/>
                      <w:u w:val="single"/>
                    </w:rPr>
                    <w:t>废气处理</w:t>
                  </w:r>
                </w:p>
              </w:tc>
              <w:tc>
                <w:tcPr>
                  <w:tcW w:w="2465" w:type="pct"/>
                  <w:vAlign w:val="center"/>
                </w:tcPr>
                <w:p w14:paraId="120D0ED8">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b w:val="0"/>
                      <w:bCs w:val="0"/>
                      <w:kern w:val="2"/>
                      <w:sz w:val="21"/>
                      <w:szCs w:val="21"/>
                      <w:u w:val="single"/>
                      <w:lang w:eastAsia="zh-CN" w:bidi="ar"/>
                    </w:rPr>
                    <w:t>墓碑</w:t>
                  </w:r>
                  <w:r>
                    <w:rPr>
                      <w:rFonts w:hint="eastAsia" w:ascii="Times New Roman" w:hAnsi="Times New Roman" w:eastAsia="宋体" w:cs="Times New Roman"/>
                      <w:b w:val="0"/>
                      <w:bCs w:val="0"/>
                      <w:kern w:val="2"/>
                      <w:sz w:val="21"/>
                      <w:szCs w:val="21"/>
                      <w:u w:val="single"/>
                      <w:lang w:val="en-US" w:eastAsia="zh-CN" w:bidi="ar"/>
                    </w:rPr>
                    <w:t>及附属产品和其他板材</w:t>
                  </w:r>
                  <w:r>
                    <w:rPr>
                      <w:rFonts w:hint="eastAsia"/>
                      <w:sz w:val="21"/>
                      <w:szCs w:val="21"/>
                      <w:u w:val="single"/>
                    </w:rPr>
                    <w:t>加工工序采用湿式作业，</w:t>
                  </w:r>
                  <w:r>
                    <w:rPr>
                      <w:rFonts w:hint="eastAsia"/>
                      <w:sz w:val="21"/>
                      <w:szCs w:val="21"/>
                      <w:u w:val="single"/>
                      <w:lang w:eastAsia="zh-CN"/>
                    </w:rPr>
                    <w:t>粉尘无组织排放</w:t>
                  </w:r>
                  <w:r>
                    <w:rPr>
                      <w:rFonts w:hint="eastAsia"/>
                      <w:sz w:val="21"/>
                      <w:szCs w:val="21"/>
                      <w:u w:val="single"/>
                    </w:rPr>
                    <w:t>；</w:t>
                  </w:r>
                </w:p>
              </w:tc>
            </w:tr>
            <w:tr w14:paraId="44A8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4" w:type="pct"/>
                  <w:vMerge w:val="continue"/>
                </w:tcPr>
                <w:p w14:paraId="2FD229C4">
                  <w:pPr>
                    <w:pStyle w:val="36"/>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u w:val="single"/>
                      <w:vertAlign w:val="baseline"/>
                    </w:rPr>
                  </w:pPr>
                </w:p>
              </w:tc>
              <w:tc>
                <w:tcPr>
                  <w:tcW w:w="856" w:type="pct"/>
                  <w:vMerge w:val="continue"/>
                </w:tcPr>
                <w:p w14:paraId="220813A0">
                  <w:pPr>
                    <w:spacing w:line="240" w:lineRule="auto"/>
                    <w:jc w:val="center"/>
                    <w:rPr>
                      <w:rFonts w:hint="default" w:ascii="Times New Roman" w:hAnsi="Times New Roman" w:cs="Times New Roman" w:eastAsiaTheme="minorEastAsia"/>
                      <w:b w:val="0"/>
                      <w:bCs w:val="0"/>
                      <w:sz w:val="21"/>
                      <w:szCs w:val="21"/>
                      <w:u w:val="single"/>
                      <w:vertAlign w:val="baseline"/>
                    </w:rPr>
                  </w:pPr>
                </w:p>
              </w:tc>
              <w:tc>
                <w:tcPr>
                  <w:tcW w:w="1444" w:type="pct"/>
                  <w:vMerge w:val="continue"/>
                </w:tcPr>
                <w:p w14:paraId="02AC3D94">
                  <w:pPr>
                    <w:spacing w:line="240" w:lineRule="auto"/>
                    <w:jc w:val="center"/>
                    <w:rPr>
                      <w:sz w:val="21"/>
                      <w:szCs w:val="21"/>
                      <w:u w:val="single"/>
                    </w:rPr>
                  </w:pPr>
                </w:p>
              </w:tc>
              <w:tc>
                <w:tcPr>
                  <w:tcW w:w="2465" w:type="pct"/>
                  <w:vAlign w:val="center"/>
                </w:tcPr>
                <w:p w14:paraId="19FAA78D">
                  <w:pPr>
                    <w:spacing w:line="240" w:lineRule="auto"/>
                    <w:jc w:val="center"/>
                    <w:rPr>
                      <w:rFonts w:hint="eastAsia" w:ascii="Times New Roman" w:hAnsi="Times New Roman" w:eastAsia="宋体" w:cs="Times New Roman"/>
                      <w:kern w:val="2"/>
                      <w:sz w:val="21"/>
                      <w:szCs w:val="21"/>
                      <w:u w:val="single"/>
                      <w:lang w:val="en-US" w:eastAsia="zh-CN" w:bidi="ar-SA"/>
                    </w:rPr>
                  </w:pPr>
                  <w:r>
                    <w:rPr>
                      <w:sz w:val="21"/>
                      <w:szCs w:val="21"/>
                      <w:u w:val="single"/>
                    </w:rPr>
                    <w:t>厨房设置油烟净化器。</w:t>
                  </w:r>
                </w:p>
              </w:tc>
            </w:tr>
            <w:tr w14:paraId="1D41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234" w:type="pct"/>
                  <w:vMerge w:val="continue"/>
                </w:tcPr>
                <w:p w14:paraId="6960FF25">
                  <w:pPr>
                    <w:pStyle w:val="36"/>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u w:val="single"/>
                      <w:vertAlign w:val="baseline"/>
                    </w:rPr>
                  </w:pPr>
                </w:p>
              </w:tc>
              <w:tc>
                <w:tcPr>
                  <w:tcW w:w="856" w:type="pct"/>
                  <w:vMerge w:val="continue"/>
                </w:tcPr>
                <w:p w14:paraId="2DFAD801">
                  <w:pPr>
                    <w:spacing w:line="240" w:lineRule="auto"/>
                    <w:jc w:val="center"/>
                    <w:rPr>
                      <w:rFonts w:hint="default" w:ascii="Times New Roman" w:hAnsi="Times New Roman" w:cs="Times New Roman" w:eastAsiaTheme="minorEastAsia"/>
                      <w:b w:val="0"/>
                      <w:bCs w:val="0"/>
                      <w:sz w:val="21"/>
                      <w:szCs w:val="21"/>
                      <w:u w:val="single"/>
                      <w:vertAlign w:val="baseline"/>
                    </w:rPr>
                  </w:pPr>
                </w:p>
              </w:tc>
              <w:tc>
                <w:tcPr>
                  <w:tcW w:w="1444" w:type="pct"/>
                  <w:vMerge w:val="restart"/>
                  <w:vAlign w:val="center"/>
                </w:tcPr>
                <w:p w14:paraId="1101FD02">
                  <w:pPr>
                    <w:spacing w:line="240" w:lineRule="auto"/>
                    <w:jc w:val="center"/>
                    <w:rPr>
                      <w:rFonts w:ascii="Times New Roman" w:hAnsi="Times New Roman" w:eastAsia="宋体" w:cs="Times New Roman"/>
                      <w:kern w:val="2"/>
                      <w:sz w:val="21"/>
                      <w:szCs w:val="21"/>
                      <w:u w:val="single"/>
                      <w:lang w:val="en-US" w:eastAsia="zh-CN" w:bidi="ar-SA"/>
                    </w:rPr>
                  </w:pPr>
                  <w:r>
                    <w:rPr>
                      <w:sz w:val="21"/>
                      <w:szCs w:val="21"/>
                      <w:u w:val="single"/>
                    </w:rPr>
                    <w:t>废水处理</w:t>
                  </w:r>
                </w:p>
              </w:tc>
              <w:tc>
                <w:tcPr>
                  <w:tcW w:w="2465" w:type="pct"/>
                  <w:vAlign w:val="center"/>
                </w:tcPr>
                <w:p w14:paraId="2D97D1DC">
                  <w:pPr>
                    <w:spacing w:line="240" w:lineRule="auto"/>
                    <w:jc w:val="center"/>
                    <w:rPr>
                      <w:rFonts w:ascii="Times New Roman" w:hAnsi="Times New Roman" w:eastAsia="宋体" w:cs="Times New Roman"/>
                      <w:color w:val="0000C7"/>
                      <w:kern w:val="2"/>
                      <w:sz w:val="21"/>
                      <w:szCs w:val="21"/>
                      <w:u w:val="single"/>
                      <w:lang w:val="en-US" w:eastAsia="zh-CN" w:bidi="ar-SA"/>
                    </w:rPr>
                  </w:pPr>
                  <w:r>
                    <w:rPr>
                      <w:sz w:val="21"/>
                      <w:szCs w:val="21"/>
                      <w:u w:val="single"/>
                    </w:rPr>
                    <w:t>本项目</w:t>
                  </w:r>
                  <w:r>
                    <w:rPr>
                      <w:rFonts w:hint="eastAsia"/>
                      <w:sz w:val="21"/>
                      <w:szCs w:val="21"/>
                      <w:u w:val="single"/>
                    </w:rPr>
                    <w:t>墓碑及其附属产品</w:t>
                  </w:r>
                  <w:r>
                    <w:rPr>
                      <w:sz w:val="21"/>
                      <w:szCs w:val="21"/>
                      <w:u w:val="single"/>
                    </w:rPr>
                    <w:t>加工过程中</w:t>
                  </w:r>
                  <w:r>
                    <w:rPr>
                      <w:rFonts w:hint="eastAsia"/>
                      <w:sz w:val="21"/>
                      <w:szCs w:val="21"/>
                      <w:u w:val="single"/>
                    </w:rPr>
                    <w:t>切割、磨光、雕刻</w:t>
                  </w:r>
                  <w:r>
                    <w:rPr>
                      <w:sz w:val="21"/>
                      <w:szCs w:val="21"/>
                      <w:u w:val="single"/>
                    </w:rPr>
                    <w:t>等工序产生的废水经</w:t>
                  </w:r>
                  <w:r>
                    <w:rPr>
                      <w:rFonts w:hint="eastAsia"/>
                      <w:sz w:val="21"/>
                      <w:szCs w:val="21"/>
                      <w:u w:val="single"/>
                      <w:lang w:val="en-US" w:eastAsia="zh-CN"/>
                    </w:rPr>
                    <w:t>三级</w:t>
                  </w:r>
                  <w:r>
                    <w:rPr>
                      <w:sz w:val="21"/>
                      <w:szCs w:val="21"/>
                      <w:u w:val="single"/>
                    </w:rPr>
                    <w:t>沉淀</w:t>
                  </w:r>
                  <w:r>
                    <w:rPr>
                      <w:rFonts w:hint="eastAsia"/>
                      <w:sz w:val="21"/>
                      <w:szCs w:val="21"/>
                      <w:u w:val="single"/>
                    </w:rPr>
                    <w:t>池（</w:t>
                  </w:r>
                  <w:r>
                    <w:rPr>
                      <w:rFonts w:hint="eastAsia"/>
                      <w:sz w:val="21"/>
                      <w:szCs w:val="21"/>
                      <w:u w:val="single"/>
                      <w:lang w:val="en-US" w:eastAsia="zh-CN"/>
                    </w:rPr>
                    <w:t>17</w:t>
                  </w:r>
                  <w:r>
                    <w:rPr>
                      <w:rFonts w:hint="eastAsia"/>
                      <w:sz w:val="21"/>
                      <w:szCs w:val="21"/>
                      <w:u w:val="single"/>
                    </w:rPr>
                    <w:t>m³）</w:t>
                  </w:r>
                  <w:r>
                    <w:rPr>
                      <w:sz w:val="21"/>
                      <w:szCs w:val="21"/>
                      <w:u w:val="single"/>
                    </w:rPr>
                    <w:t>处理后循环使用，不外排；</w:t>
                  </w:r>
                </w:p>
              </w:tc>
            </w:tr>
            <w:tr w14:paraId="2A5F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34" w:type="pct"/>
                  <w:vMerge w:val="continue"/>
                </w:tcPr>
                <w:p w14:paraId="0DE7BF69">
                  <w:pPr>
                    <w:pStyle w:val="36"/>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u w:val="single"/>
                      <w:vertAlign w:val="baseline"/>
                    </w:rPr>
                  </w:pPr>
                </w:p>
              </w:tc>
              <w:tc>
                <w:tcPr>
                  <w:tcW w:w="856" w:type="pct"/>
                  <w:vMerge w:val="continue"/>
                </w:tcPr>
                <w:p w14:paraId="43332693">
                  <w:pPr>
                    <w:spacing w:line="240" w:lineRule="auto"/>
                    <w:jc w:val="center"/>
                    <w:rPr>
                      <w:rFonts w:hint="default" w:ascii="Times New Roman" w:hAnsi="Times New Roman" w:cs="Times New Roman" w:eastAsiaTheme="minorEastAsia"/>
                      <w:b w:val="0"/>
                      <w:bCs w:val="0"/>
                      <w:sz w:val="21"/>
                      <w:szCs w:val="21"/>
                      <w:u w:val="single"/>
                      <w:vertAlign w:val="baseline"/>
                    </w:rPr>
                  </w:pPr>
                </w:p>
              </w:tc>
              <w:tc>
                <w:tcPr>
                  <w:tcW w:w="1444" w:type="pct"/>
                  <w:vMerge w:val="continue"/>
                </w:tcPr>
                <w:p w14:paraId="361D9F30">
                  <w:pPr>
                    <w:spacing w:line="240" w:lineRule="auto"/>
                    <w:jc w:val="center"/>
                    <w:rPr>
                      <w:sz w:val="21"/>
                      <w:szCs w:val="21"/>
                      <w:u w:val="single"/>
                    </w:rPr>
                  </w:pPr>
                </w:p>
              </w:tc>
              <w:tc>
                <w:tcPr>
                  <w:tcW w:w="2465" w:type="pct"/>
                  <w:vAlign w:val="center"/>
                </w:tcPr>
                <w:p w14:paraId="0F17EEC1">
                  <w:pPr>
                    <w:spacing w:line="240" w:lineRule="auto"/>
                    <w:jc w:val="center"/>
                    <w:rPr>
                      <w:rFonts w:ascii="Times New Roman" w:hAnsi="Times New Roman" w:eastAsia="宋体" w:cs="Times New Roman"/>
                      <w:kern w:val="2"/>
                      <w:sz w:val="21"/>
                      <w:szCs w:val="21"/>
                      <w:u w:val="single"/>
                      <w:lang w:val="en-US" w:eastAsia="zh-CN" w:bidi="ar-SA"/>
                    </w:rPr>
                  </w:pPr>
                  <w:r>
                    <w:rPr>
                      <w:sz w:val="21"/>
                      <w:szCs w:val="21"/>
                      <w:u w:val="single"/>
                    </w:rPr>
                    <w:t>生活污水</w:t>
                  </w:r>
                  <w:r>
                    <w:rPr>
                      <w:kern w:val="0"/>
                      <w:sz w:val="21"/>
                      <w:szCs w:val="21"/>
                      <w:u w:val="single"/>
                    </w:rPr>
                    <w:t>经</w:t>
                  </w:r>
                  <w:r>
                    <w:rPr>
                      <w:rFonts w:hint="eastAsia"/>
                      <w:kern w:val="0"/>
                      <w:sz w:val="21"/>
                      <w:szCs w:val="21"/>
                      <w:u w:val="single"/>
                    </w:rPr>
                    <w:t>隔油</w:t>
                  </w:r>
                  <w:r>
                    <w:rPr>
                      <w:kern w:val="0"/>
                      <w:sz w:val="21"/>
                      <w:szCs w:val="21"/>
                      <w:u w:val="single"/>
                    </w:rPr>
                    <w:t>化粪池</w:t>
                  </w:r>
                  <w:r>
                    <w:rPr>
                      <w:rFonts w:hint="eastAsia"/>
                      <w:kern w:val="0"/>
                      <w:sz w:val="21"/>
                      <w:szCs w:val="21"/>
                      <w:u w:val="single"/>
                    </w:rPr>
                    <w:t>（</w:t>
                  </w:r>
                  <w:r>
                    <w:rPr>
                      <w:rFonts w:hint="eastAsia"/>
                      <w:kern w:val="0"/>
                      <w:sz w:val="21"/>
                      <w:szCs w:val="21"/>
                      <w:u w:val="single"/>
                      <w:lang w:val="en-US" w:eastAsia="zh-CN"/>
                    </w:rPr>
                    <w:t>5</w:t>
                  </w:r>
                  <w:r>
                    <w:rPr>
                      <w:sz w:val="21"/>
                      <w:szCs w:val="21"/>
                      <w:u w:val="single"/>
                    </w:rPr>
                    <w:t>m</w:t>
                  </w:r>
                  <w:r>
                    <w:rPr>
                      <w:sz w:val="21"/>
                      <w:szCs w:val="21"/>
                      <w:u w:val="single"/>
                      <w:vertAlign w:val="superscript"/>
                    </w:rPr>
                    <w:t>3</w:t>
                  </w:r>
                  <w:r>
                    <w:rPr>
                      <w:rFonts w:hint="eastAsia"/>
                      <w:kern w:val="0"/>
                      <w:sz w:val="21"/>
                      <w:szCs w:val="21"/>
                      <w:u w:val="single"/>
                    </w:rPr>
                    <w:t>）</w:t>
                  </w:r>
                  <w:r>
                    <w:rPr>
                      <w:kern w:val="0"/>
                      <w:sz w:val="21"/>
                      <w:szCs w:val="21"/>
                      <w:u w:val="single"/>
                    </w:rPr>
                    <w:t>处理用于周边林地、</w:t>
                  </w:r>
                  <w:r>
                    <w:rPr>
                      <w:rFonts w:hint="eastAsia"/>
                      <w:kern w:val="0"/>
                      <w:sz w:val="21"/>
                      <w:szCs w:val="21"/>
                      <w:u w:val="single"/>
                    </w:rPr>
                    <w:t>菜地</w:t>
                  </w:r>
                  <w:r>
                    <w:rPr>
                      <w:kern w:val="0"/>
                      <w:sz w:val="21"/>
                      <w:szCs w:val="21"/>
                      <w:u w:val="single"/>
                    </w:rPr>
                    <w:t>浇灌，不外排</w:t>
                  </w:r>
                  <w:r>
                    <w:rPr>
                      <w:rFonts w:hint="eastAsia"/>
                      <w:kern w:val="0"/>
                      <w:sz w:val="21"/>
                      <w:szCs w:val="21"/>
                      <w:u w:val="single"/>
                    </w:rPr>
                    <w:t>；</w:t>
                  </w:r>
                </w:p>
              </w:tc>
            </w:tr>
            <w:tr w14:paraId="53C9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continue"/>
                </w:tcPr>
                <w:p w14:paraId="66A23DCC">
                  <w:pPr>
                    <w:pStyle w:val="36"/>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u w:val="single"/>
                      <w:vertAlign w:val="baseline"/>
                    </w:rPr>
                  </w:pPr>
                </w:p>
              </w:tc>
              <w:tc>
                <w:tcPr>
                  <w:tcW w:w="856" w:type="pct"/>
                  <w:vMerge w:val="continue"/>
                </w:tcPr>
                <w:p w14:paraId="34AE4772">
                  <w:pPr>
                    <w:spacing w:line="240" w:lineRule="auto"/>
                    <w:jc w:val="center"/>
                    <w:rPr>
                      <w:rFonts w:hint="default" w:ascii="Times New Roman" w:hAnsi="Times New Roman" w:cs="Times New Roman" w:eastAsiaTheme="minorEastAsia"/>
                      <w:b w:val="0"/>
                      <w:bCs w:val="0"/>
                      <w:sz w:val="21"/>
                      <w:szCs w:val="21"/>
                      <w:u w:val="single"/>
                      <w:vertAlign w:val="baseline"/>
                    </w:rPr>
                  </w:pPr>
                </w:p>
              </w:tc>
              <w:tc>
                <w:tcPr>
                  <w:tcW w:w="1444" w:type="pct"/>
                  <w:vAlign w:val="center"/>
                </w:tcPr>
                <w:p w14:paraId="1BE96D3F">
                  <w:pPr>
                    <w:spacing w:line="240" w:lineRule="auto"/>
                    <w:jc w:val="center"/>
                    <w:rPr>
                      <w:rFonts w:ascii="Times New Roman" w:hAnsi="Times New Roman" w:eastAsia="宋体" w:cs="Times New Roman"/>
                      <w:kern w:val="2"/>
                      <w:sz w:val="21"/>
                      <w:szCs w:val="21"/>
                      <w:u w:val="single"/>
                      <w:lang w:val="en-US" w:eastAsia="zh-CN" w:bidi="ar-SA"/>
                    </w:rPr>
                  </w:pPr>
                  <w:r>
                    <w:rPr>
                      <w:sz w:val="21"/>
                      <w:szCs w:val="21"/>
                      <w:u w:val="single"/>
                    </w:rPr>
                    <w:t>噪声处理</w:t>
                  </w:r>
                </w:p>
              </w:tc>
              <w:tc>
                <w:tcPr>
                  <w:tcW w:w="0" w:type="auto"/>
                  <w:vAlign w:val="center"/>
                </w:tcPr>
                <w:p w14:paraId="3BFCFB7C">
                  <w:pPr>
                    <w:spacing w:line="240" w:lineRule="auto"/>
                    <w:jc w:val="center"/>
                    <w:rPr>
                      <w:rFonts w:ascii="Times New Roman" w:hAnsi="Times New Roman" w:eastAsia="宋体" w:cs="Times New Roman"/>
                      <w:kern w:val="2"/>
                      <w:sz w:val="21"/>
                      <w:szCs w:val="21"/>
                      <w:u w:val="single"/>
                      <w:lang w:val="en-US" w:eastAsia="zh-CN" w:bidi="ar-SA"/>
                    </w:rPr>
                  </w:pPr>
                  <w:r>
                    <w:rPr>
                      <w:sz w:val="21"/>
                      <w:szCs w:val="21"/>
                      <w:u w:val="single"/>
                    </w:rPr>
                    <w:t>优化布局、加强设备维护、对加工设备安装减震垫、消声器、隔声罩、绿化</w:t>
                  </w:r>
                  <w:r>
                    <w:rPr>
                      <w:rFonts w:hint="eastAsia"/>
                      <w:sz w:val="21"/>
                      <w:szCs w:val="21"/>
                      <w:u w:val="single"/>
                    </w:rPr>
                    <w:t>。</w:t>
                  </w:r>
                </w:p>
              </w:tc>
            </w:tr>
            <w:tr w14:paraId="5238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vMerge w:val="continue"/>
                </w:tcPr>
                <w:p w14:paraId="6AB42082">
                  <w:pPr>
                    <w:pStyle w:val="36"/>
                    <w:adjustRightInd w:val="0"/>
                    <w:snapToGrid w:val="0"/>
                    <w:spacing w:line="240" w:lineRule="auto"/>
                    <w:ind w:firstLine="0" w:firstLineChars="0"/>
                    <w:jc w:val="center"/>
                    <w:rPr>
                      <w:rFonts w:hint="default" w:ascii="Times New Roman" w:hAnsi="Times New Roman" w:cs="Times New Roman" w:eastAsiaTheme="minorEastAsia"/>
                      <w:b w:val="0"/>
                      <w:bCs w:val="0"/>
                      <w:sz w:val="21"/>
                      <w:szCs w:val="21"/>
                      <w:u w:val="single"/>
                      <w:vertAlign w:val="baseline"/>
                    </w:rPr>
                  </w:pPr>
                </w:p>
              </w:tc>
              <w:tc>
                <w:tcPr>
                  <w:tcW w:w="856" w:type="pct"/>
                  <w:vMerge w:val="continue"/>
                </w:tcPr>
                <w:p w14:paraId="006FE528">
                  <w:pPr>
                    <w:spacing w:line="240" w:lineRule="auto"/>
                    <w:jc w:val="center"/>
                    <w:rPr>
                      <w:rFonts w:hint="default" w:ascii="Times New Roman" w:hAnsi="Times New Roman" w:cs="Times New Roman" w:eastAsiaTheme="minorEastAsia"/>
                      <w:b w:val="0"/>
                      <w:bCs w:val="0"/>
                      <w:sz w:val="21"/>
                      <w:szCs w:val="21"/>
                      <w:u w:val="single"/>
                      <w:vertAlign w:val="baseline"/>
                    </w:rPr>
                  </w:pPr>
                </w:p>
              </w:tc>
              <w:tc>
                <w:tcPr>
                  <w:tcW w:w="1444" w:type="pct"/>
                  <w:vAlign w:val="center"/>
                </w:tcPr>
                <w:p w14:paraId="0EB03138">
                  <w:pPr>
                    <w:spacing w:line="240" w:lineRule="auto"/>
                    <w:jc w:val="center"/>
                    <w:rPr>
                      <w:rFonts w:ascii="Times New Roman" w:hAnsi="Times New Roman" w:eastAsia="宋体" w:cs="Times New Roman"/>
                      <w:kern w:val="2"/>
                      <w:sz w:val="21"/>
                      <w:szCs w:val="21"/>
                      <w:u w:val="single"/>
                      <w:lang w:val="en-US" w:eastAsia="zh-CN" w:bidi="ar-SA"/>
                    </w:rPr>
                  </w:pPr>
                  <w:r>
                    <w:rPr>
                      <w:sz w:val="21"/>
                      <w:szCs w:val="21"/>
                      <w:u w:val="single"/>
                    </w:rPr>
                    <w:t>固体废物</w:t>
                  </w:r>
                </w:p>
              </w:tc>
              <w:tc>
                <w:tcPr>
                  <w:tcW w:w="0" w:type="auto"/>
                  <w:vAlign w:val="center"/>
                </w:tcPr>
                <w:p w14:paraId="14F63303">
                  <w:pPr>
                    <w:spacing w:line="240" w:lineRule="auto"/>
                    <w:jc w:val="center"/>
                    <w:rPr>
                      <w:rFonts w:ascii="Times New Roman" w:hAnsi="Times New Roman" w:eastAsia="宋体" w:cs="Times New Roman"/>
                      <w:color w:val="0000C7"/>
                      <w:kern w:val="2"/>
                      <w:sz w:val="21"/>
                      <w:szCs w:val="21"/>
                      <w:u w:val="single"/>
                      <w:lang w:val="en-US" w:eastAsia="zh-CN" w:bidi="ar-SA"/>
                    </w:rPr>
                  </w:pPr>
                  <w:r>
                    <w:rPr>
                      <w:rFonts w:hint="eastAsia"/>
                      <w:sz w:val="21"/>
                      <w:szCs w:val="21"/>
                      <w:u w:val="single"/>
                      <w:lang w:eastAsia="zh-CN"/>
                    </w:rPr>
                    <w:t>沉淀污泥收集</w:t>
                  </w:r>
                  <w:r>
                    <w:rPr>
                      <w:sz w:val="21"/>
                      <w:szCs w:val="21"/>
                      <w:u w:val="single"/>
                    </w:rPr>
                    <w:t>后</w:t>
                  </w:r>
                  <w:r>
                    <w:rPr>
                      <w:rFonts w:hint="eastAsia"/>
                      <w:sz w:val="21"/>
                      <w:szCs w:val="21"/>
                      <w:u w:val="single"/>
                      <w:lang w:eastAsia="zh-CN"/>
                    </w:rPr>
                    <w:t>外售</w:t>
                  </w:r>
                  <w:r>
                    <w:rPr>
                      <w:rFonts w:hint="eastAsia"/>
                      <w:sz w:val="21"/>
                      <w:szCs w:val="21"/>
                      <w:u w:val="single"/>
                    </w:rPr>
                    <w:t>；废包装材料暂存于一般固废间（</w:t>
                  </w:r>
                  <w:r>
                    <w:rPr>
                      <w:rFonts w:hint="eastAsia"/>
                      <w:sz w:val="21"/>
                      <w:szCs w:val="21"/>
                      <w:u w:val="single"/>
                      <w:lang w:val="en-US" w:eastAsia="zh-CN"/>
                    </w:rPr>
                    <w:t>1</w:t>
                  </w:r>
                  <w:r>
                    <w:rPr>
                      <w:rFonts w:hint="eastAsia"/>
                      <w:sz w:val="21"/>
                      <w:szCs w:val="21"/>
                      <w:u w:val="single"/>
                    </w:rPr>
                    <w:t>m</w:t>
                  </w:r>
                  <w:r>
                    <w:rPr>
                      <w:rFonts w:hint="eastAsia"/>
                      <w:sz w:val="21"/>
                      <w:szCs w:val="21"/>
                      <w:u w:val="single"/>
                      <w:vertAlign w:val="superscript"/>
                    </w:rPr>
                    <w:t>3</w:t>
                  </w:r>
                  <w:r>
                    <w:rPr>
                      <w:rFonts w:hint="eastAsia"/>
                      <w:sz w:val="21"/>
                      <w:szCs w:val="21"/>
                      <w:u w:val="single"/>
                    </w:rPr>
                    <w:t>）后交由环卫部门统一清理；废边角料</w:t>
                  </w:r>
                  <w:r>
                    <w:rPr>
                      <w:rFonts w:hint="eastAsia"/>
                      <w:sz w:val="21"/>
                      <w:szCs w:val="21"/>
                      <w:u w:val="single"/>
                      <w:lang w:eastAsia="zh-CN"/>
                    </w:rPr>
                    <w:t>及不合格产品</w:t>
                  </w:r>
                  <w:r>
                    <w:rPr>
                      <w:sz w:val="21"/>
                      <w:szCs w:val="21"/>
                      <w:u w:val="single"/>
                    </w:rPr>
                    <w:t>收集后</w:t>
                  </w:r>
                  <w:r>
                    <w:rPr>
                      <w:rFonts w:hint="eastAsia"/>
                      <w:sz w:val="21"/>
                      <w:szCs w:val="21"/>
                      <w:u w:val="single"/>
                      <w:lang w:eastAsia="zh-CN"/>
                    </w:rPr>
                    <w:t>外售</w:t>
                  </w:r>
                  <w:r>
                    <w:rPr>
                      <w:rFonts w:hint="eastAsia"/>
                      <w:sz w:val="21"/>
                      <w:szCs w:val="21"/>
                      <w:u w:val="single"/>
                    </w:rPr>
                    <w:t>；生活垃圾</w:t>
                  </w:r>
                  <w:r>
                    <w:rPr>
                      <w:bCs/>
                      <w:sz w:val="21"/>
                      <w:szCs w:val="21"/>
                      <w:u w:val="single"/>
                    </w:rPr>
                    <w:t>收集后送</w:t>
                  </w:r>
                  <w:r>
                    <w:rPr>
                      <w:rFonts w:hint="eastAsia"/>
                      <w:bCs/>
                      <w:sz w:val="21"/>
                      <w:szCs w:val="21"/>
                      <w:u w:val="single"/>
                    </w:rPr>
                    <w:t>附近</w:t>
                  </w:r>
                  <w:r>
                    <w:rPr>
                      <w:bCs/>
                      <w:sz w:val="21"/>
                      <w:szCs w:val="21"/>
                      <w:u w:val="single"/>
                    </w:rPr>
                    <w:t>垃圾处置点处理</w:t>
                  </w:r>
                  <w:r>
                    <w:rPr>
                      <w:rFonts w:hint="eastAsia"/>
                      <w:bCs/>
                      <w:sz w:val="21"/>
                      <w:szCs w:val="21"/>
                      <w:u w:val="single"/>
                      <w:lang w:eastAsia="zh-CN"/>
                    </w:rPr>
                    <w:t>。</w:t>
                  </w:r>
                </w:p>
              </w:tc>
            </w:tr>
          </w:tbl>
          <w:p w14:paraId="77BBEF4E">
            <w:pPr>
              <w:pStyle w:val="36"/>
              <w:ind w:firstLine="482"/>
              <w:rPr>
                <w:rFonts w:hint="eastAsia" w:eastAsia="宋体"/>
                <w:b/>
                <w:bCs/>
                <w:lang w:val="en-US" w:eastAsia="zh-CN"/>
              </w:rPr>
            </w:pPr>
            <w:r>
              <w:rPr>
                <w:rFonts w:hint="eastAsia"/>
                <w:b/>
                <w:bCs/>
                <w:u w:val="single"/>
                <w:lang w:val="en-US" w:eastAsia="zh-CN"/>
              </w:rPr>
              <w:t>3、原有项目工艺流程</w:t>
            </w:r>
          </w:p>
          <w:p w14:paraId="075000E1">
            <w:pPr>
              <w:pStyle w:val="36"/>
              <w:ind w:firstLine="482"/>
              <w:rPr>
                <w:rFonts w:hint="eastAsia" w:eastAsia="宋体"/>
                <w:b/>
                <w:bCs/>
                <w:lang w:val="en-US" w:eastAsia="zh-CN"/>
              </w:rPr>
            </w:pPr>
            <w:r>
              <w:rPr>
                <w:rFonts w:hint="eastAsia" w:ascii="宋体" w:hAnsi="Times New Roman" w:eastAsia="宋体" w:cs="Times New Roman"/>
                <w:kern w:val="0"/>
                <w:sz w:val="24"/>
                <w:szCs w:val="20"/>
                <w:u w:val="single"/>
                <w:lang w:val="en-US" w:eastAsia="zh-CN" w:bidi="ar-SA"/>
              </w:rPr>
              <w:t>墓碑及附属产品和其他板材生产线</w:t>
            </w:r>
            <w:r>
              <w:rPr>
                <w:rFonts w:hint="eastAsia" w:ascii="宋体" w:hAnsi="Times New Roman" w:eastAsia="宋体" w:cs="Times New Roman"/>
                <w:u w:val="single"/>
              </w:rPr>
              <w:t>工艺流程</w:t>
            </w:r>
            <w:r>
              <w:rPr>
                <w:rFonts w:hint="eastAsia" w:cs="Times New Roman"/>
                <w:u w:val="single"/>
                <w:lang w:eastAsia="zh-CN"/>
              </w:rPr>
              <w:t>：</w:t>
            </w:r>
          </w:p>
          <w:p w14:paraId="3CF25C2D">
            <w:pPr>
              <w:pStyle w:val="36"/>
              <w:ind w:firstLine="0" w:firstLineChars="0"/>
              <w:rPr>
                <w:rFonts w:hint="eastAsia"/>
                <w:b/>
                <w:bCs/>
                <w:highlight w:val="none"/>
                <w:lang w:val="en-US" w:eastAsia="zh-CN"/>
              </w:rPr>
            </w:pPr>
            <w:r>
              <w:drawing>
                <wp:inline distT="0" distB="0" distL="114300" distR="114300">
                  <wp:extent cx="5354955" cy="3190240"/>
                  <wp:effectExtent l="0" t="0" r="1714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8"/>
                          <a:stretch>
                            <a:fillRect/>
                          </a:stretch>
                        </pic:blipFill>
                        <pic:spPr>
                          <a:xfrm>
                            <a:off x="0" y="0"/>
                            <a:ext cx="5354955" cy="3190240"/>
                          </a:xfrm>
                          <a:prstGeom prst="rect">
                            <a:avLst/>
                          </a:prstGeom>
                          <a:noFill/>
                          <a:ln>
                            <a:noFill/>
                          </a:ln>
                        </pic:spPr>
                      </pic:pic>
                    </a:graphicData>
                  </a:graphic>
                </wp:inline>
              </w:drawing>
            </w:r>
          </w:p>
          <w:p w14:paraId="61D49372">
            <w:pPr>
              <w:jc w:val="center"/>
            </w:pPr>
            <w:r>
              <w:rPr>
                <w:b/>
                <w:bCs/>
                <w:snapToGrid w:val="0"/>
                <w:kern w:val="0"/>
                <w:sz w:val="21"/>
                <w:szCs w:val="21"/>
                <w:u w:val="single"/>
              </w:rPr>
              <w:t>图2-</w:t>
            </w:r>
            <w:r>
              <w:rPr>
                <w:rFonts w:hint="eastAsia"/>
                <w:b/>
                <w:bCs/>
                <w:snapToGrid w:val="0"/>
                <w:kern w:val="0"/>
                <w:sz w:val="21"/>
                <w:szCs w:val="21"/>
                <w:u w:val="single"/>
                <w:lang w:val="en-US" w:eastAsia="zh-CN"/>
              </w:rPr>
              <w:t xml:space="preserve">5 </w:t>
            </w:r>
            <w:r>
              <w:rPr>
                <w:rFonts w:hint="eastAsia"/>
                <w:b/>
                <w:bCs/>
                <w:snapToGrid w:val="0"/>
                <w:kern w:val="0"/>
                <w:sz w:val="21"/>
                <w:szCs w:val="21"/>
                <w:u w:val="single"/>
                <w:lang w:eastAsia="zh-CN"/>
              </w:rPr>
              <w:t>原有</w:t>
            </w:r>
            <w:r>
              <w:rPr>
                <w:rFonts w:hint="eastAsia"/>
                <w:b/>
                <w:bCs/>
                <w:snapToGrid w:val="0"/>
                <w:kern w:val="0"/>
                <w:sz w:val="21"/>
                <w:szCs w:val="21"/>
                <w:u w:val="single"/>
              </w:rPr>
              <w:t>项目</w:t>
            </w:r>
            <w:r>
              <w:rPr>
                <w:rFonts w:hint="eastAsia" w:ascii="Times New Roman" w:hAnsi="Times New Roman" w:eastAsia="宋体" w:cs="Times New Roman"/>
                <w:b/>
                <w:bCs/>
                <w:snapToGrid w:val="0"/>
                <w:kern w:val="0"/>
                <w:sz w:val="21"/>
                <w:szCs w:val="21"/>
                <w:u w:val="single"/>
                <w:lang w:val="en-US" w:eastAsia="zh-CN" w:bidi="ar-SA"/>
              </w:rPr>
              <w:t>墓碑及附属产品和其他板材</w:t>
            </w:r>
            <w:r>
              <w:rPr>
                <w:rFonts w:hint="eastAsia"/>
                <w:b/>
                <w:bCs/>
                <w:snapToGrid w:val="0"/>
                <w:kern w:val="0"/>
                <w:sz w:val="21"/>
                <w:szCs w:val="21"/>
                <w:u w:val="single"/>
              </w:rPr>
              <w:t>生产线</w:t>
            </w:r>
            <w:r>
              <w:rPr>
                <w:b/>
                <w:bCs/>
                <w:snapToGrid w:val="0"/>
                <w:kern w:val="0"/>
                <w:sz w:val="21"/>
                <w:szCs w:val="21"/>
                <w:u w:val="single"/>
              </w:rPr>
              <w:t>生产工艺流程及产污环节图</w:t>
            </w:r>
          </w:p>
          <w:p w14:paraId="53AE4C1D">
            <w:pPr>
              <w:pStyle w:val="34"/>
              <w:numPr>
                <w:ilvl w:val="2"/>
                <w:numId w:val="0"/>
              </w:numPr>
              <w:ind w:firstLine="482" w:firstLineChars="200"/>
              <w:rPr>
                <w:color w:val="0000C7"/>
              </w:rPr>
            </w:pPr>
            <w:r>
              <w:t>工艺流程简介：</w:t>
            </w:r>
          </w:p>
          <w:p w14:paraId="7D4A56B8">
            <w:pPr>
              <w:pStyle w:val="36"/>
              <w:ind w:firstLine="482"/>
              <w:rPr>
                <w:rFonts w:hint="eastAsia"/>
                <w:b/>
                <w:bCs/>
                <w:highlight w:val="none"/>
                <w:lang w:val="en-US" w:eastAsia="zh-CN"/>
              </w:rPr>
            </w:pPr>
            <w:r>
              <w:rPr>
                <w:rFonts w:hint="eastAsia" w:ascii="Times New Roman" w:hAnsi="Times New Roman" w:eastAsia="宋体" w:cs="Times New Roman"/>
                <w:b w:val="0"/>
                <w:bCs/>
                <w:kern w:val="0"/>
                <w:sz w:val="24"/>
                <w:szCs w:val="24"/>
                <w:u w:val="single"/>
                <w:lang w:val="en-US" w:eastAsia="zh-CN" w:bidi="ar"/>
              </w:rPr>
              <w:t>墓碑及附属产品和其他板材</w:t>
            </w:r>
            <w:r>
              <w:rPr>
                <w:rFonts w:hint="eastAsia"/>
                <w:b w:val="0"/>
                <w:bCs/>
                <w:kern w:val="0"/>
                <w:u w:val="single"/>
                <w:lang w:bidi="ar"/>
              </w:rPr>
              <w:t>生产线采用湿法作业，青石原料先经大切机、小切机切割成合适大小，经</w:t>
            </w:r>
            <w:r>
              <w:rPr>
                <w:rFonts w:hint="eastAsia"/>
                <w:b w:val="0"/>
                <w:bCs/>
                <w:kern w:val="0"/>
                <w:u w:val="single"/>
                <w:lang w:eastAsia="zh-CN" w:bidi="ar"/>
              </w:rPr>
              <w:t>磨光</w:t>
            </w:r>
            <w:r>
              <w:rPr>
                <w:rFonts w:hint="eastAsia"/>
                <w:b w:val="0"/>
                <w:bCs/>
                <w:kern w:val="0"/>
                <w:u w:val="single"/>
                <w:lang w:bidi="ar"/>
              </w:rPr>
              <w:t>机将边缘打磨光滑，再根据设计要求进行雕刻成型;石材在每个加工过程(切割、磨光、雕刻)中，均需持续加水，既可以保护刀具，亦可以抑制粉尘产生。生产过程产生的废水循环利用不外排，产生的边角料</w:t>
            </w:r>
            <w:r>
              <w:rPr>
                <w:rFonts w:hint="eastAsia"/>
                <w:b w:val="0"/>
                <w:bCs/>
                <w:kern w:val="0"/>
                <w:u w:val="single"/>
                <w:lang w:eastAsia="zh-CN" w:bidi="ar"/>
              </w:rPr>
              <w:t>外售，产生的废弃包装物、废抛光布交由环卫部门统一清理</w:t>
            </w:r>
            <w:r>
              <w:rPr>
                <w:rFonts w:hint="eastAsia"/>
                <w:b w:val="0"/>
                <w:bCs/>
                <w:kern w:val="0"/>
                <w:u w:val="single"/>
                <w:lang w:bidi="ar"/>
              </w:rPr>
              <w:t>。</w:t>
            </w:r>
          </w:p>
          <w:p w14:paraId="21771039">
            <w:pPr>
              <w:pStyle w:val="36"/>
              <w:ind w:firstLine="482"/>
              <w:rPr>
                <w:rFonts w:ascii="Times New Roman"/>
                <w:color w:val="0000C7"/>
              </w:rPr>
            </w:pPr>
            <w:r>
              <w:rPr>
                <w:rFonts w:hint="eastAsia"/>
                <w:b/>
                <w:bCs/>
                <w:highlight w:val="none"/>
                <w:lang w:val="en-US" w:eastAsia="zh-CN"/>
              </w:rPr>
              <w:t>4</w:t>
            </w:r>
            <w:r>
              <w:rPr>
                <w:rFonts w:hint="eastAsia"/>
                <w:b/>
                <w:bCs/>
                <w:highlight w:val="none"/>
              </w:rPr>
              <w:t>、</w:t>
            </w:r>
            <w:r>
              <w:rPr>
                <w:rFonts w:hint="eastAsia"/>
                <w:b/>
                <w:bCs/>
              </w:rPr>
              <w:t>现有项目污染物产排情况</w:t>
            </w:r>
          </w:p>
          <w:p w14:paraId="581B20DD">
            <w:pPr>
              <w:pStyle w:val="36"/>
              <w:ind w:firstLine="480"/>
              <w:rPr>
                <w:rFonts w:ascii="Times New Roman"/>
                <w:color w:val="auto"/>
              </w:rPr>
            </w:pPr>
            <w:r>
              <w:rPr>
                <w:rFonts w:hint="eastAsia" w:ascii="Times New Roman"/>
                <w:color w:val="auto"/>
              </w:rPr>
              <w:t>（1）废气</w:t>
            </w:r>
          </w:p>
          <w:p w14:paraId="2980701A">
            <w:pPr>
              <w:pStyle w:val="36"/>
              <w:ind w:firstLine="480"/>
              <w:rPr>
                <w:rFonts w:ascii="Times New Roman"/>
                <w:color w:val="0000C7"/>
              </w:rPr>
            </w:pPr>
            <w:r>
              <w:rPr>
                <w:rFonts w:hint="eastAsia"/>
              </w:rPr>
              <w:t>现有</w:t>
            </w:r>
            <w:r>
              <w:t>项目大气污染物主要为</w:t>
            </w:r>
            <w:r>
              <w:rPr>
                <w:rFonts w:hint="eastAsia"/>
              </w:rPr>
              <w:t>原料堆场扬尘、成品</w:t>
            </w:r>
            <w:r>
              <w:t>堆场扬尘、</w:t>
            </w:r>
            <w:r>
              <w:rPr>
                <w:rFonts w:hint="eastAsia"/>
                <w:b w:val="0"/>
                <w:bCs/>
                <w:kern w:val="0"/>
                <w:u w:val="none"/>
                <w:lang w:eastAsia="zh-CN" w:bidi="ar"/>
              </w:rPr>
              <w:t>墓碑</w:t>
            </w:r>
            <w:r>
              <w:rPr>
                <w:rFonts w:hint="eastAsia" w:ascii="Times New Roman" w:hAnsi="Times New Roman" w:eastAsia="宋体" w:cs="Times New Roman"/>
                <w:b w:val="0"/>
                <w:bCs/>
                <w:kern w:val="0"/>
                <w:sz w:val="24"/>
                <w:szCs w:val="24"/>
                <w:u w:val="none"/>
                <w:lang w:val="en-US" w:eastAsia="zh-CN" w:bidi="ar"/>
              </w:rPr>
              <w:t>及附属产品和其他板材</w:t>
            </w:r>
            <w:r>
              <w:rPr>
                <w:rFonts w:hint="eastAsia"/>
                <w:kern w:val="0"/>
              </w:rPr>
              <w:t>加工</w:t>
            </w:r>
            <w:r>
              <w:rPr>
                <w:rFonts w:hint="eastAsia"/>
                <w:kern w:val="0"/>
                <w:highlight w:val="none"/>
              </w:rPr>
              <w:t>粉尘</w:t>
            </w:r>
            <w:r>
              <w:rPr>
                <w:rFonts w:hint="eastAsia"/>
                <w:kern w:val="0"/>
              </w:rPr>
              <w:t>、</w:t>
            </w:r>
            <w:r>
              <w:t>运输车辆扬尘及食堂油烟。</w:t>
            </w:r>
          </w:p>
          <w:p w14:paraId="5A39B05E">
            <w:pPr>
              <w:adjustRightInd w:val="0"/>
              <w:snapToGrid w:val="0"/>
              <w:spacing w:line="360" w:lineRule="auto"/>
              <w:ind w:firstLine="440" w:firstLineChars="200"/>
              <w:rPr>
                <w:bCs/>
                <w:spacing w:val="-10"/>
                <w:sz w:val="24"/>
                <w:u w:val="single"/>
              </w:rPr>
            </w:pPr>
            <w:r>
              <w:rPr>
                <w:rFonts w:hint="eastAsia"/>
                <w:bCs/>
                <w:spacing w:val="-10"/>
                <w:sz w:val="24"/>
                <w:u w:val="single"/>
                <w:lang w:eastAsia="zh-CN"/>
              </w:rPr>
              <w:t>根据建设单位提供资料，</w:t>
            </w:r>
            <w:r>
              <w:rPr>
                <w:rFonts w:hint="eastAsia"/>
                <w:bCs/>
                <w:spacing w:val="-10"/>
                <w:sz w:val="24"/>
                <w:u w:val="single"/>
              </w:rPr>
              <w:t>现有项目废气产生及处理情况如下</w:t>
            </w:r>
            <w:r>
              <w:rPr>
                <w:bCs/>
                <w:spacing w:val="-10"/>
                <w:sz w:val="24"/>
                <w:u w:val="single"/>
              </w:rPr>
              <w:t>。</w:t>
            </w:r>
          </w:p>
          <w:p w14:paraId="5EBCAD3D">
            <w:pPr>
              <w:widowControl/>
              <w:wordWrap w:val="0"/>
              <w:topLinePunct/>
              <w:adjustRightInd w:val="0"/>
              <w:snapToGrid w:val="0"/>
              <w:spacing w:line="240" w:lineRule="auto"/>
              <w:ind w:left="-120" w:leftChars="-50" w:right="-120" w:rightChars="-50"/>
              <w:jc w:val="center"/>
              <w:rPr>
                <w:rFonts w:hint="eastAsia" w:ascii="Times New Roman" w:hAnsi="Times New Roman" w:eastAsia="宋体" w:cs="Times New Roman"/>
                <w:b/>
                <w:bCs/>
                <w:snapToGrid w:val="0"/>
                <w:spacing w:val="4"/>
                <w:sz w:val="21"/>
                <w:szCs w:val="21"/>
                <w:u w:val="single"/>
                <w:lang w:eastAsia="zh-CN"/>
              </w:rPr>
            </w:pPr>
            <w:r>
              <w:rPr>
                <w:rFonts w:hint="default" w:ascii="Times New Roman" w:hAnsi="Times New Roman" w:eastAsia="宋体" w:cs="Times New Roman"/>
                <w:b/>
                <w:bCs/>
                <w:snapToGrid w:val="0"/>
                <w:spacing w:val="4"/>
                <w:kern w:val="2"/>
                <w:sz w:val="21"/>
                <w:szCs w:val="21"/>
                <w:highlight w:val="none"/>
                <w:u w:val="single"/>
                <w:lang w:bidi="ar"/>
              </w:rPr>
              <w:t>表</w:t>
            </w:r>
            <w:r>
              <w:rPr>
                <w:rFonts w:hint="default" w:ascii="Times New Roman" w:hAnsi="Times New Roman" w:eastAsia="宋体" w:cs="Times New Roman"/>
                <w:b/>
                <w:bCs/>
                <w:snapToGrid w:val="0"/>
                <w:spacing w:val="4"/>
                <w:sz w:val="21"/>
                <w:szCs w:val="21"/>
                <w:highlight w:val="none"/>
                <w:u w:val="single"/>
              </w:rPr>
              <w:t>2-1</w:t>
            </w:r>
            <w:r>
              <w:rPr>
                <w:rFonts w:hint="eastAsia" w:cs="Times New Roman"/>
                <w:b/>
                <w:bCs/>
                <w:snapToGrid w:val="0"/>
                <w:spacing w:val="4"/>
                <w:sz w:val="21"/>
                <w:szCs w:val="21"/>
                <w:highlight w:val="none"/>
                <w:u w:val="single"/>
                <w:lang w:val="en-US" w:eastAsia="zh-CN"/>
              </w:rPr>
              <w:t>2</w:t>
            </w:r>
            <w:r>
              <w:rPr>
                <w:rFonts w:ascii="Times New Roman" w:hAnsi="Times New Roman" w:eastAsia="宋体" w:cs="Times New Roman"/>
                <w:b/>
                <w:bCs/>
                <w:snapToGrid w:val="0"/>
                <w:spacing w:val="4"/>
                <w:kern w:val="2"/>
                <w:sz w:val="21"/>
                <w:szCs w:val="21"/>
                <w:highlight w:val="none"/>
                <w:u w:val="single"/>
                <w:lang w:bidi="ar"/>
              </w:rPr>
              <w:t xml:space="preserve"> </w:t>
            </w:r>
            <w:r>
              <w:rPr>
                <w:rFonts w:hint="default" w:ascii="Times New Roman" w:hAnsi="Times New Roman" w:eastAsia="宋体" w:cs="Times New Roman"/>
                <w:b/>
                <w:bCs/>
                <w:snapToGrid w:val="0"/>
                <w:spacing w:val="4"/>
                <w:kern w:val="2"/>
                <w:sz w:val="21"/>
                <w:szCs w:val="21"/>
                <w:u w:val="single"/>
                <w:lang w:bidi="ar"/>
              </w:rPr>
              <w:t>现有废气产生及处理情况表</w:t>
            </w:r>
            <w:r>
              <w:rPr>
                <w:rFonts w:hint="eastAsia" w:ascii="Times New Roman" w:hAnsi="Times New Roman" w:eastAsia="宋体" w:cs="Times New Roman"/>
                <w:b/>
                <w:bCs/>
                <w:snapToGrid w:val="0"/>
                <w:spacing w:val="4"/>
                <w:kern w:val="2"/>
                <w:sz w:val="21"/>
                <w:szCs w:val="21"/>
                <w:u w:val="single"/>
                <w:lang w:eastAsia="zh-CN" w:bidi="ar"/>
              </w:rPr>
              <w:t>（</w:t>
            </w:r>
            <w:r>
              <w:rPr>
                <w:rFonts w:hint="eastAsia" w:ascii="Times New Roman" w:hAnsi="Times New Roman" w:eastAsia="宋体" w:cs="Times New Roman"/>
                <w:b/>
                <w:bCs/>
                <w:snapToGrid w:val="0"/>
                <w:spacing w:val="4"/>
                <w:kern w:val="2"/>
                <w:sz w:val="21"/>
                <w:szCs w:val="21"/>
                <w:u w:val="single"/>
                <w:lang w:val="en-US" w:eastAsia="zh-CN" w:bidi="ar"/>
              </w:rPr>
              <w:t>t/a</w:t>
            </w:r>
            <w:r>
              <w:rPr>
                <w:rFonts w:hint="eastAsia" w:ascii="Times New Roman" w:hAnsi="Times New Roman" w:eastAsia="宋体" w:cs="Times New Roman"/>
                <w:b/>
                <w:bCs/>
                <w:snapToGrid w:val="0"/>
                <w:spacing w:val="4"/>
                <w:kern w:val="2"/>
                <w:sz w:val="21"/>
                <w:szCs w:val="21"/>
                <w:u w:val="single"/>
                <w:lang w:eastAsia="zh-CN" w:bidi="ar"/>
              </w:rPr>
              <w:t>）</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1637"/>
              <w:gridCol w:w="1376"/>
              <w:gridCol w:w="2669"/>
            </w:tblGrid>
            <w:tr w14:paraId="10DF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pct"/>
                  <w:noWrap w:val="0"/>
                  <w:vAlign w:val="center"/>
                </w:tcPr>
                <w:p w14:paraId="5BC3B63C">
                  <w:pPr>
                    <w:widowControl/>
                    <w:wordWrap w:val="0"/>
                    <w:topLinePunct/>
                    <w:adjustRightInd w:val="0"/>
                    <w:snapToGrid w:val="0"/>
                    <w:spacing w:line="240" w:lineRule="auto"/>
                    <w:ind w:left="-120" w:leftChars="-50" w:right="-120" w:rightChars="-50"/>
                    <w:jc w:val="center"/>
                    <w:rPr>
                      <w:rFonts w:ascii="Times New Roman" w:hAnsi="Times New Roman" w:eastAsia="宋体" w:cs="Times New Roman"/>
                      <w:b/>
                      <w:bCs/>
                      <w:snapToGrid w:val="0"/>
                      <w:spacing w:val="4"/>
                      <w:sz w:val="21"/>
                      <w:szCs w:val="21"/>
                      <w:u w:val="single"/>
                    </w:rPr>
                  </w:pPr>
                  <w:r>
                    <w:rPr>
                      <w:rFonts w:hint="default" w:ascii="Times New Roman" w:hAnsi="Times New Roman" w:eastAsia="宋体" w:cs="Times New Roman"/>
                      <w:b/>
                      <w:bCs/>
                      <w:snapToGrid w:val="0"/>
                      <w:spacing w:val="4"/>
                      <w:kern w:val="2"/>
                      <w:sz w:val="21"/>
                      <w:szCs w:val="21"/>
                      <w:u w:val="single"/>
                      <w:lang w:bidi="ar"/>
                    </w:rPr>
                    <w:t>污染源</w:t>
                  </w:r>
                </w:p>
              </w:tc>
              <w:tc>
                <w:tcPr>
                  <w:tcW w:w="977" w:type="pct"/>
                  <w:noWrap w:val="0"/>
                  <w:vAlign w:val="center"/>
                </w:tcPr>
                <w:p w14:paraId="6159F6B6">
                  <w:pPr>
                    <w:widowControl/>
                    <w:wordWrap w:val="0"/>
                    <w:topLinePunct/>
                    <w:adjustRightInd w:val="0"/>
                    <w:snapToGrid w:val="0"/>
                    <w:spacing w:line="240" w:lineRule="auto"/>
                    <w:ind w:left="-120" w:leftChars="-50" w:right="-120" w:rightChars="-50"/>
                    <w:jc w:val="center"/>
                    <w:rPr>
                      <w:rFonts w:ascii="Times New Roman" w:hAnsi="Times New Roman" w:eastAsia="宋体" w:cs="Times New Roman"/>
                      <w:b/>
                      <w:bCs/>
                      <w:snapToGrid w:val="0"/>
                      <w:spacing w:val="4"/>
                      <w:sz w:val="21"/>
                      <w:szCs w:val="21"/>
                      <w:u w:val="single"/>
                    </w:rPr>
                  </w:pPr>
                  <w:r>
                    <w:rPr>
                      <w:rFonts w:hint="default" w:ascii="Times New Roman" w:hAnsi="Times New Roman" w:eastAsia="宋体" w:cs="Times New Roman"/>
                      <w:b/>
                      <w:bCs/>
                      <w:snapToGrid w:val="0"/>
                      <w:spacing w:val="4"/>
                      <w:kern w:val="2"/>
                      <w:sz w:val="21"/>
                      <w:szCs w:val="21"/>
                      <w:u w:val="single"/>
                      <w:lang w:bidi="ar"/>
                    </w:rPr>
                    <w:t>污染物</w:t>
                  </w:r>
                </w:p>
              </w:tc>
              <w:tc>
                <w:tcPr>
                  <w:tcW w:w="821" w:type="pct"/>
                  <w:noWrap w:val="0"/>
                  <w:vAlign w:val="center"/>
                </w:tcPr>
                <w:p w14:paraId="2B62071E">
                  <w:pPr>
                    <w:widowControl/>
                    <w:wordWrap w:val="0"/>
                    <w:topLinePunct/>
                    <w:adjustRightInd w:val="0"/>
                    <w:snapToGrid w:val="0"/>
                    <w:spacing w:line="240" w:lineRule="auto"/>
                    <w:ind w:left="-120" w:leftChars="-50" w:right="-120" w:rightChars="-50"/>
                    <w:jc w:val="center"/>
                    <w:rPr>
                      <w:rFonts w:ascii="Times New Roman" w:hAnsi="Times New Roman" w:eastAsia="宋体" w:cs="Times New Roman"/>
                      <w:b/>
                      <w:bCs/>
                      <w:snapToGrid w:val="0"/>
                      <w:spacing w:val="4"/>
                      <w:sz w:val="21"/>
                      <w:szCs w:val="21"/>
                      <w:u w:val="single"/>
                    </w:rPr>
                  </w:pPr>
                  <w:r>
                    <w:rPr>
                      <w:rFonts w:hint="default" w:ascii="Times New Roman" w:hAnsi="Times New Roman" w:eastAsia="宋体" w:cs="Times New Roman"/>
                      <w:b/>
                      <w:bCs/>
                      <w:snapToGrid w:val="0"/>
                      <w:spacing w:val="4"/>
                      <w:kern w:val="2"/>
                      <w:sz w:val="21"/>
                      <w:szCs w:val="21"/>
                      <w:u w:val="single"/>
                      <w:lang w:bidi="ar"/>
                    </w:rPr>
                    <w:t>排放量</w:t>
                  </w:r>
                </w:p>
              </w:tc>
              <w:tc>
                <w:tcPr>
                  <w:tcW w:w="1592" w:type="pct"/>
                  <w:noWrap w:val="0"/>
                  <w:vAlign w:val="center"/>
                </w:tcPr>
                <w:p w14:paraId="198C3A1D">
                  <w:pPr>
                    <w:widowControl/>
                    <w:wordWrap w:val="0"/>
                    <w:topLinePunct/>
                    <w:adjustRightInd w:val="0"/>
                    <w:snapToGrid w:val="0"/>
                    <w:spacing w:line="240" w:lineRule="auto"/>
                    <w:ind w:left="-120" w:leftChars="-50" w:right="-120" w:rightChars="-50"/>
                    <w:jc w:val="center"/>
                    <w:rPr>
                      <w:rFonts w:ascii="Times New Roman" w:hAnsi="Times New Roman" w:eastAsia="宋体" w:cs="Times New Roman"/>
                      <w:b/>
                      <w:bCs/>
                      <w:snapToGrid w:val="0"/>
                      <w:spacing w:val="4"/>
                      <w:sz w:val="21"/>
                      <w:szCs w:val="21"/>
                      <w:u w:val="single"/>
                    </w:rPr>
                  </w:pPr>
                  <w:r>
                    <w:rPr>
                      <w:rFonts w:hint="default" w:ascii="Times New Roman" w:hAnsi="Times New Roman" w:eastAsia="宋体" w:cs="Times New Roman"/>
                      <w:b/>
                      <w:bCs/>
                      <w:snapToGrid w:val="0"/>
                      <w:spacing w:val="4"/>
                      <w:kern w:val="2"/>
                      <w:sz w:val="21"/>
                      <w:szCs w:val="21"/>
                      <w:u w:val="single"/>
                      <w:lang w:bidi="ar"/>
                    </w:rPr>
                    <w:t>处理设施</w:t>
                  </w:r>
                </w:p>
              </w:tc>
            </w:tr>
            <w:tr w14:paraId="7364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08" w:type="pct"/>
                  <w:noWrap w:val="0"/>
                  <w:vAlign w:val="center"/>
                </w:tcPr>
                <w:p w14:paraId="2E7C63D9">
                  <w:pPr>
                    <w:widowControl/>
                    <w:wordWrap w:val="0"/>
                    <w:topLinePunct/>
                    <w:adjustRightInd w:val="0"/>
                    <w:snapToGrid w:val="0"/>
                    <w:spacing w:line="240" w:lineRule="auto"/>
                    <w:ind w:left="-120" w:leftChars="-50" w:right="-120" w:rightChars="-50"/>
                    <w:jc w:val="center"/>
                    <w:rPr>
                      <w:rFonts w:ascii="Times New Roman" w:hAnsi="Times New Roman" w:eastAsia="宋体" w:cs="Times New Roman"/>
                      <w:snapToGrid w:val="0"/>
                      <w:spacing w:val="4"/>
                      <w:sz w:val="21"/>
                      <w:szCs w:val="21"/>
                      <w:u w:val="single"/>
                    </w:rPr>
                  </w:pPr>
                  <w:r>
                    <w:rPr>
                      <w:rFonts w:hint="eastAsia"/>
                      <w:sz w:val="21"/>
                      <w:szCs w:val="21"/>
                    </w:rPr>
                    <w:t>原料堆场扬尘</w:t>
                  </w:r>
                </w:p>
              </w:tc>
              <w:tc>
                <w:tcPr>
                  <w:tcW w:w="977" w:type="pct"/>
                  <w:noWrap w:val="0"/>
                  <w:vAlign w:val="center"/>
                </w:tcPr>
                <w:p w14:paraId="47B1AA97">
                  <w:pPr>
                    <w:widowControl/>
                    <w:wordWrap w:val="0"/>
                    <w:topLinePunct/>
                    <w:adjustRightInd w:val="0"/>
                    <w:snapToGrid w:val="0"/>
                    <w:spacing w:line="240" w:lineRule="auto"/>
                    <w:ind w:left="0" w:leftChars="0" w:right="-120" w:rightChars="-50"/>
                    <w:jc w:val="center"/>
                    <w:rPr>
                      <w:rFonts w:hint="default" w:ascii="Times New Roman" w:hAnsi="Times New Roman" w:eastAsia="宋体" w:cs="Times New Roman"/>
                      <w:snapToGrid w:val="0"/>
                      <w:spacing w:val="4"/>
                      <w:kern w:val="2"/>
                      <w:sz w:val="21"/>
                      <w:szCs w:val="21"/>
                      <w:u w:val="single"/>
                      <w:lang w:bidi="ar"/>
                    </w:rPr>
                  </w:pPr>
                  <w:r>
                    <w:rPr>
                      <w:rFonts w:hint="eastAsia" w:ascii="Times New Roman" w:hAnsi="Times New Roman" w:eastAsia="宋体" w:cs="Times New Roman"/>
                      <w:snapToGrid w:val="0"/>
                      <w:spacing w:val="4"/>
                      <w:kern w:val="2"/>
                      <w:sz w:val="21"/>
                      <w:szCs w:val="21"/>
                      <w:u w:val="single"/>
                      <w:lang w:eastAsia="zh-CN" w:bidi="ar"/>
                    </w:rPr>
                    <w:t>颗粒物</w:t>
                  </w:r>
                </w:p>
              </w:tc>
              <w:tc>
                <w:tcPr>
                  <w:tcW w:w="821" w:type="pct"/>
                  <w:noWrap w:val="0"/>
                  <w:vAlign w:val="center"/>
                </w:tcPr>
                <w:p w14:paraId="4D2373F5">
                  <w:pPr>
                    <w:widowControl/>
                    <w:wordWrap w:val="0"/>
                    <w:topLinePunct/>
                    <w:adjustRightInd w:val="0"/>
                    <w:snapToGrid w:val="0"/>
                    <w:spacing w:line="240" w:lineRule="auto"/>
                    <w:ind w:left="0" w:leftChars="0" w:right="-120" w:rightChars="-50"/>
                    <w:jc w:val="center"/>
                    <w:rPr>
                      <w:rFonts w:hint="default" w:ascii="Times New Roman" w:hAnsi="Times New Roman" w:eastAsia="宋体" w:cs="Times New Roman"/>
                      <w:snapToGrid w:val="0"/>
                      <w:spacing w:val="4"/>
                      <w:kern w:val="2"/>
                      <w:sz w:val="21"/>
                      <w:szCs w:val="21"/>
                      <w:u w:val="single"/>
                      <w:lang w:val="en-US" w:eastAsia="zh-CN" w:bidi="ar"/>
                    </w:rPr>
                  </w:pPr>
                  <w:r>
                    <w:rPr>
                      <w:rFonts w:hint="eastAsia" w:ascii="Times New Roman" w:hAnsi="Times New Roman" w:eastAsia="宋体" w:cs="Times New Roman"/>
                      <w:snapToGrid w:val="0"/>
                      <w:spacing w:val="4"/>
                      <w:kern w:val="2"/>
                      <w:sz w:val="21"/>
                      <w:szCs w:val="21"/>
                      <w:u w:val="single"/>
                      <w:lang w:val="en-US" w:eastAsia="zh-CN" w:bidi="ar"/>
                    </w:rPr>
                    <w:t>0.15</w:t>
                  </w:r>
                </w:p>
              </w:tc>
              <w:tc>
                <w:tcPr>
                  <w:tcW w:w="1592" w:type="pct"/>
                  <w:noWrap w:val="0"/>
                  <w:vAlign w:val="center"/>
                </w:tcPr>
                <w:p w14:paraId="116DD198">
                  <w:pPr>
                    <w:widowControl/>
                    <w:wordWrap w:val="0"/>
                    <w:topLinePunct/>
                    <w:adjustRightInd w:val="0"/>
                    <w:snapToGrid w:val="0"/>
                    <w:spacing w:line="240" w:lineRule="auto"/>
                    <w:ind w:left="-120" w:leftChars="-50" w:right="-120" w:rightChars="-50"/>
                    <w:jc w:val="center"/>
                    <w:rPr>
                      <w:rFonts w:ascii="Times New Roman" w:hAnsi="Times New Roman" w:eastAsia="宋体" w:cs="Times New Roman"/>
                      <w:snapToGrid w:val="0"/>
                      <w:spacing w:val="4"/>
                      <w:sz w:val="21"/>
                      <w:szCs w:val="21"/>
                      <w:u w:val="single"/>
                    </w:rPr>
                  </w:pPr>
                  <w:r>
                    <w:rPr>
                      <w:rFonts w:hint="default" w:ascii="Times New Roman" w:hAnsi="Times New Roman" w:eastAsia="宋体" w:cs="Times New Roman"/>
                      <w:snapToGrid w:val="0"/>
                      <w:spacing w:val="4"/>
                      <w:kern w:val="2"/>
                      <w:sz w:val="21"/>
                      <w:szCs w:val="21"/>
                      <w:u w:val="single"/>
                      <w:lang w:bidi="ar"/>
                    </w:rPr>
                    <w:t>污水处理站密闭+通风排气</w:t>
                  </w:r>
                </w:p>
              </w:tc>
            </w:tr>
            <w:tr w14:paraId="45203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pct"/>
                  <w:noWrap w:val="0"/>
                  <w:vAlign w:val="center"/>
                </w:tcPr>
                <w:p w14:paraId="678963FA">
                  <w:pPr>
                    <w:widowControl/>
                    <w:wordWrap w:val="0"/>
                    <w:topLinePunct/>
                    <w:adjustRightInd w:val="0"/>
                    <w:snapToGrid w:val="0"/>
                    <w:spacing w:line="240" w:lineRule="auto"/>
                    <w:ind w:left="-120" w:leftChars="-50" w:right="-120" w:rightChars="-50"/>
                    <w:jc w:val="center"/>
                    <w:rPr>
                      <w:rFonts w:hint="default" w:ascii="Times New Roman" w:hAnsi="Times New Roman" w:eastAsia="宋体" w:cs="Times New Roman"/>
                      <w:snapToGrid w:val="0"/>
                      <w:spacing w:val="4"/>
                      <w:kern w:val="2"/>
                      <w:sz w:val="21"/>
                      <w:szCs w:val="21"/>
                      <w:u w:val="single"/>
                      <w:lang w:val="en-US" w:eastAsia="zh-CN" w:bidi="ar"/>
                    </w:rPr>
                  </w:pPr>
                  <w:r>
                    <w:rPr>
                      <w:rFonts w:hint="default"/>
                      <w:b w:val="0"/>
                      <w:bCs w:val="0"/>
                      <w:snapToGrid w:val="0"/>
                      <w:spacing w:val="4"/>
                      <w:kern w:val="2"/>
                      <w:sz w:val="21"/>
                      <w:szCs w:val="21"/>
                      <w:u w:val="none"/>
                      <w:lang w:eastAsia="zh-CN" w:bidi="ar"/>
                    </w:rPr>
                    <w:t>墓碑</w:t>
                  </w:r>
                  <w:r>
                    <w:rPr>
                      <w:rFonts w:hint="default" w:ascii="Times New Roman" w:hAnsi="Times New Roman" w:eastAsia="宋体" w:cs="Times New Roman"/>
                      <w:b w:val="0"/>
                      <w:bCs w:val="0"/>
                      <w:snapToGrid w:val="0"/>
                      <w:spacing w:val="4"/>
                      <w:kern w:val="2"/>
                      <w:sz w:val="21"/>
                      <w:szCs w:val="21"/>
                      <w:u w:val="none"/>
                      <w:lang w:val="en-US" w:eastAsia="zh-CN" w:bidi="ar"/>
                    </w:rPr>
                    <w:t>及附属产品和其他板材</w:t>
                  </w:r>
                  <w:r>
                    <w:rPr>
                      <w:rFonts w:hint="default"/>
                      <w:snapToGrid w:val="0"/>
                      <w:spacing w:val="4"/>
                      <w:sz w:val="21"/>
                      <w:szCs w:val="21"/>
                    </w:rPr>
                    <w:t>加工粉尘</w:t>
                  </w:r>
                </w:p>
              </w:tc>
              <w:tc>
                <w:tcPr>
                  <w:tcW w:w="977" w:type="pct"/>
                  <w:noWrap w:val="0"/>
                  <w:vAlign w:val="center"/>
                </w:tcPr>
                <w:p w14:paraId="55B650A8">
                  <w:pPr>
                    <w:widowControl/>
                    <w:wordWrap w:val="0"/>
                    <w:topLinePunct/>
                    <w:adjustRightInd w:val="0"/>
                    <w:snapToGrid w:val="0"/>
                    <w:spacing w:line="240" w:lineRule="auto"/>
                    <w:ind w:left="-120" w:leftChars="-50" w:right="-120" w:rightChars="-50"/>
                    <w:jc w:val="center"/>
                    <w:rPr>
                      <w:rFonts w:hint="eastAsia" w:ascii="Times New Roman" w:hAnsi="Times New Roman" w:eastAsia="宋体" w:cs="Times New Roman"/>
                      <w:snapToGrid w:val="0"/>
                      <w:spacing w:val="4"/>
                      <w:kern w:val="2"/>
                      <w:sz w:val="21"/>
                      <w:szCs w:val="21"/>
                      <w:u w:val="single"/>
                      <w:lang w:eastAsia="zh-CN" w:bidi="ar"/>
                    </w:rPr>
                  </w:pPr>
                  <w:r>
                    <w:rPr>
                      <w:rFonts w:hint="eastAsia" w:ascii="Times New Roman" w:hAnsi="Times New Roman" w:eastAsia="宋体" w:cs="Times New Roman"/>
                      <w:snapToGrid w:val="0"/>
                      <w:spacing w:val="4"/>
                      <w:kern w:val="2"/>
                      <w:sz w:val="21"/>
                      <w:szCs w:val="21"/>
                      <w:u w:val="single"/>
                      <w:lang w:eastAsia="zh-CN" w:bidi="ar"/>
                    </w:rPr>
                    <w:t>颗粒物</w:t>
                  </w:r>
                </w:p>
              </w:tc>
              <w:tc>
                <w:tcPr>
                  <w:tcW w:w="821" w:type="pct"/>
                  <w:noWrap w:val="0"/>
                  <w:vAlign w:val="center"/>
                </w:tcPr>
                <w:p w14:paraId="401D40B2">
                  <w:pPr>
                    <w:widowControl/>
                    <w:wordWrap w:val="0"/>
                    <w:topLinePunct/>
                    <w:adjustRightInd w:val="0"/>
                    <w:snapToGrid w:val="0"/>
                    <w:spacing w:line="240" w:lineRule="auto"/>
                    <w:ind w:left="-120" w:leftChars="-50" w:right="-120" w:rightChars="-50"/>
                    <w:jc w:val="center"/>
                    <w:rPr>
                      <w:rFonts w:hint="eastAsia" w:ascii="Times New Roman" w:hAnsi="Times New Roman" w:eastAsia="宋体" w:cs="Times New Roman"/>
                      <w:snapToGrid w:val="0"/>
                      <w:spacing w:val="4"/>
                      <w:kern w:val="2"/>
                      <w:sz w:val="21"/>
                      <w:szCs w:val="21"/>
                      <w:u w:val="single"/>
                      <w:lang w:val="en-US" w:eastAsia="zh-CN" w:bidi="ar"/>
                    </w:rPr>
                  </w:pPr>
                  <w:r>
                    <w:rPr>
                      <w:rFonts w:hint="eastAsia"/>
                      <w:snapToGrid w:val="0"/>
                      <w:spacing w:val="4"/>
                      <w:sz w:val="21"/>
                      <w:szCs w:val="21"/>
                    </w:rPr>
                    <w:t>0.0</w:t>
                  </w:r>
                  <w:r>
                    <w:rPr>
                      <w:rFonts w:hint="eastAsia"/>
                      <w:snapToGrid w:val="0"/>
                      <w:spacing w:val="4"/>
                      <w:sz w:val="21"/>
                      <w:szCs w:val="21"/>
                      <w:lang w:val="en-US" w:eastAsia="zh-CN"/>
                    </w:rPr>
                    <w:t>79</w:t>
                  </w:r>
                </w:p>
              </w:tc>
              <w:tc>
                <w:tcPr>
                  <w:tcW w:w="1592" w:type="pct"/>
                  <w:noWrap w:val="0"/>
                  <w:vAlign w:val="center"/>
                </w:tcPr>
                <w:p w14:paraId="332996DE">
                  <w:pPr>
                    <w:widowControl/>
                    <w:wordWrap w:val="0"/>
                    <w:topLinePunct/>
                    <w:adjustRightInd w:val="0"/>
                    <w:snapToGrid w:val="0"/>
                    <w:spacing w:line="240" w:lineRule="auto"/>
                    <w:ind w:left="-120" w:leftChars="-50" w:right="-120" w:rightChars="-50"/>
                    <w:jc w:val="center"/>
                    <w:rPr>
                      <w:rFonts w:hint="eastAsia" w:ascii="Times New Roman" w:hAnsi="Times New Roman" w:eastAsia="宋体" w:cs="Times New Roman"/>
                      <w:snapToGrid w:val="0"/>
                      <w:spacing w:val="4"/>
                      <w:kern w:val="2"/>
                      <w:sz w:val="21"/>
                      <w:szCs w:val="21"/>
                      <w:u w:val="single"/>
                      <w:lang w:eastAsia="zh-CN" w:bidi="ar"/>
                    </w:rPr>
                  </w:pPr>
                  <w:r>
                    <w:rPr>
                      <w:rFonts w:hint="eastAsia" w:ascii="Times New Roman" w:hAnsi="Times New Roman" w:eastAsia="宋体" w:cs="Times New Roman"/>
                      <w:snapToGrid w:val="0"/>
                      <w:spacing w:val="4"/>
                      <w:kern w:val="2"/>
                      <w:sz w:val="21"/>
                      <w:szCs w:val="21"/>
                      <w:u w:val="single"/>
                      <w:lang w:eastAsia="zh-CN" w:bidi="ar"/>
                    </w:rPr>
                    <w:t>湿法作业，无组织排放</w:t>
                  </w:r>
                </w:p>
              </w:tc>
            </w:tr>
            <w:tr w14:paraId="4CE1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pct"/>
                  <w:noWrap w:val="0"/>
                  <w:vAlign w:val="center"/>
                </w:tcPr>
                <w:p w14:paraId="0E82F55A">
                  <w:pPr>
                    <w:widowControl/>
                    <w:wordWrap w:val="0"/>
                    <w:topLinePunct/>
                    <w:adjustRightInd w:val="0"/>
                    <w:snapToGrid w:val="0"/>
                    <w:spacing w:line="240" w:lineRule="auto"/>
                    <w:ind w:left="-120" w:leftChars="-50" w:right="-120" w:rightChars="-50"/>
                    <w:jc w:val="center"/>
                    <w:rPr>
                      <w:rFonts w:ascii="Times New Roman" w:hAnsi="Times New Roman" w:eastAsia="宋体" w:cs="Times New Roman"/>
                      <w:snapToGrid w:val="0"/>
                      <w:spacing w:val="4"/>
                      <w:sz w:val="21"/>
                      <w:szCs w:val="21"/>
                      <w:u w:val="single"/>
                    </w:rPr>
                  </w:pPr>
                  <w:r>
                    <w:rPr>
                      <w:rFonts w:hint="default" w:ascii="Times New Roman" w:hAnsi="Times New Roman" w:eastAsia="宋体" w:cs="Times New Roman"/>
                      <w:snapToGrid w:val="0"/>
                      <w:spacing w:val="4"/>
                      <w:kern w:val="2"/>
                      <w:sz w:val="21"/>
                      <w:szCs w:val="21"/>
                      <w:u w:val="single"/>
                      <w:lang w:bidi="ar"/>
                    </w:rPr>
                    <w:t>食堂</w:t>
                  </w:r>
                </w:p>
              </w:tc>
              <w:tc>
                <w:tcPr>
                  <w:tcW w:w="977" w:type="pct"/>
                  <w:noWrap w:val="0"/>
                  <w:vAlign w:val="center"/>
                </w:tcPr>
                <w:p w14:paraId="5432334C">
                  <w:pPr>
                    <w:widowControl/>
                    <w:wordWrap w:val="0"/>
                    <w:topLinePunct/>
                    <w:adjustRightInd w:val="0"/>
                    <w:snapToGrid w:val="0"/>
                    <w:spacing w:line="240" w:lineRule="auto"/>
                    <w:ind w:left="-120" w:leftChars="-50" w:right="-120" w:rightChars="-50"/>
                    <w:jc w:val="center"/>
                    <w:rPr>
                      <w:rFonts w:ascii="Times New Roman" w:hAnsi="Times New Roman" w:eastAsia="宋体" w:cs="Times New Roman"/>
                      <w:snapToGrid w:val="0"/>
                      <w:spacing w:val="4"/>
                      <w:sz w:val="21"/>
                      <w:szCs w:val="21"/>
                      <w:u w:val="single"/>
                    </w:rPr>
                  </w:pPr>
                  <w:r>
                    <w:rPr>
                      <w:rFonts w:hint="default" w:ascii="Times New Roman" w:hAnsi="Times New Roman" w:eastAsia="宋体" w:cs="Times New Roman"/>
                      <w:snapToGrid w:val="0"/>
                      <w:spacing w:val="4"/>
                      <w:kern w:val="2"/>
                      <w:sz w:val="21"/>
                      <w:szCs w:val="21"/>
                      <w:u w:val="single"/>
                      <w:lang w:bidi="ar"/>
                    </w:rPr>
                    <w:t>油烟</w:t>
                  </w:r>
                </w:p>
              </w:tc>
              <w:tc>
                <w:tcPr>
                  <w:tcW w:w="821" w:type="pct"/>
                  <w:noWrap w:val="0"/>
                  <w:vAlign w:val="center"/>
                </w:tcPr>
                <w:p w14:paraId="639677FC">
                  <w:pPr>
                    <w:widowControl/>
                    <w:wordWrap w:val="0"/>
                    <w:topLinePunct/>
                    <w:adjustRightInd w:val="0"/>
                    <w:snapToGrid w:val="0"/>
                    <w:spacing w:line="240" w:lineRule="auto"/>
                    <w:ind w:left="-120" w:leftChars="-50" w:right="-120" w:rightChars="-50"/>
                    <w:jc w:val="center"/>
                    <w:rPr>
                      <w:rFonts w:ascii="Times New Roman" w:hAnsi="Times New Roman" w:eastAsia="宋体" w:cs="Times New Roman"/>
                      <w:snapToGrid w:val="0"/>
                      <w:spacing w:val="4"/>
                      <w:sz w:val="21"/>
                      <w:szCs w:val="21"/>
                      <w:u w:val="single"/>
                    </w:rPr>
                  </w:pPr>
                  <w:r>
                    <w:rPr>
                      <w:rFonts w:hint="eastAsia" w:ascii="Times New Roman" w:hAnsi="Times New Roman" w:eastAsia="宋体" w:cs="Times New Roman"/>
                      <w:snapToGrid w:val="0"/>
                      <w:spacing w:val="4"/>
                      <w:kern w:val="2"/>
                      <w:sz w:val="21"/>
                      <w:szCs w:val="21"/>
                      <w:u w:val="single"/>
                      <w:lang w:val="en-US" w:eastAsia="zh-CN" w:bidi="ar"/>
                    </w:rPr>
                    <w:t>0.31</w:t>
                  </w:r>
                  <w:r>
                    <w:rPr>
                      <w:rFonts w:ascii="Times New Roman" w:hAnsi="Times New Roman" w:eastAsia="宋体" w:cs="Times New Roman"/>
                      <w:snapToGrid w:val="0"/>
                      <w:spacing w:val="4"/>
                      <w:kern w:val="2"/>
                      <w:sz w:val="21"/>
                      <w:szCs w:val="21"/>
                      <w:u w:val="single"/>
                      <w:lang w:bidi="ar"/>
                    </w:rPr>
                    <w:t>kg/a</w:t>
                  </w:r>
                </w:p>
              </w:tc>
              <w:tc>
                <w:tcPr>
                  <w:tcW w:w="1592" w:type="pct"/>
                  <w:noWrap w:val="0"/>
                  <w:vAlign w:val="center"/>
                </w:tcPr>
                <w:p w14:paraId="3B1D9D3A">
                  <w:pPr>
                    <w:widowControl/>
                    <w:wordWrap w:val="0"/>
                    <w:topLinePunct/>
                    <w:adjustRightInd w:val="0"/>
                    <w:snapToGrid w:val="0"/>
                    <w:spacing w:line="240" w:lineRule="auto"/>
                    <w:ind w:left="-120" w:leftChars="-50" w:right="-120" w:rightChars="-50"/>
                    <w:jc w:val="center"/>
                    <w:rPr>
                      <w:rFonts w:ascii="Times New Roman" w:hAnsi="Times New Roman" w:eastAsia="宋体" w:cs="Times New Roman"/>
                      <w:snapToGrid w:val="0"/>
                      <w:spacing w:val="4"/>
                      <w:sz w:val="21"/>
                      <w:szCs w:val="21"/>
                      <w:u w:val="single"/>
                    </w:rPr>
                  </w:pPr>
                  <w:r>
                    <w:rPr>
                      <w:rFonts w:hint="default" w:ascii="Times New Roman" w:hAnsi="Times New Roman" w:eastAsia="宋体" w:cs="Times New Roman"/>
                      <w:snapToGrid w:val="0"/>
                      <w:spacing w:val="4"/>
                      <w:kern w:val="2"/>
                      <w:sz w:val="21"/>
                      <w:szCs w:val="21"/>
                      <w:u w:val="single"/>
                      <w:lang w:bidi="ar"/>
                    </w:rPr>
                    <w:t>经油烟净化器处理后由专用烟道引至楼顶排放</w:t>
                  </w:r>
                </w:p>
              </w:tc>
            </w:tr>
          </w:tbl>
          <w:p w14:paraId="145A0E80">
            <w:pPr>
              <w:ind w:firstLine="480" w:firstLineChars="200"/>
              <w:rPr>
                <w:color w:val="0000C7"/>
              </w:rPr>
            </w:pPr>
            <w:r>
              <w:rPr>
                <w:rFonts w:hint="eastAsia"/>
              </w:rPr>
              <w:t>本项目的主要废气特征污染物为颗粒物，</w:t>
            </w:r>
            <w:r>
              <w:t>为了解</w:t>
            </w:r>
            <w:r>
              <w:rPr>
                <w:rFonts w:hint="eastAsia"/>
              </w:rPr>
              <w:t>项目现有工程废气排放情况</w:t>
            </w:r>
            <w:r>
              <w:t>，我单位特委托湖南</w:t>
            </w:r>
            <w:r>
              <w:rPr>
                <w:rFonts w:hint="eastAsia"/>
              </w:rPr>
              <w:t>昌旭环保科技</w:t>
            </w:r>
            <w:r>
              <w:t>有限公司于20</w:t>
            </w:r>
            <w:r>
              <w:rPr>
                <w:rFonts w:hint="eastAsia"/>
              </w:rPr>
              <w:t>23</w:t>
            </w:r>
            <w:r>
              <w:t>年</w:t>
            </w:r>
            <w:r>
              <w:rPr>
                <w:rFonts w:hint="eastAsia"/>
              </w:rPr>
              <w:t>8</w:t>
            </w:r>
            <w:r>
              <w:t>月</w:t>
            </w:r>
            <w:r>
              <w:rPr>
                <w:rFonts w:hint="eastAsia"/>
              </w:rPr>
              <w:t>3</w:t>
            </w:r>
            <w:r>
              <w:t>日进行了一期</w:t>
            </w:r>
            <w:r>
              <w:rPr>
                <w:rFonts w:hint="eastAsia"/>
              </w:rPr>
              <w:t>颗粒物</w:t>
            </w:r>
            <w:r>
              <w:t>的</w:t>
            </w:r>
            <w:r>
              <w:rPr>
                <w:rFonts w:hint="eastAsia"/>
              </w:rPr>
              <w:t>污染源监测</w:t>
            </w:r>
            <w:r>
              <w:t>。监测期间，该厂处于</w:t>
            </w:r>
            <w:r>
              <w:rPr>
                <w:rFonts w:hint="eastAsia"/>
                <w:lang w:val="en-US" w:eastAsia="zh-CN"/>
              </w:rPr>
              <w:t>正常</w:t>
            </w:r>
            <w:r>
              <w:t>生产阶段</w:t>
            </w:r>
            <w:r>
              <w:rPr>
                <w:rFonts w:hint="eastAsia"/>
              </w:rPr>
              <w:t>。</w:t>
            </w:r>
          </w:p>
          <w:p w14:paraId="2A82A41F">
            <w:pPr>
              <w:ind w:firstLine="480" w:firstLineChars="200"/>
            </w:pPr>
            <w:r>
              <w:rPr>
                <w:rFonts w:hint="eastAsia"/>
              </w:rPr>
              <w:t>1）</w:t>
            </w:r>
            <w:r>
              <w:t>监测点位</w:t>
            </w:r>
          </w:p>
          <w:p w14:paraId="7C8638A8">
            <w:pPr>
              <w:ind w:firstLine="480" w:firstLineChars="200"/>
            </w:pPr>
            <w:r>
              <w:t>在当季主导风向</w:t>
            </w:r>
            <w:r>
              <w:rPr>
                <w:rFonts w:hint="eastAsia"/>
              </w:rPr>
              <w:t>厂界</w:t>
            </w:r>
            <w:r>
              <w:t>外</w:t>
            </w:r>
            <w:r>
              <w:rPr>
                <w:rFonts w:hint="eastAsia"/>
              </w:rPr>
              <w:t>上风向10m处设参照点</w:t>
            </w:r>
            <w:r>
              <w:t>G1</w:t>
            </w:r>
            <w:r>
              <w:rPr>
                <w:rFonts w:hint="eastAsia"/>
              </w:rPr>
              <w:t>，下风向10m处设</w:t>
            </w:r>
            <w:r>
              <w:t>监控点G2</w:t>
            </w:r>
            <w:r>
              <w:rPr>
                <w:rFonts w:hint="eastAsia"/>
              </w:rPr>
              <w:t>、</w:t>
            </w:r>
            <w:r>
              <w:t>G</w:t>
            </w:r>
            <w:r>
              <w:rPr>
                <w:rFonts w:hint="eastAsia"/>
              </w:rPr>
              <w:t>3</w:t>
            </w:r>
            <w:r>
              <w:t>。</w:t>
            </w:r>
          </w:p>
          <w:p w14:paraId="6635D57F">
            <w:pPr>
              <w:ind w:firstLine="480" w:firstLineChars="200"/>
            </w:pPr>
            <w:r>
              <w:rPr>
                <w:rFonts w:hint="eastAsia"/>
              </w:rPr>
              <w:t>2）</w:t>
            </w:r>
            <w:r>
              <w:t>监测项目</w:t>
            </w:r>
          </w:p>
          <w:p w14:paraId="7DE26C15">
            <w:pPr>
              <w:ind w:firstLine="480" w:firstLineChars="200"/>
            </w:pPr>
            <w:r>
              <w:t>监测项目为</w:t>
            </w:r>
            <w:r>
              <w:rPr>
                <w:rFonts w:hint="eastAsia"/>
              </w:rPr>
              <w:t>颗粒物</w:t>
            </w:r>
            <w:r>
              <w:t>，并同步进行天气情况、气温、气压风向、风速等常规气象参数的观测。</w:t>
            </w:r>
          </w:p>
          <w:p w14:paraId="55513139">
            <w:pPr>
              <w:ind w:firstLine="480" w:firstLineChars="200"/>
            </w:pPr>
            <w:r>
              <w:rPr>
                <w:rFonts w:hint="eastAsia"/>
              </w:rPr>
              <w:t>3）</w:t>
            </w:r>
            <w:r>
              <w:t>监测时间及频次</w:t>
            </w:r>
          </w:p>
          <w:p w14:paraId="7CD7E7BC">
            <w:pPr>
              <w:ind w:firstLine="480" w:firstLineChars="200"/>
              <w:rPr>
                <w:color w:val="0000C7"/>
              </w:rPr>
            </w:pPr>
            <w:r>
              <w:rPr>
                <w:rFonts w:hint="eastAsia"/>
              </w:rPr>
              <w:t>于</w:t>
            </w:r>
            <w:r>
              <w:t>20</w:t>
            </w:r>
            <w:r>
              <w:rPr>
                <w:rFonts w:hint="eastAsia"/>
              </w:rPr>
              <w:t>23</w:t>
            </w:r>
            <w:r>
              <w:t>年</w:t>
            </w:r>
            <w:r>
              <w:rPr>
                <w:rFonts w:hint="eastAsia"/>
              </w:rPr>
              <w:t>8</w:t>
            </w:r>
            <w:r>
              <w:t>月</w:t>
            </w:r>
            <w:r>
              <w:rPr>
                <w:rFonts w:hint="eastAsia"/>
              </w:rPr>
              <w:t>3</w:t>
            </w:r>
            <w:r>
              <w:t>日进行监测，</w:t>
            </w:r>
            <w:r>
              <w:rPr>
                <w:rFonts w:hint="eastAsia"/>
              </w:rPr>
              <w:t>1</w:t>
            </w:r>
            <w:r>
              <w:t>天连续采样。</w:t>
            </w:r>
          </w:p>
          <w:p w14:paraId="20DCB72F">
            <w:pPr>
              <w:numPr>
                <w:ilvl w:val="0"/>
                <w:numId w:val="4"/>
              </w:numPr>
              <w:ind w:firstLine="480"/>
            </w:pPr>
            <w:r>
              <w:t>无组织废气检测结果</w:t>
            </w:r>
          </w:p>
          <w:p w14:paraId="06CB142B">
            <w:pPr>
              <w:ind w:firstLine="480"/>
            </w:pPr>
            <w:r>
              <w:t>本项目产生的无组织废气监测结果见下表：</w:t>
            </w:r>
          </w:p>
          <w:p w14:paraId="28426BEB">
            <w:pPr>
              <w:spacing w:line="240" w:lineRule="auto"/>
              <w:jc w:val="center"/>
              <w:rPr>
                <w:b/>
                <w:bCs/>
                <w:sz w:val="21"/>
                <w:szCs w:val="21"/>
              </w:rPr>
            </w:pPr>
            <w:r>
              <w:rPr>
                <w:b/>
                <w:bCs/>
                <w:sz w:val="21"/>
                <w:szCs w:val="21"/>
              </w:rPr>
              <w:t>表</w:t>
            </w:r>
            <w:r>
              <w:rPr>
                <w:rFonts w:hint="eastAsia"/>
                <w:b/>
                <w:bCs/>
                <w:sz w:val="21"/>
                <w:szCs w:val="21"/>
              </w:rPr>
              <w:t>2-</w:t>
            </w:r>
            <w:r>
              <w:rPr>
                <w:rFonts w:hint="eastAsia"/>
                <w:b/>
                <w:bCs/>
                <w:sz w:val="21"/>
                <w:szCs w:val="21"/>
                <w:lang w:val="en-US" w:eastAsia="zh-CN"/>
              </w:rPr>
              <w:t>13</w:t>
            </w:r>
            <w:r>
              <w:rPr>
                <w:b/>
                <w:bCs/>
                <w:sz w:val="21"/>
                <w:szCs w:val="21"/>
              </w:rPr>
              <w:t xml:space="preserve">   无组织废气监测结果一览表    单位：mg/m</w:t>
            </w:r>
            <w:r>
              <w:rPr>
                <w:b/>
                <w:bCs/>
                <w:sz w:val="21"/>
                <w:szCs w:val="21"/>
                <w:vertAlign w:val="superscript"/>
              </w:rPr>
              <w:t>3</w:t>
            </w:r>
          </w:p>
          <w:tbl>
            <w:tblPr>
              <w:tblStyle w:val="24"/>
              <w:tblW w:w="4999" w:type="pct"/>
              <w:tblInd w:w="0" w:type="dxa"/>
              <w:tblLayout w:type="autofit"/>
              <w:tblCellMar>
                <w:top w:w="0" w:type="dxa"/>
                <w:left w:w="108" w:type="dxa"/>
                <w:bottom w:w="0" w:type="dxa"/>
                <w:right w:w="108" w:type="dxa"/>
              </w:tblCellMar>
            </w:tblPr>
            <w:tblGrid>
              <w:gridCol w:w="1172"/>
              <w:gridCol w:w="627"/>
              <w:gridCol w:w="938"/>
              <w:gridCol w:w="1896"/>
              <w:gridCol w:w="1839"/>
              <w:gridCol w:w="1916"/>
            </w:tblGrid>
            <w:tr w14:paraId="032AC799">
              <w:tblPrEx>
                <w:tblCellMar>
                  <w:top w:w="0" w:type="dxa"/>
                  <w:left w:w="108" w:type="dxa"/>
                  <w:bottom w:w="0" w:type="dxa"/>
                  <w:right w:w="108" w:type="dxa"/>
                </w:tblCellMar>
              </w:tblPrEx>
              <w:trPr>
                <w:trHeight w:val="314" w:hRule="atLeast"/>
              </w:trPr>
              <w:tc>
                <w:tcPr>
                  <w:tcW w:w="699" w:type="pct"/>
                  <w:vMerge w:val="restart"/>
                  <w:tcBorders>
                    <w:top w:val="single" w:color="000000" w:sz="4" w:space="0"/>
                    <w:left w:val="single" w:color="000000" w:sz="4" w:space="0"/>
                    <w:bottom w:val="single" w:color="000000" w:sz="4" w:space="0"/>
                    <w:right w:val="single" w:color="000000" w:sz="4" w:space="0"/>
                  </w:tcBorders>
                  <w:vAlign w:val="center"/>
                </w:tcPr>
                <w:p w14:paraId="1CC64A5E">
                  <w:pPr>
                    <w:spacing w:line="240" w:lineRule="auto"/>
                    <w:jc w:val="center"/>
                    <w:rPr>
                      <w:b/>
                      <w:sz w:val="21"/>
                      <w:szCs w:val="21"/>
                    </w:rPr>
                  </w:pPr>
                  <w:r>
                    <w:rPr>
                      <w:b/>
                      <w:sz w:val="21"/>
                      <w:szCs w:val="21"/>
                    </w:rPr>
                    <w:t>采样日期</w:t>
                  </w:r>
                </w:p>
              </w:tc>
              <w:tc>
                <w:tcPr>
                  <w:tcW w:w="933" w:type="pct"/>
                  <w:gridSpan w:val="2"/>
                  <w:vMerge w:val="restart"/>
                  <w:tcBorders>
                    <w:top w:val="single" w:color="000000" w:sz="4" w:space="0"/>
                    <w:left w:val="single" w:color="000000" w:sz="4" w:space="0"/>
                    <w:bottom w:val="single" w:color="000000" w:sz="4" w:space="0"/>
                    <w:right w:val="single" w:color="000000" w:sz="4" w:space="0"/>
                  </w:tcBorders>
                  <w:vAlign w:val="center"/>
                </w:tcPr>
                <w:p w14:paraId="4BC1EC07">
                  <w:pPr>
                    <w:spacing w:line="240" w:lineRule="auto"/>
                    <w:jc w:val="center"/>
                    <w:rPr>
                      <w:b/>
                      <w:sz w:val="21"/>
                      <w:szCs w:val="21"/>
                    </w:rPr>
                  </w:pPr>
                  <w:r>
                    <w:rPr>
                      <w:b/>
                      <w:sz w:val="21"/>
                      <w:szCs w:val="21"/>
                    </w:rPr>
                    <w:t>检测项目</w:t>
                  </w:r>
                </w:p>
              </w:tc>
              <w:tc>
                <w:tcPr>
                  <w:tcW w:w="3367" w:type="pct"/>
                  <w:gridSpan w:val="3"/>
                  <w:tcBorders>
                    <w:top w:val="single" w:color="000000" w:sz="4" w:space="0"/>
                    <w:left w:val="single" w:color="000000" w:sz="4" w:space="0"/>
                    <w:bottom w:val="single" w:color="000000" w:sz="4" w:space="0"/>
                    <w:right w:val="single" w:color="000000" w:sz="4" w:space="0"/>
                  </w:tcBorders>
                  <w:vAlign w:val="center"/>
                </w:tcPr>
                <w:p w14:paraId="6AF13379">
                  <w:pPr>
                    <w:spacing w:line="240" w:lineRule="auto"/>
                    <w:jc w:val="center"/>
                    <w:rPr>
                      <w:b/>
                      <w:sz w:val="21"/>
                      <w:szCs w:val="21"/>
                    </w:rPr>
                  </w:pPr>
                  <w:r>
                    <w:rPr>
                      <w:b/>
                      <w:sz w:val="21"/>
                      <w:szCs w:val="21"/>
                    </w:rPr>
                    <w:t>检测结果(mg/m³)</w:t>
                  </w:r>
                </w:p>
              </w:tc>
            </w:tr>
            <w:tr w14:paraId="6C4CF061">
              <w:tblPrEx>
                <w:tblCellMar>
                  <w:top w:w="0" w:type="dxa"/>
                  <w:left w:w="108" w:type="dxa"/>
                  <w:bottom w:w="0" w:type="dxa"/>
                  <w:right w:w="108" w:type="dxa"/>
                </w:tblCellMar>
              </w:tblPrEx>
              <w:trPr>
                <w:trHeight w:val="455" w:hRule="atLeast"/>
              </w:trPr>
              <w:tc>
                <w:tcPr>
                  <w:tcW w:w="699" w:type="pct"/>
                  <w:vMerge w:val="continue"/>
                  <w:tcBorders>
                    <w:top w:val="single" w:color="000000" w:sz="4" w:space="0"/>
                    <w:left w:val="single" w:color="000000" w:sz="4" w:space="0"/>
                    <w:bottom w:val="single" w:color="000000" w:sz="4" w:space="0"/>
                    <w:right w:val="single" w:color="000000" w:sz="4" w:space="0"/>
                  </w:tcBorders>
                  <w:vAlign w:val="center"/>
                </w:tcPr>
                <w:p w14:paraId="601F1F44">
                  <w:pPr>
                    <w:spacing w:line="240" w:lineRule="auto"/>
                    <w:jc w:val="center"/>
                    <w:rPr>
                      <w:b/>
                      <w:sz w:val="21"/>
                      <w:szCs w:val="21"/>
                    </w:rPr>
                  </w:pPr>
                </w:p>
              </w:tc>
              <w:tc>
                <w:tcPr>
                  <w:tcW w:w="933"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6F43020B">
                  <w:pPr>
                    <w:spacing w:line="240" w:lineRule="auto"/>
                    <w:jc w:val="center"/>
                    <w:rPr>
                      <w:b/>
                      <w:sz w:val="21"/>
                      <w:szCs w:val="21"/>
                    </w:rPr>
                  </w:pPr>
                </w:p>
              </w:tc>
              <w:tc>
                <w:tcPr>
                  <w:tcW w:w="1130" w:type="pct"/>
                  <w:tcBorders>
                    <w:top w:val="single" w:color="000000" w:sz="4" w:space="0"/>
                    <w:left w:val="single" w:color="000000" w:sz="4" w:space="0"/>
                    <w:bottom w:val="single" w:color="000000" w:sz="4" w:space="0"/>
                    <w:right w:val="single" w:color="000000" w:sz="4" w:space="0"/>
                  </w:tcBorders>
                  <w:vAlign w:val="center"/>
                </w:tcPr>
                <w:p w14:paraId="72A5E21F">
                  <w:pPr>
                    <w:spacing w:line="240" w:lineRule="auto"/>
                    <w:jc w:val="center"/>
                    <w:rPr>
                      <w:b/>
                      <w:sz w:val="21"/>
                      <w:szCs w:val="21"/>
                    </w:rPr>
                  </w:pPr>
                  <w:r>
                    <w:rPr>
                      <w:b/>
                      <w:sz w:val="21"/>
                      <w:szCs w:val="21"/>
                    </w:rPr>
                    <w:t>厂界上风向10m 处G1</w:t>
                  </w:r>
                </w:p>
              </w:tc>
              <w:tc>
                <w:tcPr>
                  <w:tcW w:w="1096" w:type="pct"/>
                  <w:tcBorders>
                    <w:top w:val="single" w:color="000000" w:sz="4" w:space="0"/>
                    <w:left w:val="single" w:color="000000" w:sz="4" w:space="0"/>
                    <w:bottom w:val="single" w:color="000000" w:sz="4" w:space="0"/>
                    <w:right w:val="single" w:color="000000" w:sz="4" w:space="0"/>
                  </w:tcBorders>
                  <w:vAlign w:val="center"/>
                </w:tcPr>
                <w:p w14:paraId="129DE493">
                  <w:pPr>
                    <w:spacing w:line="240" w:lineRule="auto"/>
                    <w:jc w:val="center"/>
                    <w:rPr>
                      <w:b/>
                      <w:sz w:val="21"/>
                      <w:szCs w:val="21"/>
                    </w:rPr>
                  </w:pPr>
                  <w:r>
                    <w:rPr>
                      <w:b/>
                      <w:sz w:val="21"/>
                      <w:szCs w:val="21"/>
                    </w:rPr>
                    <w:t>厂界下风向10m处G2</w:t>
                  </w:r>
                </w:p>
              </w:tc>
              <w:tc>
                <w:tcPr>
                  <w:tcW w:w="1140" w:type="pct"/>
                  <w:tcBorders>
                    <w:top w:val="single" w:color="000000" w:sz="4" w:space="0"/>
                    <w:left w:val="single" w:color="000000" w:sz="4" w:space="0"/>
                    <w:bottom w:val="single" w:color="000000" w:sz="4" w:space="0"/>
                    <w:right w:val="single" w:color="000000" w:sz="4" w:space="0"/>
                  </w:tcBorders>
                  <w:vAlign w:val="center"/>
                </w:tcPr>
                <w:p w14:paraId="6CEE5C7D">
                  <w:pPr>
                    <w:spacing w:line="240" w:lineRule="auto"/>
                    <w:jc w:val="center"/>
                    <w:rPr>
                      <w:b/>
                      <w:sz w:val="21"/>
                      <w:szCs w:val="21"/>
                    </w:rPr>
                  </w:pPr>
                  <w:r>
                    <w:rPr>
                      <w:b/>
                      <w:sz w:val="21"/>
                      <w:szCs w:val="21"/>
                    </w:rPr>
                    <w:t>厂界下风向10m处 G3</w:t>
                  </w:r>
                </w:p>
              </w:tc>
            </w:tr>
            <w:tr w14:paraId="3163437F">
              <w:tblPrEx>
                <w:tblCellMar>
                  <w:top w:w="0" w:type="dxa"/>
                  <w:left w:w="108" w:type="dxa"/>
                  <w:bottom w:w="0" w:type="dxa"/>
                  <w:right w:w="108" w:type="dxa"/>
                </w:tblCellMar>
              </w:tblPrEx>
              <w:trPr>
                <w:trHeight w:val="272" w:hRule="atLeast"/>
              </w:trPr>
              <w:tc>
                <w:tcPr>
                  <w:tcW w:w="699" w:type="pct"/>
                  <w:vMerge w:val="restart"/>
                  <w:tcBorders>
                    <w:top w:val="single" w:color="000000" w:sz="4" w:space="0"/>
                    <w:left w:val="single" w:color="000000" w:sz="4" w:space="0"/>
                    <w:bottom w:val="single" w:color="000000" w:sz="4" w:space="0"/>
                    <w:right w:val="single" w:color="000000" w:sz="4" w:space="0"/>
                  </w:tcBorders>
                  <w:vAlign w:val="center"/>
                </w:tcPr>
                <w:p w14:paraId="2E7F988B">
                  <w:pPr>
                    <w:spacing w:line="240" w:lineRule="auto"/>
                    <w:jc w:val="center"/>
                    <w:rPr>
                      <w:bCs/>
                      <w:sz w:val="21"/>
                      <w:szCs w:val="21"/>
                    </w:rPr>
                  </w:pPr>
                  <w:r>
                    <w:rPr>
                      <w:bCs/>
                      <w:sz w:val="21"/>
                      <w:szCs w:val="21"/>
                    </w:rPr>
                    <w:t>2023.0</w:t>
                  </w:r>
                  <w:r>
                    <w:rPr>
                      <w:rFonts w:hint="eastAsia"/>
                      <w:bCs/>
                      <w:sz w:val="21"/>
                      <w:szCs w:val="21"/>
                    </w:rPr>
                    <w:t>8</w:t>
                  </w:r>
                  <w:r>
                    <w:rPr>
                      <w:bCs/>
                      <w:sz w:val="21"/>
                      <w:szCs w:val="21"/>
                    </w:rPr>
                    <w:t>.</w:t>
                  </w:r>
                  <w:r>
                    <w:rPr>
                      <w:rFonts w:hint="eastAsia"/>
                      <w:bCs/>
                      <w:sz w:val="21"/>
                      <w:szCs w:val="21"/>
                    </w:rPr>
                    <w:t>03</w:t>
                  </w:r>
                </w:p>
              </w:tc>
              <w:tc>
                <w:tcPr>
                  <w:tcW w:w="374" w:type="pct"/>
                  <w:vMerge w:val="restart"/>
                  <w:tcBorders>
                    <w:top w:val="single" w:color="000000" w:sz="4" w:space="0"/>
                    <w:left w:val="single" w:color="000000" w:sz="4" w:space="0"/>
                    <w:right w:val="single" w:color="000000" w:sz="4" w:space="0"/>
                  </w:tcBorders>
                  <w:vAlign w:val="center"/>
                </w:tcPr>
                <w:p w14:paraId="3D345264">
                  <w:pPr>
                    <w:spacing w:line="240" w:lineRule="auto"/>
                    <w:jc w:val="center"/>
                    <w:rPr>
                      <w:bCs/>
                      <w:sz w:val="21"/>
                      <w:szCs w:val="21"/>
                    </w:rPr>
                  </w:pPr>
                  <w:r>
                    <w:rPr>
                      <w:bCs/>
                      <w:sz w:val="21"/>
                      <w:szCs w:val="21"/>
                    </w:rPr>
                    <w:t>颗粒物</w:t>
                  </w:r>
                </w:p>
              </w:tc>
              <w:tc>
                <w:tcPr>
                  <w:tcW w:w="559" w:type="pct"/>
                  <w:tcBorders>
                    <w:top w:val="single" w:color="000000" w:sz="4" w:space="0"/>
                    <w:left w:val="single" w:color="000000" w:sz="4" w:space="0"/>
                    <w:bottom w:val="single" w:color="000000" w:sz="4" w:space="0"/>
                    <w:right w:val="single" w:color="000000" w:sz="4" w:space="0"/>
                  </w:tcBorders>
                  <w:vAlign w:val="center"/>
                </w:tcPr>
                <w:p w14:paraId="3F64C895">
                  <w:pPr>
                    <w:spacing w:line="240" w:lineRule="auto"/>
                    <w:jc w:val="center"/>
                    <w:rPr>
                      <w:bCs/>
                      <w:sz w:val="21"/>
                      <w:szCs w:val="21"/>
                    </w:rPr>
                  </w:pPr>
                  <w:r>
                    <w:rPr>
                      <w:bCs/>
                      <w:sz w:val="21"/>
                      <w:szCs w:val="21"/>
                    </w:rPr>
                    <w:t>第一次</w:t>
                  </w:r>
                </w:p>
              </w:tc>
              <w:tc>
                <w:tcPr>
                  <w:tcW w:w="1130" w:type="pct"/>
                  <w:tcBorders>
                    <w:top w:val="single" w:color="000000" w:sz="4" w:space="0"/>
                    <w:left w:val="single" w:color="000000" w:sz="4" w:space="0"/>
                    <w:bottom w:val="single" w:color="000000" w:sz="4" w:space="0"/>
                    <w:right w:val="single" w:color="000000" w:sz="4" w:space="0"/>
                  </w:tcBorders>
                  <w:vAlign w:val="center"/>
                </w:tcPr>
                <w:p w14:paraId="55F0F1AC">
                  <w:pPr>
                    <w:spacing w:line="240" w:lineRule="auto"/>
                    <w:jc w:val="center"/>
                    <w:rPr>
                      <w:bCs/>
                      <w:sz w:val="21"/>
                      <w:szCs w:val="21"/>
                    </w:rPr>
                  </w:pPr>
                  <w:r>
                    <w:rPr>
                      <w:bCs/>
                      <w:sz w:val="21"/>
                      <w:szCs w:val="21"/>
                    </w:rPr>
                    <w:t>0.1</w:t>
                  </w:r>
                  <w:r>
                    <w:rPr>
                      <w:rFonts w:hint="eastAsia"/>
                      <w:bCs/>
                      <w:sz w:val="21"/>
                      <w:szCs w:val="21"/>
                    </w:rPr>
                    <w:t>33</w:t>
                  </w:r>
                </w:p>
              </w:tc>
              <w:tc>
                <w:tcPr>
                  <w:tcW w:w="1096" w:type="pct"/>
                  <w:tcBorders>
                    <w:top w:val="single" w:color="000000" w:sz="4" w:space="0"/>
                    <w:left w:val="single" w:color="000000" w:sz="4" w:space="0"/>
                    <w:bottom w:val="single" w:color="000000" w:sz="4" w:space="0"/>
                    <w:right w:val="single" w:color="000000" w:sz="4" w:space="0"/>
                  </w:tcBorders>
                  <w:vAlign w:val="center"/>
                </w:tcPr>
                <w:p w14:paraId="22CD60E4">
                  <w:pPr>
                    <w:spacing w:line="240" w:lineRule="auto"/>
                    <w:jc w:val="center"/>
                    <w:rPr>
                      <w:bCs/>
                      <w:sz w:val="21"/>
                      <w:szCs w:val="21"/>
                    </w:rPr>
                  </w:pPr>
                  <w:r>
                    <w:rPr>
                      <w:bCs/>
                      <w:sz w:val="21"/>
                      <w:szCs w:val="21"/>
                    </w:rPr>
                    <w:t>0.3</w:t>
                  </w:r>
                  <w:r>
                    <w:rPr>
                      <w:rFonts w:hint="eastAsia"/>
                      <w:bCs/>
                      <w:sz w:val="21"/>
                      <w:szCs w:val="21"/>
                    </w:rPr>
                    <w:t>50</w:t>
                  </w:r>
                </w:p>
              </w:tc>
              <w:tc>
                <w:tcPr>
                  <w:tcW w:w="1140" w:type="pct"/>
                  <w:tcBorders>
                    <w:top w:val="single" w:color="000000" w:sz="4" w:space="0"/>
                    <w:left w:val="single" w:color="000000" w:sz="4" w:space="0"/>
                    <w:bottom w:val="single" w:color="000000" w:sz="4" w:space="0"/>
                    <w:right w:val="single" w:color="000000" w:sz="4" w:space="0"/>
                  </w:tcBorders>
                  <w:vAlign w:val="center"/>
                </w:tcPr>
                <w:p w14:paraId="633D064D">
                  <w:pPr>
                    <w:spacing w:line="240" w:lineRule="auto"/>
                    <w:jc w:val="center"/>
                    <w:rPr>
                      <w:bCs/>
                      <w:sz w:val="21"/>
                      <w:szCs w:val="21"/>
                    </w:rPr>
                  </w:pPr>
                  <w:r>
                    <w:rPr>
                      <w:bCs/>
                      <w:sz w:val="21"/>
                      <w:szCs w:val="21"/>
                    </w:rPr>
                    <w:t>0.317</w:t>
                  </w:r>
                </w:p>
              </w:tc>
            </w:tr>
            <w:tr w14:paraId="5019DC1D">
              <w:tblPrEx>
                <w:tblCellMar>
                  <w:top w:w="0" w:type="dxa"/>
                  <w:left w:w="108" w:type="dxa"/>
                  <w:bottom w:w="0" w:type="dxa"/>
                  <w:right w:w="108" w:type="dxa"/>
                </w:tblCellMar>
              </w:tblPrEx>
              <w:trPr>
                <w:trHeight w:val="247" w:hRule="atLeast"/>
              </w:trPr>
              <w:tc>
                <w:tcPr>
                  <w:tcW w:w="699" w:type="pct"/>
                  <w:vMerge w:val="continue"/>
                  <w:tcBorders>
                    <w:top w:val="single" w:color="000000" w:sz="4" w:space="0"/>
                    <w:left w:val="single" w:color="000000" w:sz="4" w:space="0"/>
                    <w:bottom w:val="single" w:color="000000" w:sz="4" w:space="0"/>
                    <w:right w:val="single" w:color="000000" w:sz="4" w:space="0"/>
                  </w:tcBorders>
                  <w:vAlign w:val="center"/>
                </w:tcPr>
                <w:p w14:paraId="763E7E89">
                  <w:pPr>
                    <w:spacing w:line="240" w:lineRule="auto"/>
                    <w:jc w:val="center"/>
                    <w:rPr>
                      <w:bCs/>
                      <w:sz w:val="21"/>
                      <w:szCs w:val="21"/>
                    </w:rPr>
                  </w:pPr>
                </w:p>
              </w:tc>
              <w:tc>
                <w:tcPr>
                  <w:tcW w:w="374" w:type="pct"/>
                  <w:vMerge w:val="continue"/>
                  <w:tcBorders>
                    <w:left w:val="single" w:color="000000" w:sz="4" w:space="0"/>
                    <w:right w:val="single" w:color="000000" w:sz="4" w:space="0"/>
                  </w:tcBorders>
                  <w:vAlign w:val="center"/>
                </w:tcPr>
                <w:p w14:paraId="5FDEC8D0">
                  <w:pPr>
                    <w:spacing w:line="240" w:lineRule="auto"/>
                    <w:jc w:val="center"/>
                    <w:rPr>
                      <w:bCs/>
                      <w:sz w:val="21"/>
                      <w:szCs w:val="21"/>
                    </w:rPr>
                  </w:pPr>
                </w:p>
              </w:tc>
              <w:tc>
                <w:tcPr>
                  <w:tcW w:w="559" w:type="pct"/>
                  <w:tcBorders>
                    <w:top w:val="single" w:color="000000" w:sz="4" w:space="0"/>
                    <w:left w:val="single" w:color="000000" w:sz="4" w:space="0"/>
                    <w:bottom w:val="single" w:color="000000" w:sz="4" w:space="0"/>
                    <w:right w:val="single" w:color="000000" w:sz="4" w:space="0"/>
                  </w:tcBorders>
                  <w:vAlign w:val="center"/>
                </w:tcPr>
                <w:p w14:paraId="20038323">
                  <w:pPr>
                    <w:spacing w:line="240" w:lineRule="auto"/>
                    <w:jc w:val="center"/>
                    <w:rPr>
                      <w:bCs/>
                      <w:sz w:val="21"/>
                      <w:szCs w:val="21"/>
                    </w:rPr>
                  </w:pPr>
                  <w:r>
                    <w:rPr>
                      <w:bCs/>
                      <w:sz w:val="21"/>
                      <w:szCs w:val="21"/>
                    </w:rPr>
                    <w:t>第</w:t>
                  </w:r>
                  <w:r>
                    <w:rPr>
                      <w:rFonts w:hint="eastAsia"/>
                      <w:bCs/>
                      <w:sz w:val="21"/>
                      <w:szCs w:val="21"/>
                    </w:rPr>
                    <w:t>二</w:t>
                  </w:r>
                  <w:r>
                    <w:rPr>
                      <w:bCs/>
                      <w:sz w:val="21"/>
                      <w:szCs w:val="21"/>
                    </w:rPr>
                    <w:t>次</w:t>
                  </w:r>
                </w:p>
              </w:tc>
              <w:tc>
                <w:tcPr>
                  <w:tcW w:w="1130" w:type="pct"/>
                  <w:tcBorders>
                    <w:top w:val="single" w:color="000000" w:sz="4" w:space="0"/>
                    <w:left w:val="single" w:color="000000" w:sz="4" w:space="0"/>
                    <w:bottom w:val="single" w:color="000000" w:sz="4" w:space="0"/>
                    <w:right w:val="single" w:color="000000" w:sz="4" w:space="0"/>
                  </w:tcBorders>
                  <w:vAlign w:val="center"/>
                </w:tcPr>
                <w:p w14:paraId="65A1423E">
                  <w:pPr>
                    <w:spacing w:line="240" w:lineRule="auto"/>
                    <w:jc w:val="center"/>
                    <w:rPr>
                      <w:bCs/>
                      <w:sz w:val="21"/>
                      <w:szCs w:val="21"/>
                    </w:rPr>
                  </w:pPr>
                  <w:r>
                    <w:rPr>
                      <w:bCs/>
                      <w:sz w:val="21"/>
                      <w:szCs w:val="21"/>
                    </w:rPr>
                    <w:t>0.1</w:t>
                  </w:r>
                  <w:r>
                    <w:rPr>
                      <w:rFonts w:hint="eastAsia"/>
                      <w:bCs/>
                      <w:sz w:val="21"/>
                      <w:szCs w:val="21"/>
                    </w:rPr>
                    <w:t>50</w:t>
                  </w:r>
                </w:p>
              </w:tc>
              <w:tc>
                <w:tcPr>
                  <w:tcW w:w="1096" w:type="pct"/>
                  <w:tcBorders>
                    <w:top w:val="single" w:color="000000" w:sz="4" w:space="0"/>
                    <w:left w:val="single" w:color="000000" w:sz="4" w:space="0"/>
                    <w:bottom w:val="single" w:color="000000" w:sz="4" w:space="0"/>
                    <w:right w:val="single" w:color="000000" w:sz="4" w:space="0"/>
                  </w:tcBorders>
                  <w:vAlign w:val="center"/>
                </w:tcPr>
                <w:p w14:paraId="67AC83AF">
                  <w:pPr>
                    <w:spacing w:line="240" w:lineRule="auto"/>
                    <w:jc w:val="center"/>
                    <w:rPr>
                      <w:bCs/>
                      <w:sz w:val="21"/>
                      <w:szCs w:val="21"/>
                    </w:rPr>
                  </w:pPr>
                  <w:r>
                    <w:rPr>
                      <w:bCs/>
                      <w:sz w:val="21"/>
                      <w:szCs w:val="21"/>
                    </w:rPr>
                    <w:t>0.3</w:t>
                  </w:r>
                  <w:r>
                    <w:rPr>
                      <w:rFonts w:hint="eastAsia"/>
                      <w:bCs/>
                      <w:sz w:val="21"/>
                      <w:szCs w:val="21"/>
                    </w:rPr>
                    <w:t>33</w:t>
                  </w:r>
                </w:p>
              </w:tc>
              <w:tc>
                <w:tcPr>
                  <w:tcW w:w="1140" w:type="pct"/>
                  <w:tcBorders>
                    <w:top w:val="single" w:color="000000" w:sz="4" w:space="0"/>
                    <w:left w:val="single" w:color="000000" w:sz="4" w:space="0"/>
                    <w:bottom w:val="single" w:color="000000" w:sz="4" w:space="0"/>
                    <w:right w:val="single" w:color="000000" w:sz="4" w:space="0"/>
                  </w:tcBorders>
                  <w:vAlign w:val="center"/>
                </w:tcPr>
                <w:p w14:paraId="54D569A0">
                  <w:pPr>
                    <w:spacing w:line="240" w:lineRule="auto"/>
                    <w:jc w:val="center"/>
                    <w:rPr>
                      <w:bCs/>
                      <w:sz w:val="21"/>
                      <w:szCs w:val="21"/>
                    </w:rPr>
                  </w:pPr>
                  <w:r>
                    <w:rPr>
                      <w:bCs/>
                      <w:sz w:val="21"/>
                      <w:szCs w:val="21"/>
                    </w:rPr>
                    <w:t>0.</w:t>
                  </w:r>
                  <w:r>
                    <w:rPr>
                      <w:rFonts w:hint="eastAsia"/>
                      <w:bCs/>
                      <w:sz w:val="21"/>
                      <w:szCs w:val="21"/>
                    </w:rPr>
                    <w:t>367</w:t>
                  </w:r>
                </w:p>
              </w:tc>
            </w:tr>
            <w:tr w14:paraId="6C295C30">
              <w:tblPrEx>
                <w:tblCellMar>
                  <w:top w:w="0" w:type="dxa"/>
                  <w:left w:w="108" w:type="dxa"/>
                  <w:bottom w:w="0" w:type="dxa"/>
                  <w:right w:w="108" w:type="dxa"/>
                </w:tblCellMar>
              </w:tblPrEx>
              <w:trPr>
                <w:trHeight w:val="114" w:hRule="atLeast"/>
              </w:trPr>
              <w:tc>
                <w:tcPr>
                  <w:tcW w:w="1632" w:type="pct"/>
                  <w:gridSpan w:val="3"/>
                  <w:tcBorders>
                    <w:top w:val="single" w:color="000000" w:sz="4" w:space="0"/>
                    <w:left w:val="single" w:color="000000" w:sz="4" w:space="0"/>
                    <w:bottom w:val="single" w:color="000000" w:sz="4" w:space="0"/>
                    <w:right w:val="single" w:color="000000" w:sz="4" w:space="0"/>
                  </w:tcBorders>
                  <w:vAlign w:val="center"/>
                </w:tcPr>
                <w:p w14:paraId="4C1C4EA4">
                  <w:pPr>
                    <w:spacing w:line="240" w:lineRule="auto"/>
                    <w:jc w:val="center"/>
                    <w:rPr>
                      <w:bCs/>
                      <w:sz w:val="21"/>
                      <w:szCs w:val="21"/>
                    </w:rPr>
                  </w:pPr>
                  <w:r>
                    <w:rPr>
                      <w:bCs/>
                      <w:sz w:val="21"/>
                      <w:szCs w:val="21"/>
                    </w:rPr>
                    <w:t>标准限值</w:t>
                  </w:r>
                </w:p>
              </w:tc>
              <w:tc>
                <w:tcPr>
                  <w:tcW w:w="1130" w:type="pct"/>
                  <w:tcBorders>
                    <w:top w:val="single" w:color="000000" w:sz="4" w:space="0"/>
                    <w:left w:val="single" w:color="000000" w:sz="4" w:space="0"/>
                    <w:bottom w:val="single" w:color="000000" w:sz="4" w:space="0"/>
                    <w:right w:val="single" w:color="000000" w:sz="4" w:space="0"/>
                  </w:tcBorders>
                  <w:vAlign w:val="center"/>
                </w:tcPr>
                <w:p w14:paraId="075BE536">
                  <w:pPr>
                    <w:spacing w:line="240" w:lineRule="auto"/>
                    <w:jc w:val="center"/>
                    <w:rPr>
                      <w:bCs/>
                      <w:sz w:val="21"/>
                      <w:szCs w:val="21"/>
                    </w:rPr>
                  </w:pPr>
                  <w:r>
                    <w:rPr>
                      <w:bCs/>
                      <w:sz w:val="21"/>
                      <w:szCs w:val="21"/>
                    </w:rPr>
                    <w:t>1.0</w:t>
                  </w:r>
                </w:p>
              </w:tc>
              <w:tc>
                <w:tcPr>
                  <w:tcW w:w="1096" w:type="pct"/>
                  <w:tcBorders>
                    <w:top w:val="single" w:color="000000" w:sz="4" w:space="0"/>
                    <w:left w:val="single" w:color="000000" w:sz="4" w:space="0"/>
                    <w:bottom w:val="single" w:color="000000" w:sz="4" w:space="0"/>
                    <w:right w:val="single" w:color="000000" w:sz="4" w:space="0"/>
                  </w:tcBorders>
                  <w:vAlign w:val="center"/>
                </w:tcPr>
                <w:p w14:paraId="4C991E27">
                  <w:pPr>
                    <w:spacing w:line="240" w:lineRule="auto"/>
                    <w:jc w:val="center"/>
                    <w:rPr>
                      <w:bCs/>
                      <w:sz w:val="21"/>
                      <w:szCs w:val="21"/>
                    </w:rPr>
                  </w:pPr>
                  <w:r>
                    <w:rPr>
                      <w:bCs/>
                      <w:sz w:val="21"/>
                      <w:szCs w:val="21"/>
                    </w:rPr>
                    <w:t>1.0</w:t>
                  </w:r>
                </w:p>
              </w:tc>
              <w:tc>
                <w:tcPr>
                  <w:tcW w:w="1140" w:type="pct"/>
                  <w:tcBorders>
                    <w:top w:val="single" w:color="000000" w:sz="4" w:space="0"/>
                    <w:left w:val="single" w:color="000000" w:sz="4" w:space="0"/>
                    <w:bottom w:val="single" w:color="000000" w:sz="4" w:space="0"/>
                    <w:right w:val="single" w:color="000000" w:sz="4" w:space="0"/>
                  </w:tcBorders>
                  <w:vAlign w:val="center"/>
                </w:tcPr>
                <w:p w14:paraId="39A81ACF">
                  <w:pPr>
                    <w:spacing w:line="240" w:lineRule="auto"/>
                    <w:jc w:val="center"/>
                    <w:rPr>
                      <w:bCs/>
                      <w:sz w:val="21"/>
                      <w:szCs w:val="21"/>
                    </w:rPr>
                  </w:pPr>
                  <w:r>
                    <w:rPr>
                      <w:bCs/>
                      <w:sz w:val="21"/>
                      <w:szCs w:val="21"/>
                    </w:rPr>
                    <w:t>1.0</w:t>
                  </w:r>
                </w:p>
              </w:tc>
            </w:tr>
            <w:tr w14:paraId="1B27B143">
              <w:tblPrEx>
                <w:tblCellMar>
                  <w:top w:w="0" w:type="dxa"/>
                  <w:left w:w="108" w:type="dxa"/>
                  <w:bottom w:w="0" w:type="dxa"/>
                  <w:right w:w="108" w:type="dxa"/>
                </w:tblCellMar>
              </w:tblPrEx>
              <w:trPr>
                <w:trHeight w:val="557" w:hRule="atLeast"/>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00220F83">
                  <w:pPr>
                    <w:spacing w:line="240" w:lineRule="auto"/>
                    <w:jc w:val="center"/>
                    <w:rPr>
                      <w:bCs/>
                      <w:sz w:val="21"/>
                      <w:szCs w:val="21"/>
                    </w:rPr>
                  </w:pPr>
                  <w:r>
                    <w:rPr>
                      <w:bCs/>
                      <w:sz w:val="21"/>
                      <w:szCs w:val="21"/>
                    </w:rPr>
                    <w:t>备注:1、是否分包:否</w:t>
                  </w:r>
                </w:p>
                <w:p w14:paraId="5E086461">
                  <w:pPr>
                    <w:spacing w:line="240" w:lineRule="auto"/>
                    <w:ind w:firstLine="420" w:firstLineChars="200"/>
                    <w:jc w:val="center"/>
                    <w:rPr>
                      <w:bCs/>
                      <w:sz w:val="21"/>
                      <w:szCs w:val="21"/>
                    </w:rPr>
                  </w:pPr>
                  <w:r>
                    <w:rPr>
                      <w:bCs/>
                      <w:sz w:val="21"/>
                      <w:szCs w:val="21"/>
                    </w:rPr>
                    <w:t>2、检测结果小于检测方法最低检出限,用检出限+L表示</w:t>
                  </w:r>
                </w:p>
              </w:tc>
            </w:tr>
            <w:tr w14:paraId="29BFD59B">
              <w:tblPrEx>
                <w:tblCellMar>
                  <w:top w:w="0" w:type="dxa"/>
                  <w:left w:w="108" w:type="dxa"/>
                  <w:bottom w:w="0" w:type="dxa"/>
                  <w:right w:w="108" w:type="dxa"/>
                </w:tblCellMar>
              </w:tblPrEx>
              <w:trPr>
                <w:trHeight w:val="414" w:hRule="atLeast"/>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0693B84F">
                  <w:pPr>
                    <w:spacing w:line="240" w:lineRule="auto"/>
                    <w:jc w:val="center"/>
                    <w:rPr>
                      <w:bCs/>
                      <w:sz w:val="21"/>
                      <w:szCs w:val="21"/>
                    </w:rPr>
                  </w:pPr>
                  <w:r>
                    <w:rPr>
                      <w:bCs/>
                      <w:sz w:val="21"/>
                      <w:szCs w:val="21"/>
                    </w:rPr>
                    <w:t>标准限值来源:G1-G3:《大气污染物综合排放标准》(GB16297-1996)表2中无组织排放限值标准</w:t>
                  </w:r>
                </w:p>
              </w:tc>
            </w:tr>
          </w:tbl>
          <w:p w14:paraId="232C6EA6">
            <w:pPr>
              <w:pStyle w:val="47"/>
              <w:snapToGrid w:val="0"/>
              <w:spacing w:line="360" w:lineRule="auto"/>
              <w:ind w:firstLine="480" w:firstLineChars="200"/>
              <w:jc w:val="both"/>
              <w:rPr>
                <w:rFonts w:ascii="Times New Roman" w:hAnsi="Times New Roman" w:cs="Times New Roman"/>
                <w:color w:val="auto"/>
                <w:kern w:val="2"/>
              </w:rPr>
            </w:pPr>
            <w:r>
              <w:rPr>
                <w:rFonts w:ascii="Times New Roman" w:hAnsi="Times New Roman" w:cs="Times New Roman"/>
                <w:color w:val="auto"/>
                <w:kern w:val="2"/>
              </w:rPr>
              <w:t>由上表知，监测期间</w:t>
            </w:r>
            <w:r>
              <w:rPr>
                <w:rFonts w:hint="eastAsia" w:ascii="Times New Roman" w:hAnsi="Times New Roman" w:cs="Times New Roman"/>
                <w:color w:val="auto"/>
                <w:kern w:val="2"/>
              </w:rPr>
              <w:t>颗粒物</w:t>
            </w:r>
            <w:r>
              <w:rPr>
                <w:rFonts w:ascii="Times New Roman" w:hAnsi="Times New Roman" w:cs="Times New Roman"/>
                <w:color w:val="auto"/>
                <w:kern w:val="2"/>
              </w:rPr>
              <w:t>上风向监控点及2个下风向监测点浓度均可以达到《大气污染物综合排放标准》（GB16297-1996）表2中的新污染源无组织排放监控浓度限值（</w:t>
            </w:r>
            <w:r>
              <w:rPr>
                <w:rFonts w:hint="eastAsia" w:ascii="Times New Roman" w:hAnsi="Times New Roman" w:cs="Times New Roman"/>
                <w:color w:val="auto"/>
                <w:kern w:val="2"/>
              </w:rPr>
              <w:t>颗粒物</w:t>
            </w:r>
            <w:r>
              <w:rPr>
                <w:rFonts w:ascii="Times New Roman" w:hAnsi="Times New Roman" w:cs="Times New Roman"/>
                <w:color w:val="auto"/>
                <w:kern w:val="2"/>
              </w:rPr>
              <w:t>≤</w:t>
            </w:r>
            <w:r>
              <w:rPr>
                <w:rFonts w:hint="eastAsia" w:ascii="Times New Roman" w:hAnsi="Times New Roman" w:cs="Times New Roman"/>
                <w:color w:val="auto"/>
                <w:kern w:val="2"/>
              </w:rPr>
              <w:t>1</w:t>
            </w:r>
            <w:r>
              <w:rPr>
                <w:rFonts w:ascii="Times New Roman" w:hAnsi="Times New Roman" w:cs="Times New Roman"/>
                <w:color w:val="auto"/>
                <w:kern w:val="2"/>
              </w:rPr>
              <w:t>.0mg/m</w:t>
            </w:r>
            <w:r>
              <w:rPr>
                <w:rFonts w:ascii="Times New Roman" w:hAnsi="Times New Roman" w:cs="Times New Roman"/>
                <w:color w:val="auto"/>
                <w:kern w:val="2"/>
                <w:vertAlign w:val="superscript"/>
              </w:rPr>
              <w:t>3</w:t>
            </w:r>
            <w:r>
              <w:rPr>
                <w:rFonts w:ascii="Times New Roman" w:hAnsi="Times New Roman" w:cs="Times New Roman"/>
                <w:color w:val="auto"/>
                <w:kern w:val="2"/>
              </w:rPr>
              <w:t>）。</w:t>
            </w:r>
          </w:p>
          <w:p w14:paraId="4361F4D2">
            <w:pPr>
              <w:pStyle w:val="36"/>
              <w:ind w:firstLine="480"/>
              <w:rPr>
                <w:rFonts w:ascii="Times New Roman"/>
                <w:kern w:val="2"/>
                <w:szCs w:val="24"/>
              </w:rPr>
            </w:pPr>
            <w:r>
              <w:rPr>
                <w:rFonts w:ascii="Times New Roman"/>
                <w:kern w:val="2"/>
                <w:szCs w:val="24"/>
              </w:rPr>
              <w:t>（2）废</w:t>
            </w:r>
            <w:r>
              <w:rPr>
                <w:rFonts w:hint="eastAsia" w:ascii="Times New Roman"/>
                <w:kern w:val="2"/>
                <w:szCs w:val="24"/>
              </w:rPr>
              <w:t>水</w:t>
            </w:r>
          </w:p>
          <w:p w14:paraId="58BBB7C3">
            <w:pPr>
              <w:pStyle w:val="36"/>
              <w:ind w:firstLine="480"/>
              <w:rPr>
                <w:rFonts w:hint="eastAsia" w:ascii="Times New Roman" w:eastAsia="宋体"/>
                <w:kern w:val="2"/>
                <w:szCs w:val="24"/>
                <w:lang w:eastAsia="zh-CN"/>
              </w:rPr>
            </w:pPr>
            <w:r>
              <w:rPr>
                <w:rFonts w:hint="eastAsia"/>
                <w:bCs/>
                <w:spacing w:val="-10"/>
                <w:sz w:val="24"/>
                <w:u w:val="single"/>
                <w:lang w:eastAsia="zh-CN"/>
              </w:rPr>
              <w:t>根据建设单位提供资料，</w:t>
            </w:r>
            <w:r>
              <w:rPr>
                <w:rFonts w:hint="eastAsia" w:ascii="Times New Roman"/>
                <w:kern w:val="2"/>
                <w:szCs w:val="24"/>
              </w:rPr>
              <w:t>现有</w:t>
            </w:r>
            <w:r>
              <w:rPr>
                <w:rFonts w:ascii="Times New Roman"/>
                <w:kern w:val="2"/>
                <w:szCs w:val="24"/>
              </w:rPr>
              <w:t>项目</w:t>
            </w:r>
            <w:r>
              <w:rPr>
                <w:rFonts w:hint="eastAsia" w:ascii="Times New Roman"/>
                <w:kern w:val="2"/>
                <w:szCs w:val="24"/>
                <w:lang w:eastAsia="zh-CN"/>
              </w:rPr>
              <w:t>墓碑</w:t>
            </w:r>
            <w:r>
              <w:rPr>
                <w:rFonts w:hint="eastAsia" w:ascii="Times New Roman" w:hAnsi="Times New Roman" w:eastAsia="宋体" w:cs="Times New Roman"/>
                <w:b w:val="0"/>
                <w:bCs/>
                <w:kern w:val="0"/>
                <w:sz w:val="24"/>
                <w:szCs w:val="24"/>
                <w:u w:val="none"/>
                <w:lang w:val="en-US" w:eastAsia="zh-CN" w:bidi="ar"/>
              </w:rPr>
              <w:t>及附属产品和其他板材</w:t>
            </w:r>
            <w:r>
              <w:rPr>
                <w:rFonts w:hint="eastAsia"/>
                <w:kern w:val="0"/>
              </w:rPr>
              <w:t>加工</w:t>
            </w:r>
            <w:r>
              <w:rPr>
                <w:rFonts w:ascii="Times New Roman"/>
                <w:kern w:val="2"/>
                <w:szCs w:val="24"/>
              </w:rPr>
              <w:t>过程中切割、磨光、雕刻等工序产生的废水经</w:t>
            </w:r>
            <w:r>
              <w:rPr>
                <w:rFonts w:hint="eastAsia"/>
                <w:szCs w:val="20"/>
                <w:highlight w:val="none"/>
                <w:lang w:eastAsia="zh-CN"/>
              </w:rPr>
              <w:t>三级</w:t>
            </w:r>
            <w:r>
              <w:rPr>
                <w:rFonts w:ascii="Times New Roman"/>
                <w:kern w:val="2"/>
                <w:szCs w:val="24"/>
                <w:highlight w:val="none"/>
              </w:rPr>
              <w:t>沉淀池（1</w:t>
            </w:r>
            <w:r>
              <w:rPr>
                <w:rFonts w:hint="eastAsia" w:ascii="Times New Roman"/>
                <w:kern w:val="2"/>
                <w:szCs w:val="24"/>
                <w:highlight w:val="none"/>
                <w:lang w:eastAsia="zh-CN"/>
              </w:rPr>
              <w:t>7</w:t>
            </w:r>
            <w:r>
              <w:rPr>
                <w:rFonts w:ascii="Times New Roman"/>
                <w:kern w:val="2"/>
                <w:szCs w:val="24"/>
                <w:highlight w:val="none"/>
              </w:rPr>
              <w:t>m³）</w:t>
            </w:r>
            <w:r>
              <w:rPr>
                <w:rFonts w:ascii="Times New Roman"/>
                <w:kern w:val="2"/>
                <w:szCs w:val="24"/>
              </w:rPr>
              <w:t>处理后循环使用，不外排；厂区抑尘废水大部分进入板材中或进入扬尘中并随其沉降在地面，剩余部分全部蒸发损耗，不外排；生活污水经隔油化粪池（</w:t>
            </w:r>
            <w:r>
              <w:rPr>
                <w:rFonts w:hint="eastAsia" w:ascii="Times New Roman"/>
                <w:kern w:val="2"/>
                <w:szCs w:val="24"/>
                <w:lang w:val="en-US" w:eastAsia="zh-CN"/>
              </w:rPr>
              <w:t>5</w:t>
            </w:r>
            <w:r>
              <w:rPr>
                <w:rFonts w:ascii="Times New Roman"/>
                <w:kern w:val="2"/>
                <w:szCs w:val="24"/>
              </w:rPr>
              <w:t>m</w:t>
            </w:r>
            <w:r>
              <w:rPr>
                <w:rFonts w:ascii="Times New Roman"/>
                <w:kern w:val="2"/>
                <w:szCs w:val="24"/>
                <w:vertAlign w:val="superscript"/>
              </w:rPr>
              <w:t>3</w:t>
            </w:r>
            <w:r>
              <w:rPr>
                <w:rFonts w:ascii="Times New Roman"/>
                <w:kern w:val="2"/>
                <w:szCs w:val="24"/>
              </w:rPr>
              <w:t>）处理用于周边林地、菜地浇灌，不外排。</w:t>
            </w:r>
            <w:r>
              <w:rPr>
                <w:rFonts w:hint="eastAsia" w:ascii="Times New Roman"/>
                <w:kern w:val="2"/>
                <w:szCs w:val="24"/>
                <w:lang w:eastAsia="zh-CN"/>
              </w:rPr>
              <w:t>现有项目废水产排情况见下表。</w:t>
            </w:r>
          </w:p>
          <w:p w14:paraId="25D16E93">
            <w:pPr>
              <w:wordWrap w:val="0"/>
              <w:topLinePunct/>
              <w:adjustRightInd w:val="0"/>
              <w:snapToGrid w:val="0"/>
              <w:spacing w:line="240" w:lineRule="auto"/>
              <w:jc w:val="center"/>
              <w:rPr>
                <w:sz w:val="21"/>
                <w:szCs w:val="21"/>
                <w:u w:val="single"/>
              </w:rPr>
            </w:pPr>
            <w:r>
              <w:rPr>
                <w:b/>
                <w:bCs/>
                <w:spacing w:val="-10"/>
                <w:sz w:val="21"/>
                <w:szCs w:val="21"/>
                <w:u w:val="single"/>
              </w:rPr>
              <w:t>表</w:t>
            </w:r>
            <w:r>
              <w:rPr>
                <w:rFonts w:hint="eastAsia"/>
                <w:b/>
                <w:bCs/>
                <w:spacing w:val="-10"/>
                <w:sz w:val="21"/>
                <w:szCs w:val="21"/>
                <w:u w:val="single"/>
                <w:lang w:val="en-US" w:eastAsia="zh-CN"/>
              </w:rPr>
              <w:t>2-14</w:t>
            </w:r>
            <w:r>
              <w:rPr>
                <w:b/>
                <w:bCs/>
                <w:spacing w:val="-10"/>
                <w:sz w:val="21"/>
                <w:szCs w:val="21"/>
                <w:u w:val="single"/>
              </w:rPr>
              <w:t xml:space="preserve">  废水污染物产生及排放情况</w:t>
            </w:r>
            <w:r>
              <w:rPr>
                <w:b/>
                <w:sz w:val="21"/>
                <w:szCs w:val="21"/>
                <w:u w:val="single"/>
              </w:rPr>
              <w:t>一览表  单位：浓度</w:t>
            </w:r>
            <w:r>
              <w:rPr>
                <w:b/>
                <w:kern w:val="0"/>
                <w:sz w:val="21"/>
                <w:szCs w:val="21"/>
                <w:u w:val="single"/>
              </w:rPr>
              <w:t>mg/L、量t/a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51"/>
              <w:gridCol w:w="2388"/>
              <w:gridCol w:w="2438"/>
            </w:tblGrid>
            <w:tr w14:paraId="2CCF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119" w:type="pct"/>
                  <w:vMerge w:val="restart"/>
                  <w:noWrap/>
                  <w:vAlign w:val="center"/>
                </w:tcPr>
                <w:p w14:paraId="27F79B49">
                  <w:pPr>
                    <w:pStyle w:val="49"/>
                    <w:spacing w:line="240" w:lineRule="auto"/>
                    <w:jc w:val="center"/>
                    <w:rPr>
                      <w:rFonts w:cs="Times New Roman"/>
                      <w:b/>
                      <w:sz w:val="21"/>
                      <w:szCs w:val="21"/>
                      <w:u w:val="single"/>
                    </w:rPr>
                  </w:pPr>
                  <w:r>
                    <w:rPr>
                      <w:rFonts w:cs="Times New Roman"/>
                      <w:b/>
                      <w:sz w:val="21"/>
                      <w:szCs w:val="21"/>
                      <w:u w:val="single"/>
                    </w:rPr>
                    <w:t>产排污环节</w:t>
                  </w:r>
                </w:p>
              </w:tc>
              <w:tc>
                <w:tcPr>
                  <w:tcW w:w="2880" w:type="pct"/>
                  <w:gridSpan w:val="2"/>
                  <w:noWrap/>
                  <w:vAlign w:val="center"/>
                </w:tcPr>
                <w:p w14:paraId="06E89CAC">
                  <w:pPr>
                    <w:pStyle w:val="49"/>
                    <w:spacing w:line="240" w:lineRule="auto"/>
                    <w:jc w:val="center"/>
                    <w:rPr>
                      <w:rFonts w:cs="Times New Roman"/>
                      <w:b/>
                      <w:sz w:val="21"/>
                      <w:szCs w:val="21"/>
                      <w:u w:val="single"/>
                    </w:rPr>
                  </w:pPr>
                  <w:r>
                    <w:rPr>
                      <w:rFonts w:cs="Times New Roman"/>
                      <w:b/>
                      <w:sz w:val="21"/>
                      <w:szCs w:val="21"/>
                      <w:u w:val="single"/>
                    </w:rPr>
                    <w:t>排放情况</w:t>
                  </w:r>
                </w:p>
              </w:tc>
            </w:tr>
            <w:tr w14:paraId="4084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119" w:type="pct"/>
                  <w:vMerge w:val="continue"/>
                  <w:noWrap/>
                  <w:vAlign w:val="center"/>
                </w:tcPr>
                <w:p w14:paraId="04D38796">
                  <w:pPr>
                    <w:pStyle w:val="49"/>
                    <w:spacing w:line="240" w:lineRule="auto"/>
                    <w:jc w:val="center"/>
                    <w:rPr>
                      <w:rFonts w:cs="Times New Roman"/>
                      <w:b/>
                      <w:sz w:val="21"/>
                      <w:szCs w:val="21"/>
                      <w:u w:val="single"/>
                    </w:rPr>
                  </w:pPr>
                </w:p>
              </w:tc>
              <w:tc>
                <w:tcPr>
                  <w:tcW w:w="1425" w:type="pct"/>
                  <w:noWrap/>
                  <w:vAlign w:val="center"/>
                </w:tcPr>
                <w:p w14:paraId="5A1CF576">
                  <w:pPr>
                    <w:pStyle w:val="49"/>
                    <w:spacing w:line="240" w:lineRule="auto"/>
                    <w:jc w:val="center"/>
                    <w:rPr>
                      <w:rFonts w:hint="eastAsia" w:eastAsia="宋体" w:cs="Times New Roman"/>
                      <w:b/>
                      <w:sz w:val="21"/>
                      <w:szCs w:val="21"/>
                      <w:u w:val="single"/>
                      <w:lang w:eastAsia="zh-CN"/>
                    </w:rPr>
                  </w:pPr>
                  <w:r>
                    <w:rPr>
                      <w:rFonts w:hint="eastAsia" w:cs="Times New Roman"/>
                      <w:b/>
                      <w:sz w:val="21"/>
                      <w:szCs w:val="21"/>
                      <w:u w:val="single"/>
                      <w:lang w:eastAsia="zh-CN"/>
                    </w:rPr>
                    <w:t>污染因子</w:t>
                  </w:r>
                </w:p>
              </w:tc>
              <w:tc>
                <w:tcPr>
                  <w:tcW w:w="2438" w:type="dxa"/>
                  <w:noWrap/>
                  <w:vAlign w:val="center"/>
                </w:tcPr>
                <w:p w14:paraId="4FB1969F">
                  <w:pPr>
                    <w:pStyle w:val="49"/>
                    <w:spacing w:line="240" w:lineRule="auto"/>
                    <w:jc w:val="center"/>
                    <w:rPr>
                      <w:rFonts w:cs="Times New Roman"/>
                      <w:b/>
                      <w:sz w:val="21"/>
                      <w:szCs w:val="21"/>
                      <w:u w:val="single"/>
                    </w:rPr>
                  </w:pPr>
                  <w:r>
                    <w:rPr>
                      <w:rFonts w:cs="Times New Roman"/>
                      <w:b/>
                      <w:sz w:val="21"/>
                      <w:szCs w:val="21"/>
                      <w:u w:val="single"/>
                    </w:rPr>
                    <w:t>量t/a</w:t>
                  </w:r>
                </w:p>
              </w:tc>
            </w:tr>
            <w:tr w14:paraId="08AB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119" w:type="pct"/>
                  <w:vMerge w:val="restart"/>
                  <w:noWrap/>
                  <w:vAlign w:val="center"/>
                </w:tcPr>
                <w:p w14:paraId="2AD7AF63">
                  <w:pPr>
                    <w:pStyle w:val="49"/>
                    <w:spacing w:line="240" w:lineRule="auto"/>
                    <w:jc w:val="center"/>
                    <w:rPr>
                      <w:rFonts w:cs="Times New Roman"/>
                      <w:sz w:val="21"/>
                      <w:szCs w:val="21"/>
                      <w:u w:val="single"/>
                    </w:rPr>
                  </w:pPr>
                  <w:r>
                    <w:rPr>
                      <w:rFonts w:hint="eastAsia" w:cs="Times New Roman"/>
                      <w:sz w:val="21"/>
                      <w:szCs w:val="21"/>
                      <w:u w:val="single"/>
                    </w:rPr>
                    <w:t>生活污水</w:t>
                  </w:r>
                  <w:r>
                    <w:rPr>
                      <w:rFonts w:hint="eastAsia" w:cs="Times New Roman"/>
                      <w:sz w:val="21"/>
                      <w:szCs w:val="21"/>
                      <w:u w:val="single"/>
                      <w:lang w:val="en-US" w:eastAsia="zh-CN"/>
                    </w:rPr>
                    <w:t>119</w:t>
                  </w:r>
                  <w:r>
                    <w:rPr>
                      <w:rFonts w:cs="Times New Roman"/>
                      <w:sz w:val="21"/>
                      <w:szCs w:val="21"/>
                      <w:u w:val="single"/>
                    </w:rPr>
                    <w:t>m³/a</w:t>
                  </w:r>
                </w:p>
              </w:tc>
              <w:tc>
                <w:tcPr>
                  <w:tcW w:w="2388" w:type="dxa"/>
                  <w:noWrap/>
                  <w:vAlign w:val="center"/>
                </w:tcPr>
                <w:p w14:paraId="02EF31E3">
                  <w:pPr>
                    <w:keepNext w:val="0"/>
                    <w:keepLines w:val="0"/>
                    <w:widowControl/>
                    <w:suppressLineNumbers w:val="0"/>
                    <w:spacing w:line="240" w:lineRule="auto"/>
                    <w:jc w:val="center"/>
                    <w:textAlignment w:val="center"/>
                    <w:rPr>
                      <w:rFonts w:ascii="Times New Roman" w:hAnsi="Times New Roman" w:eastAsia="宋体" w:cs="Times New Roman"/>
                      <w:kern w:val="0"/>
                      <w:sz w:val="21"/>
                      <w:szCs w:val="21"/>
                      <w:u w:val="single"/>
                      <w:lang w:bidi="ar"/>
                    </w:rPr>
                  </w:pPr>
                  <w:r>
                    <w:rPr>
                      <w:rFonts w:ascii="Times New Roman" w:hAnsi="Times New Roman" w:eastAsia="宋体" w:cs="Times New Roman"/>
                      <w:kern w:val="0"/>
                      <w:sz w:val="21"/>
                      <w:szCs w:val="21"/>
                      <w:u w:val="single"/>
                      <w:lang w:val="en-US" w:eastAsia="zh-CN" w:bidi="ar"/>
                    </w:rPr>
                    <w:t>COD</w:t>
                  </w:r>
                </w:p>
              </w:tc>
              <w:tc>
                <w:tcPr>
                  <w:tcW w:w="2438" w:type="dxa"/>
                  <w:noWrap/>
                  <w:vAlign w:val="center"/>
                </w:tcPr>
                <w:p w14:paraId="5E603650">
                  <w:pPr>
                    <w:keepNext w:val="0"/>
                    <w:keepLines w:val="0"/>
                    <w:widowControl/>
                    <w:suppressLineNumbers w:val="0"/>
                    <w:spacing w:line="240" w:lineRule="auto"/>
                    <w:jc w:val="center"/>
                    <w:textAlignment w:val="center"/>
                    <w:rPr>
                      <w:sz w:val="21"/>
                      <w:szCs w:val="21"/>
                      <w:u w:val="single"/>
                    </w:rPr>
                  </w:pPr>
                  <w:r>
                    <w:rPr>
                      <w:rFonts w:hint="default" w:ascii="Times New Roman" w:hAnsi="Times New Roman" w:eastAsia="宋体" w:cs="Times New Roman"/>
                      <w:i w:val="0"/>
                      <w:iCs w:val="0"/>
                      <w:kern w:val="0"/>
                      <w:sz w:val="21"/>
                      <w:szCs w:val="21"/>
                      <w:u w:val="single"/>
                      <w:lang w:val="en-US" w:eastAsia="zh-CN" w:bidi="ar"/>
                    </w:rPr>
                    <w:t>0.014</w:t>
                  </w:r>
                </w:p>
              </w:tc>
            </w:tr>
            <w:tr w14:paraId="11A4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119" w:type="pct"/>
                  <w:vMerge w:val="continue"/>
                  <w:noWrap/>
                  <w:vAlign w:val="center"/>
                </w:tcPr>
                <w:p w14:paraId="44FBD218">
                  <w:pPr>
                    <w:pStyle w:val="49"/>
                    <w:spacing w:line="240" w:lineRule="auto"/>
                    <w:jc w:val="center"/>
                    <w:rPr>
                      <w:rFonts w:cs="Times New Roman"/>
                      <w:sz w:val="21"/>
                      <w:szCs w:val="21"/>
                      <w:u w:val="single"/>
                    </w:rPr>
                  </w:pPr>
                </w:p>
              </w:tc>
              <w:tc>
                <w:tcPr>
                  <w:tcW w:w="2388" w:type="dxa"/>
                  <w:noWrap/>
                  <w:vAlign w:val="center"/>
                </w:tcPr>
                <w:p w14:paraId="4D6BD3E0">
                  <w:pPr>
                    <w:keepNext w:val="0"/>
                    <w:keepLines w:val="0"/>
                    <w:widowControl/>
                    <w:suppressLineNumbers w:val="0"/>
                    <w:spacing w:line="240" w:lineRule="auto"/>
                    <w:jc w:val="center"/>
                    <w:textAlignment w:val="center"/>
                    <w:rPr>
                      <w:rFonts w:ascii="Times New Roman" w:hAnsi="Times New Roman" w:eastAsia="宋体" w:cs="Times New Roman"/>
                      <w:kern w:val="0"/>
                      <w:sz w:val="21"/>
                      <w:szCs w:val="21"/>
                      <w:u w:val="single"/>
                      <w:lang w:bidi="ar"/>
                    </w:rPr>
                  </w:pPr>
                  <w:r>
                    <w:rPr>
                      <w:rFonts w:ascii="Times New Roman" w:hAnsi="Times New Roman" w:eastAsia="宋体" w:cs="Times New Roman"/>
                      <w:kern w:val="0"/>
                      <w:sz w:val="21"/>
                      <w:szCs w:val="21"/>
                      <w:u w:val="single"/>
                      <w:lang w:val="en-US" w:eastAsia="zh-CN" w:bidi="ar"/>
                    </w:rPr>
                    <w:t>BOD</w:t>
                  </w:r>
                  <w:r>
                    <w:rPr>
                      <w:rFonts w:ascii="Times New Roman" w:hAnsi="Times New Roman" w:eastAsia="宋体" w:cs="Times New Roman"/>
                      <w:kern w:val="0"/>
                      <w:sz w:val="21"/>
                      <w:szCs w:val="21"/>
                      <w:u w:val="single"/>
                      <w:vertAlign w:val="subscript"/>
                      <w:lang w:val="en-US" w:eastAsia="zh-CN" w:bidi="ar"/>
                    </w:rPr>
                    <w:t>5</w:t>
                  </w:r>
                </w:p>
              </w:tc>
              <w:tc>
                <w:tcPr>
                  <w:tcW w:w="2438" w:type="dxa"/>
                  <w:noWrap/>
                  <w:vAlign w:val="center"/>
                </w:tcPr>
                <w:p w14:paraId="4ED370C4">
                  <w:pPr>
                    <w:keepNext w:val="0"/>
                    <w:keepLines w:val="0"/>
                    <w:widowControl/>
                    <w:suppressLineNumbers w:val="0"/>
                    <w:spacing w:line="240" w:lineRule="auto"/>
                    <w:jc w:val="center"/>
                    <w:textAlignment w:val="center"/>
                    <w:rPr>
                      <w:sz w:val="21"/>
                      <w:szCs w:val="21"/>
                      <w:u w:val="single"/>
                    </w:rPr>
                  </w:pPr>
                  <w:r>
                    <w:rPr>
                      <w:rFonts w:hint="default" w:ascii="Times New Roman" w:hAnsi="Times New Roman" w:eastAsia="宋体" w:cs="Times New Roman"/>
                      <w:i w:val="0"/>
                      <w:iCs w:val="0"/>
                      <w:kern w:val="0"/>
                      <w:sz w:val="21"/>
                      <w:szCs w:val="21"/>
                      <w:u w:val="single"/>
                      <w:lang w:val="en-US" w:eastAsia="zh-CN" w:bidi="ar"/>
                    </w:rPr>
                    <w:t>0.01</w:t>
                  </w:r>
                  <w:r>
                    <w:rPr>
                      <w:rFonts w:hint="eastAsia" w:ascii="Times New Roman" w:hAnsi="Times New Roman" w:eastAsia="宋体" w:cs="Times New Roman"/>
                      <w:i w:val="0"/>
                      <w:iCs w:val="0"/>
                      <w:kern w:val="0"/>
                      <w:sz w:val="21"/>
                      <w:szCs w:val="21"/>
                      <w:u w:val="single"/>
                      <w:lang w:val="en-US" w:eastAsia="zh-CN" w:bidi="ar"/>
                    </w:rPr>
                    <w:t>2</w:t>
                  </w:r>
                </w:p>
              </w:tc>
            </w:tr>
            <w:tr w14:paraId="0918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119" w:type="pct"/>
                  <w:vMerge w:val="continue"/>
                  <w:noWrap/>
                  <w:vAlign w:val="center"/>
                </w:tcPr>
                <w:p w14:paraId="077F3E59">
                  <w:pPr>
                    <w:pStyle w:val="49"/>
                    <w:spacing w:line="240" w:lineRule="auto"/>
                    <w:jc w:val="center"/>
                    <w:rPr>
                      <w:rFonts w:cs="Times New Roman"/>
                      <w:sz w:val="21"/>
                      <w:szCs w:val="21"/>
                      <w:u w:val="single"/>
                    </w:rPr>
                  </w:pPr>
                </w:p>
              </w:tc>
              <w:tc>
                <w:tcPr>
                  <w:tcW w:w="2388" w:type="dxa"/>
                  <w:noWrap/>
                  <w:vAlign w:val="center"/>
                </w:tcPr>
                <w:p w14:paraId="2ADB0708">
                  <w:pPr>
                    <w:keepNext w:val="0"/>
                    <w:keepLines w:val="0"/>
                    <w:widowControl/>
                    <w:suppressLineNumbers w:val="0"/>
                    <w:spacing w:line="240" w:lineRule="auto"/>
                    <w:jc w:val="center"/>
                    <w:textAlignment w:val="center"/>
                    <w:rPr>
                      <w:rFonts w:ascii="Times New Roman" w:hAnsi="Times New Roman" w:eastAsia="宋体" w:cs="Times New Roman"/>
                      <w:kern w:val="0"/>
                      <w:sz w:val="21"/>
                      <w:szCs w:val="21"/>
                      <w:u w:val="single"/>
                      <w:lang w:bidi="ar"/>
                    </w:rPr>
                  </w:pPr>
                  <w:r>
                    <w:rPr>
                      <w:rFonts w:ascii="Times New Roman" w:hAnsi="Times New Roman" w:eastAsia="宋体" w:cs="Times New Roman"/>
                      <w:kern w:val="0"/>
                      <w:sz w:val="21"/>
                      <w:szCs w:val="21"/>
                      <w:u w:val="single"/>
                      <w:lang w:val="en-US" w:eastAsia="zh-CN" w:bidi="ar"/>
                    </w:rPr>
                    <w:t>SS</w:t>
                  </w:r>
                </w:p>
              </w:tc>
              <w:tc>
                <w:tcPr>
                  <w:tcW w:w="2438" w:type="dxa"/>
                  <w:noWrap/>
                  <w:vAlign w:val="center"/>
                </w:tcPr>
                <w:p w14:paraId="79C6E56D">
                  <w:pPr>
                    <w:keepNext w:val="0"/>
                    <w:keepLines w:val="0"/>
                    <w:widowControl/>
                    <w:suppressLineNumbers w:val="0"/>
                    <w:spacing w:line="240" w:lineRule="auto"/>
                    <w:jc w:val="center"/>
                    <w:textAlignment w:val="center"/>
                    <w:rPr>
                      <w:sz w:val="21"/>
                      <w:szCs w:val="21"/>
                      <w:u w:val="single"/>
                    </w:rPr>
                  </w:pPr>
                  <w:r>
                    <w:rPr>
                      <w:rFonts w:hint="default" w:ascii="Times New Roman" w:hAnsi="Times New Roman" w:eastAsia="宋体" w:cs="Times New Roman"/>
                      <w:i w:val="0"/>
                      <w:iCs w:val="0"/>
                      <w:kern w:val="0"/>
                      <w:sz w:val="21"/>
                      <w:szCs w:val="21"/>
                      <w:u w:val="single"/>
                      <w:lang w:val="en-US" w:eastAsia="zh-CN" w:bidi="ar"/>
                    </w:rPr>
                    <w:t>0.0</w:t>
                  </w:r>
                  <w:r>
                    <w:rPr>
                      <w:rFonts w:hint="eastAsia" w:ascii="Times New Roman" w:hAnsi="Times New Roman" w:eastAsia="宋体" w:cs="Times New Roman"/>
                      <w:i w:val="0"/>
                      <w:iCs w:val="0"/>
                      <w:kern w:val="0"/>
                      <w:sz w:val="21"/>
                      <w:szCs w:val="21"/>
                      <w:u w:val="single"/>
                      <w:lang w:val="en-US" w:eastAsia="zh-CN" w:bidi="ar"/>
                    </w:rPr>
                    <w:t>1</w:t>
                  </w:r>
                </w:p>
              </w:tc>
            </w:tr>
            <w:tr w14:paraId="6A6D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119" w:type="pct"/>
                  <w:vMerge w:val="continue"/>
                  <w:noWrap/>
                  <w:vAlign w:val="center"/>
                </w:tcPr>
                <w:p w14:paraId="43659EAF">
                  <w:pPr>
                    <w:pStyle w:val="49"/>
                    <w:spacing w:line="240" w:lineRule="auto"/>
                    <w:jc w:val="center"/>
                    <w:rPr>
                      <w:rFonts w:cs="Times New Roman"/>
                      <w:sz w:val="21"/>
                      <w:szCs w:val="21"/>
                      <w:u w:val="single"/>
                    </w:rPr>
                  </w:pPr>
                </w:p>
              </w:tc>
              <w:tc>
                <w:tcPr>
                  <w:tcW w:w="2388" w:type="dxa"/>
                  <w:noWrap/>
                  <w:vAlign w:val="center"/>
                </w:tcPr>
                <w:p w14:paraId="7352B2B2">
                  <w:pPr>
                    <w:keepNext w:val="0"/>
                    <w:keepLines w:val="0"/>
                    <w:widowControl/>
                    <w:suppressLineNumbers w:val="0"/>
                    <w:spacing w:line="240" w:lineRule="auto"/>
                    <w:jc w:val="center"/>
                    <w:textAlignment w:val="center"/>
                    <w:rPr>
                      <w:rFonts w:ascii="Times New Roman" w:hAnsi="Times New Roman" w:eastAsia="宋体" w:cs="Times New Roman"/>
                      <w:kern w:val="0"/>
                      <w:sz w:val="21"/>
                      <w:szCs w:val="21"/>
                      <w:u w:val="single"/>
                      <w:lang w:bidi="ar"/>
                    </w:rPr>
                  </w:pPr>
                  <w:r>
                    <w:rPr>
                      <w:rFonts w:hint="default" w:ascii="Times New Roman" w:hAnsi="Times New Roman" w:eastAsia="宋体" w:cs="Times New Roman"/>
                      <w:kern w:val="0"/>
                      <w:sz w:val="21"/>
                      <w:szCs w:val="21"/>
                      <w:u w:val="single"/>
                      <w:lang w:val="en-US" w:eastAsia="zh-CN" w:bidi="ar"/>
                    </w:rPr>
                    <w:t>氨氮</w:t>
                  </w:r>
                </w:p>
              </w:tc>
              <w:tc>
                <w:tcPr>
                  <w:tcW w:w="2438" w:type="dxa"/>
                  <w:noWrap/>
                  <w:vAlign w:val="center"/>
                </w:tcPr>
                <w:p w14:paraId="3CA41A60">
                  <w:pPr>
                    <w:keepNext w:val="0"/>
                    <w:keepLines w:val="0"/>
                    <w:widowControl/>
                    <w:suppressLineNumbers w:val="0"/>
                    <w:spacing w:line="240" w:lineRule="auto"/>
                    <w:jc w:val="center"/>
                    <w:textAlignment w:val="center"/>
                    <w:rPr>
                      <w:sz w:val="21"/>
                      <w:szCs w:val="21"/>
                      <w:u w:val="single"/>
                    </w:rPr>
                  </w:pPr>
                  <w:r>
                    <w:rPr>
                      <w:rFonts w:hint="default" w:ascii="Times New Roman" w:hAnsi="Times New Roman" w:eastAsia="宋体" w:cs="Times New Roman"/>
                      <w:i w:val="0"/>
                      <w:iCs w:val="0"/>
                      <w:kern w:val="0"/>
                      <w:sz w:val="21"/>
                      <w:szCs w:val="21"/>
                      <w:u w:val="single"/>
                      <w:lang w:val="en-US" w:eastAsia="zh-CN" w:bidi="ar"/>
                    </w:rPr>
                    <w:t>0.00</w:t>
                  </w:r>
                  <w:r>
                    <w:rPr>
                      <w:rFonts w:hint="eastAsia" w:ascii="Times New Roman" w:hAnsi="Times New Roman" w:eastAsia="宋体" w:cs="Times New Roman"/>
                      <w:i w:val="0"/>
                      <w:iCs w:val="0"/>
                      <w:kern w:val="0"/>
                      <w:sz w:val="21"/>
                      <w:szCs w:val="21"/>
                      <w:u w:val="single"/>
                      <w:lang w:val="en-US" w:eastAsia="zh-CN" w:bidi="ar"/>
                    </w:rPr>
                    <w:t>3</w:t>
                  </w:r>
                </w:p>
              </w:tc>
            </w:tr>
            <w:tr w14:paraId="7D70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119" w:type="pct"/>
                  <w:vMerge w:val="continue"/>
                  <w:noWrap/>
                  <w:vAlign w:val="center"/>
                </w:tcPr>
                <w:p w14:paraId="45C76502">
                  <w:pPr>
                    <w:pStyle w:val="49"/>
                    <w:spacing w:line="240" w:lineRule="auto"/>
                    <w:jc w:val="center"/>
                    <w:rPr>
                      <w:rFonts w:cs="Times New Roman"/>
                      <w:sz w:val="21"/>
                      <w:szCs w:val="21"/>
                      <w:u w:val="single"/>
                    </w:rPr>
                  </w:pPr>
                </w:p>
              </w:tc>
              <w:tc>
                <w:tcPr>
                  <w:tcW w:w="2388" w:type="dxa"/>
                  <w:noWrap/>
                  <w:vAlign w:val="center"/>
                </w:tcPr>
                <w:p w14:paraId="39C83065">
                  <w:pPr>
                    <w:keepNext w:val="0"/>
                    <w:keepLines w:val="0"/>
                    <w:widowControl/>
                    <w:suppressLineNumbers w:val="0"/>
                    <w:spacing w:line="240" w:lineRule="auto"/>
                    <w:jc w:val="center"/>
                    <w:textAlignment w:val="center"/>
                    <w:rPr>
                      <w:rFonts w:ascii="Times New Roman" w:hAnsi="Times New Roman" w:eastAsia="宋体" w:cs="Times New Roman"/>
                      <w:kern w:val="0"/>
                      <w:sz w:val="21"/>
                      <w:szCs w:val="21"/>
                      <w:u w:val="single"/>
                      <w:lang w:bidi="ar"/>
                    </w:rPr>
                  </w:pPr>
                  <w:r>
                    <w:rPr>
                      <w:rFonts w:hint="default" w:ascii="Times New Roman" w:hAnsi="Times New Roman" w:eastAsia="宋体" w:cs="Times New Roman"/>
                      <w:kern w:val="0"/>
                      <w:sz w:val="21"/>
                      <w:szCs w:val="21"/>
                      <w:u w:val="single"/>
                      <w:lang w:val="en-US" w:eastAsia="zh-CN" w:bidi="ar"/>
                    </w:rPr>
                    <w:t>动植物油</w:t>
                  </w:r>
                </w:p>
              </w:tc>
              <w:tc>
                <w:tcPr>
                  <w:tcW w:w="2438" w:type="dxa"/>
                  <w:noWrap/>
                  <w:vAlign w:val="center"/>
                </w:tcPr>
                <w:p w14:paraId="640BED70">
                  <w:pPr>
                    <w:keepNext w:val="0"/>
                    <w:keepLines w:val="0"/>
                    <w:widowControl/>
                    <w:suppressLineNumbers w:val="0"/>
                    <w:spacing w:line="240" w:lineRule="auto"/>
                    <w:jc w:val="center"/>
                    <w:textAlignment w:val="center"/>
                    <w:rPr>
                      <w:sz w:val="21"/>
                      <w:szCs w:val="21"/>
                      <w:u w:val="single"/>
                    </w:rPr>
                  </w:pPr>
                  <w:r>
                    <w:rPr>
                      <w:rFonts w:hint="default" w:ascii="Times New Roman" w:hAnsi="Times New Roman" w:eastAsia="宋体" w:cs="Times New Roman"/>
                      <w:i w:val="0"/>
                      <w:iCs w:val="0"/>
                      <w:kern w:val="0"/>
                      <w:sz w:val="21"/>
                      <w:szCs w:val="21"/>
                      <w:u w:val="single"/>
                      <w:lang w:val="en-US" w:eastAsia="zh-CN" w:bidi="ar"/>
                    </w:rPr>
                    <w:t>0.00</w:t>
                  </w:r>
                  <w:r>
                    <w:rPr>
                      <w:rFonts w:hint="eastAsia" w:ascii="Times New Roman" w:hAnsi="Times New Roman" w:eastAsia="宋体" w:cs="Times New Roman"/>
                      <w:i w:val="0"/>
                      <w:iCs w:val="0"/>
                      <w:kern w:val="0"/>
                      <w:sz w:val="21"/>
                      <w:szCs w:val="21"/>
                      <w:u w:val="single"/>
                      <w:lang w:val="en-US" w:eastAsia="zh-CN" w:bidi="ar"/>
                    </w:rPr>
                    <w:t>2</w:t>
                  </w:r>
                </w:p>
              </w:tc>
            </w:tr>
          </w:tbl>
          <w:p w14:paraId="0B7B6061">
            <w:pPr>
              <w:pStyle w:val="36"/>
              <w:ind w:firstLine="480"/>
              <w:rPr>
                <w:rFonts w:ascii="Times New Roman"/>
                <w:color w:val="0000C7"/>
              </w:rPr>
            </w:pPr>
            <w:r>
              <w:rPr>
                <w:rFonts w:ascii="Times New Roman"/>
                <w:kern w:val="2"/>
                <w:szCs w:val="24"/>
              </w:rPr>
              <w:t>（</w:t>
            </w:r>
            <w:r>
              <w:rPr>
                <w:rFonts w:hint="eastAsia" w:ascii="Times New Roman"/>
                <w:kern w:val="2"/>
                <w:szCs w:val="24"/>
              </w:rPr>
              <w:t>3</w:t>
            </w:r>
            <w:r>
              <w:rPr>
                <w:rFonts w:ascii="Times New Roman"/>
                <w:kern w:val="2"/>
                <w:szCs w:val="24"/>
              </w:rPr>
              <w:t>）</w:t>
            </w:r>
            <w:r>
              <w:rPr>
                <w:rFonts w:hint="eastAsia" w:ascii="Times New Roman"/>
                <w:kern w:val="2"/>
                <w:szCs w:val="24"/>
              </w:rPr>
              <w:t>噪声</w:t>
            </w:r>
          </w:p>
          <w:p w14:paraId="05A3ADE5">
            <w:pPr>
              <w:pStyle w:val="42"/>
              <w:wordWrap w:val="0"/>
              <w:topLinePunct/>
              <w:spacing w:line="360" w:lineRule="auto"/>
              <w:ind w:firstLine="480" w:firstLineChars="200"/>
              <w:jc w:val="both"/>
              <w:rPr>
                <w:sz w:val="21"/>
                <w:szCs w:val="21"/>
              </w:rPr>
            </w:pPr>
            <w:r>
              <w:t>项目噪声主要来源于</w:t>
            </w:r>
            <w:r>
              <w:rPr>
                <w:rFonts w:hint="eastAsia"/>
              </w:rPr>
              <w:t>大切机</w:t>
            </w:r>
            <w:r>
              <w:t>、</w:t>
            </w:r>
            <w:r>
              <w:rPr>
                <w:rFonts w:hint="eastAsia"/>
              </w:rPr>
              <w:t>浮雕机</w:t>
            </w:r>
            <w:r>
              <w:t>、输送</w:t>
            </w:r>
            <w:r>
              <w:rPr>
                <w:rFonts w:hint="eastAsia"/>
              </w:rPr>
              <w:t>机</w:t>
            </w:r>
            <w:r>
              <w:t>、水泵等高噪设备运行产生的噪声，评价委托湖南昌旭环保科技有限公司于202</w:t>
            </w:r>
            <w:r>
              <w:rPr>
                <w:rFonts w:hint="eastAsia"/>
              </w:rPr>
              <w:t>3</w:t>
            </w:r>
            <w:r>
              <w:t>年</w:t>
            </w:r>
            <w:r>
              <w:rPr>
                <w:rFonts w:hint="eastAsia"/>
              </w:rPr>
              <w:t>8</w:t>
            </w:r>
            <w:r>
              <w:t>月</w:t>
            </w:r>
            <w:r>
              <w:rPr>
                <w:rFonts w:hint="eastAsia"/>
              </w:rPr>
              <w:t>3</w:t>
            </w:r>
            <w:r>
              <w:t>日对项目厂界及厂界50米范围内敏感点声环境质量进行监测</w:t>
            </w:r>
            <w:r>
              <w:rPr>
                <w:rFonts w:hint="eastAsia"/>
              </w:rPr>
              <w:t>，</w:t>
            </w:r>
            <w:r>
              <w:rPr>
                <w:rFonts w:hint="eastAsia"/>
                <w:lang w:eastAsia="zh-CN"/>
              </w:rPr>
              <w:t>监测时企业处于</w:t>
            </w:r>
            <w:r>
              <w:rPr>
                <w:rFonts w:hint="eastAsia"/>
                <w:lang w:val="en-US" w:eastAsia="zh-CN"/>
              </w:rPr>
              <w:t>正常</w:t>
            </w:r>
            <w:r>
              <w:rPr>
                <w:rFonts w:hint="eastAsia"/>
                <w:lang w:eastAsia="zh-CN"/>
              </w:rPr>
              <w:t>生产状况，</w:t>
            </w:r>
            <w:r>
              <w:t>厂界各方位</w:t>
            </w:r>
            <w:r>
              <w:rPr>
                <w:rFonts w:hint="eastAsia"/>
              </w:rPr>
              <w:t>及厂界50米范围内敏感点</w:t>
            </w:r>
            <w:r>
              <w:t>噪声值</w:t>
            </w:r>
            <w:r>
              <w:rPr>
                <w:snapToGrid w:val="0"/>
                <w:kern w:val="0"/>
              </w:rPr>
              <w:t>详见下表</w:t>
            </w:r>
            <w:r>
              <w:t>。</w:t>
            </w:r>
          </w:p>
          <w:p w14:paraId="6F6AF2A1">
            <w:pPr>
              <w:adjustRightInd w:val="0"/>
              <w:snapToGrid w:val="0"/>
              <w:spacing w:line="240" w:lineRule="auto"/>
              <w:jc w:val="center"/>
              <w:rPr>
                <w:b/>
                <w:sz w:val="21"/>
                <w:szCs w:val="21"/>
              </w:rPr>
            </w:pPr>
            <w:r>
              <w:rPr>
                <w:b/>
                <w:sz w:val="21"/>
                <w:szCs w:val="21"/>
              </w:rPr>
              <w:t>表</w:t>
            </w:r>
            <w:r>
              <w:rPr>
                <w:rFonts w:hint="eastAsia"/>
                <w:b/>
                <w:sz w:val="21"/>
                <w:szCs w:val="21"/>
              </w:rPr>
              <w:t>2-</w:t>
            </w:r>
            <w:r>
              <w:rPr>
                <w:rFonts w:hint="eastAsia"/>
                <w:b/>
                <w:sz w:val="21"/>
                <w:szCs w:val="21"/>
                <w:lang w:val="en-US" w:eastAsia="zh-CN"/>
              </w:rPr>
              <w:t>15</w:t>
            </w:r>
            <w:r>
              <w:rPr>
                <w:b/>
                <w:sz w:val="21"/>
                <w:szCs w:val="21"/>
              </w:rPr>
              <w:t xml:space="preserve"> 声环境现状监测结果一览表       单位：dB（A）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6"/>
              <w:gridCol w:w="1443"/>
              <w:gridCol w:w="2889"/>
              <w:gridCol w:w="1789"/>
            </w:tblGrid>
            <w:tr w14:paraId="60AF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346" w:type="pct"/>
                  <w:vMerge w:val="restart"/>
                  <w:vAlign w:val="center"/>
                </w:tcPr>
                <w:p w14:paraId="3C445123">
                  <w:pPr>
                    <w:topLinePunct/>
                    <w:adjustRightInd w:val="0"/>
                    <w:snapToGrid w:val="0"/>
                    <w:spacing w:line="240" w:lineRule="auto"/>
                    <w:jc w:val="center"/>
                    <w:rPr>
                      <w:b/>
                      <w:kern w:val="0"/>
                      <w:sz w:val="21"/>
                      <w:szCs w:val="21"/>
                    </w:rPr>
                  </w:pPr>
                  <w:r>
                    <w:rPr>
                      <w:b/>
                      <w:kern w:val="0"/>
                      <w:sz w:val="21"/>
                      <w:szCs w:val="21"/>
                    </w:rPr>
                    <w:t>点位名称</w:t>
                  </w:r>
                </w:p>
              </w:tc>
              <w:tc>
                <w:tcPr>
                  <w:tcW w:w="861" w:type="pct"/>
                  <w:vMerge w:val="restart"/>
                  <w:vAlign w:val="center"/>
                </w:tcPr>
                <w:p w14:paraId="411BB8C6">
                  <w:pPr>
                    <w:topLinePunct/>
                    <w:adjustRightInd w:val="0"/>
                    <w:snapToGrid w:val="0"/>
                    <w:spacing w:line="240" w:lineRule="auto"/>
                    <w:jc w:val="center"/>
                    <w:rPr>
                      <w:b/>
                      <w:kern w:val="0"/>
                      <w:sz w:val="21"/>
                      <w:szCs w:val="21"/>
                    </w:rPr>
                  </w:pPr>
                  <w:r>
                    <w:rPr>
                      <w:b/>
                      <w:kern w:val="0"/>
                      <w:sz w:val="21"/>
                      <w:szCs w:val="21"/>
                    </w:rPr>
                    <w:t>检测项目</w:t>
                  </w:r>
                </w:p>
              </w:tc>
              <w:tc>
                <w:tcPr>
                  <w:tcW w:w="1724" w:type="pct"/>
                  <w:vAlign w:val="center"/>
                </w:tcPr>
                <w:p w14:paraId="2C2C2F19">
                  <w:pPr>
                    <w:topLinePunct/>
                    <w:adjustRightInd w:val="0"/>
                    <w:snapToGrid w:val="0"/>
                    <w:spacing w:line="240" w:lineRule="auto"/>
                    <w:jc w:val="center"/>
                    <w:rPr>
                      <w:b/>
                      <w:kern w:val="0"/>
                      <w:sz w:val="21"/>
                      <w:szCs w:val="21"/>
                    </w:rPr>
                  </w:pPr>
                  <w:r>
                    <w:rPr>
                      <w:b/>
                      <w:kern w:val="0"/>
                      <w:sz w:val="21"/>
                      <w:szCs w:val="21"/>
                    </w:rPr>
                    <w:t>监测结果</w:t>
                  </w:r>
                </w:p>
              </w:tc>
              <w:tc>
                <w:tcPr>
                  <w:tcW w:w="1067" w:type="pct"/>
                  <w:vMerge w:val="restart"/>
                  <w:vAlign w:val="center"/>
                </w:tcPr>
                <w:p w14:paraId="725760C0">
                  <w:pPr>
                    <w:topLinePunct/>
                    <w:adjustRightInd w:val="0"/>
                    <w:snapToGrid w:val="0"/>
                    <w:spacing w:line="240" w:lineRule="auto"/>
                    <w:jc w:val="center"/>
                    <w:rPr>
                      <w:b/>
                      <w:kern w:val="0"/>
                      <w:sz w:val="21"/>
                      <w:szCs w:val="21"/>
                    </w:rPr>
                  </w:pPr>
                  <w:r>
                    <w:rPr>
                      <w:b/>
                      <w:kern w:val="0"/>
                      <w:sz w:val="21"/>
                      <w:szCs w:val="21"/>
                    </w:rPr>
                    <w:t>标准</w:t>
                  </w:r>
                </w:p>
              </w:tc>
            </w:tr>
            <w:tr w14:paraId="20B6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346" w:type="pct"/>
                  <w:vMerge w:val="continue"/>
                  <w:vAlign w:val="center"/>
                </w:tcPr>
                <w:p w14:paraId="470E0374">
                  <w:pPr>
                    <w:topLinePunct/>
                    <w:adjustRightInd w:val="0"/>
                    <w:snapToGrid w:val="0"/>
                    <w:spacing w:line="240" w:lineRule="auto"/>
                    <w:jc w:val="center"/>
                    <w:rPr>
                      <w:sz w:val="21"/>
                      <w:szCs w:val="21"/>
                    </w:rPr>
                  </w:pPr>
                </w:p>
              </w:tc>
              <w:tc>
                <w:tcPr>
                  <w:tcW w:w="861" w:type="pct"/>
                  <w:vMerge w:val="continue"/>
                  <w:vAlign w:val="center"/>
                </w:tcPr>
                <w:p w14:paraId="499B6D59">
                  <w:pPr>
                    <w:topLinePunct/>
                    <w:adjustRightInd w:val="0"/>
                    <w:snapToGrid w:val="0"/>
                    <w:spacing w:line="240" w:lineRule="auto"/>
                    <w:jc w:val="center"/>
                    <w:rPr>
                      <w:sz w:val="21"/>
                      <w:szCs w:val="21"/>
                    </w:rPr>
                  </w:pPr>
                </w:p>
              </w:tc>
              <w:tc>
                <w:tcPr>
                  <w:tcW w:w="1724" w:type="pct"/>
                  <w:vAlign w:val="center"/>
                </w:tcPr>
                <w:p w14:paraId="713662FC">
                  <w:pPr>
                    <w:topLinePunct/>
                    <w:adjustRightInd w:val="0"/>
                    <w:snapToGrid w:val="0"/>
                    <w:spacing w:line="240" w:lineRule="auto"/>
                    <w:jc w:val="center"/>
                    <w:rPr>
                      <w:b/>
                      <w:kern w:val="0"/>
                      <w:sz w:val="21"/>
                      <w:szCs w:val="21"/>
                    </w:rPr>
                  </w:pPr>
                  <w:r>
                    <w:rPr>
                      <w:b/>
                      <w:kern w:val="0"/>
                      <w:sz w:val="21"/>
                      <w:szCs w:val="21"/>
                    </w:rPr>
                    <w:t>202</w:t>
                  </w:r>
                  <w:r>
                    <w:rPr>
                      <w:rFonts w:hint="eastAsia"/>
                      <w:b/>
                      <w:kern w:val="0"/>
                      <w:sz w:val="21"/>
                      <w:szCs w:val="21"/>
                    </w:rPr>
                    <w:t>3</w:t>
                  </w:r>
                  <w:r>
                    <w:rPr>
                      <w:b/>
                      <w:kern w:val="0"/>
                      <w:sz w:val="21"/>
                      <w:szCs w:val="21"/>
                    </w:rPr>
                    <w:t>年0</w:t>
                  </w:r>
                  <w:r>
                    <w:rPr>
                      <w:rFonts w:hint="eastAsia"/>
                      <w:b/>
                      <w:kern w:val="0"/>
                      <w:sz w:val="21"/>
                      <w:szCs w:val="21"/>
                    </w:rPr>
                    <w:t>8</w:t>
                  </w:r>
                  <w:r>
                    <w:rPr>
                      <w:b/>
                      <w:kern w:val="0"/>
                      <w:sz w:val="21"/>
                      <w:szCs w:val="21"/>
                    </w:rPr>
                    <w:t>月</w:t>
                  </w:r>
                  <w:r>
                    <w:rPr>
                      <w:rFonts w:hint="eastAsia"/>
                      <w:b/>
                      <w:kern w:val="0"/>
                      <w:sz w:val="21"/>
                      <w:szCs w:val="21"/>
                    </w:rPr>
                    <w:t>03</w:t>
                  </w:r>
                  <w:r>
                    <w:rPr>
                      <w:b/>
                      <w:kern w:val="0"/>
                      <w:sz w:val="21"/>
                      <w:szCs w:val="21"/>
                    </w:rPr>
                    <w:t>日</w:t>
                  </w:r>
                </w:p>
              </w:tc>
              <w:tc>
                <w:tcPr>
                  <w:tcW w:w="1067" w:type="pct"/>
                  <w:vMerge w:val="continue"/>
                  <w:vAlign w:val="center"/>
                </w:tcPr>
                <w:p w14:paraId="65D0470F">
                  <w:pPr>
                    <w:topLinePunct/>
                    <w:adjustRightInd w:val="0"/>
                    <w:snapToGrid w:val="0"/>
                    <w:spacing w:line="240" w:lineRule="auto"/>
                    <w:jc w:val="center"/>
                    <w:rPr>
                      <w:b/>
                      <w:kern w:val="0"/>
                      <w:sz w:val="21"/>
                      <w:szCs w:val="21"/>
                    </w:rPr>
                  </w:pPr>
                </w:p>
              </w:tc>
            </w:tr>
            <w:tr w14:paraId="590F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46" w:type="pct"/>
                  <w:vMerge w:val="continue"/>
                  <w:vAlign w:val="center"/>
                </w:tcPr>
                <w:p w14:paraId="03851C28">
                  <w:pPr>
                    <w:topLinePunct/>
                    <w:adjustRightInd w:val="0"/>
                    <w:snapToGrid w:val="0"/>
                    <w:spacing w:line="240" w:lineRule="auto"/>
                    <w:jc w:val="center"/>
                    <w:rPr>
                      <w:b/>
                      <w:kern w:val="0"/>
                      <w:sz w:val="21"/>
                      <w:szCs w:val="21"/>
                    </w:rPr>
                  </w:pPr>
                </w:p>
              </w:tc>
              <w:tc>
                <w:tcPr>
                  <w:tcW w:w="861" w:type="pct"/>
                  <w:vMerge w:val="continue"/>
                  <w:vAlign w:val="center"/>
                </w:tcPr>
                <w:p w14:paraId="7BEA86A2">
                  <w:pPr>
                    <w:topLinePunct/>
                    <w:adjustRightInd w:val="0"/>
                    <w:snapToGrid w:val="0"/>
                    <w:spacing w:line="240" w:lineRule="auto"/>
                    <w:jc w:val="center"/>
                    <w:rPr>
                      <w:b/>
                      <w:kern w:val="0"/>
                      <w:sz w:val="21"/>
                      <w:szCs w:val="21"/>
                    </w:rPr>
                  </w:pPr>
                </w:p>
              </w:tc>
              <w:tc>
                <w:tcPr>
                  <w:tcW w:w="1724" w:type="pct"/>
                  <w:vAlign w:val="center"/>
                </w:tcPr>
                <w:p w14:paraId="52DC19E3">
                  <w:pPr>
                    <w:topLinePunct/>
                    <w:adjustRightInd w:val="0"/>
                    <w:snapToGrid w:val="0"/>
                    <w:spacing w:line="240" w:lineRule="auto"/>
                    <w:jc w:val="center"/>
                    <w:rPr>
                      <w:b/>
                      <w:sz w:val="21"/>
                      <w:szCs w:val="21"/>
                    </w:rPr>
                  </w:pPr>
                  <w:r>
                    <w:rPr>
                      <w:b/>
                      <w:sz w:val="21"/>
                      <w:szCs w:val="21"/>
                    </w:rPr>
                    <w:t>昼间</w:t>
                  </w:r>
                </w:p>
              </w:tc>
              <w:tc>
                <w:tcPr>
                  <w:tcW w:w="1067" w:type="pct"/>
                  <w:vAlign w:val="center"/>
                </w:tcPr>
                <w:p w14:paraId="38A779CB">
                  <w:pPr>
                    <w:topLinePunct/>
                    <w:adjustRightInd w:val="0"/>
                    <w:snapToGrid w:val="0"/>
                    <w:spacing w:line="240" w:lineRule="auto"/>
                    <w:jc w:val="center"/>
                    <w:rPr>
                      <w:b/>
                      <w:sz w:val="21"/>
                      <w:szCs w:val="21"/>
                    </w:rPr>
                  </w:pPr>
                  <w:r>
                    <w:rPr>
                      <w:b/>
                      <w:sz w:val="21"/>
                      <w:szCs w:val="21"/>
                    </w:rPr>
                    <w:t>昼间</w:t>
                  </w:r>
                </w:p>
              </w:tc>
            </w:tr>
            <w:tr w14:paraId="7B12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46" w:type="pct"/>
                  <w:vAlign w:val="center"/>
                </w:tcPr>
                <w:p w14:paraId="3C5D94D2">
                  <w:pPr>
                    <w:topLinePunct/>
                    <w:adjustRightInd w:val="0"/>
                    <w:snapToGrid w:val="0"/>
                    <w:spacing w:line="240" w:lineRule="auto"/>
                    <w:jc w:val="center"/>
                    <w:rPr>
                      <w:sz w:val="21"/>
                      <w:szCs w:val="21"/>
                    </w:rPr>
                  </w:pPr>
                  <w:r>
                    <w:rPr>
                      <w:sz w:val="21"/>
                      <w:szCs w:val="21"/>
                    </w:rPr>
                    <w:t>N1厂界北面1米处</w:t>
                  </w:r>
                </w:p>
              </w:tc>
              <w:tc>
                <w:tcPr>
                  <w:tcW w:w="861" w:type="pct"/>
                  <w:vMerge w:val="restart"/>
                  <w:vAlign w:val="center"/>
                </w:tcPr>
                <w:p w14:paraId="10C6E2F8">
                  <w:pPr>
                    <w:topLinePunct/>
                    <w:adjustRightInd w:val="0"/>
                    <w:snapToGrid w:val="0"/>
                    <w:spacing w:line="240" w:lineRule="auto"/>
                    <w:jc w:val="center"/>
                    <w:rPr>
                      <w:sz w:val="21"/>
                      <w:szCs w:val="21"/>
                    </w:rPr>
                  </w:pPr>
                  <w:r>
                    <w:rPr>
                      <w:sz w:val="21"/>
                      <w:szCs w:val="21"/>
                    </w:rPr>
                    <w:t>环境噪声</w:t>
                  </w:r>
                </w:p>
              </w:tc>
              <w:tc>
                <w:tcPr>
                  <w:tcW w:w="1724" w:type="pct"/>
                  <w:vAlign w:val="center"/>
                </w:tcPr>
                <w:p w14:paraId="3920DE80">
                  <w:pPr>
                    <w:topLinePunct/>
                    <w:adjustRightInd w:val="0"/>
                    <w:snapToGrid w:val="0"/>
                    <w:spacing w:line="240" w:lineRule="auto"/>
                    <w:jc w:val="center"/>
                    <w:rPr>
                      <w:kern w:val="0"/>
                      <w:sz w:val="21"/>
                      <w:szCs w:val="21"/>
                    </w:rPr>
                  </w:pPr>
                  <w:r>
                    <w:rPr>
                      <w:rFonts w:hint="eastAsia"/>
                      <w:kern w:val="0"/>
                      <w:sz w:val="21"/>
                      <w:szCs w:val="21"/>
                    </w:rPr>
                    <w:t>56</w:t>
                  </w:r>
                </w:p>
              </w:tc>
              <w:tc>
                <w:tcPr>
                  <w:tcW w:w="1067" w:type="pct"/>
                  <w:vMerge w:val="restart"/>
                  <w:vAlign w:val="center"/>
                </w:tcPr>
                <w:p w14:paraId="3190206B">
                  <w:pPr>
                    <w:topLinePunct/>
                    <w:adjustRightInd w:val="0"/>
                    <w:snapToGrid w:val="0"/>
                    <w:spacing w:line="240" w:lineRule="auto"/>
                    <w:jc w:val="center"/>
                    <w:rPr>
                      <w:kern w:val="0"/>
                      <w:sz w:val="21"/>
                      <w:szCs w:val="21"/>
                    </w:rPr>
                  </w:pPr>
                  <w:r>
                    <w:rPr>
                      <w:kern w:val="0"/>
                      <w:sz w:val="21"/>
                      <w:szCs w:val="21"/>
                    </w:rPr>
                    <w:t>6</w:t>
                  </w:r>
                  <w:r>
                    <w:rPr>
                      <w:rFonts w:hint="eastAsia"/>
                      <w:kern w:val="0"/>
                      <w:sz w:val="21"/>
                      <w:szCs w:val="21"/>
                    </w:rPr>
                    <w:t>0</w:t>
                  </w:r>
                </w:p>
              </w:tc>
            </w:tr>
            <w:tr w14:paraId="77CD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46" w:type="pct"/>
                  <w:vAlign w:val="center"/>
                </w:tcPr>
                <w:p w14:paraId="7093C04D">
                  <w:pPr>
                    <w:topLinePunct/>
                    <w:adjustRightInd w:val="0"/>
                    <w:snapToGrid w:val="0"/>
                    <w:spacing w:line="240" w:lineRule="auto"/>
                    <w:jc w:val="center"/>
                    <w:rPr>
                      <w:sz w:val="21"/>
                      <w:szCs w:val="21"/>
                    </w:rPr>
                  </w:pPr>
                  <w:r>
                    <w:rPr>
                      <w:sz w:val="21"/>
                      <w:szCs w:val="21"/>
                    </w:rPr>
                    <w:t>N</w:t>
                  </w:r>
                  <w:r>
                    <w:rPr>
                      <w:rFonts w:hint="eastAsia"/>
                      <w:sz w:val="21"/>
                      <w:szCs w:val="21"/>
                    </w:rPr>
                    <w:t>2</w:t>
                  </w:r>
                  <w:r>
                    <w:rPr>
                      <w:sz w:val="21"/>
                      <w:szCs w:val="21"/>
                    </w:rPr>
                    <w:t>厂界西面1米处</w:t>
                  </w:r>
                </w:p>
              </w:tc>
              <w:tc>
                <w:tcPr>
                  <w:tcW w:w="861" w:type="pct"/>
                  <w:vMerge w:val="continue"/>
                  <w:vAlign w:val="center"/>
                </w:tcPr>
                <w:p w14:paraId="067785B3">
                  <w:pPr>
                    <w:topLinePunct/>
                    <w:adjustRightInd w:val="0"/>
                    <w:snapToGrid w:val="0"/>
                    <w:spacing w:line="240" w:lineRule="auto"/>
                    <w:jc w:val="center"/>
                    <w:rPr>
                      <w:sz w:val="21"/>
                      <w:szCs w:val="21"/>
                    </w:rPr>
                  </w:pPr>
                </w:p>
              </w:tc>
              <w:tc>
                <w:tcPr>
                  <w:tcW w:w="1724" w:type="pct"/>
                  <w:vAlign w:val="center"/>
                </w:tcPr>
                <w:p w14:paraId="04FA4E96">
                  <w:pPr>
                    <w:topLinePunct/>
                    <w:adjustRightInd w:val="0"/>
                    <w:snapToGrid w:val="0"/>
                    <w:spacing w:line="240" w:lineRule="auto"/>
                    <w:jc w:val="center"/>
                    <w:rPr>
                      <w:kern w:val="0"/>
                      <w:sz w:val="21"/>
                      <w:szCs w:val="21"/>
                    </w:rPr>
                  </w:pPr>
                  <w:r>
                    <w:rPr>
                      <w:rFonts w:hint="eastAsia"/>
                      <w:kern w:val="0"/>
                      <w:sz w:val="21"/>
                      <w:szCs w:val="21"/>
                    </w:rPr>
                    <w:t>57</w:t>
                  </w:r>
                </w:p>
              </w:tc>
              <w:tc>
                <w:tcPr>
                  <w:tcW w:w="1067" w:type="pct"/>
                  <w:vMerge w:val="continue"/>
                  <w:vAlign w:val="center"/>
                </w:tcPr>
                <w:p w14:paraId="27BBCC76">
                  <w:pPr>
                    <w:topLinePunct/>
                    <w:adjustRightInd w:val="0"/>
                    <w:snapToGrid w:val="0"/>
                    <w:spacing w:line="240" w:lineRule="auto"/>
                    <w:jc w:val="center"/>
                    <w:rPr>
                      <w:kern w:val="0"/>
                      <w:sz w:val="21"/>
                      <w:szCs w:val="21"/>
                    </w:rPr>
                  </w:pPr>
                </w:p>
              </w:tc>
            </w:tr>
            <w:tr w14:paraId="3139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46" w:type="pct"/>
                  <w:vAlign w:val="center"/>
                </w:tcPr>
                <w:p w14:paraId="320513F0">
                  <w:pPr>
                    <w:topLinePunct/>
                    <w:adjustRightInd w:val="0"/>
                    <w:snapToGrid w:val="0"/>
                    <w:spacing w:line="240" w:lineRule="auto"/>
                    <w:jc w:val="center"/>
                    <w:rPr>
                      <w:sz w:val="21"/>
                      <w:szCs w:val="21"/>
                    </w:rPr>
                  </w:pPr>
                  <w:r>
                    <w:rPr>
                      <w:sz w:val="21"/>
                      <w:szCs w:val="21"/>
                    </w:rPr>
                    <w:t>N</w:t>
                  </w:r>
                  <w:r>
                    <w:rPr>
                      <w:rFonts w:hint="eastAsia"/>
                      <w:sz w:val="21"/>
                      <w:szCs w:val="21"/>
                    </w:rPr>
                    <w:t>3</w:t>
                  </w:r>
                  <w:r>
                    <w:rPr>
                      <w:sz w:val="21"/>
                      <w:szCs w:val="21"/>
                    </w:rPr>
                    <w:t>厂界</w:t>
                  </w:r>
                  <w:r>
                    <w:rPr>
                      <w:rFonts w:hint="eastAsia"/>
                      <w:sz w:val="21"/>
                      <w:szCs w:val="21"/>
                    </w:rPr>
                    <w:t>东</w:t>
                  </w:r>
                  <w:r>
                    <w:rPr>
                      <w:sz w:val="21"/>
                      <w:szCs w:val="21"/>
                    </w:rPr>
                    <w:t>面1米处</w:t>
                  </w:r>
                </w:p>
              </w:tc>
              <w:tc>
                <w:tcPr>
                  <w:tcW w:w="861" w:type="pct"/>
                  <w:vMerge w:val="continue"/>
                  <w:vAlign w:val="center"/>
                </w:tcPr>
                <w:p w14:paraId="454F42D7">
                  <w:pPr>
                    <w:topLinePunct/>
                    <w:adjustRightInd w:val="0"/>
                    <w:snapToGrid w:val="0"/>
                    <w:spacing w:line="240" w:lineRule="auto"/>
                    <w:jc w:val="center"/>
                    <w:rPr>
                      <w:sz w:val="21"/>
                      <w:szCs w:val="21"/>
                    </w:rPr>
                  </w:pPr>
                </w:p>
              </w:tc>
              <w:tc>
                <w:tcPr>
                  <w:tcW w:w="1724" w:type="pct"/>
                  <w:vAlign w:val="center"/>
                </w:tcPr>
                <w:p w14:paraId="74FB9E48">
                  <w:pPr>
                    <w:topLinePunct/>
                    <w:adjustRightInd w:val="0"/>
                    <w:snapToGrid w:val="0"/>
                    <w:spacing w:line="240" w:lineRule="auto"/>
                    <w:jc w:val="center"/>
                    <w:rPr>
                      <w:kern w:val="0"/>
                      <w:sz w:val="21"/>
                      <w:szCs w:val="21"/>
                    </w:rPr>
                  </w:pPr>
                  <w:r>
                    <w:rPr>
                      <w:rFonts w:hint="eastAsia"/>
                      <w:kern w:val="0"/>
                      <w:sz w:val="21"/>
                      <w:szCs w:val="21"/>
                    </w:rPr>
                    <w:t>58</w:t>
                  </w:r>
                </w:p>
              </w:tc>
              <w:tc>
                <w:tcPr>
                  <w:tcW w:w="1067" w:type="pct"/>
                  <w:vMerge w:val="continue"/>
                  <w:vAlign w:val="center"/>
                </w:tcPr>
                <w:p w14:paraId="48780BE7">
                  <w:pPr>
                    <w:topLinePunct/>
                    <w:adjustRightInd w:val="0"/>
                    <w:snapToGrid w:val="0"/>
                    <w:spacing w:line="240" w:lineRule="auto"/>
                    <w:jc w:val="center"/>
                    <w:rPr>
                      <w:kern w:val="0"/>
                      <w:sz w:val="21"/>
                      <w:szCs w:val="21"/>
                    </w:rPr>
                  </w:pPr>
                </w:p>
              </w:tc>
            </w:tr>
            <w:tr w14:paraId="65C6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46" w:type="pct"/>
                  <w:vAlign w:val="center"/>
                </w:tcPr>
                <w:p w14:paraId="0345E7C8">
                  <w:pPr>
                    <w:topLinePunct/>
                    <w:adjustRightInd w:val="0"/>
                    <w:snapToGrid w:val="0"/>
                    <w:spacing w:line="240" w:lineRule="auto"/>
                    <w:jc w:val="center"/>
                    <w:rPr>
                      <w:sz w:val="21"/>
                      <w:szCs w:val="21"/>
                    </w:rPr>
                  </w:pPr>
                  <w:r>
                    <w:rPr>
                      <w:sz w:val="21"/>
                      <w:szCs w:val="21"/>
                    </w:rPr>
                    <w:t>N</w:t>
                  </w:r>
                  <w:r>
                    <w:rPr>
                      <w:rFonts w:hint="eastAsia"/>
                      <w:sz w:val="21"/>
                      <w:szCs w:val="21"/>
                    </w:rPr>
                    <w:t>4</w:t>
                  </w:r>
                  <w:r>
                    <w:rPr>
                      <w:sz w:val="21"/>
                      <w:szCs w:val="21"/>
                    </w:rPr>
                    <w:t>厂界南面1米处</w:t>
                  </w:r>
                </w:p>
              </w:tc>
              <w:tc>
                <w:tcPr>
                  <w:tcW w:w="861" w:type="pct"/>
                  <w:vMerge w:val="continue"/>
                  <w:vAlign w:val="center"/>
                </w:tcPr>
                <w:p w14:paraId="7E6C0171">
                  <w:pPr>
                    <w:topLinePunct/>
                    <w:adjustRightInd w:val="0"/>
                    <w:snapToGrid w:val="0"/>
                    <w:spacing w:line="240" w:lineRule="auto"/>
                    <w:jc w:val="center"/>
                    <w:rPr>
                      <w:sz w:val="21"/>
                      <w:szCs w:val="21"/>
                    </w:rPr>
                  </w:pPr>
                </w:p>
              </w:tc>
              <w:tc>
                <w:tcPr>
                  <w:tcW w:w="1724" w:type="pct"/>
                  <w:vAlign w:val="center"/>
                </w:tcPr>
                <w:p w14:paraId="6C666BD9">
                  <w:pPr>
                    <w:topLinePunct/>
                    <w:adjustRightInd w:val="0"/>
                    <w:snapToGrid w:val="0"/>
                    <w:spacing w:line="240" w:lineRule="auto"/>
                    <w:jc w:val="center"/>
                    <w:rPr>
                      <w:kern w:val="0"/>
                      <w:sz w:val="21"/>
                      <w:szCs w:val="21"/>
                    </w:rPr>
                  </w:pPr>
                  <w:r>
                    <w:rPr>
                      <w:rFonts w:hint="eastAsia"/>
                      <w:kern w:val="0"/>
                      <w:sz w:val="21"/>
                      <w:szCs w:val="21"/>
                    </w:rPr>
                    <w:t>56</w:t>
                  </w:r>
                </w:p>
              </w:tc>
              <w:tc>
                <w:tcPr>
                  <w:tcW w:w="1067" w:type="pct"/>
                  <w:vMerge w:val="restart"/>
                  <w:vAlign w:val="center"/>
                </w:tcPr>
                <w:p w14:paraId="7AFB384B">
                  <w:pPr>
                    <w:topLinePunct/>
                    <w:adjustRightInd w:val="0"/>
                    <w:snapToGrid w:val="0"/>
                    <w:spacing w:line="240" w:lineRule="auto"/>
                    <w:jc w:val="center"/>
                    <w:rPr>
                      <w:kern w:val="0"/>
                      <w:sz w:val="21"/>
                      <w:szCs w:val="21"/>
                    </w:rPr>
                  </w:pPr>
                  <w:r>
                    <w:rPr>
                      <w:kern w:val="0"/>
                      <w:sz w:val="21"/>
                      <w:szCs w:val="21"/>
                    </w:rPr>
                    <w:t>70</w:t>
                  </w:r>
                </w:p>
              </w:tc>
            </w:tr>
            <w:tr w14:paraId="257B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346" w:type="pct"/>
                  <w:vAlign w:val="center"/>
                </w:tcPr>
                <w:p w14:paraId="6EA1B8C1">
                  <w:pPr>
                    <w:topLinePunct/>
                    <w:adjustRightInd w:val="0"/>
                    <w:snapToGrid w:val="0"/>
                    <w:spacing w:line="240" w:lineRule="auto"/>
                    <w:jc w:val="center"/>
                    <w:rPr>
                      <w:sz w:val="21"/>
                      <w:szCs w:val="21"/>
                    </w:rPr>
                  </w:pPr>
                  <w:r>
                    <w:rPr>
                      <w:sz w:val="21"/>
                      <w:szCs w:val="21"/>
                    </w:rPr>
                    <w:t>N5东南面30米处高桥村居民点</w:t>
                  </w:r>
                </w:p>
              </w:tc>
              <w:tc>
                <w:tcPr>
                  <w:tcW w:w="861" w:type="pct"/>
                  <w:vMerge w:val="continue"/>
                  <w:vAlign w:val="center"/>
                </w:tcPr>
                <w:p w14:paraId="127D78F5">
                  <w:pPr>
                    <w:topLinePunct/>
                    <w:adjustRightInd w:val="0"/>
                    <w:snapToGrid w:val="0"/>
                    <w:spacing w:line="240" w:lineRule="auto"/>
                    <w:jc w:val="center"/>
                    <w:rPr>
                      <w:sz w:val="21"/>
                      <w:szCs w:val="21"/>
                    </w:rPr>
                  </w:pPr>
                </w:p>
              </w:tc>
              <w:tc>
                <w:tcPr>
                  <w:tcW w:w="1724" w:type="pct"/>
                  <w:vAlign w:val="center"/>
                </w:tcPr>
                <w:p w14:paraId="4E1F19B5">
                  <w:pPr>
                    <w:topLinePunct/>
                    <w:adjustRightInd w:val="0"/>
                    <w:snapToGrid w:val="0"/>
                    <w:spacing w:line="240" w:lineRule="auto"/>
                    <w:jc w:val="center"/>
                    <w:rPr>
                      <w:kern w:val="0"/>
                      <w:sz w:val="21"/>
                      <w:szCs w:val="21"/>
                    </w:rPr>
                  </w:pPr>
                  <w:r>
                    <w:rPr>
                      <w:rFonts w:hint="eastAsia"/>
                      <w:kern w:val="0"/>
                      <w:sz w:val="21"/>
                      <w:szCs w:val="21"/>
                    </w:rPr>
                    <w:t>55</w:t>
                  </w:r>
                </w:p>
              </w:tc>
              <w:tc>
                <w:tcPr>
                  <w:tcW w:w="1067" w:type="pct"/>
                  <w:vMerge w:val="continue"/>
                  <w:vAlign w:val="center"/>
                </w:tcPr>
                <w:p w14:paraId="49CE2793">
                  <w:pPr>
                    <w:topLinePunct/>
                    <w:adjustRightInd w:val="0"/>
                    <w:snapToGrid w:val="0"/>
                    <w:spacing w:line="240" w:lineRule="auto"/>
                    <w:jc w:val="center"/>
                    <w:rPr>
                      <w:color w:val="0000C7"/>
                      <w:kern w:val="0"/>
                      <w:sz w:val="21"/>
                      <w:szCs w:val="21"/>
                    </w:rPr>
                  </w:pPr>
                </w:p>
              </w:tc>
            </w:tr>
            <w:tr w14:paraId="71FC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346" w:type="pct"/>
                  <w:vAlign w:val="center"/>
                </w:tcPr>
                <w:p w14:paraId="526B476B">
                  <w:pPr>
                    <w:topLinePunct/>
                    <w:adjustRightInd w:val="0"/>
                    <w:snapToGrid w:val="0"/>
                    <w:spacing w:line="240" w:lineRule="auto"/>
                    <w:jc w:val="center"/>
                    <w:rPr>
                      <w:sz w:val="21"/>
                      <w:szCs w:val="21"/>
                    </w:rPr>
                  </w:pPr>
                  <w:r>
                    <w:rPr>
                      <w:sz w:val="21"/>
                      <w:szCs w:val="21"/>
                    </w:rPr>
                    <w:t>N6西南面38米处高桥村居民点</w:t>
                  </w:r>
                </w:p>
              </w:tc>
              <w:tc>
                <w:tcPr>
                  <w:tcW w:w="861" w:type="pct"/>
                  <w:vMerge w:val="continue"/>
                  <w:vAlign w:val="center"/>
                </w:tcPr>
                <w:p w14:paraId="7FADDF52">
                  <w:pPr>
                    <w:topLinePunct/>
                    <w:adjustRightInd w:val="0"/>
                    <w:snapToGrid w:val="0"/>
                    <w:spacing w:line="240" w:lineRule="auto"/>
                    <w:jc w:val="center"/>
                    <w:rPr>
                      <w:sz w:val="21"/>
                      <w:szCs w:val="21"/>
                    </w:rPr>
                  </w:pPr>
                </w:p>
              </w:tc>
              <w:tc>
                <w:tcPr>
                  <w:tcW w:w="1724" w:type="pct"/>
                  <w:vAlign w:val="center"/>
                </w:tcPr>
                <w:p w14:paraId="43AEA995">
                  <w:pPr>
                    <w:topLinePunct/>
                    <w:adjustRightInd w:val="0"/>
                    <w:snapToGrid w:val="0"/>
                    <w:spacing w:line="240" w:lineRule="auto"/>
                    <w:jc w:val="center"/>
                    <w:rPr>
                      <w:kern w:val="0"/>
                      <w:sz w:val="21"/>
                      <w:szCs w:val="21"/>
                    </w:rPr>
                  </w:pPr>
                  <w:r>
                    <w:rPr>
                      <w:rFonts w:hint="eastAsia"/>
                      <w:kern w:val="0"/>
                      <w:sz w:val="21"/>
                      <w:szCs w:val="21"/>
                    </w:rPr>
                    <w:t>55</w:t>
                  </w:r>
                </w:p>
              </w:tc>
              <w:tc>
                <w:tcPr>
                  <w:tcW w:w="1067" w:type="pct"/>
                  <w:vMerge w:val="continue"/>
                  <w:vAlign w:val="center"/>
                </w:tcPr>
                <w:p w14:paraId="1BE56A2F">
                  <w:pPr>
                    <w:topLinePunct/>
                    <w:adjustRightInd w:val="0"/>
                    <w:snapToGrid w:val="0"/>
                    <w:spacing w:line="240" w:lineRule="auto"/>
                    <w:jc w:val="center"/>
                    <w:rPr>
                      <w:color w:val="0000C7"/>
                      <w:kern w:val="0"/>
                      <w:sz w:val="21"/>
                      <w:szCs w:val="21"/>
                    </w:rPr>
                  </w:pPr>
                </w:p>
              </w:tc>
            </w:tr>
          </w:tbl>
          <w:p w14:paraId="0D65408C">
            <w:pPr>
              <w:pStyle w:val="36"/>
              <w:ind w:firstLine="480"/>
              <w:rPr>
                <w:rFonts w:ascii="Times New Roman"/>
                <w:color w:val="0000C7"/>
              </w:rPr>
            </w:pPr>
            <w:r>
              <w:rPr>
                <w:bCs/>
              </w:rPr>
              <w:t>根据上表结果分析表明项目厂界北面、东面、西面监测点均可以满足《声环境质量标准》（GB3096-2008）</w:t>
            </w:r>
            <w:r>
              <w:rPr>
                <w:rFonts w:hint="eastAsia"/>
                <w:bCs/>
              </w:rPr>
              <w:t>2</w:t>
            </w:r>
            <w:r>
              <w:rPr>
                <w:bCs/>
              </w:rPr>
              <w:t>类标准要求，南面监测点可以满足《声环境质量标准》（GB3096-2008）4a类标准要求，敏感点监测点可以满足《声环境质量标准》（GB3096-2008）</w:t>
            </w:r>
            <w:r>
              <w:rPr>
                <w:rFonts w:hint="eastAsia"/>
                <w:bCs/>
              </w:rPr>
              <w:t>4a类</w:t>
            </w:r>
            <w:r>
              <w:rPr>
                <w:bCs/>
              </w:rPr>
              <w:t>标准要求</w:t>
            </w:r>
            <w:r>
              <w:t>，项目建设不会对区域居民造成影响。</w:t>
            </w:r>
          </w:p>
          <w:p w14:paraId="1EE2655C">
            <w:pPr>
              <w:pStyle w:val="36"/>
              <w:ind w:firstLine="480"/>
              <w:rPr>
                <w:rFonts w:ascii="Times New Roman"/>
                <w:color w:val="0000C7"/>
              </w:rPr>
            </w:pPr>
            <w:r>
              <w:rPr>
                <w:rFonts w:ascii="Times New Roman"/>
                <w:kern w:val="2"/>
                <w:szCs w:val="24"/>
              </w:rPr>
              <w:t>（</w:t>
            </w:r>
            <w:r>
              <w:rPr>
                <w:rFonts w:hint="eastAsia" w:ascii="Times New Roman"/>
                <w:kern w:val="2"/>
                <w:szCs w:val="24"/>
              </w:rPr>
              <w:t>4</w:t>
            </w:r>
            <w:r>
              <w:rPr>
                <w:rFonts w:ascii="Times New Roman"/>
                <w:kern w:val="2"/>
                <w:szCs w:val="24"/>
              </w:rPr>
              <w:t>）</w:t>
            </w:r>
            <w:r>
              <w:rPr>
                <w:rFonts w:hint="eastAsia" w:ascii="Times New Roman"/>
                <w:kern w:val="2"/>
                <w:szCs w:val="24"/>
              </w:rPr>
              <w:t>固废</w:t>
            </w:r>
          </w:p>
          <w:p w14:paraId="0386B6F7">
            <w:pPr>
              <w:widowControl/>
              <w:adjustRightInd w:val="0"/>
              <w:snapToGrid w:val="0"/>
              <w:spacing w:line="360" w:lineRule="auto"/>
              <w:ind w:firstLine="480" w:firstLineChars="200"/>
              <w:jc w:val="left"/>
              <w:rPr>
                <w:u w:val="single"/>
              </w:rPr>
            </w:pPr>
            <w:r>
              <w:rPr>
                <w:rFonts w:hint="eastAsia" w:ascii="宋体" w:hAnsi="宋体" w:cs="宋体"/>
                <w:kern w:val="0"/>
                <w:sz w:val="24"/>
                <w:u w:val="single"/>
                <w:lang w:bidi="ar"/>
              </w:rPr>
              <w:t>现有固体废物产生及处理情况如下表：</w:t>
            </w:r>
          </w:p>
          <w:p w14:paraId="2E6E5038">
            <w:pPr>
              <w:widowControl/>
              <w:adjustRightInd w:val="0"/>
              <w:snapToGrid w:val="0"/>
              <w:spacing w:line="240" w:lineRule="auto"/>
              <w:jc w:val="center"/>
              <w:rPr>
                <w:rFonts w:hint="eastAsia" w:ascii="Times New Roman" w:hAnsi="Times New Roman" w:eastAsia="宋体" w:cs="Times New Roman"/>
                <w:sz w:val="21"/>
                <w:szCs w:val="21"/>
                <w:u w:val="single"/>
                <w:lang w:bidi="ar"/>
              </w:rPr>
            </w:pPr>
            <w:r>
              <w:rPr>
                <w:rFonts w:hint="eastAsia" w:ascii="Times New Roman" w:hAnsi="Times New Roman" w:eastAsia="宋体" w:cs="Times New Roman"/>
                <w:b/>
                <w:bCs/>
                <w:sz w:val="21"/>
                <w:szCs w:val="21"/>
                <w:u w:val="single"/>
                <w:lang w:bidi="ar"/>
              </w:rPr>
              <w:t>表2-1</w:t>
            </w:r>
            <w:r>
              <w:rPr>
                <w:rFonts w:hint="eastAsia" w:cs="Times New Roman"/>
                <w:b/>
                <w:bCs/>
                <w:sz w:val="21"/>
                <w:szCs w:val="21"/>
                <w:u w:val="single"/>
                <w:lang w:val="en-US" w:eastAsia="zh-CN" w:bidi="ar"/>
              </w:rPr>
              <w:t>6</w:t>
            </w:r>
            <w:r>
              <w:rPr>
                <w:rFonts w:hint="eastAsia" w:ascii="Times New Roman" w:hAnsi="Times New Roman" w:eastAsia="宋体" w:cs="Times New Roman"/>
                <w:b/>
                <w:bCs/>
                <w:sz w:val="21"/>
                <w:szCs w:val="21"/>
                <w:u w:val="single"/>
                <w:lang w:bidi="ar"/>
              </w:rPr>
              <w:t xml:space="preserve"> 现有固体废物产生及处理情况表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1496"/>
              <w:gridCol w:w="947"/>
              <w:gridCol w:w="2557"/>
              <w:gridCol w:w="2882"/>
            </w:tblGrid>
            <w:tr w14:paraId="785D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94" w:type="pct"/>
                  <w:noWrap w:val="0"/>
                  <w:vAlign w:val="center"/>
                </w:tcPr>
                <w:p w14:paraId="636ECD3D">
                  <w:pPr>
                    <w:widowControl/>
                    <w:adjustRightInd w:val="0"/>
                    <w:snapToGrid w:val="0"/>
                    <w:spacing w:line="240" w:lineRule="auto"/>
                    <w:jc w:val="center"/>
                    <w:rPr>
                      <w:rFonts w:hint="eastAsia" w:ascii="Times New Roman" w:hAnsi="Times New Roman" w:eastAsia="宋体" w:cs="Times New Roman"/>
                      <w:b/>
                      <w:bCs/>
                      <w:sz w:val="21"/>
                      <w:szCs w:val="21"/>
                      <w:u w:val="single"/>
                      <w:lang w:bidi="ar"/>
                    </w:rPr>
                  </w:pPr>
                  <w:r>
                    <w:rPr>
                      <w:rFonts w:hint="eastAsia" w:ascii="Times New Roman" w:hAnsi="Times New Roman" w:eastAsia="宋体" w:cs="Times New Roman"/>
                      <w:b/>
                      <w:bCs/>
                      <w:sz w:val="21"/>
                      <w:szCs w:val="21"/>
                      <w:u w:val="single"/>
                      <w:lang w:bidi="ar"/>
                    </w:rPr>
                    <w:t>序号</w:t>
                  </w:r>
                </w:p>
              </w:tc>
              <w:tc>
                <w:tcPr>
                  <w:tcW w:w="893" w:type="pct"/>
                  <w:noWrap w:val="0"/>
                  <w:vAlign w:val="center"/>
                </w:tcPr>
                <w:p w14:paraId="4B84AFBF">
                  <w:pPr>
                    <w:widowControl/>
                    <w:adjustRightInd w:val="0"/>
                    <w:snapToGrid w:val="0"/>
                    <w:spacing w:line="240" w:lineRule="auto"/>
                    <w:jc w:val="center"/>
                    <w:rPr>
                      <w:rFonts w:hint="eastAsia" w:ascii="Times New Roman" w:hAnsi="Times New Roman" w:eastAsia="宋体" w:cs="Times New Roman"/>
                      <w:b/>
                      <w:bCs/>
                      <w:sz w:val="21"/>
                      <w:szCs w:val="21"/>
                      <w:u w:val="single"/>
                      <w:lang w:bidi="ar"/>
                    </w:rPr>
                  </w:pPr>
                  <w:r>
                    <w:rPr>
                      <w:rFonts w:hint="eastAsia" w:ascii="Times New Roman" w:hAnsi="Times New Roman" w:eastAsia="宋体" w:cs="Times New Roman"/>
                      <w:b/>
                      <w:bCs/>
                      <w:sz w:val="21"/>
                      <w:szCs w:val="21"/>
                      <w:u w:val="single"/>
                      <w:lang w:bidi="ar"/>
                    </w:rPr>
                    <w:t>名称</w:t>
                  </w:r>
                </w:p>
              </w:tc>
              <w:tc>
                <w:tcPr>
                  <w:tcW w:w="565" w:type="pct"/>
                  <w:noWrap w:val="0"/>
                  <w:vAlign w:val="center"/>
                </w:tcPr>
                <w:p w14:paraId="1D3830D2">
                  <w:pPr>
                    <w:widowControl/>
                    <w:adjustRightInd w:val="0"/>
                    <w:snapToGrid w:val="0"/>
                    <w:spacing w:line="240" w:lineRule="auto"/>
                    <w:jc w:val="center"/>
                    <w:rPr>
                      <w:rFonts w:hint="eastAsia" w:ascii="Times New Roman" w:hAnsi="Times New Roman" w:eastAsia="宋体" w:cs="Times New Roman"/>
                      <w:b/>
                      <w:bCs/>
                      <w:sz w:val="21"/>
                      <w:szCs w:val="21"/>
                      <w:u w:val="single"/>
                      <w:lang w:bidi="ar"/>
                    </w:rPr>
                  </w:pPr>
                  <w:r>
                    <w:rPr>
                      <w:rFonts w:hint="eastAsia" w:ascii="Times New Roman" w:hAnsi="Times New Roman" w:eastAsia="宋体" w:cs="Times New Roman"/>
                      <w:b/>
                      <w:bCs/>
                      <w:sz w:val="21"/>
                      <w:szCs w:val="21"/>
                      <w:u w:val="single"/>
                      <w:lang w:bidi="ar"/>
                    </w:rPr>
                    <w:t>产生量 t/a</w:t>
                  </w:r>
                </w:p>
              </w:tc>
              <w:tc>
                <w:tcPr>
                  <w:tcW w:w="1526" w:type="pct"/>
                  <w:noWrap w:val="0"/>
                  <w:vAlign w:val="center"/>
                </w:tcPr>
                <w:p w14:paraId="1F53E3F8">
                  <w:pPr>
                    <w:widowControl/>
                    <w:adjustRightInd w:val="0"/>
                    <w:snapToGrid w:val="0"/>
                    <w:spacing w:line="240" w:lineRule="auto"/>
                    <w:jc w:val="center"/>
                    <w:rPr>
                      <w:rFonts w:hint="eastAsia" w:ascii="Times New Roman" w:hAnsi="Times New Roman" w:eastAsia="宋体" w:cs="Times New Roman"/>
                      <w:b/>
                      <w:bCs/>
                      <w:sz w:val="21"/>
                      <w:szCs w:val="21"/>
                      <w:u w:val="single"/>
                      <w:lang w:bidi="ar"/>
                    </w:rPr>
                  </w:pPr>
                  <w:r>
                    <w:rPr>
                      <w:rFonts w:hint="eastAsia" w:ascii="Times New Roman" w:hAnsi="Times New Roman" w:eastAsia="宋体" w:cs="Times New Roman"/>
                      <w:b/>
                      <w:bCs/>
                      <w:sz w:val="21"/>
                      <w:szCs w:val="21"/>
                      <w:u w:val="single"/>
                      <w:lang w:bidi="ar"/>
                    </w:rPr>
                    <w:t>分类</w:t>
                  </w:r>
                </w:p>
              </w:tc>
              <w:tc>
                <w:tcPr>
                  <w:tcW w:w="1720" w:type="pct"/>
                  <w:noWrap w:val="0"/>
                  <w:vAlign w:val="center"/>
                </w:tcPr>
                <w:p w14:paraId="14E4F7AE">
                  <w:pPr>
                    <w:widowControl/>
                    <w:adjustRightInd w:val="0"/>
                    <w:snapToGrid w:val="0"/>
                    <w:spacing w:line="240" w:lineRule="auto"/>
                    <w:jc w:val="center"/>
                    <w:rPr>
                      <w:rFonts w:hint="eastAsia" w:ascii="Times New Roman" w:hAnsi="Times New Roman" w:eastAsia="宋体" w:cs="Times New Roman"/>
                      <w:b/>
                      <w:bCs/>
                      <w:sz w:val="21"/>
                      <w:szCs w:val="21"/>
                      <w:u w:val="single"/>
                      <w:lang w:bidi="ar"/>
                    </w:rPr>
                  </w:pPr>
                  <w:r>
                    <w:rPr>
                      <w:rFonts w:hint="eastAsia" w:ascii="Times New Roman" w:hAnsi="Times New Roman" w:eastAsia="宋体" w:cs="Times New Roman"/>
                      <w:b/>
                      <w:bCs/>
                      <w:sz w:val="21"/>
                      <w:szCs w:val="21"/>
                      <w:u w:val="single"/>
                      <w:lang w:bidi="ar"/>
                    </w:rPr>
                    <w:t>处置措施/去向</w:t>
                  </w:r>
                </w:p>
              </w:tc>
            </w:tr>
            <w:tr w14:paraId="6787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noWrap w:val="0"/>
                  <w:vAlign w:val="center"/>
                </w:tcPr>
                <w:p w14:paraId="68CE4D61">
                  <w:pPr>
                    <w:widowControl/>
                    <w:adjustRightInd w:val="0"/>
                    <w:snapToGrid w:val="0"/>
                    <w:spacing w:line="240" w:lineRule="auto"/>
                    <w:jc w:val="center"/>
                    <w:rPr>
                      <w:rFonts w:hint="eastAsia" w:ascii="Times New Roman" w:hAnsi="Times New Roman" w:eastAsia="宋体" w:cs="Times New Roman"/>
                      <w:bCs w:val="0"/>
                      <w:sz w:val="21"/>
                      <w:szCs w:val="21"/>
                      <w:u w:val="single"/>
                      <w:lang w:bidi="ar"/>
                    </w:rPr>
                  </w:pPr>
                  <w:r>
                    <w:rPr>
                      <w:rFonts w:hint="eastAsia" w:ascii="Times New Roman" w:hAnsi="Times New Roman" w:eastAsia="宋体" w:cs="Times New Roman"/>
                      <w:bCs w:val="0"/>
                      <w:sz w:val="21"/>
                      <w:szCs w:val="21"/>
                      <w:u w:val="single"/>
                      <w:lang w:bidi="ar"/>
                    </w:rPr>
                    <w:t>1</w:t>
                  </w:r>
                </w:p>
              </w:tc>
              <w:tc>
                <w:tcPr>
                  <w:tcW w:w="893" w:type="pct"/>
                  <w:noWrap w:val="0"/>
                  <w:vAlign w:val="center"/>
                </w:tcPr>
                <w:p w14:paraId="322F43C7">
                  <w:pPr>
                    <w:widowControl/>
                    <w:adjustRightInd w:val="0"/>
                    <w:snapToGrid w:val="0"/>
                    <w:spacing w:line="240" w:lineRule="auto"/>
                    <w:jc w:val="center"/>
                    <w:rPr>
                      <w:rFonts w:hint="eastAsia" w:ascii="Times New Roman" w:hAnsi="Times New Roman" w:eastAsia="宋体" w:cs="Times New Roman"/>
                      <w:bCs w:val="0"/>
                      <w:sz w:val="21"/>
                      <w:szCs w:val="21"/>
                      <w:u w:val="single"/>
                      <w:lang w:bidi="ar"/>
                    </w:rPr>
                  </w:pPr>
                  <w:r>
                    <w:rPr>
                      <w:rFonts w:eastAsiaTheme="minorEastAsia"/>
                      <w:sz w:val="21"/>
                      <w:szCs w:val="21"/>
                      <w:u w:val="single"/>
                    </w:rPr>
                    <w:t>切割磨光及雕刻沉淀污泥</w:t>
                  </w:r>
                </w:p>
              </w:tc>
              <w:tc>
                <w:tcPr>
                  <w:tcW w:w="565" w:type="pct"/>
                  <w:noWrap w:val="0"/>
                  <w:vAlign w:val="center"/>
                </w:tcPr>
                <w:p w14:paraId="0D632023">
                  <w:pPr>
                    <w:widowControl/>
                    <w:adjustRightInd w:val="0"/>
                    <w:snapToGrid w:val="0"/>
                    <w:spacing w:line="240" w:lineRule="auto"/>
                    <w:jc w:val="center"/>
                    <w:rPr>
                      <w:rFonts w:hint="default" w:ascii="Times New Roman" w:hAnsi="Times New Roman" w:eastAsia="宋体" w:cs="Times New Roman"/>
                      <w:bCs w:val="0"/>
                      <w:sz w:val="21"/>
                      <w:szCs w:val="21"/>
                      <w:u w:val="single"/>
                      <w:lang w:val="en-US" w:eastAsia="zh-CN" w:bidi="ar"/>
                    </w:rPr>
                  </w:pPr>
                  <w:r>
                    <w:rPr>
                      <w:rFonts w:hint="eastAsia" w:ascii="Times New Roman" w:hAnsi="Times New Roman" w:eastAsia="宋体" w:cs="Times New Roman"/>
                      <w:bCs w:val="0"/>
                      <w:sz w:val="21"/>
                      <w:szCs w:val="21"/>
                      <w:u w:val="single"/>
                      <w:lang w:val="en-US" w:eastAsia="zh-CN" w:bidi="ar"/>
                    </w:rPr>
                    <w:t>0.62</w:t>
                  </w:r>
                </w:p>
              </w:tc>
              <w:tc>
                <w:tcPr>
                  <w:tcW w:w="1526" w:type="pct"/>
                  <w:noWrap w:val="0"/>
                  <w:vAlign w:val="center"/>
                </w:tcPr>
                <w:p w14:paraId="0B997C18">
                  <w:pPr>
                    <w:widowControl/>
                    <w:adjustRightInd w:val="0"/>
                    <w:snapToGrid w:val="0"/>
                    <w:spacing w:line="240" w:lineRule="auto"/>
                    <w:jc w:val="center"/>
                    <w:rPr>
                      <w:rFonts w:hint="eastAsia" w:ascii="Times New Roman" w:hAnsi="Times New Roman" w:eastAsia="宋体" w:cs="Times New Roman"/>
                      <w:bCs w:val="0"/>
                      <w:sz w:val="21"/>
                      <w:szCs w:val="21"/>
                      <w:u w:val="single"/>
                      <w:lang w:bidi="ar"/>
                    </w:rPr>
                  </w:pPr>
                  <w:r>
                    <w:rPr>
                      <w:rFonts w:eastAsiaTheme="minorEastAsia"/>
                      <w:sz w:val="21"/>
                      <w:szCs w:val="21"/>
                      <w:u w:val="single"/>
                    </w:rPr>
                    <w:t>一般固废（</w:t>
                  </w:r>
                  <w:r>
                    <w:rPr>
                      <w:rFonts w:hint="eastAsia" w:eastAsiaTheme="minorEastAsia"/>
                      <w:sz w:val="21"/>
                      <w:szCs w:val="21"/>
                      <w:u w:val="single"/>
                      <w:lang w:val="en-US" w:eastAsia="zh-CN"/>
                    </w:rPr>
                    <w:t>303</w:t>
                  </w:r>
                  <w:r>
                    <w:rPr>
                      <w:rFonts w:eastAsiaTheme="minorEastAsia"/>
                      <w:sz w:val="21"/>
                      <w:szCs w:val="21"/>
                      <w:u w:val="single"/>
                    </w:rPr>
                    <w:t>-</w:t>
                  </w:r>
                  <w:r>
                    <w:rPr>
                      <w:rFonts w:hint="eastAsia" w:eastAsiaTheme="minorEastAsia"/>
                      <w:sz w:val="21"/>
                      <w:szCs w:val="21"/>
                      <w:u w:val="single"/>
                      <w:lang w:val="en-US" w:eastAsia="zh-CN"/>
                    </w:rPr>
                    <w:t>002</w:t>
                  </w:r>
                  <w:r>
                    <w:rPr>
                      <w:rFonts w:eastAsiaTheme="minorEastAsia"/>
                      <w:sz w:val="21"/>
                      <w:szCs w:val="21"/>
                      <w:u w:val="single"/>
                    </w:rPr>
                    <w:t>-</w:t>
                  </w:r>
                  <w:r>
                    <w:rPr>
                      <w:rFonts w:hint="eastAsia" w:eastAsiaTheme="minorEastAsia"/>
                      <w:sz w:val="21"/>
                      <w:szCs w:val="21"/>
                      <w:u w:val="single"/>
                      <w:lang w:val="en-US" w:eastAsia="zh-CN"/>
                    </w:rPr>
                    <w:t>61</w:t>
                  </w:r>
                  <w:r>
                    <w:rPr>
                      <w:rFonts w:eastAsiaTheme="minorEastAsia"/>
                      <w:sz w:val="21"/>
                      <w:szCs w:val="21"/>
                      <w:u w:val="single"/>
                    </w:rPr>
                    <w:t>）</w:t>
                  </w:r>
                </w:p>
              </w:tc>
              <w:tc>
                <w:tcPr>
                  <w:tcW w:w="1720" w:type="pct"/>
                  <w:noWrap w:val="0"/>
                  <w:vAlign w:val="center"/>
                </w:tcPr>
                <w:p w14:paraId="7BA2EA15">
                  <w:pPr>
                    <w:spacing w:line="240" w:lineRule="auto"/>
                    <w:jc w:val="center"/>
                    <w:rPr>
                      <w:rFonts w:hint="eastAsia" w:ascii="Times New Roman" w:hAnsi="Times New Roman" w:cs="Times New Roman" w:eastAsiaTheme="minorEastAsia"/>
                      <w:color w:val="0000C7"/>
                      <w:kern w:val="2"/>
                      <w:sz w:val="21"/>
                      <w:szCs w:val="21"/>
                      <w:u w:val="single"/>
                      <w:lang w:val="en-US" w:eastAsia="zh-CN" w:bidi="ar-SA"/>
                    </w:rPr>
                  </w:pPr>
                  <w:r>
                    <w:rPr>
                      <w:rFonts w:hint="eastAsia" w:eastAsiaTheme="minorEastAsia"/>
                      <w:kern w:val="0"/>
                      <w:sz w:val="21"/>
                      <w:szCs w:val="21"/>
                      <w:u w:val="single"/>
                      <w:lang w:eastAsia="zh-CN"/>
                    </w:rPr>
                    <w:t>收集后外售</w:t>
                  </w:r>
                </w:p>
              </w:tc>
            </w:tr>
            <w:tr w14:paraId="3807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noWrap w:val="0"/>
                  <w:vAlign w:val="center"/>
                </w:tcPr>
                <w:p w14:paraId="260F7306">
                  <w:pPr>
                    <w:widowControl/>
                    <w:adjustRightInd w:val="0"/>
                    <w:snapToGrid w:val="0"/>
                    <w:spacing w:line="240" w:lineRule="auto"/>
                    <w:jc w:val="center"/>
                    <w:rPr>
                      <w:rFonts w:hint="eastAsia" w:ascii="Times New Roman" w:hAnsi="Times New Roman" w:eastAsia="宋体" w:cs="Times New Roman"/>
                      <w:bCs w:val="0"/>
                      <w:sz w:val="21"/>
                      <w:szCs w:val="21"/>
                      <w:u w:val="single"/>
                      <w:lang w:bidi="ar"/>
                    </w:rPr>
                  </w:pPr>
                  <w:r>
                    <w:rPr>
                      <w:rFonts w:hint="eastAsia" w:ascii="Times New Roman" w:hAnsi="Times New Roman" w:eastAsia="宋体" w:cs="Times New Roman"/>
                      <w:bCs w:val="0"/>
                      <w:sz w:val="21"/>
                      <w:szCs w:val="21"/>
                      <w:u w:val="single"/>
                      <w:lang w:bidi="ar"/>
                    </w:rPr>
                    <w:t>2</w:t>
                  </w:r>
                </w:p>
              </w:tc>
              <w:tc>
                <w:tcPr>
                  <w:tcW w:w="893" w:type="pct"/>
                  <w:noWrap w:val="0"/>
                  <w:vAlign w:val="center"/>
                </w:tcPr>
                <w:p w14:paraId="357F1CFA">
                  <w:pPr>
                    <w:widowControl/>
                    <w:adjustRightInd w:val="0"/>
                    <w:snapToGrid w:val="0"/>
                    <w:spacing w:line="240" w:lineRule="auto"/>
                    <w:jc w:val="center"/>
                    <w:rPr>
                      <w:rFonts w:hint="eastAsia" w:ascii="Times New Roman" w:hAnsi="Times New Roman" w:eastAsia="宋体" w:cs="Times New Roman"/>
                      <w:bCs w:val="0"/>
                      <w:sz w:val="21"/>
                      <w:szCs w:val="21"/>
                      <w:u w:val="single"/>
                      <w:lang w:bidi="ar"/>
                    </w:rPr>
                  </w:pPr>
                  <w:r>
                    <w:rPr>
                      <w:rFonts w:hint="eastAsia" w:eastAsiaTheme="minorEastAsia"/>
                      <w:sz w:val="21"/>
                      <w:szCs w:val="21"/>
                      <w:u w:val="single"/>
                      <w:lang w:eastAsia="zh-CN"/>
                    </w:rPr>
                    <w:t>废抛光布</w:t>
                  </w:r>
                </w:p>
              </w:tc>
              <w:tc>
                <w:tcPr>
                  <w:tcW w:w="565" w:type="pct"/>
                  <w:noWrap w:val="0"/>
                  <w:vAlign w:val="center"/>
                </w:tcPr>
                <w:p w14:paraId="480EA639">
                  <w:pPr>
                    <w:widowControl/>
                    <w:adjustRightInd w:val="0"/>
                    <w:snapToGrid w:val="0"/>
                    <w:spacing w:line="240" w:lineRule="auto"/>
                    <w:jc w:val="center"/>
                    <w:rPr>
                      <w:rFonts w:hint="default" w:ascii="Times New Roman" w:hAnsi="Times New Roman" w:eastAsia="宋体" w:cs="Times New Roman"/>
                      <w:bCs w:val="0"/>
                      <w:sz w:val="21"/>
                      <w:szCs w:val="21"/>
                      <w:u w:val="single"/>
                      <w:lang w:val="en-US" w:eastAsia="zh-CN" w:bidi="ar"/>
                    </w:rPr>
                  </w:pPr>
                  <w:r>
                    <w:rPr>
                      <w:rFonts w:hint="eastAsia" w:ascii="Times New Roman" w:hAnsi="Times New Roman" w:eastAsia="宋体" w:cs="Times New Roman"/>
                      <w:bCs w:val="0"/>
                      <w:sz w:val="21"/>
                      <w:szCs w:val="21"/>
                      <w:u w:val="single"/>
                      <w:lang w:val="en-US" w:eastAsia="zh-CN" w:bidi="ar"/>
                    </w:rPr>
                    <w:t>0.01</w:t>
                  </w:r>
                </w:p>
              </w:tc>
              <w:tc>
                <w:tcPr>
                  <w:tcW w:w="2557" w:type="dxa"/>
                  <w:noWrap w:val="0"/>
                  <w:vAlign w:val="center"/>
                </w:tcPr>
                <w:p w14:paraId="5EA838F4">
                  <w:pPr>
                    <w:widowControl/>
                    <w:adjustRightInd w:val="0"/>
                    <w:snapToGrid w:val="0"/>
                    <w:spacing w:line="240" w:lineRule="auto"/>
                    <w:jc w:val="center"/>
                    <w:rPr>
                      <w:rFonts w:hint="eastAsia" w:ascii="Times New Roman" w:hAnsi="Times New Roman" w:eastAsia="宋体" w:cs="Times New Roman"/>
                      <w:bCs w:val="0"/>
                      <w:sz w:val="21"/>
                      <w:szCs w:val="21"/>
                      <w:u w:val="single"/>
                      <w:lang w:bidi="ar"/>
                    </w:rPr>
                  </w:pPr>
                  <w:r>
                    <w:rPr>
                      <w:rFonts w:eastAsiaTheme="minorEastAsia"/>
                      <w:sz w:val="21"/>
                      <w:szCs w:val="21"/>
                      <w:u w:val="single"/>
                    </w:rPr>
                    <w:t>一般固废（</w:t>
                  </w:r>
                  <w:r>
                    <w:rPr>
                      <w:rFonts w:hint="eastAsia" w:eastAsiaTheme="minorEastAsia"/>
                      <w:sz w:val="21"/>
                      <w:szCs w:val="21"/>
                      <w:u w:val="single"/>
                      <w:lang w:val="en-US" w:eastAsia="zh-CN"/>
                    </w:rPr>
                    <w:t>303</w:t>
                  </w:r>
                  <w:r>
                    <w:rPr>
                      <w:rFonts w:eastAsiaTheme="minorEastAsia"/>
                      <w:sz w:val="21"/>
                      <w:szCs w:val="21"/>
                      <w:u w:val="single"/>
                    </w:rPr>
                    <w:t>-</w:t>
                  </w:r>
                  <w:r>
                    <w:rPr>
                      <w:rFonts w:hint="eastAsia" w:eastAsiaTheme="minorEastAsia"/>
                      <w:sz w:val="21"/>
                      <w:szCs w:val="21"/>
                      <w:u w:val="single"/>
                      <w:lang w:val="en-US" w:eastAsia="zh-CN"/>
                    </w:rPr>
                    <w:t>002</w:t>
                  </w:r>
                  <w:r>
                    <w:rPr>
                      <w:rFonts w:eastAsiaTheme="minorEastAsia"/>
                      <w:sz w:val="21"/>
                      <w:szCs w:val="21"/>
                      <w:u w:val="single"/>
                    </w:rPr>
                    <w:t>-</w:t>
                  </w:r>
                  <w:r>
                    <w:rPr>
                      <w:rFonts w:hint="eastAsia" w:eastAsiaTheme="minorEastAsia"/>
                      <w:sz w:val="21"/>
                      <w:szCs w:val="21"/>
                      <w:u w:val="single"/>
                      <w:lang w:val="en-US" w:eastAsia="zh-CN"/>
                    </w:rPr>
                    <w:t>61</w:t>
                  </w:r>
                  <w:r>
                    <w:rPr>
                      <w:rFonts w:eastAsiaTheme="minorEastAsia"/>
                      <w:sz w:val="21"/>
                      <w:szCs w:val="21"/>
                      <w:u w:val="single"/>
                    </w:rPr>
                    <w:t>）</w:t>
                  </w:r>
                </w:p>
              </w:tc>
              <w:tc>
                <w:tcPr>
                  <w:tcW w:w="2882" w:type="dxa"/>
                  <w:noWrap w:val="0"/>
                  <w:vAlign w:val="center"/>
                </w:tcPr>
                <w:p w14:paraId="13FE9370">
                  <w:pPr>
                    <w:spacing w:line="240" w:lineRule="auto"/>
                    <w:jc w:val="center"/>
                    <w:rPr>
                      <w:rFonts w:hint="eastAsia" w:ascii="Times New Roman" w:hAnsi="Times New Roman" w:eastAsia="宋体" w:cs="Times New Roman"/>
                      <w:bCs w:val="0"/>
                      <w:sz w:val="21"/>
                      <w:szCs w:val="21"/>
                      <w:u w:val="single"/>
                      <w:lang w:bidi="ar"/>
                    </w:rPr>
                  </w:pPr>
                  <w:r>
                    <w:rPr>
                      <w:rFonts w:eastAsiaTheme="minorEastAsia"/>
                      <w:kern w:val="0"/>
                      <w:sz w:val="21"/>
                      <w:szCs w:val="21"/>
                      <w:u w:val="single"/>
                    </w:rPr>
                    <w:t>交由环卫部门统一清理</w:t>
                  </w:r>
                </w:p>
              </w:tc>
            </w:tr>
            <w:tr w14:paraId="40E2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noWrap w:val="0"/>
                  <w:vAlign w:val="center"/>
                </w:tcPr>
                <w:p w14:paraId="77053E25">
                  <w:pPr>
                    <w:widowControl/>
                    <w:adjustRightInd w:val="0"/>
                    <w:snapToGrid w:val="0"/>
                    <w:spacing w:line="240" w:lineRule="auto"/>
                    <w:jc w:val="center"/>
                    <w:rPr>
                      <w:rFonts w:hint="eastAsia" w:ascii="Times New Roman" w:hAnsi="Times New Roman" w:eastAsia="宋体" w:cs="Times New Roman"/>
                      <w:bCs w:val="0"/>
                      <w:sz w:val="21"/>
                      <w:szCs w:val="21"/>
                      <w:u w:val="single"/>
                      <w:lang w:bidi="ar"/>
                    </w:rPr>
                  </w:pPr>
                  <w:r>
                    <w:rPr>
                      <w:rFonts w:hint="eastAsia" w:ascii="Times New Roman" w:hAnsi="Times New Roman" w:eastAsia="宋体" w:cs="Times New Roman"/>
                      <w:bCs w:val="0"/>
                      <w:sz w:val="21"/>
                      <w:szCs w:val="21"/>
                      <w:u w:val="single"/>
                      <w:lang w:bidi="ar"/>
                    </w:rPr>
                    <w:t>3</w:t>
                  </w:r>
                </w:p>
              </w:tc>
              <w:tc>
                <w:tcPr>
                  <w:tcW w:w="893" w:type="pct"/>
                  <w:noWrap w:val="0"/>
                  <w:vAlign w:val="center"/>
                </w:tcPr>
                <w:p w14:paraId="784437A4">
                  <w:pPr>
                    <w:widowControl/>
                    <w:adjustRightInd w:val="0"/>
                    <w:snapToGrid w:val="0"/>
                    <w:spacing w:line="240" w:lineRule="auto"/>
                    <w:jc w:val="center"/>
                    <w:rPr>
                      <w:rFonts w:hint="eastAsia" w:ascii="Times New Roman" w:hAnsi="Times New Roman" w:cs="Times New Roman" w:eastAsiaTheme="minorEastAsia"/>
                      <w:bCs w:val="0"/>
                      <w:sz w:val="21"/>
                      <w:szCs w:val="21"/>
                      <w:u w:val="single"/>
                      <w:lang w:eastAsia="zh-CN" w:bidi="ar"/>
                    </w:rPr>
                  </w:pPr>
                  <w:r>
                    <w:rPr>
                      <w:rFonts w:hint="eastAsia" w:eastAsiaTheme="minorEastAsia"/>
                      <w:sz w:val="21"/>
                      <w:szCs w:val="21"/>
                      <w:u w:val="single"/>
                    </w:rPr>
                    <w:t>废边角料</w:t>
                  </w:r>
                  <w:r>
                    <w:rPr>
                      <w:rFonts w:hint="eastAsia" w:eastAsiaTheme="minorEastAsia"/>
                      <w:sz w:val="21"/>
                      <w:szCs w:val="21"/>
                      <w:u w:val="single"/>
                      <w:lang w:eastAsia="zh-CN"/>
                    </w:rPr>
                    <w:t>及不合格产品</w:t>
                  </w:r>
                </w:p>
              </w:tc>
              <w:tc>
                <w:tcPr>
                  <w:tcW w:w="565" w:type="pct"/>
                  <w:noWrap w:val="0"/>
                  <w:vAlign w:val="center"/>
                </w:tcPr>
                <w:p w14:paraId="02228B21">
                  <w:pPr>
                    <w:widowControl/>
                    <w:adjustRightInd w:val="0"/>
                    <w:snapToGrid w:val="0"/>
                    <w:spacing w:line="240" w:lineRule="auto"/>
                    <w:jc w:val="center"/>
                    <w:rPr>
                      <w:rFonts w:hint="default" w:ascii="Times New Roman" w:hAnsi="Times New Roman" w:eastAsia="宋体" w:cs="Times New Roman"/>
                      <w:bCs w:val="0"/>
                      <w:sz w:val="21"/>
                      <w:szCs w:val="21"/>
                      <w:u w:val="single"/>
                      <w:lang w:val="en-US" w:eastAsia="zh-CN" w:bidi="ar"/>
                    </w:rPr>
                  </w:pPr>
                  <w:r>
                    <w:rPr>
                      <w:rFonts w:hint="eastAsia" w:ascii="Times New Roman" w:hAnsi="Times New Roman" w:eastAsia="宋体" w:cs="Times New Roman"/>
                      <w:bCs w:val="0"/>
                      <w:sz w:val="21"/>
                      <w:szCs w:val="21"/>
                      <w:u w:val="single"/>
                      <w:lang w:val="en-US" w:eastAsia="zh-CN" w:bidi="ar"/>
                    </w:rPr>
                    <w:t>806</w:t>
                  </w:r>
                </w:p>
              </w:tc>
              <w:tc>
                <w:tcPr>
                  <w:tcW w:w="1526" w:type="pct"/>
                  <w:noWrap w:val="0"/>
                  <w:vAlign w:val="center"/>
                </w:tcPr>
                <w:p w14:paraId="1ECA5C88">
                  <w:pPr>
                    <w:widowControl/>
                    <w:wordWrap/>
                    <w:topLinePunct w:val="0"/>
                    <w:adjustRightInd w:val="0"/>
                    <w:snapToGrid w:val="0"/>
                    <w:spacing w:line="240" w:lineRule="auto"/>
                    <w:ind w:left="0" w:leftChars="0" w:right="0" w:rightChars="0"/>
                    <w:jc w:val="center"/>
                    <w:rPr>
                      <w:rFonts w:hint="eastAsia" w:ascii="Times New Roman" w:hAnsi="Times New Roman" w:eastAsia="宋体" w:cs="Times New Roman"/>
                      <w:sz w:val="21"/>
                      <w:szCs w:val="21"/>
                      <w:u w:val="single"/>
                      <w:lang w:bidi="ar"/>
                    </w:rPr>
                  </w:pPr>
                  <w:r>
                    <w:rPr>
                      <w:rFonts w:eastAsiaTheme="minorEastAsia"/>
                      <w:sz w:val="21"/>
                      <w:szCs w:val="21"/>
                      <w:u w:val="single"/>
                    </w:rPr>
                    <w:t>一般固废（</w:t>
                  </w:r>
                  <w:r>
                    <w:rPr>
                      <w:rFonts w:hint="eastAsia" w:eastAsiaTheme="minorEastAsia"/>
                      <w:sz w:val="21"/>
                      <w:szCs w:val="21"/>
                      <w:u w:val="single"/>
                      <w:lang w:val="en-US" w:eastAsia="zh-CN"/>
                    </w:rPr>
                    <w:t>303</w:t>
                  </w:r>
                  <w:r>
                    <w:rPr>
                      <w:rFonts w:eastAsiaTheme="minorEastAsia"/>
                      <w:sz w:val="21"/>
                      <w:szCs w:val="21"/>
                      <w:u w:val="single"/>
                    </w:rPr>
                    <w:t>-</w:t>
                  </w:r>
                  <w:r>
                    <w:rPr>
                      <w:rFonts w:hint="eastAsia" w:eastAsiaTheme="minorEastAsia"/>
                      <w:sz w:val="21"/>
                      <w:szCs w:val="21"/>
                      <w:u w:val="single"/>
                      <w:lang w:val="en-US" w:eastAsia="zh-CN"/>
                    </w:rPr>
                    <w:t>002</w:t>
                  </w:r>
                  <w:r>
                    <w:rPr>
                      <w:rFonts w:eastAsiaTheme="minorEastAsia"/>
                      <w:sz w:val="21"/>
                      <w:szCs w:val="21"/>
                      <w:u w:val="single"/>
                    </w:rPr>
                    <w:t>-99）</w:t>
                  </w:r>
                </w:p>
              </w:tc>
              <w:tc>
                <w:tcPr>
                  <w:tcW w:w="1720" w:type="pct"/>
                  <w:noWrap w:val="0"/>
                  <w:vAlign w:val="center"/>
                </w:tcPr>
                <w:p w14:paraId="497B1A84">
                  <w:pPr>
                    <w:widowControl/>
                    <w:adjustRightInd w:val="0"/>
                    <w:snapToGrid w:val="0"/>
                    <w:spacing w:line="240" w:lineRule="auto"/>
                    <w:jc w:val="center"/>
                    <w:rPr>
                      <w:rFonts w:hint="eastAsia" w:ascii="Times New Roman" w:hAnsi="Times New Roman" w:eastAsia="宋体" w:cs="Times New Roman"/>
                      <w:bCs w:val="0"/>
                      <w:sz w:val="21"/>
                      <w:szCs w:val="21"/>
                      <w:u w:val="single"/>
                      <w:lang w:eastAsia="zh-CN" w:bidi="ar"/>
                    </w:rPr>
                  </w:pPr>
                  <w:r>
                    <w:rPr>
                      <w:rFonts w:hint="eastAsia" w:ascii="Times New Roman" w:hAnsi="Times New Roman" w:eastAsia="宋体" w:cs="Times New Roman"/>
                      <w:bCs w:val="0"/>
                      <w:sz w:val="21"/>
                      <w:szCs w:val="21"/>
                      <w:u w:val="single"/>
                      <w:lang w:eastAsia="zh-CN" w:bidi="ar"/>
                    </w:rPr>
                    <w:t>收集后外售</w:t>
                  </w:r>
                </w:p>
              </w:tc>
            </w:tr>
            <w:tr w14:paraId="3221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noWrap w:val="0"/>
                  <w:vAlign w:val="center"/>
                </w:tcPr>
                <w:p w14:paraId="26A6158C">
                  <w:pPr>
                    <w:widowControl/>
                    <w:adjustRightInd w:val="0"/>
                    <w:snapToGrid w:val="0"/>
                    <w:spacing w:line="240" w:lineRule="auto"/>
                    <w:jc w:val="center"/>
                    <w:rPr>
                      <w:rFonts w:hint="eastAsia" w:ascii="Times New Roman" w:hAnsi="Times New Roman" w:eastAsia="宋体" w:cs="Times New Roman"/>
                      <w:bCs w:val="0"/>
                      <w:sz w:val="21"/>
                      <w:szCs w:val="21"/>
                      <w:u w:val="single"/>
                      <w:lang w:val="en-US" w:eastAsia="zh-CN" w:bidi="ar"/>
                    </w:rPr>
                  </w:pPr>
                  <w:r>
                    <w:rPr>
                      <w:rFonts w:hint="eastAsia" w:ascii="Times New Roman" w:hAnsi="Times New Roman" w:eastAsia="宋体" w:cs="Times New Roman"/>
                      <w:bCs w:val="0"/>
                      <w:sz w:val="21"/>
                      <w:szCs w:val="21"/>
                      <w:u w:val="single"/>
                      <w:lang w:val="en-US" w:eastAsia="zh-CN" w:bidi="ar"/>
                    </w:rPr>
                    <w:t>4</w:t>
                  </w:r>
                </w:p>
              </w:tc>
              <w:tc>
                <w:tcPr>
                  <w:tcW w:w="893" w:type="pct"/>
                  <w:noWrap w:val="0"/>
                  <w:vAlign w:val="center"/>
                </w:tcPr>
                <w:p w14:paraId="201C4C9F">
                  <w:pPr>
                    <w:widowControl/>
                    <w:adjustRightInd w:val="0"/>
                    <w:snapToGrid w:val="0"/>
                    <w:spacing w:line="240" w:lineRule="auto"/>
                    <w:jc w:val="center"/>
                    <w:rPr>
                      <w:rFonts w:hint="eastAsia" w:eastAsiaTheme="minorEastAsia"/>
                      <w:sz w:val="21"/>
                      <w:szCs w:val="21"/>
                      <w:u w:val="single"/>
                    </w:rPr>
                  </w:pPr>
                  <w:r>
                    <w:rPr>
                      <w:rFonts w:eastAsiaTheme="majorEastAsia"/>
                      <w:sz w:val="21"/>
                      <w:szCs w:val="21"/>
                      <w:u w:val="single"/>
                    </w:rPr>
                    <w:t>生活垃圾</w:t>
                  </w:r>
                </w:p>
              </w:tc>
              <w:tc>
                <w:tcPr>
                  <w:tcW w:w="565" w:type="pct"/>
                  <w:noWrap w:val="0"/>
                  <w:vAlign w:val="center"/>
                </w:tcPr>
                <w:p w14:paraId="332E0C64">
                  <w:pPr>
                    <w:widowControl/>
                    <w:adjustRightInd w:val="0"/>
                    <w:snapToGrid w:val="0"/>
                    <w:spacing w:line="240" w:lineRule="auto"/>
                    <w:jc w:val="center"/>
                    <w:rPr>
                      <w:rFonts w:hint="default" w:ascii="Times New Roman" w:hAnsi="Times New Roman" w:eastAsia="宋体" w:cs="Times New Roman"/>
                      <w:bCs w:val="0"/>
                      <w:sz w:val="21"/>
                      <w:szCs w:val="21"/>
                      <w:u w:val="single"/>
                      <w:lang w:val="en-US" w:eastAsia="zh-CN" w:bidi="ar"/>
                    </w:rPr>
                  </w:pPr>
                  <w:r>
                    <w:rPr>
                      <w:rFonts w:hint="eastAsia" w:ascii="Times New Roman" w:hAnsi="Times New Roman" w:eastAsia="宋体" w:cs="Times New Roman"/>
                      <w:bCs w:val="0"/>
                      <w:sz w:val="21"/>
                      <w:szCs w:val="21"/>
                      <w:u w:val="single"/>
                      <w:lang w:val="en-US" w:eastAsia="zh-CN" w:bidi="ar"/>
                    </w:rPr>
                    <w:t>1.2</w:t>
                  </w:r>
                </w:p>
              </w:tc>
              <w:tc>
                <w:tcPr>
                  <w:tcW w:w="1526" w:type="pct"/>
                  <w:noWrap w:val="0"/>
                  <w:vAlign w:val="center"/>
                </w:tcPr>
                <w:p w14:paraId="3D22C869">
                  <w:pPr>
                    <w:widowControl/>
                    <w:wordWrap/>
                    <w:topLinePunct w:val="0"/>
                    <w:adjustRightInd w:val="0"/>
                    <w:snapToGrid w:val="0"/>
                    <w:spacing w:line="240" w:lineRule="auto"/>
                    <w:ind w:left="0" w:leftChars="0" w:right="0" w:rightChars="0"/>
                    <w:jc w:val="center"/>
                    <w:rPr>
                      <w:rFonts w:eastAsiaTheme="minorEastAsia"/>
                      <w:sz w:val="21"/>
                      <w:szCs w:val="21"/>
                      <w:u w:val="single"/>
                    </w:rPr>
                  </w:pPr>
                  <w:r>
                    <w:rPr>
                      <w:rFonts w:eastAsiaTheme="minorEastAsia"/>
                      <w:sz w:val="21"/>
                      <w:szCs w:val="21"/>
                      <w:u w:val="single"/>
                    </w:rPr>
                    <w:t>一般固废</w:t>
                  </w:r>
                </w:p>
              </w:tc>
              <w:tc>
                <w:tcPr>
                  <w:tcW w:w="1720" w:type="pct"/>
                  <w:noWrap w:val="0"/>
                  <w:vAlign w:val="center"/>
                </w:tcPr>
                <w:p w14:paraId="2A2908E3">
                  <w:pPr>
                    <w:widowControl/>
                    <w:adjustRightInd w:val="0"/>
                    <w:snapToGrid w:val="0"/>
                    <w:spacing w:line="240" w:lineRule="auto"/>
                    <w:jc w:val="center"/>
                    <w:rPr>
                      <w:rFonts w:hint="eastAsia" w:ascii="Times New Roman" w:hAnsi="Times New Roman" w:eastAsia="宋体" w:cs="Times New Roman"/>
                      <w:bCs w:val="0"/>
                      <w:sz w:val="21"/>
                      <w:szCs w:val="21"/>
                      <w:u w:val="single"/>
                      <w:lang w:bidi="ar"/>
                    </w:rPr>
                  </w:pPr>
                  <w:r>
                    <w:rPr>
                      <w:rFonts w:eastAsiaTheme="majorEastAsia"/>
                      <w:sz w:val="21"/>
                      <w:szCs w:val="21"/>
                      <w:u w:val="single"/>
                    </w:rPr>
                    <w:t>运至附近垃圾中转站</w:t>
                  </w:r>
                </w:p>
              </w:tc>
            </w:tr>
            <w:tr w14:paraId="30BB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 w:type="pct"/>
                  <w:noWrap w:val="0"/>
                  <w:vAlign w:val="center"/>
                </w:tcPr>
                <w:p w14:paraId="11402113">
                  <w:pPr>
                    <w:widowControl/>
                    <w:adjustRightInd w:val="0"/>
                    <w:snapToGrid w:val="0"/>
                    <w:spacing w:line="240" w:lineRule="auto"/>
                    <w:jc w:val="center"/>
                    <w:rPr>
                      <w:rFonts w:hint="eastAsia" w:ascii="Times New Roman" w:hAnsi="Times New Roman" w:eastAsia="宋体" w:cs="Times New Roman"/>
                      <w:bCs w:val="0"/>
                      <w:sz w:val="21"/>
                      <w:szCs w:val="21"/>
                      <w:u w:val="single"/>
                      <w:lang w:val="en-US" w:eastAsia="zh-CN" w:bidi="ar"/>
                    </w:rPr>
                  </w:pPr>
                  <w:r>
                    <w:rPr>
                      <w:rFonts w:hint="eastAsia" w:ascii="Times New Roman" w:hAnsi="Times New Roman" w:eastAsia="宋体" w:cs="Times New Roman"/>
                      <w:bCs w:val="0"/>
                      <w:sz w:val="21"/>
                      <w:szCs w:val="21"/>
                      <w:u w:val="single"/>
                      <w:lang w:val="en-US" w:eastAsia="zh-CN" w:bidi="ar"/>
                    </w:rPr>
                    <w:t>5</w:t>
                  </w:r>
                </w:p>
              </w:tc>
              <w:tc>
                <w:tcPr>
                  <w:tcW w:w="893" w:type="pct"/>
                  <w:noWrap w:val="0"/>
                  <w:vAlign w:val="center"/>
                </w:tcPr>
                <w:p w14:paraId="13F6C943">
                  <w:pPr>
                    <w:widowControl/>
                    <w:adjustRightInd w:val="0"/>
                    <w:snapToGrid w:val="0"/>
                    <w:spacing w:line="240" w:lineRule="auto"/>
                    <w:jc w:val="center"/>
                    <w:rPr>
                      <w:rFonts w:eastAsiaTheme="majorEastAsia"/>
                      <w:sz w:val="21"/>
                      <w:szCs w:val="21"/>
                      <w:u w:val="single"/>
                    </w:rPr>
                  </w:pPr>
                  <w:r>
                    <w:rPr>
                      <w:rFonts w:eastAsiaTheme="minorEastAsia"/>
                      <w:sz w:val="21"/>
                      <w:szCs w:val="21"/>
                      <w:u w:val="single"/>
                    </w:rPr>
                    <w:t>废包装材料</w:t>
                  </w:r>
                </w:p>
              </w:tc>
              <w:tc>
                <w:tcPr>
                  <w:tcW w:w="565" w:type="pct"/>
                  <w:noWrap w:val="0"/>
                  <w:vAlign w:val="center"/>
                </w:tcPr>
                <w:p w14:paraId="4511AE47">
                  <w:pPr>
                    <w:widowControl/>
                    <w:adjustRightInd w:val="0"/>
                    <w:snapToGrid w:val="0"/>
                    <w:spacing w:line="240" w:lineRule="auto"/>
                    <w:jc w:val="center"/>
                    <w:rPr>
                      <w:rFonts w:hint="default" w:ascii="Times New Roman" w:hAnsi="Times New Roman" w:eastAsia="宋体" w:cs="Times New Roman"/>
                      <w:bCs w:val="0"/>
                      <w:sz w:val="21"/>
                      <w:szCs w:val="21"/>
                      <w:u w:val="single"/>
                      <w:lang w:val="en-US" w:eastAsia="zh-CN" w:bidi="ar"/>
                    </w:rPr>
                  </w:pPr>
                  <w:r>
                    <w:rPr>
                      <w:rFonts w:hint="eastAsia" w:ascii="Times New Roman" w:hAnsi="Times New Roman" w:eastAsia="宋体" w:cs="Times New Roman"/>
                      <w:bCs w:val="0"/>
                      <w:sz w:val="21"/>
                      <w:szCs w:val="21"/>
                      <w:u w:val="single"/>
                      <w:lang w:val="en-US" w:eastAsia="zh-CN" w:bidi="ar"/>
                    </w:rPr>
                    <w:t>0.005</w:t>
                  </w:r>
                </w:p>
              </w:tc>
              <w:tc>
                <w:tcPr>
                  <w:tcW w:w="1526" w:type="pct"/>
                  <w:noWrap w:val="0"/>
                  <w:vAlign w:val="center"/>
                </w:tcPr>
                <w:p w14:paraId="0CC7432A">
                  <w:pPr>
                    <w:widowControl/>
                    <w:wordWrap/>
                    <w:topLinePunct w:val="0"/>
                    <w:adjustRightInd w:val="0"/>
                    <w:snapToGrid w:val="0"/>
                    <w:spacing w:line="240" w:lineRule="auto"/>
                    <w:ind w:left="0" w:leftChars="0" w:right="0" w:rightChars="0"/>
                    <w:jc w:val="center"/>
                    <w:rPr>
                      <w:rFonts w:eastAsiaTheme="minorEastAsia"/>
                      <w:sz w:val="21"/>
                      <w:szCs w:val="21"/>
                      <w:u w:val="single"/>
                    </w:rPr>
                  </w:pPr>
                  <w:r>
                    <w:rPr>
                      <w:rFonts w:eastAsiaTheme="minorEastAsia"/>
                      <w:sz w:val="21"/>
                      <w:szCs w:val="21"/>
                      <w:u w:val="single"/>
                    </w:rPr>
                    <w:t>一般固废（</w:t>
                  </w:r>
                  <w:r>
                    <w:rPr>
                      <w:rFonts w:hint="eastAsia" w:eastAsiaTheme="minorEastAsia"/>
                      <w:sz w:val="21"/>
                      <w:szCs w:val="21"/>
                      <w:u w:val="single"/>
                      <w:lang w:val="en-US" w:eastAsia="zh-CN"/>
                    </w:rPr>
                    <w:t>303</w:t>
                  </w:r>
                  <w:r>
                    <w:rPr>
                      <w:rFonts w:eastAsiaTheme="minorEastAsia"/>
                      <w:sz w:val="21"/>
                      <w:szCs w:val="21"/>
                      <w:u w:val="single"/>
                    </w:rPr>
                    <w:t>-</w:t>
                  </w:r>
                  <w:r>
                    <w:rPr>
                      <w:rFonts w:hint="eastAsia" w:eastAsiaTheme="minorEastAsia"/>
                      <w:sz w:val="21"/>
                      <w:szCs w:val="21"/>
                      <w:u w:val="single"/>
                      <w:lang w:val="en-US" w:eastAsia="zh-CN"/>
                    </w:rPr>
                    <w:t>002</w:t>
                  </w:r>
                  <w:r>
                    <w:rPr>
                      <w:rFonts w:eastAsiaTheme="minorEastAsia"/>
                      <w:sz w:val="21"/>
                      <w:szCs w:val="21"/>
                      <w:u w:val="single"/>
                    </w:rPr>
                    <w:t>-</w:t>
                  </w:r>
                  <w:r>
                    <w:rPr>
                      <w:rFonts w:hint="eastAsia" w:eastAsiaTheme="minorEastAsia"/>
                      <w:sz w:val="21"/>
                      <w:szCs w:val="21"/>
                      <w:u w:val="single"/>
                      <w:lang w:val="en-US" w:eastAsia="zh-CN"/>
                    </w:rPr>
                    <w:t>07</w:t>
                  </w:r>
                  <w:r>
                    <w:rPr>
                      <w:rFonts w:eastAsiaTheme="minorEastAsia"/>
                      <w:sz w:val="21"/>
                      <w:szCs w:val="21"/>
                      <w:u w:val="single"/>
                    </w:rPr>
                    <w:t>）</w:t>
                  </w:r>
                </w:p>
              </w:tc>
              <w:tc>
                <w:tcPr>
                  <w:tcW w:w="1720" w:type="pct"/>
                  <w:noWrap w:val="0"/>
                  <w:vAlign w:val="center"/>
                </w:tcPr>
                <w:p w14:paraId="69975934">
                  <w:pPr>
                    <w:widowControl/>
                    <w:adjustRightInd w:val="0"/>
                    <w:snapToGrid w:val="0"/>
                    <w:spacing w:line="240" w:lineRule="auto"/>
                    <w:jc w:val="center"/>
                    <w:rPr>
                      <w:rFonts w:hint="eastAsia" w:ascii="Times New Roman" w:hAnsi="Times New Roman" w:eastAsia="宋体" w:cs="Times New Roman"/>
                      <w:bCs w:val="0"/>
                      <w:sz w:val="21"/>
                      <w:szCs w:val="21"/>
                      <w:u w:val="single"/>
                      <w:lang w:bidi="ar"/>
                    </w:rPr>
                  </w:pPr>
                  <w:r>
                    <w:rPr>
                      <w:rFonts w:eastAsiaTheme="minorEastAsia"/>
                      <w:kern w:val="0"/>
                      <w:sz w:val="21"/>
                      <w:szCs w:val="21"/>
                      <w:u w:val="single"/>
                    </w:rPr>
                    <w:t>交由环卫部门统一清理</w:t>
                  </w:r>
                </w:p>
              </w:tc>
            </w:tr>
          </w:tbl>
          <w:p w14:paraId="5AE1DA41">
            <w:pPr>
              <w:adjustRightInd w:val="0"/>
              <w:snapToGrid w:val="0"/>
              <w:spacing w:line="360" w:lineRule="auto"/>
              <w:rPr>
                <w:b/>
                <w:bCs/>
                <w:sz w:val="24"/>
              </w:rPr>
            </w:pPr>
            <w:r>
              <w:rPr>
                <w:rFonts w:hint="eastAsia"/>
                <w:b/>
                <w:bCs/>
                <w:lang w:val="en-US" w:eastAsia="zh-CN"/>
              </w:rPr>
              <w:t>5、</w:t>
            </w:r>
            <w:r>
              <w:rPr>
                <w:b/>
                <w:bCs/>
                <w:sz w:val="24"/>
              </w:rPr>
              <w:t>现有工程污染物排放情况汇总</w:t>
            </w:r>
          </w:p>
          <w:p w14:paraId="5613E938">
            <w:pPr>
              <w:adjustRightInd w:val="0"/>
              <w:snapToGrid w:val="0"/>
              <w:spacing w:line="360" w:lineRule="auto"/>
              <w:ind w:firstLine="480"/>
              <w:rPr>
                <w:bCs/>
              </w:rPr>
            </w:pPr>
            <w:r>
              <w:rPr>
                <w:bCs/>
                <w:sz w:val="24"/>
                <w:szCs w:val="32"/>
              </w:rPr>
              <w:t>现有工程污染物排放情况汇总见下表：</w:t>
            </w:r>
          </w:p>
          <w:p w14:paraId="62344D6D">
            <w:pPr>
              <w:pStyle w:val="8"/>
              <w:numPr>
                <w:ilvl w:val="-1"/>
                <w:numId w:val="0"/>
              </w:numPr>
              <w:spacing w:line="240" w:lineRule="auto"/>
              <w:ind w:left="0" w:firstLine="0"/>
              <w:jc w:val="center"/>
              <w:rPr>
                <w:rFonts w:hint="eastAsia" w:ascii="Times New Roman" w:hAnsi="Times New Roman" w:eastAsia="宋体" w:cs="Times New Roman"/>
                <w:b/>
                <w:bCs/>
                <w:sz w:val="21"/>
                <w:szCs w:val="21"/>
                <w:u w:val="single"/>
              </w:rPr>
            </w:pPr>
            <w:r>
              <w:rPr>
                <w:rFonts w:hint="eastAsia" w:ascii="Times New Roman" w:hAnsi="Times New Roman" w:eastAsia="宋体" w:cs="Times New Roman"/>
                <w:b/>
                <w:bCs/>
                <w:sz w:val="21"/>
                <w:szCs w:val="21"/>
                <w:u w:val="single"/>
              </w:rPr>
              <w:t>表2-1</w:t>
            </w:r>
            <w:r>
              <w:rPr>
                <w:rFonts w:hint="eastAsia" w:ascii="Times New Roman" w:hAnsi="Times New Roman" w:eastAsia="宋体" w:cs="Times New Roman"/>
                <w:b/>
                <w:bCs/>
                <w:sz w:val="21"/>
                <w:szCs w:val="21"/>
                <w:u w:val="single"/>
                <w:lang w:val="en-US" w:eastAsia="zh-CN"/>
              </w:rPr>
              <w:t>7</w:t>
            </w:r>
            <w:r>
              <w:rPr>
                <w:rFonts w:hint="eastAsia" w:ascii="Times New Roman" w:hAnsi="Times New Roman" w:eastAsia="宋体" w:cs="Times New Roman"/>
                <w:b/>
                <w:bCs/>
                <w:sz w:val="21"/>
                <w:szCs w:val="21"/>
                <w:u w:val="single"/>
              </w:rPr>
              <w:t xml:space="preserve">  现有工程污染物排放量统计表</w:t>
            </w:r>
          </w:p>
          <w:tbl>
            <w:tblPr>
              <w:tblStyle w:val="24"/>
              <w:tblW w:w="837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1383"/>
              <w:gridCol w:w="3050"/>
              <w:gridCol w:w="3943"/>
            </w:tblGrid>
            <w:tr w14:paraId="5E5FAB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26" w:type="pct"/>
                  <w:noWrap w:val="0"/>
                  <w:vAlign w:val="center"/>
                </w:tcPr>
                <w:p w14:paraId="60DB321D">
                  <w:pPr>
                    <w:pStyle w:val="60"/>
                    <w:rPr>
                      <w:rFonts w:hint="eastAsia" w:ascii="Times New Roman" w:hAnsi="Times New Roman" w:eastAsia="宋体" w:cs="Times New Roman"/>
                      <w:b/>
                      <w:bCs/>
                      <w:sz w:val="21"/>
                      <w:szCs w:val="21"/>
                      <w:u w:val="single"/>
                    </w:rPr>
                  </w:pPr>
                  <w:r>
                    <w:rPr>
                      <w:rFonts w:hint="eastAsia" w:ascii="Times New Roman" w:hAnsi="Times New Roman" w:eastAsia="宋体" w:cs="Times New Roman"/>
                      <w:b/>
                      <w:bCs/>
                      <w:sz w:val="21"/>
                      <w:szCs w:val="21"/>
                      <w:u w:val="single"/>
                    </w:rPr>
                    <w:t>污染物类别</w:t>
                  </w:r>
                </w:p>
              </w:tc>
              <w:tc>
                <w:tcPr>
                  <w:tcW w:w="1820" w:type="pct"/>
                  <w:noWrap w:val="0"/>
                  <w:vAlign w:val="center"/>
                </w:tcPr>
                <w:p w14:paraId="2246C2D9">
                  <w:pPr>
                    <w:pStyle w:val="60"/>
                    <w:rPr>
                      <w:rFonts w:hint="eastAsia" w:ascii="Times New Roman" w:hAnsi="Times New Roman" w:eastAsia="宋体" w:cs="Times New Roman"/>
                      <w:b/>
                      <w:bCs/>
                      <w:sz w:val="21"/>
                      <w:szCs w:val="21"/>
                      <w:u w:val="single"/>
                    </w:rPr>
                  </w:pPr>
                  <w:r>
                    <w:rPr>
                      <w:rFonts w:hint="eastAsia" w:ascii="Times New Roman" w:hAnsi="Times New Roman" w:eastAsia="宋体" w:cs="Times New Roman"/>
                      <w:b/>
                      <w:bCs/>
                      <w:sz w:val="21"/>
                      <w:szCs w:val="21"/>
                      <w:u w:val="single"/>
                    </w:rPr>
                    <w:t>污染物种类</w:t>
                  </w:r>
                </w:p>
              </w:tc>
              <w:tc>
                <w:tcPr>
                  <w:tcW w:w="2353" w:type="pct"/>
                  <w:noWrap w:val="0"/>
                  <w:vAlign w:val="center"/>
                </w:tcPr>
                <w:p w14:paraId="46F61ADD">
                  <w:pPr>
                    <w:pStyle w:val="60"/>
                    <w:rPr>
                      <w:rFonts w:hint="eastAsia" w:ascii="Times New Roman" w:hAnsi="Times New Roman" w:eastAsia="宋体" w:cs="Times New Roman"/>
                      <w:b/>
                      <w:bCs/>
                      <w:sz w:val="21"/>
                      <w:szCs w:val="21"/>
                      <w:u w:val="single"/>
                    </w:rPr>
                  </w:pPr>
                  <w:r>
                    <w:rPr>
                      <w:rFonts w:hint="eastAsia" w:ascii="Times New Roman" w:hAnsi="Times New Roman" w:eastAsia="宋体" w:cs="Times New Roman"/>
                      <w:b/>
                      <w:bCs/>
                      <w:sz w:val="21"/>
                      <w:szCs w:val="21"/>
                      <w:u w:val="single"/>
                    </w:rPr>
                    <w:t>排放量</w:t>
                  </w:r>
                </w:p>
              </w:tc>
            </w:tr>
            <w:tr w14:paraId="2A1F35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93" w:hRule="atLeast"/>
                <w:jc w:val="center"/>
              </w:trPr>
              <w:tc>
                <w:tcPr>
                  <w:tcW w:w="826" w:type="pct"/>
                  <w:vMerge w:val="restart"/>
                  <w:noWrap w:val="0"/>
                  <w:vAlign w:val="center"/>
                </w:tcPr>
                <w:p w14:paraId="47576F8C">
                  <w:pPr>
                    <w:pStyle w:val="60"/>
                    <w:rPr>
                      <w:rFonts w:hint="eastAsia" w:ascii="Times New Roman" w:hAnsi="Times New Roman" w:eastAsia="宋体" w:cs="Times New Roman"/>
                      <w:sz w:val="21"/>
                      <w:szCs w:val="21"/>
                      <w:u w:val="single"/>
                    </w:rPr>
                  </w:pPr>
                  <w:r>
                    <w:rPr>
                      <w:rFonts w:hint="eastAsia" w:ascii="Times New Roman" w:hAnsi="Times New Roman" w:eastAsia="宋体" w:cs="Times New Roman"/>
                      <w:sz w:val="21"/>
                      <w:szCs w:val="21"/>
                      <w:u w:val="single"/>
                    </w:rPr>
                    <w:t>废气</w:t>
                  </w:r>
                </w:p>
              </w:tc>
              <w:tc>
                <w:tcPr>
                  <w:tcW w:w="1820" w:type="pct"/>
                  <w:noWrap w:val="0"/>
                  <w:vAlign w:val="center"/>
                </w:tcPr>
                <w:p w14:paraId="1D8B2628">
                  <w:pPr>
                    <w:widowControl/>
                    <w:adjustRightInd w:val="0"/>
                    <w:snapToGrid w:val="0"/>
                    <w:spacing w:line="240" w:lineRule="auto"/>
                    <w:ind w:firstLine="0"/>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颗粒物</w:t>
                  </w:r>
                  <w:r>
                    <w:rPr>
                      <w:rFonts w:hint="eastAsia" w:ascii="Times New Roman" w:hAnsi="Times New Roman" w:eastAsia="宋体" w:cs="Times New Roman"/>
                      <w:sz w:val="21"/>
                      <w:szCs w:val="21"/>
                      <w:u w:val="single"/>
                    </w:rPr>
                    <w:t>（t/a）</w:t>
                  </w:r>
                </w:p>
              </w:tc>
              <w:tc>
                <w:tcPr>
                  <w:tcW w:w="2353" w:type="pct"/>
                  <w:noWrap w:val="0"/>
                  <w:vAlign w:val="center"/>
                </w:tcPr>
                <w:p w14:paraId="313B5B9E">
                  <w:pPr>
                    <w:widowControl/>
                    <w:adjustRightInd w:val="0"/>
                    <w:snapToGrid w:val="0"/>
                    <w:spacing w:line="240" w:lineRule="auto"/>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kern w:val="2"/>
                      <w:sz w:val="21"/>
                      <w:szCs w:val="21"/>
                      <w:u w:val="single"/>
                      <w:lang w:val="en-US" w:eastAsia="zh-CN" w:bidi="ar-SA"/>
                    </w:rPr>
                    <w:t>0.229</w:t>
                  </w:r>
                </w:p>
              </w:tc>
            </w:tr>
            <w:tr w14:paraId="740F5B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14" w:hRule="atLeast"/>
                <w:jc w:val="center"/>
              </w:trPr>
              <w:tc>
                <w:tcPr>
                  <w:tcW w:w="826" w:type="pct"/>
                  <w:vMerge w:val="continue"/>
                  <w:noWrap w:val="0"/>
                  <w:vAlign w:val="center"/>
                </w:tcPr>
                <w:p w14:paraId="1E7FAEFB">
                  <w:pPr>
                    <w:pStyle w:val="60"/>
                    <w:rPr>
                      <w:rFonts w:hint="eastAsia" w:ascii="Times New Roman" w:hAnsi="Times New Roman" w:eastAsia="宋体" w:cs="Times New Roman"/>
                      <w:sz w:val="21"/>
                      <w:szCs w:val="21"/>
                      <w:u w:val="single"/>
                    </w:rPr>
                  </w:pPr>
                </w:p>
              </w:tc>
              <w:tc>
                <w:tcPr>
                  <w:tcW w:w="1820" w:type="pct"/>
                  <w:noWrap w:val="0"/>
                  <w:vAlign w:val="center"/>
                </w:tcPr>
                <w:p w14:paraId="24C36030">
                  <w:pPr>
                    <w:pStyle w:val="60"/>
                    <w:rPr>
                      <w:rFonts w:hint="eastAsia" w:ascii="Times New Roman" w:hAnsi="Times New Roman" w:eastAsia="宋体" w:cs="Times New Roman"/>
                      <w:sz w:val="21"/>
                      <w:szCs w:val="21"/>
                      <w:u w:val="single"/>
                    </w:rPr>
                  </w:pPr>
                  <w:r>
                    <w:rPr>
                      <w:rFonts w:hint="eastAsia" w:ascii="Times New Roman" w:hAnsi="Times New Roman" w:eastAsia="宋体" w:cs="Times New Roman"/>
                      <w:sz w:val="21"/>
                      <w:szCs w:val="21"/>
                      <w:u w:val="single"/>
                    </w:rPr>
                    <w:t>油烟（kg/a）</w:t>
                  </w:r>
                </w:p>
              </w:tc>
              <w:tc>
                <w:tcPr>
                  <w:tcW w:w="2353" w:type="pct"/>
                  <w:noWrap w:val="0"/>
                  <w:vAlign w:val="center"/>
                </w:tcPr>
                <w:p w14:paraId="1FA1D8A8">
                  <w:pPr>
                    <w:widowControl/>
                    <w:adjustRightInd w:val="0"/>
                    <w:snapToGrid w:val="0"/>
                    <w:spacing w:line="240" w:lineRule="auto"/>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kern w:val="2"/>
                      <w:sz w:val="21"/>
                      <w:szCs w:val="21"/>
                      <w:u w:val="single"/>
                      <w:lang w:val="en-US" w:eastAsia="zh-CN" w:bidi="ar-SA"/>
                    </w:rPr>
                    <w:t>0.31</w:t>
                  </w:r>
                </w:p>
              </w:tc>
            </w:tr>
            <w:tr w14:paraId="0B8A9D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31" w:hRule="atLeast"/>
                <w:jc w:val="center"/>
              </w:trPr>
              <w:tc>
                <w:tcPr>
                  <w:tcW w:w="826" w:type="pct"/>
                  <w:vMerge w:val="restart"/>
                  <w:noWrap w:val="0"/>
                  <w:vAlign w:val="center"/>
                </w:tcPr>
                <w:p w14:paraId="7F4E9C6E">
                  <w:pPr>
                    <w:pStyle w:val="60"/>
                    <w:rPr>
                      <w:rFonts w:hint="eastAsia" w:ascii="Times New Roman" w:hAnsi="Times New Roman" w:eastAsia="宋体" w:cs="Times New Roman"/>
                      <w:sz w:val="21"/>
                      <w:szCs w:val="21"/>
                      <w:u w:val="single"/>
                    </w:rPr>
                  </w:pPr>
                  <w:r>
                    <w:rPr>
                      <w:rFonts w:hint="eastAsia" w:ascii="Times New Roman" w:hAnsi="Times New Roman" w:eastAsia="宋体" w:cs="Times New Roman"/>
                      <w:sz w:val="21"/>
                      <w:szCs w:val="21"/>
                      <w:u w:val="single"/>
                    </w:rPr>
                    <w:t>废水</w:t>
                  </w:r>
                </w:p>
              </w:tc>
              <w:tc>
                <w:tcPr>
                  <w:tcW w:w="1820" w:type="pct"/>
                  <w:noWrap w:val="0"/>
                  <w:vAlign w:val="center"/>
                </w:tcPr>
                <w:p w14:paraId="2A328B7F">
                  <w:pPr>
                    <w:adjustRightInd w:val="0"/>
                    <w:snapToGrid w:val="0"/>
                    <w:spacing w:line="240" w:lineRule="auto"/>
                    <w:jc w:val="center"/>
                    <w:rPr>
                      <w:rFonts w:hint="eastAsia" w:ascii="Times New Roman" w:hAnsi="Times New Roman" w:eastAsia="宋体" w:cs="Times New Roman"/>
                      <w:sz w:val="21"/>
                      <w:szCs w:val="21"/>
                      <w:u w:val="single"/>
                    </w:rPr>
                  </w:pPr>
                  <w:r>
                    <w:rPr>
                      <w:rFonts w:hint="eastAsia" w:ascii="Times New Roman" w:hAnsi="Times New Roman" w:eastAsia="宋体" w:cs="Times New Roman"/>
                      <w:kern w:val="2"/>
                      <w:sz w:val="21"/>
                      <w:szCs w:val="21"/>
                      <w:u w:val="single"/>
                    </w:rPr>
                    <w:t>COD</w:t>
                  </w:r>
                  <w:r>
                    <w:rPr>
                      <w:rFonts w:hint="eastAsia" w:ascii="Times New Roman" w:hAnsi="Times New Roman" w:eastAsia="宋体" w:cs="Times New Roman"/>
                      <w:sz w:val="21"/>
                      <w:szCs w:val="21"/>
                      <w:u w:val="single"/>
                    </w:rPr>
                    <w:t>（t/a）</w:t>
                  </w:r>
                </w:p>
              </w:tc>
              <w:tc>
                <w:tcPr>
                  <w:tcW w:w="2353" w:type="pct"/>
                  <w:noWrap w:val="0"/>
                  <w:vAlign w:val="center"/>
                </w:tcPr>
                <w:p w14:paraId="7C50F7C1">
                  <w:pPr>
                    <w:keepNext w:val="0"/>
                    <w:keepLines w:val="0"/>
                    <w:widowControl/>
                    <w:suppressLineNumbers w:val="0"/>
                    <w:spacing w:line="240" w:lineRule="auto"/>
                    <w:jc w:val="center"/>
                    <w:textAlignment w:val="center"/>
                    <w:rPr>
                      <w:rFonts w:hint="eastAsia" w:ascii="Times New Roman" w:hAnsi="Times New Roman" w:eastAsia="宋体" w:cs="Times New Roman"/>
                      <w:sz w:val="21"/>
                      <w:szCs w:val="21"/>
                      <w:u w:val="single"/>
                    </w:rPr>
                  </w:pPr>
                  <w:r>
                    <w:rPr>
                      <w:rFonts w:hint="default" w:ascii="Times New Roman" w:hAnsi="Times New Roman" w:eastAsia="宋体" w:cs="Times New Roman"/>
                      <w:i w:val="0"/>
                      <w:iCs w:val="0"/>
                      <w:kern w:val="0"/>
                      <w:sz w:val="21"/>
                      <w:szCs w:val="21"/>
                      <w:u w:val="single"/>
                      <w:lang w:val="en-US" w:eastAsia="zh-CN" w:bidi="ar"/>
                    </w:rPr>
                    <w:t>0.014</w:t>
                  </w:r>
                </w:p>
              </w:tc>
            </w:tr>
            <w:tr w14:paraId="40680E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26" w:type="pct"/>
                  <w:vMerge w:val="continue"/>
                  <w:noWrap w:val="0"/>
                  <w:vAlign w:val="center"/>
                </w:tcPr>
                <w:p w14:paraId="5793ADE1">
                  <w:pPr>
                    <w:pStyle w:val="60"/>
                    <w:rPr>
                      <w:rFonts w:hint="eastAsia" w:ascii="Times New Roman" w:hAnsi="Times New Roman" w:eastAsia="宋体" w:cs="Times New Roman"/>
                      <w:sz w:val="21"/>
                      <w:szCs w:val="21"/>
                      <w:u w:val="single"/>
                    </w:rPr>
                  </w:pPr>
                </w:p>
              </w:tc>
              <w:tc>
                <w:tcPr>
                  <w:tcW w:w="1820" w:type="pct"/>
                  <w:noWrap w:val="0"/>
                  <w:vAlign w:val="center"/>
                </w:tcPr>
                <w:p w14:paraId="1CF2FE77">
                  <w:pPr>
                    <w:adjustRightInd w:val="0"/>
                    <w:snapToGrid w:val="0"/>
                    <w:spacing w:line="240" w:lineRule="auto"/>
                    <w:jc w:val="center"/>
                    <w:rPr>
                      <w:rFonts w:hint="eastAsia" w:ascii="Times New Roman" w:hAnsi="Times New Roman" w:eastAsia="宋体" w:cs="Times New Roman"/>
                      <w:sz w:val="21"/>
                      <w:szCs w:val="21"/>
                      <w:u w:val="single"/>
                    </w:rPr>
                  </w:pPr>
                  <w:r>
                    <w:rPr>
                      <w:rFonts w:hint="eastAsia" w:ascii="Times New Roman" w:hAnsi="Times New Roman" w:eastAsia="宋体" w:cs="Times New Roman"/>
                      <w:kern w:val="2"/>
                      <w:sz w:val="21"/>
                      <w:szCs w:val="21"/>
                      <w:u w:val="single"/>
                    </w:rPr>
                    <w:t>BOD</w:t>
                  </w:r>
                  <w:r>
                    <w:rPr>
                      <w:rFonts w:hint="eastAsia" w:ascii="Times New Roman" w:hAnsi="Times New Roman" w:eastAsia="宋体" w:cs="Times New Roman"/>
                      <w:kern w:val="2"/>
                      <w:sz w:val="21"/>
                      <w:szCs w:val="21"/>
                      <w:u w:val="single"/>
                      <w:vertAlign w:val="subscript"/>
                    </w:rPr>
                    <w:t>5</w:t>
                  </w:r>
                  <w:r>
                    <w:rPr>
                      <w:rFonts w:hint="eastAsia" w:ascii="Times New Roman" w:hAnsi="Times New Roman" w:eastAsia="宋体" w:cs="Times New Roman"/>
                      <w:sz w:val="21"/>
                      <w:szCs w:val="21"/>
                      <w:u w:val="single"/>
                    </w:rPr>
                    <w:t>（t/a）</w:t>
                  </w:r>
                </w:p>
              </w:tc>
              <w:tc>
                <w:tcPr>
                  <w:tcW w:w="2353" w:type="pct"/>
                  <w:noWrap w:val="0"/>
                  <w:vAlign w:val="center"/>
                </w:tcPr>
                <w:p w14:paraId="5473753C">
                  <w:pPr>
                    <w:keepNext w:val="0"/>
                    <w:keepLines w:val="0"/>
                    <w:widowControl/>
                    <w:suppressLineNumbers w:val="0"/>
                    <w:spacing w:line="240" w:lineRule="auto"/>
                    <w:jc w:val="center"/>
                    <w:textAlignment w:val="center"/>
                    <w:rPr>
                      <w:rFonts w:hint="eastAsia" w:ascii="Times New Roman" w:hAnsi="Times New Roman" w:eastAsia="宋体" w:cs="Times New Roman"/>
                      <w:sz w:val="21"/>
                      <w:szCs w:val="21"/>
                      <w:u w:val="single"/>
                    </w:rPr>
                  </w:pPr>
                  <w:r>
                    <w:rPr>
                      <w:rFonts w:hint="default" w:ascii="Times New Roman" w:hAnsi="Times New Roman" w:eastAsia="宋体" w:cs="Times New Roman"/>
                      <w:i w:val="0"/>
                      <w:iCs w:val="0"/>
                      <w:kern w:val="0"/>
                      <w:sz w:val="21"/>
                      <w:szCs w:val="21"/>
                      <w:u w:val="single"/>
                      <w:lang w:val="en-US" w:eastAsia="zh-CN" w:bidi="ar"/>
                    </w:rPr>
                    <w:t>0.01</w:t>
                  </w:r>
                  <w:r>
                    <w:rPr>
                      <w:rFonts w:hint="eastAsia" w:ascii="Times New Roman" w:hAnsi="Times New Roman" w:eastAsia="宋体" w:cs="Times New Roman"/>
                      <w:i w:val="0"/>
                      <w:iCs w:val="0"/>
                      <w:kern w:val="0"/>
                      <w:sz w:val="21"/>
                      <w:szCs w:val="21"/>
                      <w:u w:val="single"/>
                      <w:lang w:val="en-US" w:eastAsia="zh-CN" w:bidi="ar"/>
                    </w:rPr>
                    <w:t>2</w:t>
                  </w:r>
                </w:p>
              </w:tc>
            </w:tr>
            <w:tr w14:paraId="43CA5D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26" w:type="pct"/>
                  <w:vMerge w:val="continue"/>
                  <w:noWrap w:val="0"/>
                  <w:vAlign w:val="center"/>
                </w:tcPr>
                <w:p w14:paraId="1B09B313">
                  <w:pPr>
                    <w:pStyle w:val="60"/>
                    <w:rPr>
                      <w:rFonts w:hint="eastAsia" w:ascii="Times New Roman" w:hAnsi="Times New Roman" w:eastAsia="宋体" w:cs="Times New Roman"/>
                      <w:sz w:val="21"/>
                      <w:szCs w:val="21"/>
                      <w:u w:val="single"/>
                    </w:rPr>
                  </w:pPr>
                </w:p>
              </w:tc>
              <w:tc>
                <w:tcPr>
                  <w:tcW w:w="1820" w:type="pct"/>
                  <w:noWrap w:val="0"/>
                  <w:vAlign w:val="center"/>
                </w:tcPr>
                <w:p w14:paraId="2D9FE494">
                  <w:pPr>
                    <w:adjustRightInd w:val="0"/>
                    <w:snapToGrid w:val="0"/>
                    <w:spacing w:line="240" w:lineRule="auto"/>
                    <w:jc w:val="center"/>
                    <w:rPr>
                      <w:rFonts w:hint="eastAsia" w:ascii="Times New Roman" w:hAnsi="Times New Roman" w:eastAsia="宋体" w:cs="Times New Roman"/>
                      <w:sz w:val="21"/>
                      <w:szCs w:val="21"/>
                      <w:u w:val="single"/>
                    </w:rPr>
                  </w:pPr>
                  <w:r>
                    <w:rPr>
                      <w:rFonts w:hint="eastAsia" w:ascii="Times New Roman" w:hAnsi="Times New Roman" w:eastAsia="宋体" w:cs="Times New Roman"/>
                      <w:kern w:val="2"/>
                      <w:sz w:val="21"/>
                      <w:szCs w:val="21"/>
                      <w:u w:val="single"/>
                    </w:rPr>
                    <w:t>SS</w:t>
                  </w:r>
                  <w:r>
                    <w:rPr>
                      <w:rFonts w:hint="eastAsia" w:ascii="Times New Roman" w:hAnsi="Times New Roman" w:eastAsia="宋体" w:cs="Times New Roman"/>
                      <w:sz w:val="21"/>
                      <w:szCs w:val="21"/>
                      <w:u w:val="single"/>
                    </w:rPr>
                    <w:t>（t/a）</w:t>
                  </w:r>
                </w:p>
              </w:tc>
              <w:tc>
                <w:tcPr>
                  <w:tcW w:w="2353" w:type="pct"/>
                  <w:noWrap w:val="0"/>
                  <w:vAlign w:val="center"/>
                </w:tcPr>
                <w:p w14:paraId="19832DC5">
                  <w:pPr>
                    <w:keepNext w:val="0"/>
                    <w:keepLines w:val="0"/>
                    <w:widowControl/>
                    <w:suppressLineNumbers w:val="0"/>
                    <w:spacing w:line="240" w:lineRule="auto"/>
                    <w:jc w:val="center"/>
                    <w:textAlignment w:val="center"/>
                    <w:rPr>
                      <w:rFonts w:hint="eastAsia" w:ascii="Times New Roman" w:hAnsi="Times New Roman" w:eastAsia="宋体" w:cs="Times New Roman"/>
                      <w:sz w:val="21"/>
                      <w:szCs w:val="21"/>
                      <w:u w:val="single"/>
                    </w:rPr>
                  </w:pPr>
                  <w:r>
                    <w:rPr>
                      <w:rFonts w:hint="default" w:ascii="Times New Roman" w:hAnsi="Times New Roman" w:eastAsia="宋体" w:cs="Times New Roman"/>
                      <w:i w:val="0"/>
                      <w:iCs w:val="0"/>
                      <w:kern w:val="0"/>
                      <w:sz w:val="21"/>
                      <w:szCs w:val="21"/>
                      <w:u w:val="single"/>
                      <w:lang w:val="en-US" w:eastAsia="zh-CN" w:bidi="ar"/>
                    </w:rPr>
                    <w:t>0.0</w:t>
                  </w:r>
                  <w:r>
                    <w:rPr>
                      <w:rFonts w:hint="eastAsia" w:ascii="Times New Roman" w:hAnsi="Times New Roman" w:eastAsia="宋体" w:cs="Times New Roman"/>
                      <w:i w:val="0"/>
                      <w:iCs w:val="0"/>
                      <w:kern w:val="0"/>
                      <w:sz w:val="21"/>
                      <w:szCs w:val="21"/>
                      <w:u w:val="single"/>
                      <w:lang w:val="en-US" w:eastAsia="zh-CN" w:bidi="ar"/>
                    </w:rPr>
                    <w:t>1</w:t>
                  </w:r>
                </w:p>
              </w:tc>
            </w:tr>
            <w:tr w14:paraId="77ADE8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826" w:type="pct"/>
                  <w:vMerge w:val="continue"/>
                  <w:noWrap w:val="0"/>
                  <w:vAlign w:val="center"/>
                </w:tcPr>
                <w:p w14:paraId="622B9A79">
                  <w:pPr>
                    <w:pStyle w:val="60"/>
                    <w:rPr>
                      <w:rFonts w:hint="eastAsia" w:ascii="Times New Roman" w:hAnsi="Times New Roman" w:eastAsia="宋体" w:cs="Times New Roman"/>
                      <w:sz w:val="21"/>
                      <w:szCs w:val="21"/>
                      <w:u w:val="single"/>
                    </w:rPr>
                  </w:pPr>
                </w:p>
              </w:tc>
              <w:tc>
                <w:tcPr>
                  <w:tcW w:w="1820" w:type="pct"/>
                  <w:noWrap w:val="0"/>
                  <w:vAlign w:val="center"/>
                </w:tcPr>
                <w:p w14:paraId="292DEB1E">
                  <w:pPr>
                    <w:adjustRightInd w:val="0"/>
                    <w:snapToGrid w:val="0"/>
                    <w:spacing w:line="240" w:lineRule="auto"/>
                    <w:jc w:val="center"/>
                    <w:rPr>
                      <w:rFonts w:hint="eastAsia" w:ascii="Times New Roman" w:hAnsi="Times New Roman" w:eastAsia="宋体" w:cs="Times New Roman"/>
                      <w:sz w:val="21"/>
                      <w:szCs w:val="21"/>
                      <w:u w:val="single"/>
                    </w:rPr>
                  </w:pPr>
                  <w:r>
                    <w:rPr>
                      <w:rFonts w:hint="eastAsia" w:ascii="Times New Roman" w:hAnsi="Times New Roman" w:eastAsia="宋体" w:cs="Times New Roman"/>
                      <w:kern w:val="2"/>
                      <w:sz w:val="21"/>
                      <w:szCs w:val="21"/>
                      <w:u w:val="single"/>
                    </w:rPr>
                    <w:t>NH</w:t>
                  </w:r>
                  <w:r>
                    <w:rPr>
                      <w:rFonts w:hint="eastAsia" w:ascii="Times New Roman" w:hAnsi="Times New Roman" w:eastAsia="宋体" w:cs="Times New Roman"/>
                      <w:kern w:val="2"/>
                      <w:sz w:val="21"/>
                      <w:szCs w:val="21"/>
                      <w:u w:val="single"/>
                      <w:vertAlign w:val="subscript"/>
                    </w:rPr>
                    <w:t>3</w:t>
                  </w:r>
                  <w:r>
                    <w:rPr>
                      <w:rFonts w:hint="eastAsia" w:ascii="Times New Roman" w:hAnsi="Times New Roman" w:eastAsia="宋体" w:cs="Times New Roman"/>
                      <w:kern w:val="2"/>
                      <w:sz w:val="21"/>
                      <w:szCs w:val="21"/>
                      <w:u w:val="single"/>
                    </w:rPr>
                    <w:t>-N</w:t>
                  </w:r>
                  <w:r>
                    <w:rPr>
                      <w:rFonts w:hint="eastAsia" w:ascii="Times New Roman" w:hAnsi="Times New Roman" w:eastAsia="宋体" w:cs="Times New Roman"/>
                      <w:sz w:val="21"/>
                      <w:szCs w:val="21"/>
                      <w:u w:val="single"/>
                    </w:rPr>
                    <w:t>（t/a）</w:t>
                  </w:r>
                </w:p>
              </w:tc>
              <w:tc>
                <w:tcPr>
                  <w:tcW w:w="2353" w:type="pct"/>
                  <w:noWrap w:val="0"/>
                  <w:vAlign w:val="center"/>
                </w:tcPr>
                <w:p w14:paraId="55274541">
                  <w:pPr>
                    <w:keepNext w:val="0"/>
                    <w:keepLines w:val="0"/>
                    <w:widowControl/>
                    <w:suppressLineNumbers w:val="0"/>
                    <w:spacing w:line="240" w:lineRule="auto"/>
                    <w:jc w:val="center"/>
                    <w:textAlignment w:val="center"/>
                    <w:rPr>
                      <w:rFonts w:hint="eastAsia" w:ascii="Times New Roman" w:hAnsi="Times New Roman" w:eastAsia="宋体" w:cs="Times New Roman"/>
                      <w:sz w:val="21"/>
                      <w:szCs w:val="21"/>
                      <w:u w:val="single"/>
                    </w:rPr>
                  </w:pPr>
                  <w:r>
                    <w:rPr>
                      <w:rFonts w:hint="default" w:ascii="Times New Roman" w:hAnsi="Times New Roman" w:eastAsia="宋体" w:cs="Times New Roman"/>
                      <w:i w:val="0"/>
                      <w:iCs w:val="0"/>
                      <w:kern w:val="0"/>
                      <w:sz w:val="21"/>
                      <w:szCs w:val="21"/>
                      <w:u w:val="single"/>
                      <w:lang w:val="en-US" w:eastAsia="zh-CN" w:bidi="ar"/>
                    </w:rPr>
                    <w:t>0.00</w:t>
                  </w:r>
                  <w:r>
                    <w:rPr>
                      <w:rFonts w:hint="eastAsia" w:ascii="Times New Roman" w:hAnsi="Times New Roman" w:eastAsia="宋体" w:cs="Times New Roman"/>
                      <w:i w:val="0"/>
                      <w:iCs w:val="0"/>
                      <w:kern w:val="0"/>
                      <w:sz w:val="21"/>
                      <w:szCs w:val="21"/>
                      <w:u w:val="single"/>
                      <w:lang w:val="en-US" w:eastAsia="zh-CN" w:bidi="ar"/>
                    </w:rPr>
                    <w:t>3</w:t>
                  </w:r>
                </w:p>
              </w:tc>
            </w:tr>
            <w:tr w14:paraId="4E45CC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56" w:hRule="atLeast"/>
                <w:jc w:val="center"/>
              </w:trPr>
              <w:tc>
                <w:tcPr>
                  <w:tcW w:w="826" w:type="pct"/>
                  <w:vMerge w:val="continue"/>
                  <w:noWrap w:val="0"/>
                  <w:vAlign w:val="center"/>
                </w:tcPr>
                <w:p w14:paraId="11CD9771">
                  <w:pPr>
                    <w:pStyle w:val="60"/>
                    <w:rPr>
                      <w:rFonts w:hint="eastAsia" w:ascii="Times New Roman" w:hAnsi="Times New Roman" w:eastAsia="宋体" w:cs="Times New Roman"/>
                      <w:sz w:val="21"/>
                      <w:szCs w:val="21"/>
                      <w:u w:val="single"/>
                    </w:rPr>
                  </w:pPr>
                </w:p>
              </w:tc>
              <w:tc>
                <w:tcPr>
                  <w:tcW w:w="1820" w:type="pct"/>
                  <w:noWrap w:val="0"/>
                  <w:vAlign w:val="center"/>
                </w:tcPr>
                <w:p w14:paraId="02BF20D7">
                  <w:pPr>
                    <w:adjustRightInd w:val="0"/>
                    <w:snapToGrid w:val="0"/>
                    <w:spacing w:line="240" w:lineRule="auto"/>
                    <w:jc w:val="center"/>
                    <w:rPr>
                      <w:rFonts w:hint="eastAsia" w:ascii="Times New Roman" w:hAnsi="Times New Roman" w:eastAsia="宋体" w:cs="Times New Roman"/>
                      <w:sz w:val="21"/>
                      <w:szCs w:val="21"/>
                      <w:u w:val="single"/>
                    </w:rPr>
                  </w:pPr>
                  <w:r>
                    <w:rPr>
                      <w:rFonts w:hint="eastAsia" w:ascii="Times New Roman" w:hAnsi="Times New Roman" w:eastAsia="宋体" w:cs="Times New Roman"/>
                      <w:kern w:val="2"/>
                      <w:sz w:val="21"/>
                      <w:szCs w:val="21"/>
                      <w:u w:val="single"/>
                    </w:rPr>
                    <w:t>动植物油</w:t>
                  </w:r>
                  <w:r>
                    <w:rPr>
                      <w:rFonts w:hint="eastAsia" w:ascii="Times New Roman" w:hAnsi="Times New Roman" w:eastAsia="宋体" w:cs="Times New Roman"/>
                      <w:sz w:val="21"/>
                      <w:szCs w:val="21"/>
                      <w:u w:val="single"/>
                    </w:rPr>
                    <w:t>（t/a）</w:t>
                  </w:r>
                </w:p>
              </w:tc>
              <w:tc>
                <w:tcPr>
                  <w:tcW w:w="2353" w:type="pct"/>
                  <w:noWrap w:val="0"/>
                  <w:vAlign w:val="center"/>
                </w:tcPr>
                <w:p w14:paraId="175AF7CB">
                  <w:pPr>
                    <w:keepNext w:val="0"/>
                    <w:keepLines w:val="0"/>
                    <w:widowControl/>
                    <w:suppressLineNumbers w:val="0"/>
                    <w:spacing w:line="240" w:lineRule="auto"/>
                    <w:jc w:val="center"/>
                    <w:textAlignment w:val="center"/>
                    <w:rPr>
                      <w:rFonts w:hint="eastAsia" w:ascii="Times New Roman" w:hAnsi="Times New Roman" w:eastAsia="宋体" w:cs="Times New Roman"/>
                      <w:sz w:val="21"/>
                      <w:szCs w:val="21"/>
                      <w:u w:val="single"/>
                    </w:rPr>
                  </w:pPr>
                  <w:r>
                    <w:rPr>
                      <w:rFonts w:hint="default" w:ascii="Times New Roman" w:hAnsi="Times New Roman" w:eastAsia="宋体" w:cs="Times New Roman"/>
                      <w:i w:val="0"/>
                      <w:iCs w:val="0"/>
                      <w:kern w:val="0"/>
                      <w:sz w:val="21"/>
                      <w:szCs w:val="21"/>
                      <w:u w:val="single"/>
                      <w:lang w:val="en-US" w:eastAsia="zh-CN" w:bidi="ar"/>
                    </w:rPr>
                    <w:t>0.00</w:t>
                  </w:r>
                  <w:r>
                    <w:rPr>
                      <w:rFonts w:hint="eastAsia" w:ascii="Times New Roman" w:hAnsi="Times New Roman" w:eastAsia="宋体" w:cs="Times New Roman"/>
                      <w:i w:val="0"/>
                      <w:iCs w:val="0"/>
                      <w:kern w:val="0"/>
                      <w:sz w:val="21"/>
                      <w:szCs w:val="21"/>
                      <w:u w:val="single"/>
                      <w:lang w:val="en-US" w:eastAsia="zh-CN" w:bidi="ar"/>
                    </w:rPr>
                    <w:t>2</w:t>
                  </w:r>
                </w:p>
              </w:tc>
            </w:tr>
            <w:tr w14:paraId="16E3D3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74" w:hRule="atLeast"/>
                <w:jc w:val="center"/>
              </w:trPr>
              <w:tc>
                <w:tcPr>
                  <w:tcW w:w="826" w:type="pct"/>
                  <w:vMerge w:val="restart"/>
                  <w:noWrap w:val="0"/>
                  <w:vAlign w:val="center"/>
                </w:tcPr>
                <w:p w14:paraId="06AF62AF">
                  <w:pPr>
                    <w:pStyle w:val="60"/>
                    <w:rPr>
                      <w:rFonts w:hint="eastAsia" w:ascii="Times New Roman" w:hAnsi="Times New Roman" w:eastAsia="宋体" w:cs="Times New Roman"/>
                      <w:sz w:val="21"/>
                      <w:szCs w:val="21"/>
                      <w:u w:val="single"/>
                    </w:rPr>
                  </w:pPr>
                  <w:r>
                    <w:rPr>
                      <w:rFonts w:hint="eastAsia" w:ascii="Times New Roman" w:hAnsi="Times New Roman" w:eastAsia="宋体" w:cs="Times New Roman"/>
                      <w:sz w:val="21"/>
                      <w:szCs w:val="21"/>
                      <w:u w:val="single"/>
                    </w:rPr>
                    <w:t>一般固废</w:t>
                  </w:r>
                </w:p>
              </w:tc>
              <w:tc>
                <w:tcPr>
                  <w:tcW w:w="3050" w:type="dxa"/>
                  <w:noWrap w:val="0"/>
                  <w:vAlign w:val="center"/>
                </w:tcPr>
                <w:p w14:paraId="18D30169">
                  <w:pPr>
                    <w:widowControl/>
                    <w:adjustRightInd w:val="0"/>
                    <w:snapToGrid w:val="0"/>
                    <w:spacing w:line="240" w:lineRule="auto"/>
                    <w:jc w:val="center"/>
                    <w:rPr>
                      <w:rFonts w:hint="eastAsia" w:ascii="Times New Roman" w:hAnsi="Times New Roman" w:eastAsia="宋体" w:cs="Times New Roman"/>
                      <w:sz w:val="21"/>
                      <w:szCs w:val="21"/>
                      <w:u w:val="single"/>
                    </w:rPr>
                  </w:pPr>
                  <w:r>
                    <w:rPr>
                      <w:rFonts w:eastAsiaTheme="minorEastAsia"/>
                      <w:sz w:val="21"/>
                      <w:szCs w:val="21"/>
                      <w:u w:val="single"/>
                    </w:rPr>
                    <w:t>切割磨光及雕刻沉淀污泥</w:t>
                  </w:r>
                  <w:r>
                    <w:rPr>
                      <w:rFonts w:hint="eastAsia" w:ascii="Times New Roman" w:hAnsi="Times New Roman" w:eastAsia="宋体" w:cs="Times New Roman"/>
                      <w:sz w:val="21"/>
                      <w:szCs w:val="21"/>
                      <w:u w:val="single"/>
                    </w:rPr>
                    <w:t>（t/a）</w:t>
                  </w:r>
                </w:p>
              </w:tc>
              <w:tc>
                <w:tcPr>
                  <w:tcW w:w="3942" w:type="dxa"/>
                  <w:noWrap w:val="0"/>
                  <w:vAlign w:val="center"/>
                </w:tcPr>
                <w:p w14:paraId="1F76559B">
                  <w:pPr>
                    <w:widowControl/>
                    <w:adjustRightInd w:val="0"/>
                    <w:snapToGrid w:val="0"/>
                    <w:spacing w:line="240" w:lineRule="auto"/>
                    <w:jc w:val="center"/>
                    <w:rPr>
                      <w:rFonts w:hint="eastAsia" w:ascii="Times New Roman" w:hAnsi="Times New Roman" w:eastAsia="宋体" w:cs="Times New Roman"/>
                      <w:sz w:val="21"/>
                      <w:szCs w:val="21"/>
                      <w:u w:val="single"/>
                    </w:rPr>
                  </w:pPr>
                  <w:r>
                    <w:rPr>
                      <w:rFonts w:hint="eastAsia" w:ascii="Times New Roman" w:hAnsi="Times New Roman" w:eastAsia="宋体" w:cs="Times New Roman"/>
                      <w:bCs w:val="0"/>
                      <w:sz w:val="21"/>
                      <w:szCs w:val="21"/>
                      <w:u w:val="single"/>
                      <w:lang w:val="en-US" w:eastAsia="zh-CN" w:bidi="ar"/>
                    </w:rPr>
                    <w:t>0.62</w:t>
                  </w:r>
                </w:p>
              </w:tc>
            </w:tr>
            <w:tr w14:paraId="198ED2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74" w:hRule="atLeast"/>
                <w:jc w:val="center"/>
              </w:trPr>
              <w:tc>
                <w:tcPr>
                  <w:tcW w:w="826" w:type="pct"/>
                  <w:vMerge w:val="continue"/>
                  <w:noWrap w:val="0"/>
                  <w:vAlign w:val="center"/>
                </w:tcPr>
                <w:p w14:paraId="31F29E93">
                  <w:pPr>
                    <w:pStyle w:val="60"/>
                    <w:rPr>
                      <w:rFonts w:hint="eastAsia" w:ascii="Times New Roman" w:hAnsi="Times New Roman" w:eastAsia="宋体" w:cs="Times New Roman"/>
                      <w:sz w:val="21"/>
                      <w:szCs w:val="21"/>
                      <w:u w:val="single"/>
                    </w:rPr>
                  </w:pPr>
                </w:p>
              </w:tc>
              <w:tc>
                <w:tcPr>
                  <w:tcW w:w="3050" w:type="dxa"/>
                  <w:noWrap w:val="0"/>
                  <w:vAlign w:val="center"/>
                </w:tcPr>
                <w:p w14:paraId="79DD91F8">
                  <w:pPr>
                    <w:widowControl/>
                    <w:adjustRightInd w:val="0"/>
                    <w:snapToGrid w:val="0"/>
                    <w:spacing w:line="240" w:lineRule="auto"/>
                    <w:jc w:val="center"/>
                    <w:rPr>
                      <w:rFonts w:hint="eastAsia" w:ascii="Times New Roman" w:hAnsi="Times New Roman" w:eastAsia="宋体" w:cs="Times New Roman"/>
                      <w:sz w:val="21"/>
                      <w:szCs w:val="21"/>
                      <w:u w:val="single"/>
                    </w:rPr>
                  </w:pPr>
                  <w:r>
                    <w:rPr>
                      <w:rFonts w:hint="eastAsia" w:eastAsiaTheme="minorEastAsia"/>
                      <w:sz w:val="21"/>
                      <w:szCs w:val="21"/>
                      <w:u w:val="single"/>
                      <w:lang w:eastAsia="zh-CN"/>
                    </w:rPr>
                    <w:t>废抛光布</w:t>
                  </w:r>
                  <w:r>
                    <w:rPr>
                      <w:rFonts w:hint="eastAsia" w:ascii="Times New Roman" w:hAnsi="Times New Roman" w:eastAsia="宋体" w:cs="Times New Roman"/>
                      <w:sz w:val="21"/>
                      <w:szCs w:val="21"/>
                      <w:u w:val="single"/>
                    </w:rPr>
                    <w:t>（t/a）</w:t>
                  </w:r>
                </w:p>
              </w:tc>
              <w:tc>
                <w:tcPr>
                  <w:tcW w:w="3942" w:type="dxa"/>
                  <w:noWrap w:val="0"/>
                  <w:vAlign w:val="center"/>
                </w:tcPr>
                <w:p w14:paraId="7B18E87D">
                  <w:pPr>
                    <w:widowControl/>
                    <w:adjustRightInd w:val="0"/>
                    <w:snapToGrid w:val="0"/>
                    <w:spacing w:line="240" w:lineRule="auto"/>
                    <w:jc w:val="center"/>
                    <w:rPr>
                      <w:rFonts w:hint="eastAsia" w:ascii="Times New Roman" w:hAnsi="Times New Roman" w:eastAsia="宋体" w:cs="Times New Roman"/>
                      <w:bCs w:val="0"/>
                      <w:sz w:val="21"/>
                      <w:szCs w:val="21"/>
                      <w:u w:val="single"/>
                    </w:rPr>
                  </w:pPr>
                  <w:r>
                    <w:rPr>
                      <w:rFonts w:hint="eastAsia" w:ascii="Times New Roman" w:hAnsi="Times New Roman" w:eastAsia="宋体" w:cs="Times New Roman"/>
                      <w:bCs w:val="0"/>
                      <w:sz w:val="21"/>
                      <w:szCs w:val="21"/>
                      <w:u w:val="single"/>
                      <w:lang w:val="en-US" w:eastAsia="zh-CN" w:bidi="ar"/>
                    </w:rPr>
                    <w:t>0.01</w:t>
                  </w:r>
                </w:p>
              </w:tc>
            </w:tr>
            <w:tr w14:paraId="0C21AD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74" w:hRule="atLeast"/>
                <w:jc w:val="center"/>
              </w:trPr>
              <w:tc>
                <w:tcPr>
                  <w:tcW w:w="826" w:type="pct"/>
                  <w:vMerge w:val="continue"/>
                  <w:noWrap w:val="0"/>
                  <w:vAlign w:val="center"/>
                </w:tcPr>
                <w:p w14:paraId="203E24A5">
                  <w:pPr>
                    <w:pStyle w:val="60"/>
                    <w:rPr>
                      <w:rFonts w:hint="eastAsia" w:ascii="Times New Roman" w:hAnsi="Times New Roman" w:eastAsia="宋体" w:cs="Times New Roman"/>
                      <w:sz w:val="21"/>
                      <w:szCs w:val="21"/>
                      <w:u w:val="single"/>
                    </w:rPr>
                  </w:pPr>
                </w:p>
              </w:tc>
              <w:tc>
                <w:tcPr>
                  <w:tcW w:w="3050" w:type="dxa"/>
                  <w:noWrap w:val="0"/>
                  <w:vAlign w:val="center"/>
                </w:tcPr>
                <w:p w14:paraId="7BCEFC6F">
                  <w:pPr>
                    <w:widowControl/>
                    <w:adjustRightInd w:val="0"/>
                    <w:snapToGrid w:val="0"/>
                    <w:spacing w:line="240" w:lineRule="auto"/>
                    <w:jc w:val="center"/>
                    <w:rPr>
                      <w:rFonts w:hint="eastAsia" w:ascii="Times New Roman" w:hAnsi="Times New Roman" w:eastAsia="宋体" w:cs="Times New Roman"/>
                      <w:sz w:val="21"/>
                      <w:szCs w:val="21"/>
                      <w:u w:val="single"/>
                    </w:rPr>
                  </w:pPr>
                  <w:r>
                    <w:rPr>
                      <w:rFonts w:hint="eastAsia" w:eastAsiaTheme="minorEastAsia"/>
                      <w:sz w:val="21"/>
                      <w:szCs w:val="21"/>
                      <w:u w:val="single"/>
                    </w:rPr>
                    <w:t>废边角料</w:t>
                  </w:r>
                  <w:r>
                    <w:rPr>
                      <w:rFonts w:hint="eastAsia" w:eastAsiaTheme="minorEastAsia"/>
                      <w:sz w:val="21"/>
                      <w:szCs w:val="21"/>
                      <w:u w:val="single"/>
                      <w:lang w:eastAsia="zh-CN"/>
                    </w:rPr>
                    <w:t>及不合格产品</w:t>
                  </w:r>
                  <w:r>
                    <w:rPr>
                      <w:rFonts w:hint="eastAsia" w:ascii="Times New Roman" w:hAnsi="Times New Roman" w:eastAsia="宋体" w:cs="Times New Roman"/>
                      <w:sz w:val="21"/>
                      <w:szCs w:val="21"/>
                      <w:u w:val="single"/>
                    </w:rPr>
                    <w:t>（t/a）</w:t>
                  </w:r>
                </w:p>
              </w:tc>
              <w:tc>
                <w:tcPr>
                  <w:tcW w:w="3942" w:type="dxa"/>
                  <w:noWrap w:val="0"/>
                  <w:vAlign w:val="center"/>
                </w:tcPr>
                <w:p w14:paraId="193E9472">
                  <w:pPr>
                    <w:widowControl/>
                    <w:adjustRightInd w:val="0"/>
                    <w:snapToGrid w:val="0"/>
                    <w:spacing w:line="240" w:lineRule="auto"/>
                    <w:jc w:val="center"/>
                    <w:rPr>
                      <w:rFonts w:hint="eastAsia" w:ascii="Times New Roman" w:hAnsi="Times New Roman" w:eastAsia="宋体" w:cs="Times New Roman"/>
                      <w:bCs w:val="0"/>
                      <w:sz w:val="21"/>
                      <w:szCs w:val="21"/>
                      <w:u w:val="single"/>
                    </w:rPr>
                  </w:pPr>
                  <w:r>
                    <w:rPr>
                      <w:rFonts w:hint="eastAsia" w:ascii="Times New Roman" w:hAnsi="Times New Roman" w:eastAsia="宋体" w:cs="Times New Roman"/>
                      <w:bCs w:val="0"/>
                      <w:sz w:val="21"/>
                      <w:szCs w:val="21"/>
                      <w:u w:val="single"/>
                      <w:lang w:val="en-US" w:eastAsia="zh-CN" w:bidi="ar"/>
                    </w:rPr>
                    <w:t>806</w:t>
                  </w:r>
                </w:p>
              </w:tc>
            </w:tr>
            <w:tr w14:paraId="048775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74" w:hRule="atLeast"/>
                <w:jc w:val="center"/>
              </w:trPr>
              <w:tc>
                <w:tcPr>
                  <w:tcW w:w="826" w:type="pct"/>
                  <w:vMerge w:val="continue"/>
                  <w:noWrap w:val="0"/>
                  <w:vAlign w:val="center"/>
                </w:tcPr>
                <w:p w14:paraId="1B034B3F">
                  <w:pPr>
                    <w:pStyle w:val="60"/>
                    <w:rPr>
                      <w:rFonts w:hint="eastAsia" w:ascii="Times New Roman" w:hAnsi="Times New Roman" w:eastAsia="宋体" w:cs="Times New Roman"/>
                      <w:sz w:val="21"/>
                      <w:szCs w:val="21"/>
                      <w:u w:val="single"/>
                    </w:rPr>
                  </w:pPr>
                </w:p>
              </w:tc>
              <w:tc>
                <w:tcPr>
                  <w:tcW w:w="3050" w:type="dxa"/>
                  <w:noWrap w:val="0"/>
                  <w:vAlign w:val="center"/>
                </w:tcPr>
                <w:p w14:paraId="40A77BC9">
                  <w:pPr>
                    <w:widowControl/>
                    <w:adjustRightInd w:val="0"/>
                    <w:snapToGrid w:val="0"/>
                    <w:spacing w:line="240" w:lineRule="auto"/>
                    <w:jc w:val="center"/>
                    <w:rPr>
                      <w:rFonts w:hint="eastAsia" w:ascii="Times New Roman" w:hAnsi="Times New Roman" w:eastAsia="宋体" w:cs="Times New Roman"/>
                      <w:sz w:val="21"/>
                      <w:szCs w:val="21"/>
                      <w:u w:val="single"/>
                    </w:rPr>
                  </w:pPr>
                  <w:r>
                    <w:rPr>
                      <w:rFonts w:eastAsiaTheme="majorEastAsia"/>
                      <w:sz w:val="21"/>
                      <w:szCs w:val="21"/>
                      <w:u w:val="single"/>
                    </w:rPr>
                    <w:t>生活垃圾</w:t>
                  </w:r>
                  <w:r>
                    <w:rPr>
                      <w:rFonts w:hint="eastAsia" w:ascii="Times New Roman" w:hAnsi="Times New Roman" w:eastAsia="宋体" w:cs="Times New Roman"/>
                      <w:sz w:val="21"/>
                      <w:szCs w:val="21"/>
                      <w:u w:val="single"/>
                    </w:rPr>
                    <w:t>（t/a）</w:t>
                  </w:r>
                </w:p>
              </w:tc>
              <w:tc>
                <w:tcPr>
                  <w:tcW w:w="3942" w:type="dxa"/>
                  <w:noWrap w:val="0"/>
                  <w:vAlign w:val="center"/>
                </w:tcPr>
                <w:p w14:paraId="2F6BBEE6">
                  <w:pPr>
                    <w:widowControl/>
                    <w:adjustRightInd w:val="0"/>
                    <w:snapToGrid w:val="0"/>
                    <w:spacing w:line="240" w:lineRule="auto"/>
                    <w:jc w:val="center"/>
                    <w:rPr>
                      <w:rFonts w:hint="eastAsia" w:ascii="Times New Roman" w:hAnsi="Times New Roman" w:eastAsia="宋体" w:cs="Times New Roman"/>
                      <w:bCs w:val="0"/>
                      <w:sz w:val="21"/>
                      <w:szCs w:val="21"/>
                      <w:u w:val="single"/>
                    </w:rPr>
                  </w:pPr>
                  <w:r>
                    <w:rPr>
                      <w:rFonts w:hint="eastAsia" w:ascii="Times New Roman" w:hAnsi="Times New Roman" w:eastAsia="宋体" w:cs="Times New Roman"/>
                      <w:bCs w:val="0"/>
                      <w:sz w:val="21"/>
                      <w:szCs w:val="21"/>
                      <w:u w:val="single"/>
                      <w:lang w:val="en-US" w:eastAsia="zh-CN" w:bidi="ar"/>
                    </w:rPr>
                    <w:t>1.2</w:t>
                  </w:r>
                </w:p>
              </w:tc>
            </w:tr>
            <w:tr w14:paraId="432EBF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74" w:hRule="atLeast"/>
                <w:jc w:val="center"/>
              </w:trPr>
              <w:tc>
                <w:tcPr>
                  <w:tcW w:w="826" w:type="pct"/>
                  <w:vMerge w:val="continue"/>
                  <w:noWrap w:val="0"/>
                  <w:vAlign w:val="center"/>
                </w:tcPr>
                <w:p w14:paraId="4BFAAA0B">
                  <w:pPr>
                    <w:pStyle w:val="60"/>
                    <w:rPr>
                      <w:rFonts w:hint="eastAsia" w:ascii="Times New Roman" w:hAnsi="Times New Roman" w:eastAsia="宋体" w:cs="Times New Roman"/>
                      <w:sz w:val="21"/>
                      <w:szCs w:val="21"/>
                      <w:u w:val="single"/>
                    </w:rPr>
                  </w:pPr>
                </w:p>
              </w:tc>
              <w:tc>
                <w:tcPr>
                  <w:tcW w:w="3050" w:type="dxa"/>
                  <w:noWrap w:val="0"/>
                  <w:vAlign w:val="center"/>
                </w:tcPr>
                <w:p w14:paraId="50070248">
                  <w:pPr>
                    <w:widowControl/>
                    <w:adjustRightInd w:val="0"/>
                    <w:snapToGrid w:val="0"/>
                    <w:spacing w:line="240" w:lineRule="auto"/>
                    <w:jc w:val="center"/>
                    <w:rPr>
                      <w:rFonts w:hint="eastAsia" w:ascii="Times New Roman" w:hAnsi="Times New Roman" w:eastAsia="宋体" w:cs="Times New Roman"/>
                      <w:kern w:val="2"/>
                      <w:sz w:val="21"/>
                      <w:szCs w:val="21"/>
                      <w:u w:val="single"/>
                    </w:rPr>
                  </w:pPr>
                  <w:r>
                    <w:rPr>
                      <w:rFonts w:eastAsiaTheme="minorEastAsia"/>
                      <w:sz w:val="21"/>
                      <w:szCs w:val="21"/>
                      <w:u w:val="single"/>
                    </w:rPr>
                    <w:t>废包装材料</w:t>
                  </w:r>
                  <w:r>
                    <w:rPr>
                      <w:rFonts w:hint="eastAsia" w:ascii="Times New Roman" w:hAnsi="Times New Roman" w:eastAsia="宋体" w:cs="Times New Roman"/>
                      <w:sz w:val="21"/>
                      <w:szCs w:val="21"/>
                      <w:u w:val="single"/>
                    </w:rPr>
                    <w:t>（t/a）</w:t>
                  </w:r>
                </w:p>
              </w:tc>
              <w:tc>
                <w:tcPr>
                  <w:tcW w:w="3942" w:type="dxa"/>
                  <w:noWrap w:val="0"/>
                  <w:vAlign w:val="center"/>
                </w:tcPr>
                <w:p w14:paraId="16D474BE">
                  <w:pPr>
                    <w:widowControl/>
                    <w:adjustRightInd w:val="0"/>
                    <w:snapToGrid w:val="0"/>
                    <w:spacing w:line="240" w:lineRule="auto"/>
                    <w:jc w:val="center"/>
                    <w:rPr>
                      <w:rFonts w:hint="eastAsia" w:ascii="Times New Roman" w:hAnsi="Times New Roman" w:eastAsia="宋体" w:cs="Times New Roman"/>
                      <w:bCs w:val="0"/>
                      <w:sz w:val="21"/>
                      <w:szCs w:val="21"/>
                      <w:u w:val="single"/>
                    </w:rPr>
                  </w:pPr>
                  <w:r>
                    <w:rPr>
                      <w:rFonts w:hint="eastAsia" w:ascii="Times New Roman" w:hAnsi="Times New Roman" w:eastAsia="宋体" w:cs="Times New Roman"/>
                      <w:bCs w:val="0"/>
                      <w:sz w:val="21"/>
                      <w:szCs w:val="21"/>
                      <w:u w:val="single"/>
                      <w:lang w:val="en-US" w:eastAsia="zh-CN" w:bidi="ar"/>
                    </w:rPr>
                    <w:t>0.005</w:t>
                  </w:r>
                </w:p>
              </w:tc>
            </w:tr>
          </w:tbl>
          <w:p w14:paraId="03F5A8AE">
            <w:pPr>
              <w:ind w:firstLine="482" w:firstLineChars="200"/>
              <w:rPr>
                <w:u w:val="single"/>
              </w:rPr>
            </w:pPr>
            <w:r>
              <w:rPr>
                <w:rFonts w:hint="eastAsia"/>
                <w:b/>
                <w:bCs/>
                <w:lang w:val="en-US" w:eastAsia="zh-CN"/>
              </w:rPr>
              <w:t>6</w:t>
            </w:r>
            <w:r>
              <w:rPr>
                <w:rFonts w:hint="eastAsia"/>
                <w:b/>
                <w:bCs/>
              </w:rPr>
              <w:t>、</w:t>
            </w:r>
            <w:r>
              <w:rPr>
                <w:b/>
                <w:bCs/>
                <w:u w:val="single"/>
              </w:rPr>
              <w:t>与项目有关的原有环境污染问题：</w:t>
            </w:r>
          </w:p>
          <w:p w14:paraId="3E9A3520">
            <w:pPr>
              <w:adjustRightInd w:val="0"/>
              <w:snapToGrid w:val="0"/>
              <w:spacing w:line="240" w:lineRule="auto"/>
              <w:ind w:firstLine="438" w:firstLineChars="200"/>
              <w:jc w:val="center"/>
              <w:rPr>
                <w:u w:val="single"/>
              </w:rPr>
            </w:pPr>
            <w:r>
              <w:rPr>
                <w:rFonts w:hint="eastAsia"/>
                <w:b/>
                <w:bCs/>
                <w:snapToGrid w:val="0"/>
                <w:spacing w:val="4"/>
                <w:kern w:val="0"/>
                <w:sz w:val="21"/>
                <w:szCs w:val="18"/>
                <w:u w:val="single"/>
              </w:rPr>
              <w:t>表2-</w:t>
            </w:r>
            <w:r>
              <w:rPr>
                <w:rFonts w:hint="eastAsia"/>
                <w:b/>
                <w:bCs/>
                <w:snapToGrid w:val="0"/>
                <w:spacing w:val="4"/>
                <w:kern w:val="0"/>
                <w:sz w:val="21"/>
                <w:szCs w:val="18"/>
                <w:u w:val="single"/>
                <w:lang w:val="en-US" w:eastAsia="zh-CN"/>
              </w:rPr>
              <w:t>18</w:t>
            </w:r>
            <w:r>
              <w:rPr>
                <w:rFonts w:hint="eastAsia"/>
                <w:b/>
                <w:bCs/>
                <w:snapToGrid w:val="0"/>
                <w:spacing w:val="4"/>
                <w:kern w:val="0"/>
                <w:sz w:val="21"/>
                <w:szCs w:val="18"/>
                <w:u w:val="single"/>
              </w:rPr>
              <w:t xml:space="preserve">  项目存在的主要环境问题及拟改正措施</w:t>
            </w:r>
          </w:p>
          <w:tbl>
            <w:tblPr>
              <w:tblStyle w:val="25"/>
              <w:tblW w:w="84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064"/>
              <w:gridCol w:w="2918"/>
              <w:gridCol w:w="3796"/>
            </w:tblGrid>
            <w:tr w14:paraId="1019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28E12B23">
                  <w:pPr>
                    <w:pStyle w:val="36"/>
                    <w:spacing w:line="240" w:lineRule="auto"/>
                    <w:ind w:firstLine="0" w:firstLineChars="0"/>
                    <w:jc w:val="center"/>
                    <w:rPr>
                      <w:rFonts w:ascii="Times New Roman"/>
                      <w:b/>
                      <w:bCs/>
                      <w:sz w:val="21"/>
                      <w:szCs w:val="21"/>
                      <w:u w:val="single"/>
                    </w:rPr>
                  </w:pPr>
                  <w:r>
                    <w:rPr>
                      <w:rFonts w:hint="eastAsia" w:ascii="Times New Roman"/>
                      <w:b/>
                      <w:bCs/>
                      <w:sz w:val="21"/>
                      <w:szCs w:val="21"/>
                      <w:u w:val="single"/>
                    </w:rPr>
                    <w:t>序号</w:t>
                  </w:r>
                </w:p>
              </w:tc>
              <w:tc>
                <w:tcPr>
                  <w:tcW w:w="1064" w:type="dxa"/>
                  <w:vAlign w:val="center"/>
                </w:tcPr>
                <w:p w14:paraId="1EC46B75">
                  <w:pPr>
                    <w:pStyle w:val="36"/>
                    <w:spacing w:line="240" w:lineRule="auto"/>
                    <w:ind w:firstLine="0" w:firstLineChars="0"/>
                    <w:jc w:val="center"/>
                    <w:rPr>
                      <w:rFonts w:ascii="Times New Roman"/>
                      <w:b/>
                      <w:bCs/>
                      <w:sz w:val="21"/>
                      <w:szCs w:val="21"/>
                      <w:u w:val="single"/>
                    </w:rPr>
                  </w:pPr>
                  <w:r>
                    <w:rPr>
                      <w:rFonts w:hint="eastAsia" w:ascii="Times New Roman"/>
                      <w:b/>
                      <w:bCs/>
                      <w:sz w:val="21"/>
                      <w:szCs w:val="21"/>
                      <w:u w:val="single"/>
                    </w:rPr>
                    <w:t>问题类型</w:t>
                  </w:r>
                </w:p>
              </w:tc>
              <w:tc>
                <w:tcPr>
                  <w:tcW w:w="2918" w:type="dxa"/>
                  <w:vAlign w:val="center"/>
                </w:tcPr>
                <w:p w14:paraId="7378FCE5">
                  <w:pPr>
                    <w:pStyle w:val="36"/>
                    <w:spacing w:line="240" w:lineRule="auto"/>
                    <w:ind w:firstLine="0" w:firstLineChars="0"/>
                    <w:jc w:val="center"/>
                    <w:rPr>
                      <w:rFonts w:ascii="Times New Roman"/>
                      <w:b/>
                      <w:bCs/>
                      <w:sz w:val="21"/>
                      <w:szCs w:val="21"/>
                      <w:u w:val="single"/>
                    </w:rPr>
                  </w:pPr>
                  <w:r>
                    <w:rPr>
                      <w:rFonts w:hint="eastAsia" w:ascii="Times New Roman"/>
                      <w:b/>
                      <w:bCs/>
                      <w:sz w:val="21"/>
                      <w:szCs w:val="21"/>
                      <w:u w:val="single"/>
                    </w:rPr>
                    <w:t>存在的主要环境问题</w:t>
                  </w:r>
                </w:p>
              </w:tc>
              <w:tc>
                <w:tcPr>
                  <w:tcW w:w="3796" w:type="dxa"/>
                  <w:vAlign w:val="center"/>
                </w:tcPr>
                <w:p w14:paraId="19DA3AFC">
                  <w:pPr>
                    <w:pStyle w:val="36"/>
                    <w:spacing w:line="240" w:lineRule="auto"/>
                    <w:ind w:firstLine="0" w:firstLineChars="0"/>
                    <w:jc w:val="center"/>
                    <w:rPr>
                      <w:rFonts w:ascii="Times New Roman"/>
                      <w:b/>
                      <w:bCs/>
                      <w:sz w:val="21"/>
                      <w:szCs w:val="21"/>
                      <w:u w:val="single"/>
                    </w:rPr>
                  </w:pPr>
                  <w:r>
                    <w:rPr>
                      <w:rFonts w:hint="eastAsia" w:ascii="Times New Roman"/>
                      <w:b/>
                      <w:bCs/>
                      <w:sz w:val="21"/>
                      <w:szCs w:val="21"/>
                      <w:u w:val="single"/>
                    </w:rPr>
                    <w:t>拟采取的改正措施</w:t>
                  </w:r>
                </w:p>
              </w:tc>
            </w:tr>
            <w:tr w14:paraId="19DC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Align w:val="center"/>
                </w:tcPr>
                <w:p w14:paraId="330C8248">
                  <w:pPr>
                    <w:pStyle w:val="36"/>
                    <w:spacing w:line="240" w:lineRule="auto"/>
                    <w:ind w:firstLine="0" w:firstLineChars="0"/>
                    <w:jc w:val="center"/>
                    <w:rPr>
                      <w:rFonts w:hint="eastAsia" w:ascii="Times New Roman" w:eastAsia="宋体"/>
                      <w:sz w:val="21"/>
                      <w:szCs w:val="21"/>
                      <w:u w:val="single"/>
                      <w:lang w:eastAsia="zh-CN"/>
                    </w:rPr>
                  </w:pPr>
                  <w:r>
                    <w:rPr>
                      <w:rFonts w:hint="eastAsia" w:ascii="Times New Roman"/>
                      <w:sz w:val="21"/>
                      <w:szCs w:val="21"/>
                      <w:u w:val="single"/>
                      <w:lang w:val="en-US" w:eastAsia="zh-CN"/>
                    </w:rPr>
                    <w:t>1</w:t>
                  </w:r>
                </w:p>
              </w:tc>
              <w:tc>
                <w:tcPr>
                  <w:tcW w:w="1064" w:type="dxa"/>
                  <w:vAlign w:val="center"/>
                </w:tcPr>
                <w:p w14:paraId="00CE22A3">
                  <w:pPr>
                    <w:pStyle w:val="36"/>
                    <w:spacing w:line="240" w:lineRule="auto"/>
                    <w:ind w:firstLine="0" w:firstLineChars="0"/>
                    <w:jc w:val="center"/>
                    <w:rPr>
                      <w:rFonts w:ascii="Times New Roman"/>
                      <w:sz w:val="21"/>
                      <w:szCs w:val="21"/>
                      <w:u w:val="single"/>
                    </w:rPr>
                  </w:pPr>
                  <w:r>
                    <w:rPr>
                      <w:rFonts w:hint="eastAsia" w:ascii="Times New Roman"/>
                      <w:sz w:val="21"/>
                      <w:szCs w:val="21"/>
                      <w:u w:val="single"/>
                    </w:rPr>
                    <w:t>废气</w:t>
                  </w:r>
                </w:p>
              </w:tc>
              <w:tc>
                <w:tcPr>
                  <w:tcW w:w="2918" w:type="dxa"/>
                  <w:vAlign w:val="center"/>
                </w:tcPr>
                <w:p w14:paraId="0F94F07D">
                  <w:pPr>
                    <w:spacing w:line="240" w:lineRule="auto"/>
                    <w:jc w:val="center"/>
                    <w:rPr>
                      <w:sz w:val="21"/>
                      <w:szCs w:val="21"/>
                      <w:u w:val="single"/>
                    </w:rPr>
                  </w:pPr>
                  <w:r>
                    <w:rPr>
                      <w:rFonts w:hint="eastAsia"/>
                      <w:sz w:val="21"/>
                      <w:szCs w:val="21"/>
                      <w:u w:val="single"/>
                    </w:rPr>
                    <w:t>成品堆场未设置围挡</w:t>
                  </w:r>
                  <w:r>
                    <w:rPr>
                      <w:sz w:val="21"/>
                      <w:szCs w:val="21"/>
                      <w:u w:val="single"/>
                    </w:rPr>
                    <w:t>。</w:t>
                  </w:r>
                </w:p>
              </w:tc>
              <w:tc>
                <w:tcPr>
                  <w:tcW w:w="3796" w:type="dxa"/>
                  <w:vAlign w:val="center"/>
                </w:tcPr>
                <w:p w14:paraId="72159B8A">
                  <w:pPr>
                    <w:pStyle w:val="36"/>
                    <w:spacing w:line="240" w:lineRule="auto"/>
                    <w:ind w:firstLine="0" w:firstLineChars="0"/>
                    <w:jc w:val="center"/>
                    <w:rPr>
                      <w:rFonts w:ascii="Times New Roman"/>
                      <w:sz w:val="21"/>
                      <w:szCs w:val="21"/>
                      <w:u w:val="single"/>
                    </w:rPr>
                  </w:pPr>
                  <w:r>
                    <w:rPr>
                      <w:rFonts w:hint="eastAsia"/>
                      <w:sz w:val="21"/>
                      <w:szCs w:val="21"/>
                      <w:highlight w:val="none"/>
                      <w:u w:val="single"/>
                      <w:lang w:eastAsia="zh-CN"/>
                    </w:rPr>
                    <w:t>新建成品堆场，</w:t>
                  </w:r>
                  <w:r>
                    <w:rPr>
                      <w:rFonts w:hint="eastAsia"/>
                      <w:sz w:val="21"/>
                      <w:szCs w:val="21"/>
                      <w:highlight w:val="none"/>
                      <w:u w:val="single"/>
                    </w:rPr>
                    <w:t>对</w:t>
                  </w:r>
                  <w:r>
                    <w:rPr>
                      <w:rFonts w:hint="eastAsia"/>
                      <w:sz w:val="21"/>
                      <w:szCs w:val="21"/>
                      <w:highlight w:val="none"/>
                      <w:u w:val="single"/>
                      <w:lang w:eastAsia="zh-CN"/>
                    </w:rPr>
                    <w:t>新的</w:t>
                  </w:r>
                  <w:r>
                    <w:rPr>
                      <w:rFonts w:hint="eastAsia"/>
                      <w:sz w:val="21"/>
                      <w:szCs w:val="21"/>
                      <w:highlight w:val="none"/>
                      <w:u w:val="single"/>
                    </w:rPr>
                    <w:t>成品堆场设置半封闭围挡，设置喷淋抑尘设施</w:t>
                  </w:r>
                  <w:r>
                    <w:rPr>
                      <w:rFonts w:ascii="Times New Roman"/>
                      <w:sz w:val="21"/>
                      <w:szCs w:val="21"/>
                      <w:highlight w:val="none"/>
                      <w:u w:val="single"/>
                    </w:rPr>
                    <w:t>。</w:t>
                  </w:r>
                </w:p>
              </w:tc>
            </w:tr>
            <w:tr w14:paraId="586F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50B793FB">
                  <w:pPr>
                    <w:pStyle w:val="36"/>
                    <w:spacing w:line="240" w:lineRule="auto"/>
                    <w:ind w:firstLine="0" w:firstLineChars="0"/>
                    <w:jc w:val="center"/>
                    <w:rPr>
                      <w:rFonts w:hint="eastAsia" w:ascii="Times New Roman" w:eastAsia="宋体"/>
                      <w:sz w:val="21"/>
                      <w:szCs w:val="21"/>
                      <w:u w:val="single"/>
                      <w:lang w:eastAsia="zh-CN"/>
                    </w:rPr>
                  </w:pPr>
                  <w:r>
                    <w:rPr>
                      <w:rFonts w:hint="eastAsia" w:ascii="Times New Roman"/>
                      <w:sz w:val="21"/>
                      <w:szCs w:val="21"/>
                      <w:u w:val="single"/>
                      <w:lang w:val="en-US" w:eastAsia="zh-CN"/>
                    </w:rPr>
                    <w:t>2</w:t>
                  </w:r>
                </w:p>
              </w:tc>
              <w:tc>
                <w:tcPr>
                  <w:tcW w:w="1064" w:type="dxa"/>
                  <w:vAlign w:val="center"/>
                </w:tcPr>
                <w:p w14:paraId="60FCEF7E">
                  <w:pPr>
                    <w:pStyle w:val="36"/>
                    <w:spacing w:line="240" w:lineRule="auto"/>
                    <w:ind w:firstLine="0" w:firstLineChars="0"/>
                    <w:jc w:val="center"/>
                    <w:rPr>
                      <w:rFonts w:ascii="Times New Roman"/>
                      <w:sz w:val="21"/>
                      <w:szCs w:val="21"/>
                      <w:u w:val="single"/>
                    </w:rPr>
                  </w:pPr>
                  <w:r>
                    <w:rPr>
                      <w:rFonts w:hint="eastAsia" w:ascii="Times New Roman"/>
                      <w:sz w:val="21"/>
                      <w:szCs w:val="21"/>
                      <w:u w:val="single"/>
                    </w:rPr>
                    <w:t>废水</w:t>
                  </w:r>
                </w:p>
              </w:tc>
              <w:tc>
                <w:tcPr>
                  <w:tcW w:w="2918" w:type="dxa"/>
                  <w:vAlign w:val="center"/>
                </w:tcPr>
                <w:p w14:paraId="77348A87">
                  <w:pPr>
                    <w:spacing w:line="240" w:lineRule="auto"/>
                    <w:jc w:val="center"/>
                    <w:rPr>
                      <w:sz w:val="21"/>
                      <w:szCs w:val="21"/>
                      <w:u w:val="single"/>
                    </w:rPr>
                  </w:pPr>
                  <w:r>
                    <w:rPr>
                      <w:rFonts w:hint="eastAsia"/>
                      <w:sz w:val="21"/>
                      <w:szCs w:val="21"/>
                      <w:u w:val="single"/>
                    </w:rPr>
                    <w:t>项目未设置初期雨水池。</w:t>
                  </w:r>
                </w:p>
              </w:tc>
              <w:tc>
                <w:tcPr>
                  <w:tcW w:w="3796" w:type="dxa"/>
                  <w:vAlign w:val="center"/>
                </w:tcPr>
                <w:p w14:paraId="6B25575F">
                  <w:pPr>
                    <w:pStyle w:val="36"/>
                    <w:spacing w:line="240" w:lineRule="auto"/>
                    <w:ind w:firstLine="0" w:firstLineChars="0"/>
                    <w:jc w:val="center"/>
                    <w:rPr>
                      <w:sz w:val="21"/>
                      <w:szCs w:val="21"/>
                      <w:u w:val="single"/>
                    </w:rPr>
                  </w:pPr>
                  <w:r>
                    <w:rPr>
                      <w:rFonts w:hint="eastAsia"/>
                      <w:sz w:val="21"/>
                      <w:szCs w:val="21"/>
                      <w:u w:val="single"/>
                    </w:rPr>
                    <w:t>环评要求设置一个</w:t>
                  </w:r>
                  <w:r>
                    <w:rPr>
                      <w:rFonts w:hint="eastAsia"/>
                      <w:sz w:val="21"/>
                      <w:szCs w:val="21"/>
                      <w:u w:val="single"/>
                      <w:lang w:eastAsia="zh-CN"/>
                    </w:rPr>
                    <w:t>不小于</w:t>
                  </w:r>
                  <w:r>
                    <w:rPr>
                      <w:rFonts w:hint="eastAsia"/>
                      <w:sz w:val="21"/>
                      <w:szCs w:val="21"/>
                      <w:u w:val="single"/>
                    </w:rPr>
                    <w:t>33m³的初期雨水收集池。</w:t>
                  </w:r>
                </w:p>
              </w:tc>
            </w:tr>
            <w:tr w14:paraId="651D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0454D5E9">
                  <w:pPr>
                    <w:pStyle w:val="36"/>
                    <w:spacing w:line="240" w:lineRule="auto"/>
                    <w:ind w:firstLine="0" w:firstLineChars="0"/>
                    <w:jc w:val="center"/>
                    <w:rPr>
                      <w:rFonts w:hint="eastAsia" w:ascii="Times New Roman" w:eastAsia="宋体"/>
                      <w:sz w:val="21"/>
                      <w:szCs w:val="21"/>
                      <w:u w:val="single"/>
                      <w:lang w:eastAsia="zh-CN"/>
                    </w:rPr>
                  </w:pPr>
                  <w:r>
                    <w:rPr>
                      <w:rFonts w:hint="eastAsia" w:ascii="Times New Roman"/>
                      <w:sz w:val="21"/>
                      <w:szCs w:val="21"/>
                      <w:u w:val="single"/>
                      <w:lang w:val="en-US" w:eastAsia="zh-CN"/>
                    </w:rPr>
                    <w:t>3</w:t>
                  </w:r>
                </w:p>
              </w:tc>
              <w:tc>
                <w:tcPr>
                  <w:tcW w:w="1064" w:type="dxa"/>
                  <w:vMerge w:val="restart"/>
                  <w:vAlign w:val="center"/>
                </w:tcPr>
                <w:p w14:paraId="57CF6D28">
                  <w:pPr>
                    <w:pStyle w:val="36"/>
                    <w:spacing w:line="240" w:lineRule="auto"/>
                    <w:ind w:firstLine="0" w:firstLineChars="0"/>
                    <w:jc w:val="center"/>
                    <w:rPr>
                      <w:rFonts w:ascii="Times New Roman"/>
                      <w:sz w:val="21"/>
                      <w:szCs w:val="21"/>
                      <w:u w:val="single"/>
                    </w:rPr>
                  </w:pPr>
                  <w:r>
                    <w:rPr>
                      <w:rFonts w:hint="eastAsia" w:ascii="Times New Roman"/>
                      <w:sz w:val="21"/>
                      <w:szCs w:val="21"/>
                      <w:u w:val="single"/>
                    </w:rPr>
                    <w:t>其他</w:t>
                  </w:r>
                </w:p>
              </w:tc>
              <w:tc>
                <w:tcPr>
                  <w:tcW w:w="2918" w:type="dxa"/>
                  <w:vAlign w:val="center"/>
                </w:tcPr>
                <w:p w14:paraId="38C398F3">
                  <w:pPr>
                    <w:pStyle w:val="36"/>
                    <w:spacing w:line="240" w:lineRule="auto"/>
                    <w:ind w:firstLine="0" w:firstLineChars="0"/>
                    <w:jc w:val="center"/>
                    <w:rPr>
                      <w:sz w:val="21"/>
                      <w:szCs w:val="21"/>
                      <w:u w:val="single"/>
                    </w:rPr>
                  </w:pPr>
                  <w:r>
                    <w:rPr>
                      <w:rFonts w:hint="eastAsia"/>
                      <w:sz w:val="21"/>
                      <w:szCs w:val="21"/>
                      <w:u w:val="single"/>
                    </w:rPr>
                    <w:t>项目目前需平整地块内存在7</w:t>
                  </w:r>
                  <w:r>
                    <w:rPr>
                      <w:rFonts w:hint="eastAsia"/>
                      <w:sz w:val="21"/>
                      <w:szCs w:val="21"/>
                      <w:u w:val="single"/>
                      <w:lang w:eastAsia="zh-CN"/>
                    </w:rPr>
                    <w:t>座</w:t>
                  </w:r>
                  <w:r>
                    <w:rPr>
                      <w:rFonts w:hint="eastAsia"/>
                      <w:sz w:val="21"/>
                      <w:szCs w:val="21"/>
                      <w:u w:val="single"/>
                    </w:rPr>
                    <w:t>坟</w:t>
                  </w:r>
                  <w:r>
                    <w:rPr>
                      <w:rFonts w:hint="eastAsia" w:ascii="Times New Roman"/>
                      <w:sz w:val="21"/>
                      <w:szCs w:val="21"/>
                      <w:u w:val="single"/>
                    </w:rPr>
                    <w:t>。</w:t>
                  </w:r>
                </w:p>
              </w:tc>
              <w:tc>
                <w:tcPr>
                  <w:tcW w:w="3796" w:type="dxa"/>
                  <w:vAlign w:val="center"/>
                </w:tcPr>
                <w:p w14:paraId="425FF8C2">
                  <w:pPr>
                    <w:pStyle w:val="36"/>
                    <w:spacing w:line="240" w:lineRule="auto"/>
                    <w:ind w:firstLine="0" w:firstLineChars="0"/>
                    <w:jc w:val="center"/>
                    <w:rPr>
                      <w:sz w:val="21"/>
                      <w:szCs w:val="21"/>
                      <w:u w:val="single"/>
                    </w:rPr>
                  </w:pPr>
                  <w:r>
                    <w:rPr>
                      <w:rFonts w:hint="eastAsia"/>
                      <w:sz w:val="21"/>
                      <w:szCs w:val="21"/>
                      <w:u w:val="single"/>
                      <w:lang w:eastAsia="zh-CN"/>
                    </w:rPr>
                    <w:t>施工前需</w:t>
                  </w:r>
                  <w:r>
                    <w:rPr>
                      <w:rFonts w:hint="eastAsia"/>
                      <w:sz w:val="21"/>
                      <w:szCs w:val="21"/>
                      <w:u w:val="single"/>
                    </w:rPr>
                    <w:t>与村</w:t>
                  </w:r>
                  <w:r>
                    <w:rPr>
                      <w:rFonts w:hint="eastAsia"/>
                      <w:sz w:val="21"/>
                      <w:szCs w:val="21"/>
                      <w:u w:val="single"/>
                      <w:lang w:eastAsia="zh-CN"/>
                    </w:rPr>
                    <w:t>民</w:t>
                  </w:r>
                  <w:r>
                    <w:rPr>
                      <w:rFonts w:hint="eastAsia"/>
                      <w:sz w:val="21"/>
                      <w:szCs w:val="21"/>
                      <w:u w:val="single"/>
                    </w:rPr>
                    <w:t>签订迁坟协议。</w:t>
                  </w:r>
                </w:p>
              </w:tc>
            </w:tr>
            <w:tr w14:paraId="3ED4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52" w:type="dxa"/>
                  <w:vAlign w:val="center"/>
                </w:tcPr>
                <w:p w14:paraId="5257B170">
                  <w:pPr>
                    <w:pStyle w:val="36"/>
                    <w:spacing w:line="240" w:lineRule="auto"/>
                    <w:ind w:firstLine="0" w:firstLineChars="0"/>
                    <w:jc w:val="center"/>
                    <w:rPr>
                      <w:rFonts w:hint="default" w:ascii="Times New Roman"/>
                      <w:sz w:val="21"/>
                      <w:szCs w:val="21"/>
                      <w:u w:val="single"/>
                      <w:lang w:val="en-US" w:eastAsia="zh-CN"/>
                    </w:rPr>
                  </w:pPr>
                  <w:r>
                    <w:rPr>
                      <w:rFonts w:hint="eastAsia" w:ascii="Times New Roman"/>
                      <w:sz w:val="21"/>
                      <w:szCs w:val="21"/>
                      <w:u w:val="single"/>
                      <w:lang w:val="en-US" w:eastAsia="zh-CN"/>
                    </w:rPr>
                    <w:t>4</w:t>
                  </w:r>
                </w:p>
              </w:tc>
              <w:tc>
                <w:tcPr>
                  <w:tcW w:w="1064" w:type="dxa"/>
                  <w:vMerge w:val="continue"/>
                  <w:vAlign w:val="center"/>
                </w:tcPr>
                <w:p w14:paraId="5A12FDF8">
                  <w:pPr>
                    <w:pStyle w:val="36"/>
                    <w:spacing w:line="240" w:lineRule="auto"/>
                    <w:ind w:firstLine="0" w:firstLineChars="0"/>
                    <w:jc w:val="center"/>
                    <w:rPr>
                      <w:rFonts w:hint="eastAsia" w:ascii="Times New Roman"/>
                      <w:sz w:val="21"/>
                      <w:szCs w:val="21"/>
                      <w:u w:val="single"/>
                    </w:rPr>
                  </w:pPr>
                </w:p>
              </w:tc>
              <w:tc>
                <w:tcPr>
                  <w:tcW w:w="2918" w:type="dxa"/>
                  <w:vAlign w:val="center"/>
                </w:tcPr>
                <w:p w14:paraId="1EA430AB">
                  <w:pPr>
                    <w:pStyle w:val="36"/>
                    <w:spacing w:line="240" w:lineRule="auto"/>
                    <w:ind w:firstLine="0" w:firstLineChars="0"/>
                    <w:jc w:val="center"/>
                    <w:rPr>
                      <w:rFonts w:hint="eastAsia" w:eastAsia="宋体"/>
                      <w:sz w:val="21"/>
                      <w:szCs w:val="21"/>
                      <w:u w:val="single"/>
                      <w:lang w:eastAsia="zh-CN"/>
                    </w:rPr>
                  </w:pPr>
                  <w:r>
                    <w:rPr>
                      <w:rFonts w:hint="eastAsia"/>
                      <w:sz w:val="21"/>
                      <w:szCs w:val="21"/>
                      <w:u w:val="single"/>
                      <w:lang w:eastAsia="zh-CN"/>
                    </w:rPr>
                    <w:t>现有项目未办理排污许可登记手续。</w:t>
                  </w:r>
                </w:p>
              </w:tc>
              <w:tc>
                <w:tcPr>
                  <w:tcW w:w="3796" w:type="dxa"/>
                  <w:vAlign w:val="center"/>
                </w:tcPr>
                <w:p w14:paraId="727A7B44">
                  <w:pPr>
                    <w:pStyle w:val="36"/>
                    <w:spacing w:line="240" w:lineRule="auto"/>
                    <w:ind w:firstLine="0" w:firstLineChars="0"/>
                    <w:jc w:val="center"/>
                    <w:rPr>
                      <w:rFonts w:hint="eastAsia"/>
                      <w:sz w:val="21"/>
                      <w:szCs w:val="21"/>
                      <w:u w:val="single"/>
                      <w:lang w:eastAsia="zh-CN"/>
                    </w:rPr>
                  </w:pPr>
                  <w:r>
                    <w:rPr>
                      <w:rFonts w:hint="eastAsia"/>
                      <w:sz w:val="21"/>
                      <w:szCs w:val="21"/>
                      <w:u w:val="single"/>
                      <w:lang w:eastAsia="zh-CN"/>
                    </w:rPr>
                    <w:t>本次改扩建项目环评后，需办理排污许可手续。</w:t>
                  </w:r>
                </w:p>
              </w:tc>
            </w:tr>
          </w:tbl>
          <w:p w14:paraId="23756AB1">
            <w:pPr>
              <w:pStyle w:val="2"/>
              <w:rPr>
                <w:rFonts w:hint="default" w:ascii="Times New Roman" w:hAnsi="Times New Roman" w:eastAsia="宋体" w:cs="Times New Roman"/>
                <w:color w:val="0000C7"/>
              </w:rPr>
            </w:pPr>
          </w:p>
        </w:tc>
      </w:tr>
    </w:tbl>
    <w:p w14:paraId="37502E61">
      <w:pPr>
        <w:widowControl/>
        <w:spacing w:before="100" w:beforeAutospacing="1" w:after="100" w:afterAutospacing="1" w:line="240" w:lineRule="auto"/>
        <w:jc w:val="center"/>
        <w:rPr>
          <w:snapToGrid w:val="0"/>
          <w:color w:val="0000C7"/>
          <w:kern w:val="0"/>
          <w:sz w:val="36"/>
          <w:szCs w:val="36"/>
        </w:rPr>
        <w:sectPr>
          <w:pgSz w:w="11906" w:h="16838"/>
          <w:pgMar w:top="1701" w:right="1531" w:bottom="1701" w:left="1531" w:header="851" w:footer="851" w:gutter="0"/>
          <w:cols w:space="720" w:num="1"/>
          <w:docGrid w:linePitch="312" w:charSpace="0"/>
        </w:sectPr>
      </w:pPr>
    </w:p>
    <w:p w14:paraId="6FEDEFE0">
      <w:pPr>
        <w:pStyle w:val="31"/>
        <w:numPr>
          <w:ilvl w:val="0"/>
          <w:numId w:val="0"/>
        </w:numPr>
        <w:rPr>
          <w:snapToGrid w:val="0"/>
        </w:rPr>
      </w:pPr>
      <w:bookmarkStart w:id="39" w:name="_Toc26727"/>
      <w:bookmarkStart w:id="40" w:name="_Toc68160363"/>
      <w:r>
        <w:rPr>
          <w:b w:val="0"/>
          <w:snapToGrid w:val="0"/>
          <w:kern w:val="0"/>
          <w:sz w:val="30"/>
          <w:szCs w:val="30"/>
        </w:rPr>
        <w:t>三、区域环境质量现状、环境保护目标及评价标准</w:t>
      </w:r>
      <w:bookmarkEnd w:id="39"/>
      <w:bookmarkEnd w:id="40"/>
    </w:p>
    <w:tbl>
      <w:tblPr>
        <w:tblStyle w:val="24"/>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244"/>
      </w:tblGrid>
      <w:tr w14:paraId="6A712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01249349">
            <w:pPr>
              <w:adjustRightInd w:val="0"/>
              <w:snapToGrid w:val="0"/>
              <w:jc w:val="center"/>
              <w:rPr>
                <w:kern w:val="0"/>
                <w:szCs w:val="21"/>
              </w:rPr>
            </w:pPr>
            <w:r>
              <w:rPr>
                <w:kern w:val="0"/>
                <w:szCs w:val="21"/>
              </w:rPr>
              <w:t>区域</w:t>
            </w:r>
          </w:p>
          <w:p w14:paraId="4218D0C0">
            <w:pPr>
              <w:adjustRightInd w:val="0"/>
              <w:snapToGrid w:val="0"/>
              <w:jc w:val="center"/>
              <w:rPr>
                <w:kern w:val="0"/>
                <w:szCs w:val="21"/>
              </w:rPr>
            </w:pPr>
            <w:r>
              <w:rPr>
                <w:kern w:val="0"/>
                <w:szCs w:val="21"/>
              </w:rPr>
              <w:t>环境</w:t>
            </w:r>
          </w:p>
          <w:p w14:paraId="402F44DC">
            <w:pPr>
              <w:adjustRightInd w:val="0"/>
              <w:snapToGrid w:val="0"/>
              <w:jc w:val="center"/>
              <w:rPr>
                <w:kern w:val="0"/>
                <w:szCs w:val="21"/>
              </w:rPr>
            </w:pPr>
            <w:r>
              <w:rPr>
                <w:kern w:val="0"/>
                <w:szCs w:val="21"/>
              </w:rPr>
              <w:t>质量</w:t>
            </w:r>
          </w:p>
          <w:p w14:paraId="2172B94D">
            <w:pPr>
              <w:adjustRightInd w:val="0"/>
              <w:snapToGrid w:val="0"/>
              <w:jc w:val="center"/>
              <w:rPr>
                <w:kern w:val="0"/>
                <w:szCs w:val="21"/>
              </w:rPr>
            </w:pPr>
            <w:r>
              <w:rPr>
                <w:kern w:val="0"/>
                <w:szCs w:val="21"/>
              </w:rPr>
              <w:t>现状</w:t>
            </w:r>
          </w:p>
        </w:tc>
        <w:tc>
          <w:tcPr>
            <w:tcW w:w="8190" w:type="dxa"/>
          </w:tcPr>
          <w:p w14:paraId="2C9F718F">
            <w:pPr>
              <w:pStyle w:val="30"/>
              <w:numPr>
                <w:ilvl w:val="1"/>
                <w:numId w:val="0"/>
              </w:numPr>
              <w:ind w:left="284"/>
              <w:jc w:val="both"/>
            </w:pPr>
            <w:bookmarkStart w:id="41" w:name="_Toc68160364"/>
            <w:bookmarkStart w:id="42" w:name="_Toc114"/>
            <w:r>
              <w:t>3.1大气环境质量现状</w:t>
            </w:r>
            <w:bookmarkEnd w:id="41"/>
            <w:bookmarkEnd w:id="42"/>
          </w:p>
          <w:p w14:paraId="29A5A059">
            <w:pPr>
              <w:autoSpaceDE w:val="0"/>
              <w:autoSpaceDN w:val="0"/>
              <w:adjustRightInd w:val="0"/>
              <w:snapToGrid w:val="0"/>
              <w:ind w:firstLine="480" w:firstLineChars="200"/>
            </w:pPr>
            <w:r>
              <w:t>（1）常规监测</w:t>
            </w:r>
          </w:p>
          <w:p w14:paraId="274499A0">
            <w:pPr>
              <w:adjustRightInd w:val="0"/>
              <w:snapToGrid w:val="0"/>
              <w:ind w:firstLine="480" w:firstLineChars="200"/>
            </w:pPr>
            <w:r>
              <w:t>本项目所在区域为二类区，环境空气质量执行《环境空气质量标准》（GB3095-2012）中二级标准及其修改单。为了解项目所在区域的空气环境质量，本次评价采用怀化市生态环境局公开发布的《怀化市城市环境空气质量年报（202</w:t>
            </w:r>
            <w:r>
              <w:rPr>
                <w:rFonts w:hint="eastAsia"/>
                <w:lang w:val="en-US" w:eastAsia="zh-CN"/>
              </w:rPr>
              <w:t>3</w:t>
            </w:r>
            <w:r>
              <w:t>年）》中的数据和结论。</w:t>
            </w:r>
          </w:p>
          <w:p w14:paraId="332E7D2F">
            <w:pPr>
              <w:ind w:firstLine="480" w:firstLineChars="200"/>
              <w:jc w:val="left"/>
            </w:pPr>
            <w:r>
              <w:t>202</w:t>
            </w:r>
            <w:r>
              <w:rPr>
                <w:rFonts w:hint="eastAsia"/>
                <w:lang w:val="en-US" w:eastAsia="zh-CN"/>
              </w:rPr>
              <w:t>3</w:t>
            </w:r>
            <w:r>
              <w:t>年</w:t>
            </w:r>
            <w:r>
              <w:rPr>
                <w:rFonts w:hint="eastAsia"/>
              </w:rPr>
              <w:t>靖州</w:t>
            </w:r>
            <w:r>
              <w:t>县环境空气质量监测结果见</w:t>
            </w:r>
            <w:r>
              <w:rPr>
                <w:rFonts w:hint="eastAsia"/>
              </w:rPr>
              <w:t>下表</w:t>
            </w:r>
            <w:r>
              <w:t>。</w:t>
            </w:r>
          </w:p>
          <w:p w14:paraId="5D3233C7">
            <w:pPr>
              <w:adjustRightInd w:val="0"/>
              <w:snapToGrid w:val="0"/>
              <w:spacing w:line="240" w:lineRule="auto"/>
              <w:jc w:val="center"/>
              <w:rPr>
                <w:color w:val="0000C7"/>
              </w:rPr>
            </w:pPr>
            <w:r>
              <w:rPr>
                <w:b/>
                <w:bCs/>
                <w:sz w:val="21"/>
                <w:szCs w:val="21"/>
              </w:rPr>
              <w:t>表3-1　202</w:t>
            </w:r>
            <w:r>
              <w:rPr>
                <w:rFonts w:hint="eastAsia"/>
                <w:b/>
                <w:bCs/>
                <w:sz w:val="21"/>
                <w:szCs w:val="21"/>
                <w:lang w:val="en-US" w:eastAsia="zh-CN"/>
              </w:rPr>
              <w:t>3</w:t>
            </w:r>
            <w:r>
              <w:rPr>
                <w:b/>
                <w:bCs/>
                <w:sz w:val="21"/>
                <w:szCs w:val="21"/>
              </w:rPr>
              <w:t>年</w:t>
            </w:r>
            <w:r>
              <w:rPr>
                <w:rFonts w:hint="eastAsia"/>
                <w:b/>
                <w:bCs/>
                <w:sz w:val="21"/>
                <w:szCs w:val="21"/>
              </w:rPr>
              <w:t>靖州</w:t>
            </w:r>
            <w:r>
              <w:rPr>
                <w:b/>
                <w:bCs/>
                <w:sz w:val="21"/>
                <w:szCs w:val="21"/>
              </w:rPr>
              <w:t>县环境空气质量监测结果［单位：ug/m</w:t>
            </w:r>
            <w:r>
              <w:rPr>
                <w:b/>
                <w:bCs/>
                <w:sz w:val="21"/>
                <w:szCs w:val="21"/>
                <w:vertAlign w:val="superscript"/>
              </w:rPr>
              <w:t>3</w:t>
            </w:r>
            <w:r>
              <w:rPr>
                <w:b/>
                <w:bCs/>
                <w:sz w:val="21"/>
                <w:szCs w:val="21"/>
              </w:rPr>
              <w:t>（CO mg/m</w:t>
            </w:r>
            <w:r>
              <w:rPr>
                <w:b/>
                <w:bCs/>
                <w:sz w:val="21"/>
                <w:szCs w:val="21"/>
                <w:vertAlign w:val="superscript"/>
              </w:rPr>
              <w:t>3</w:t>
            </w:r>
            <w:r>
              <w:rPr>
                <w:b/>
                <w:bCs/>
                <w:sz w:val="21"/>
                <w:szCs w:val="21"/>
              </w:rPr>
              <w:t>）］</w:t>
            </w:r>
          </w:p>
          <w:tbl>
            <w:tblPr>
              <w:tblStyle w:val="24"/>
              <w:tblW w:w="4998"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1225"/>
              <w:gridCol w:w="710"/>
              <w:gridCol w:w="808"/>
              <w:gridCol w:w="822"/>
              <w:gridCol w:w="1762"/>
              <w:gridCol w:w="1802"/>
              <w:gridCol w:w="886"/>
            </w:tblGrid>
            <w:tr w14:paraId="67A0DEF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302" w:type="dxa"/>
                  <w:vAlign w:val="center"/>
                </w:tcPr>
                <w:p w14:paraId="074ED4D0">
                  <w:pPr>
                    <w:pStyle w:val="37"/>
                    <w:spacing w:line="240" w:lineRule="exact"/>
                    <w:ind w:firstLine="0" w:firstLineChars="0"/>
                    <w:jc w:val="center"/>
                    <w:rPr>
                      <w:szCs w:val="21"/>
                    </w:rPr>
                  </w:pPr>
                  <w:r>
                    <w:rPr>
                      <w:b/>
                      <w:bCs/>
                      <w:szCs w:val="21"/>
                    </w:rPr>
                    <w:t>基本污染物</w:t>
                  </w:r>
                </w:p>
              </w:tc>
              <w:tc>
                <w:tcPr>
                  <w:tcW w:w="724" w:type="dxa"/>
                  <w:vAlign w:val="center"/>
                </w:tcPr>
                <w:p w14:paraId="2E892A50">
                  <w:pPr>
                    <w:pStyle w:val="37"/>
                    <w:spacing w:line="240" w:lineRule="exact"/>
                    <w:ind w:firstLine="0" w:firstLineChars="0"/>
                    <w:jc w:val="center"/>
                    <w:rPr>
                      <w:b/>
                      <w:bCs/>
                      <w:szCs w:val="21"/>
                    </w:rPr>
                  </w:pPr>
                  <w:r>
                    <w:rPr>
                      <w:b/>
                      <w:bCs/>
                      <w:szCs w:val="21"/>
                    </w:rPr>
                    <w:t>SO</w:t>
                  </w:r>
                  <w:r>
                    <w:rPr>
                      <w:b/>
                      <w:bCs/>
                      <w:szCs w:val="21"/>
                      <w:vertAlign w:val="subscript"/>
                    </w:rPr>
                    <w:t>2</w:t>
                  </w:r>
                </w:p>
              </w:tc>
              <w:tc>
                <w:tcPr>
                  <w:tcW w:w="828" w:type="dxa"/>
                  <w:vAlign w:val="center"/>
                </w:tcPr>
                <w:p w14:paraId="66B9BFE0">
                  <w:pPr>
                    <w:pStyle w:val="37"/>
                    <w:spacing w:line="240" w:lineRule="exact"/>
                    <w:ind w:firstLine="0" w:firstLineChars="0"/>
                    <w:jc w:val="center"/>
                    <w:rPr>
                      <w:b/>
                      <w:bCs/>
                      <w:szCs w:val="21"/>
                    </w:rPr>
                  </w:pPr>
                  <w:r>
                    <w:rPr>
                      <w:b/>
                      <w:bCs/>
                      <w:szCs w:val="21"/>
                    </w:rPr>
                    <w:t>NO</w:t>
                  </w:r>
                  <w:r>
                    <w:rPr>
                      <w:b/>
                      <w:bCs/>
                      <w:szCs w:val="21"/>
                      <w:vertAlign w:val="subscript"/>
                    </w:rPr>
                    <w:t>2</w:t>
                  </w:r>
                </w:p>
              </w:tc>
              <w:tc>
                <w:tcPr>
                  <w:tcW w:w="836" w:type="dxa"/>
                  <w:vAlign w:val="center"/>
                </w:tcPr>
                <w:p w14:paraId="0CDFCD41">
                  <w:pPr>
                    <w:pStyle w:val="37"/>
                    <w:spacing w:line="240" w:lineRule="exact"/>
                    <w:ind w:firstLine="0" w:firstLineChars="0"/>
                    <w:jc w:val="center"/>
                    <w:rPr>
                      <w:b/>
                      <w:bCs/>
                      <w:szCs w:val="21"/>
                    </w:rPr>
                  </w:pPr>
                  <w:r>
                    <w:rPr>
                      <w:b/>
                      <w:bCs/>
                      <w:szCs w:val="21"/>
                    </w:rPr>
                    <w:t>PM</w:t>
                  </w:r>
                  <w:r>
                    <w:rPr>
                      <w:b/>
                      <w:bCs/>
                      <w:szCs w:val="21"/>
                      <w:vertAlign w:val="subscript"/>
                    </w:rPr>
                    <w:t>10</w:t>
                  </w:r>
                </w:p>
              </w:tc>
              <w:tc>
                <w:tcPr>
                  <w:tcW w:w="1870" w:type="dxa"/>
                  <w:vAlign w:val="center"/>
                </w:tcPr>
                <w:p w14:paraId="3ED35CB1">
                  <w:pPr>
                    <w:pStyle w:val="37"/>
                    <w:spacing w:line="240" w:lineRule="exact"/>
                    <w:ind w:firstLine="0" w:firstLineChars="0"/>
                    <w:jc w:val="center"/>
                    <w:rPr>
                      <w:b/>
                      <w:bCs/>
                      <w:szCs w:val="21"/>
                    </w:rPr>
                  </w:pPr>
                  <w:r>
                    <w:rPr>
                      <w:b/>
                      <w:bCs/>
                      <w:szCs w:val="21"/>
                    </w:rPr>
                    <w:t>CO</w:t>
                  </w:r>
                </w:p>
              </w:tc>
              <w:tc>
                <w:tcPr>
                  <w:tcW w:w="1914" w:type="dxa"/>
                  <w:vAlign w:val="center"/>
                </w:tcPr>
                <w:p w14:paraId="3081357A">
                  <w:pPr>
                    <w:pStyle w:val="37"/>
                    <w:spacing w:line="240" w:lineRule="exact"/>
                    <w:ind w:firstLine="0" w:firstLineChars="0"/>
                    <w:jc w:val="center"/>
                    <w:rPr>
                      <w:b/>
                      <w:bCs/>
                      <w:szCs w:val="21"/>
                    </w:rPr>
                  </w:pPr>
                  <w:r>
                    <w:rPr>
                      <w:b/>
                      <w:bCs/>
                      <w:szCs w:val="21"/>
                    </w:rPr>
                    <w:t>O</w:t>
                  </w:r>
                  <w:r>
                    <w:rPr>
                      <w:b/>
                      <w:bCs/>
                      <w:szCs w:val="21"/>
                      <w:vertAlign w:val="subscript"/>
                    </w:rPr>
                    <w:t>3</w:t>
                  </w:r>
                </w:p>
              </w:tc>
              <w:tc>
                <w:tcPr>
                  <w:tcW w:w="903" w:type="dxa"/>
                  <w:vAlign w:val="center"/>
                </w:tcPr>
                <w:p w14:paraId="7E361EA8">
                  <w:pPr>
                    <w:pStyle w:val="37"/>
                    <w:spacing w:line="240" w:lineRule="exact"/>
                    <w:ind w:firstLine="0" w:firstLineChars="0"/>
                    <w:jc w:val="center"/>
                    <w:rPr>
                      <w:b/>
                      <w:bCs/>
                      <w:szCs w:val="21"/>
                    </w:rPr>
                  </w:pPr>
                  <w:r>
                    <w:rPr>
                      <w:b/>
                      <w:bCs/>
                      <w:szCs w:val="21"/>
                    </w:rPr>
                    <w:t>PM</w:t>
                  </w:r>
                  <w:r>
                    <w:rPr>
                      <w:b/>
                      <w:bCs/>
                      <w:szCs w:val="21"/>
                      <w:vertAlign w:val="subscript"/>
                    </w:rPr>
                    <w:t>2.5</w:t>
                  </w:r>
                </w:p>
              </w:tc>
            </w:tr>
            <w:tr w14:paraId="1C3391B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302" w:type="dxa"/>
                  <w:vAlign w:val="center"/>
                </w:tcPr>
                <w:p w14:paraId="4EED977D">
                  <w:pPr>
                    <w:pStyle w:val="37"/>
                    <w:spacing w:line="240" w:lineRule="exact"/>
                    <w:ind w:firstLine="0" w:firstLineChars="0"/>
                    <w:jc w:val="center"/>
                    <w:rPr>
                      <w:szCs w:val="21"/>
                    </w:rPr>
                  </w:pPr>
                  <w:r>
                    <w:rPr>
                      <w:szCs w:val="21"/>
                    </w:rPr>
                    <w:t>年均值</w:t>
                  </w:r>
                </w:p>
              </w:tc>
              <w:tc>
                <w:tcPr>
                  <w:tcW w:w="724" w:type="dxa"/>
                  <w:vAlign w:val="center"/>
                </w:tcPr>
                <w:p w14:paraId="4C3E648B">
                  <w:pPr>
                    <w:pStyle w:val="37"/>
                    <w:spacing w:line="240" w:lineRule="exact"/>
                    <w:ind w:firstLine="0" w:firstLineChars="0"/>
                    <w:jc w:val="center"/>
                    <w:rPr>
                      <w:rFonts w:hint="default" w:eastAsia="宋体"/>
                      <w:szCs w:val="21"/>
                      <w:lang w:val="en-US" w:eastAsia="zh-CN"/>
                    </w:rPr>
                  </w:pPr>
                  <w:r>
                    <w:rPr>
                      <w:rFonts w:hint="eastAsia"/>
                      <w:szCs w:val="21"/>
                      <w:lang w:val="en-US" w:eastAsia="zh-CN"/>
                    </w:rPr>
                    <w:t>10</w:t>
                  </w:r>
                </w:p>
              </w:tc>
              <w:tc>
                <w:tcPr>
                  <w:tcW w:w="828" w:type="dxa"/>
                  <w:vAlign w:val="center"/>
                </w:tcPr>
                <w:p w14:paraId="3D5442E9">
                  <w:pPr>
                    <w:pStyle w:val="37"/>
                    <w:spacing w:line="240" w:lineRule="exact"/>
                    <w:ind w:firstLine="0" w:firstLineChars="0"/>
                    <w:jc w:val="center"/>
                    <w:rPr>
                      <w:rFonts w:hint="eastAsia" w:eastAsia="宋体"/>
                      <w:color w:val="0000C7"/>
                      <w:szCs w:val="21"/>
                      <w:lang w:eastAsia="zh-CN"/>
                    </w:rPr>
                  </w:pPr>
                  <w:r>
                    <w:rPr>
                      <w:rFonts w:hint="eastAsia"/>
                      <w:szCs w:val="21"/>
                    </w:rPr>
                    <w:t>1</w:t>
                  </w:r>
                  <w:r>
                    <w:rPr>
                      <w:rFonts w:hint="eastAsia"/>
                      <w:szCs w:val="21"/>
                      <w:lang w:val="en-US" w:eastAsia="zh-CN"/>
                    </w:rPr>
                    <w:t>0</w:t>
                  </w:r>
                </w:p>
              </w:tc>
              <w:tc>
                <w:tcPr>
                  <w:tcW w:w="836" w:type="dxa"/>
                  <w:vAlign w:val="center"/>
                </w:tcPr>
                <w:p w14:paraId="0F12DA1B">
                  <w:pPr>
                    <w:pStyle w:val="37"/>
                    <w:spacing w:line="240" w:lineRule="exact"/>
                    <w:ind w:firstLine="0" w:firstLineChars="0"/>
                    <w:jc w:val="center"/>
                    <w:rPr>
                      <w:rFonts w:hint="eastAsia" w:eastAsia="宋体"/>
                      <w:color w:val="0000C7"/>
                      <w:szCs w:val="21"/>
                      <w:lang w:eastAsia="zh-CN"/>
                    </w:rPr>
                  </w:pPr>
                  <w:r>
                    <w:rPr>
                      <w:szCs w:val="21"/>
                    </w:rPr>
                    <w:t>4</w:t>
                  </w:r>
                  <w:r>
                    <w:rPr>
                      <w:rFonts w:hint="eastAsia"/>
                      <w:szCs w:val="21"/>
                      <w:lang w:val="en-US" w:eastAsia="zh-CN"/>
                    </w:rPr>
                    <w:t>1</w:t>
                  </w:r>
                </w:p>
              </w:tc>
              <w:tc>
                <w:tcPr>
                  <w:tcW w:w="1870" w:type="dxa"/>
                  <w:vAlign w:val="center"/>
                </w:tcPr>
                <w:p w14:paraId="76DFD7B5">
                  <w:pPr>
                    <w:pStyle w:val="37"/>
                    <w:spacing w:line="240" w:lineRule="exact"/>
                    <w:ind w:firstLine="0" w:firstLineChars="0"/>
                    <w:jc w:val="center"/>
                    <w:rPr>
                      <w:szCs w:val="21"/>
                    </w:rPr>
                  </w:pPr>
                  <w:r>
                    <w:rPr>
                      <w:rFonts w:hint="eastAsia"/>
                      <w:szCs w:val="21"/>
                      <w:lang w:val="en-US" w:eastAsia="zh-CN"/>
                    </w:rPr>
                    <w:t>1</w:t>
                  </w:r>
                  <w:r>
                    <w:rPr>
                      <w:szCs w:val="21"/>
                    </w:rPr>
                    <w:t>（年95%浓度）</w:t>
                  </w:r>
                </w:p>
              </w:tc>
              <w:tc>
                <w:tcPr>
                  <w:tcW w:w="1914" w:type="dxa"/>
                  <w:vAlign w:val="center"/>
                </w:tcPr>
                <w:p w14:paraId="5865493F">
                  <w:pPr>
                    <w:pStyle w:val="37"/>
                    <w:spacing w:line="240" w:lineRule="exact"/>
                    <w:ind w:firstLine="0" w:firstLineChars="0"/>
                    <w:jc w:val="center"/>
                    <w:rPr>
                      <w:szCs w:val="21"/>
                    </w:rPr>
                  </w:pPr>
                  <w:r>
                    <w:rPr>
                      <w:szCs w:val="21"/>
                    </w:rPr>
                    <w:t>1</w:t>
                  </w:r>
                  <w:r>
                    <w:rPr>
                      <w:rFonts w:hint="eastAsia"/>
                      <w:szCs w:val="21"/>
                      <w:lang w:val="en-US" w:eastAsia="zh-CN"/>
                    </w:rPr>
                    <w:t>04</w:t>
                  </w:r>
                  <w:r>
                    <w:rPr>
                      <w:szCs w:val="21"/>
                    </w:rPr>
                    <w:t>（年90%浓度）</w:t>
                  </w:r>
                </w:p>
              </w:tc>
              <w:tc>
                <w:tcPr>
                  <w:tcW w:w="903" w:type="dxa"/>
                  <w:vAlign w:val="center"/>
                </w:tcPr>
                <w:p w14:paraId="0C7F647D">
                  <w:pPr>
                    <w:pStyle w:val="37"/>
                    <w:spacing w:line="240" w:lineRule="exact"/>
                    <w:ind w:firstLine="0" w:firstLineChars="0"/>
                    <w:jc w:val="center"/>
                    <w:rPr>
                      <w:rFonts w:hint="eastAsia" w:eastAsia="宋体"/>
                      <w:szCs w:val="21"/>
                      <w:lang w:eastAsia="zh-CN"/>
                    </w:rPr>
                  </w:pPr>
                  <w:r>
                    <w:rPr>
                      <w:rFonts w:hint="eastAsia"/>
                      <w:szCs w:val="21"/>
                    </w:rPr>
                    <w:t>2</w:t>
                  </w:r>
                  <w:r>
                    <w:rPr>
                      <w:rFonts w:hint="eastAsia"/>
                      <w:szCs w:val="21"/>
                      <w:lang w:val="en-US" w:eastAsia="zh-CN"/>
                    </w:rPr>
                    <w:t>5</w:t>
                  </w:r>
                </w:p>
              </w:tc>
            </w:tr>
            <w:tr w14:paraId="407D7AD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302" w:type="dxa"/>
                  <w:vAlign w:val="center"/>
                </w:tcPr>
                <w:p w14:paraId="10C45466">
                  <w:pPr>
                    <w:pStyle w:val="37"/>
                    <w:spacing w:line="240" w:lineRule="exact"/>
                    <w:ind w:firstLine="0" w:firstLineChars="0"/>
                    <w:jc w:val="center"/>
                    <w:rPr>
                      <w:szCs w:val="21"/>
                    </w:rPr>
                  </w:pPr>
                  <w:r>
                    <w:rPr>
                      <w:szCs w:val="21"/>
                    </w:rPr>
                    <w:t>评价标准值</w:t>
                  </w:r>
                </w:p>
              </w:tc>
              <w:tc>
                <w:tcPr>
                  <w:tcW w:w="724" w:type="dxa"/>
                  <w:vAlign w:val="center"/>
                </w:tcPr>
                <w:p w14:paraId="074F4275">
                  <w:pPr>
                    <w:pStyle w:val="37"/>
                    <w:spacing w:line="240" w:lineRule="exact"/>
                    <w:ind w:firstLine="0" w:firstLineChars="0"/>
                    <w:jc w:val="center"/>
                    <w:rPr>
                      <w:szCs w:val="21"/>
                    </w:rPr>
                  </w:pPr>
                  <w:r>
                    <w:rPr>
                      <w:szCs w:val="21"/>
                    </w:rPr>
                    <w:t>60</w:t>
                  </w:r>
                </w:p>
              </w:tc>
              <w:tc>
                <w:tcPr>
                  <w:tcW w:w="828" w:type="dxa"/>
                  <w:vAlign w:val="center"/>
                </w:tcPr>
                <w:p w14:paraId="107E7F51">
                  <w:pPr>
                    <w:pStyle w:val="37"/>
                    <w:spacing w:line="240" w:lineRule="exact"/>
                    <w:ind w:firstLine="0" w:firstLineChars="0"/>
                    <w:jc w:val="center"/>
                    <w:rPr>
                      <w:szCs w:val="21"/>
                    </w:rPr>
                  </w:pPr>
                  <w:r>
                    <w:rPr>
                      <w:szCs w:val="21"/>
                    </w:rPr>
                    <w:t>40</w:t>
                  </w:r>
                </w:p>
              </w:tc>
              <w:tc>
                <w:tcPr>
                  <w:tcW w:w="836" w:type="dxa"/>
                  <w:vAlign w:val="center"/>
                </w:tcPr>
                <w:p w14:paraId="15F198CF">
                  <w:pPr>
                    <w:pStyle w:val="37"/>
                    <w:spacing w:line="240" w:lineRule="exact"/>
                    <w:ind w:firstLine="0" w:firstLineChars="0"/>
                    <w:jc w:val="center"/>
                    <w:rPr>
                      <w:szCs w:val="21"/>
                    </w:rPr>
                  </w:pPr>
                  <w:r>
                    <w:rPr>
                      <w:szCs w:val="21"/>
                    </w:rPr>
                    <w:t>70</w:t>
                  </w:r>
                </w:p>
              </w:tc>
              <w:tc>
                <w:tcPr>
                  <w:tcW w:w="1870" w:type="dxa"/>
                  <w:vAlign w:val="center"/>
                </w:tcPr>
                <w:p w14:paraId="400FF264">
                  <w:pPr>
                    <w:pStyle w:val="37"/>
                    <w:spacing w:line="240" w:lineRule="exact"/>
                    <w:ind w:firstLine="0" w:firstLineChars="0"/>
                    <w:jc w:val="center"/>
                    <w:rPr>
                      <w:szCs w:val="21"/>
                    </w:rPr>
                  </w:pPr>
                  <w:r>
                    <w:rPr>
                      <w:szCs w:val="21"/>
                    </w:rPr>
                    <w:t>4</w:t>
                  </w:r>
                </w:p>
              </w:tc>
              <w:tc>
                <w:tcPr>
                  <w:tcW w:w="1914" w:type="dxa"/>
                  <w:vAlign w:val="center"/>
                </w:tcPr>
                <w:p w14:paraId="55F3186C">
                  <w:pPr>
                    <w:pStyle w:val="37"/>
                    <w:spacing w:line="240" w:lineRule="exact"/>
                    <w:ind w:firstLine="0" w:firstLineChars="0"/>
                    <w:jc w:val="center"/>
                    <w:rPr>
                      <w:szCs w:val="21"/>
                    </w:rPr>
                  </w:pPr>
                  <w:r>
                    <w:rPr>
                      <w:szCs w:val="21"/>
                    </w:rPr>
                    <w:t>160</w:t>
                  </w:r>
                </w:p>
              </w:tc>
              <w:tc>
                <w:tcPr>
                  <w:tcW w:w="903" w:type="dxa"/>
                  <w:vAlign w:val="center"/>
                </w:tcPr>
                <w:p w14:paraId="19C42A9E">
                  <w:pPr>
                    <w:pStyle w:val="37"/>
                    <w:spacing w:line="240" w:lineRule="exact"/>
                    <w:ind w:firstLine="0" w:firstLineChars="0"/>
                    <w:jc w:val="center"/>
                    <w:rPr>
                      <w:szCs w:val="21"/>
                    </w:rPr>
                  </w:pPr>
                  <w:r>
                    <w:rPr>
                      <w:szCs w:val="21"/>
                    </w:rPr>
                    <w:t>35</w:t>
                  </w:r>
                </w:p>
              </w:tc>
            </w:tr>
          </w:tbl>
          <w:p w14:paraId="2D53F32E">
            <w:pPr>
              <w:jc w:val="left"/>
              <w:rPr>
                <w:color w:val="0000C7"/>
              </w:rPr>
            </w:pPr>
            <w:r>
              <w:rPr>
                <w:sz w:val="21"/>
                <w:szCs w:val="21"/>
              </w:rPr>
              <w:t>注：O</w:t>
            </w:r>
            <w:r>
              <w:rPr>
                <w:sz w:val="21"/>
                <w:szCs w:val="21"/>
                <w:vertAlign w:val="subscript"/>
              </w:rPr>
              <w:t>3</w:t>
            </w:r>
            <w:r>
              <w:rPr>
                <w:sz w:val="21"/>
                <w:szCs w:val="21"/>
              </w:rPr>
              <w:t>浓度为日最大8小时平均值。</w:t>
            </w:r>
          </w:p>
          <w:p w14:paraId="03418788">
            <w:pPr>
              <w:adjustRightInd w:val="0"/>
              <w:snapToGrid w:val="0"/>
              <w:ind w:firstLine="480" w:firstLineChars="200"/>
            </w:pPr>
            <w:r>
              <w:t>从表中数据可知，202</w:t>
            </w:r>
            <w:r>
              <w:rPr>
                <w:rFonts w:hint="eastAsia"/>
                <w:lang w:val="en-US" w:eastAsia="zh-CN"/>
              </w:rPr>
              <w:t>3</w:t>
            </w:r>
            <w:r>
              <w:t>年</w:t>
            </w:r>
            <w:r>
              <w:rPr>
                <w:rFonts w:hint="eastAsia"/>
              </w:rPr>
              <w:t>靖州</w:t>
            </w:r>
            <w:r>
              <w:t>县环境空气中常规6项指标的PM</w:t>
            </w:r>
            <w:r>
              <w:rPr>
                <w:vertAlign w:val="subscript"/>
              </w:rPr>
              <w:t>10</w:t>
            </w:r>
            <w:r>
              <w:t>年均值、SO</w:t>
            </w:r>
            <w:r>
              <w:rPr>
                <w:vertAlign w:val="subscript"/>
              </w:rPr>
              <w:t>2</w:t>
            </w:r>
            <w:r>
              <w:t>年均值、NO</w:t>
            </w:r>
            <w:r>
              <w:rPr>
                <w:vertAlign w:val="subscript"/>
              </w:rPr>
              <w:t>2</w:t>
            </w:r>
            <w:r>
              <w:t>年均值、CO24小时平均浓度第95百分位数、O</w:t>
            </w:r>
            <w:r>
              <w:rPr>
                <w:vertAlign w:val="subscript"/>
              </w:rPr>
              <w:t>3</w:t>
            </w:r>
            <w:r>
              <w:t>日最大8小时平均浓度第90百分位数以及PM</w:t>
            </w:r>
            <w:r>
              <w:rPr>
                <w:vertAlign w:val="subscript"/>
              </w:rPr>
              <w:t>2.5</w:t>
            </w:r>
            <w:r>
              <w:t>年均值均达到《环境空气质量标准》（GB3095-2012）中的二级标准要求，本项目所在区域环境空气质量为达标区。</w:t>
            </w:r>
          </w:p>
          <w:p w14:paraId="70792C44">
            <w:pPr>
              <w:widowControl/>
              <w:ind w:firstLine="480" w:firstLineChars="200"/>
              <w:jc w:val="left"/>
            </w:pPr>
            <w:r>
              <w:t>（2）特征污染物</w:t>
            </w:r>
          </w:p>
          <w:p w14:paraId="339ED613">
            <w:pPr>
              <w:widowControl/>
              <w:ind w:firstLine="480" w:firstLineChars="200"/>
            </w:pPr>
            <w:r>
              <w:t>为了解本项目特征污染物TSP区域浓度现状，本次评价引用《</w:t>
            </w:r>
            <w:r>
              <w:rPr>
                <w:rFonts w:hint="eastAsia"/>
              </w:rPr>
              <w:t xml:space="preserve">靖州县靖晟新型墙体材料有限公司年产 </w:t>
            </w:r>
            <w:r>
              <w:t xml:space="preserve">30 </w:t>
            </w:r>
            <w:r>
              <w:rPr>
                <w:rFonts w:hint="eastAsia"/>
              </w:rPr>
              <w:t>万吨砂浆建设项目</w:t>
            </w:r>
            <w:r>
              <w:t>环境质量现状监测报告》中湖南</w:t>
            </w:r>
            <w:r>
              <w:rPr>
                <w:rFonts w:hint="eastAsia"/>
              </w:rPr>
              <w:t>昌旭环保科技</w:t>
            </w:r>
            <w:r>
              <w:t>有限公司于202</w:t>
            </w:r>
            <w:r>
              <w:rPr>
                <w:rFonts w:hint="eastAsia"/>
              </w:rPr>
              <w:t>2</w:t>
            </w:r>
            <w:r>
              <w:t>年</w:t>
            </w:r>
            <w:r>
              <w:rPr>
                <w:rFonts w:hint="eastAsia"/>
              </w:rPr>
              <w:t>3</w:t>
            </w:r>
            <w:r>
              <w:t>月</w:t>
            </w:r>
            <w:r>
              <w:rPr>
                <w:rFonts w:hint="eastAsia"/>
              </w:rPr>
              <w:t>2</w:t>
            </w:r>
            <w:r>
              <w:t>日-</w:t>
            </w:r>
            <w:r>
              <w:rPr>
                <w:rFonts w:hint="eastAsia"/>
              </w:rPr>
              <w:t>4</w:t>
            </w:r>
            <w:r>
              <w:t>日的大气监测数据，本次评价引用该监测</w:t>
            </w:r>
            <w:r>
              <w:rPr>
                <w:rFonts w:hint="eastAsia"/>
              </w:rPr>
              <w:t>报告</w:t>
            </w:r>
            <w:r>
              <w:t>中</w:t>
            </w:r>
            <w:r>
              <w:rPr>
                <w:rFonts w:hint="eastAsia"/>
              </w:rPr>
              <w:t>项目生产区南侧厂界100m处居民点</w:t>
            </w:r>
            <w:r>
              <w:t>监测点位的监测数据，该点位于本项目西面1.</w:t>
            </w:r>
            <w:r>
              <w:rPr>
                <w:rFonts w:hint="eastAsia"/>
              </w:rPr>
              <w:t>5</w:t>
            </w:r>
            <w:r>
              <w:t>km，</w:t>
            </w:r>
            <w:r>
              <w:rPr>
                <w:rFonts w:hint="eastAsia"/>
              </w:rPr>
              <w:t>在5km范围内，</w:t>
            </w:r>
            <w:r>
              <w:t>且监测时间在三年有效期内，监测结果见</w:t>
            </w:r>
            <w:r>
              <w:rPr>
                <w:rFonts w:hint="eastAsia"/>
              </w:rPr>
              <w:t>下表</w:t>
            </w:r>
            <w:r>
              <w:t>。</w:t>
            </w:r>
          </w:p>
          <w:p w14:paraId="608549FE">
            <w:pPr>
              <w:spacing w:line="240" w:lineRule="auto"/>
              <w:ind w:firstLine="422" w:firstLineChars="200"/>
              <w:jc w:val="center"/>
            </w:pPr>
            <w:r>
              <w:rPr>
                <w:b/>
                <w:bCs/>
                <w:sz w:val="21"/>
                <w:szCs w:val="21"/>
              </w:rPr>
              <w:t>表3-2 特征因子检测结果一览表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2310"/>
              <w:gridCol w:w="904"/>
              <w:gridCol w:w="1323"/>
              <w:gridCol w:w="1252"/>
              <w:gridCol w:w="1129"/>
            </w:tblGrid>
            <w:tr w14:paraId="584B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14:paraId="54C4623B">
                  <w:pPr>
                    <w:spacing w:line="240" w:lineRule="auto"/>
                    <w:jc w:val="center"/>
                    <w:rPr>
                      <w:b/>
                      <w:bCs/>
                      <w:sz w:val="21"/>
                      <w:szCs w:val="21"/>
                    </w:rPr>
                  </w:pPr>
                  <w:r>
                    <w:rPr>
                      <w:b/>
                      <w:bCs/>
                      <w:sz w:val="21"/>
                      <w:szCs w:val="21"/>
                    </w:rPr>
                    <w:t>采样日期</w:t>
                  </w:r>
                </w:p>
              </w:tc>
              <w:tc>
                <w:tcPr>
                  <w:tcW w:w="1441" w:type="pct"/>
                  <w:vAlign w:val="center"/>
                </w:tcPr>
                <w:p w14:paraId="2F355FC1">
                  <w:pPr>
                    <w:spacing w:line="240" w:lineRule="auto"/>
                    <w:jc w:val="center"/>
                    <w:rPr>
                      <w:b/>
                      <w:bCs/>
                      <w:sz w:val="21"/>
                      <w:szCs w:val="21"/>
                    </w:rPr>
                  </w:pPr>
                  <w:r>
                    <w:rPr>
                      <w:b/>
                      <w:bCs/>
                      <w:sz w:val="21"/>
                      <w:szCs w:val="21"/>
                    </w:rPr>
                    <w:t>检测点位</w:t>
                  </w:r>
                </w:p>
              </w:tc>
              <w:tc>
                <w:tcPr>
                  <w:tcW w:w="564" w:type="pct"/>
                  <w:vAlign w:val="center"/>
                </w:tcPr>
                <w:p w14:paraId="3A733F10">
                  <w:pPr>
                    <w:spacing w:line="240" w:lineRule="auto"/>
                    <w:jc w:val="center"/>
                    <w:rPr>
                      <w:b/>
                      <w:bCs/>
                      <w:sz w:val="21"/>
                      <w:szCs w:val="21"/>
                    </w:rPr>
                  </w:pPr>
                  <w:r>
                    <w:rPr>
                      <w:b/>
                      <w:bCs/>
                      <w:sz w:val="21"/>
                      <w:szCs w:val="21"/>
                    </w:rPr>
                    <w:t>检测项目</w:t>
                  </w:r>
                </w:p>
              </w:tc>
              <w:tc>
                <w:tcPr>
                  <w:tcW w:w="825" w:type="pct"/>
                  <w:vAlign w:val="center"/>
                </w:tcPr>
                <w:p w14:paraId="4D0249DB">
                  <w:pPr>
                    <w:spacing w:line="240" w:lineRule="auto"/>
                    <w:jc w:val="center"/>
                    <w:rPr>
                      <w:b/>
                      <w:bCs/>
                      <w:sz w:val="21"/>
                      <w:szCs w:val="21"/>
                    </w:rPr>
                  </w:pPr>
                  <w:r>
                    <w:rPr>
                      <w:b/>
                      <w:bCs/>
                      <w:sz w:val="21"/>
                      <w:szCs w:val="21"/>
                    </w:rPr>
                    <w:t>检测结果（mg/m</w:t>
                  </w:r>
                  <w:r>
                    <w:rPr>
                      <w:b/>
                      <w:bCs/>
                      <w:sz w:val="21"/>
                      <w:szCs w:val="21"/>
                      <w:vertAlign w:val="superscript"/>
                    </w:rPr>
                    <w:t>3</w:t>
                  </w:r>
                  <w:r>
                    <w:rPr>
                      <w:b/>
                      <w:bCs/>
                      <w:sz w:val="21"/>
                      <w:szCs w:val="21"/>
                    </w:rPr>
                    <w:t>）</w:t>
                  </w:r>
                </w:p>
              </w:tc>
              <w:tc>
                <w:tcPr>
                  <w:tcW w:w="781" w:type="pct"/>
                  <w:vAlign w:val="center"/>
                </w:tcPr>
                <w:p w14:paraId="092352C9">
                  <w:pPr>
                    <w:spacing w:line="240" w:lineRule="auto"/>
                    <w:jc w:val="center"/>
                    <w:rPr>
                      <w:b/>
                      <w:bCs/>
                      <w:sz w:val="21"/>
                      <w:szCs w:val="21"/>
                    </w:rPr>
                  </w:pPr>
                  <w:r>
                    <w:rPr>
                      <w:b/>
                      <w:bCs/>
                      <w:sz w:val="21"/>
                      <w:szCs w:val="21"/>
                    </w:rPr>
                    <w:t>参考限值（mg/m</w:t>
                  </w:r>
                  <w:r>
                    <w:rPr>
                      <w:b/>
                      <w:bCs/>
                      <w:sz w:val="21"/>
                      <w:szCs w:val="21"/>
                      <w:vertAlign w:val="superscript"/>
                    </w:rPr>
                    <w:t>3</w:t>
                  </w:r>
                  <w:r>
                    <w:rPr>
                      <w:b/>
                      <w:bCs/>
                      <w:sz w:val="21"/>
                      <w:szCs w:val="21"/>
                    </w:rPr>
                    <w:t>）</w:t>
                  </w:r>
                </w:p>
              </w:tc>
              <w:tc>
                <w:tcPr>
                  <w:tcW w:w="703" w:type="pct"/>
                  <w:vAlign w:val="center"/>
                </w:tcPr>
                <w:p w14:paraId="70B89962">
                  <w:pPr>
                    <w:spacing w:line="240" w:lineRule="auto"/>
                    <w:jc w:val="center"/>
                    <w:rPr>
                      <w:b/>
                      <w:bCs/>
                      <w:sz w:val="21"/>
                      <w:szCs w:val="21"/>
                    </w:rPr>
                  </w:pPr>
                  <w:r>
                    <w:rPr>
                      <w:b/>
                      <w:bCs/>
                      <w:sz w:val="21"/>
                      <w:szCs w:val="21"/>
                    </w:rPr>
                    <w:t>是否达标</w:t>
                  </w:r>
                </w:p>
              </w:tc>
            </w:tr>
            <w:tr w14:paraId="428BA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4" w:type="pct"/>
                  <w:vAlign w:val="center"/>
                </w:tcPr>
                <w:p w14:paraId="1CE8571E">
                  <w:pPr>
                    <w:spacing w:line="240" w:lineRule="auto"/>
                    <w:jc w:val="center"/>
                    <w:rPr>
                      <w:sz w:val="21"/>
                      <w:szCs w:val="21"/>
                    </w:rPr>
                  </w:pPr>
                  <w:r>
                    <w:rPr>
                      <w:sz w:val="21"/>
                      <w:szCs w:val="21"/>
                    </w:rPr>
                    <w:t>202</w:t>
                  </w:r>
                  <w:r>
                    <w:rPr>
                      <w:rFonts w:hint="eastAsia"/>
                      <w:sz w:val="21"/>
                      <w:szCs w:val="21"/>
                    </w:rPr>
                    <w:t>2</w:t>
                  </w:r>
                  <w:r>
                    <w:rPr>
                      <w:sz w:val="21"/>
                      <w:szCs w:val="21"/>
                    </w:rPr>
                    <w:t>.</w:t>
                  </w:r>
                  <w:r>
                    <w:rPr>
                      <w:rFonts w:hint="eastAsia"/>
                      <w:sz w:val="21"/>
                      <w:szCs w:val="21"/>
                    </w:rPr>
                    <w:t>3</w:t>
                  </w:r>
                  <w:r>
                    <w:rPr>
                      <w:sz w:val="21"/>
                      <w:szCs w:val="21"/>
                    </w:rPr>
                    <w:t>.</w:t>
                  </w:r>
                  <w:r>
                    <w:rPr>
                      <w:rFonts w:hint="eastAsia"/>
                      <w:sz w:val="21"/>
                      <w:szCs w:val="21"/>
                    </w:rPr>
                    <w:t>2</w:t>
                  </w:r>
                </w:p>
              </w:tc>
              <w:tc>
                <w:tcPr>
                  <w:tcW w:w="1441" w:type="pct"/>
                  <w:vMerge w:val="restart"/>
                  <w:vAlign w:val="center"/>
                </w:tcPr>
                <w:p w14:paraId="1C3F4BEE">
                  <w:pPr>
                    <w:spacing w:line="240" w:lineRule="auto"/>
                    <w:jc w:val="center"/>
                    <w:rPr>
                      <w:sz w:val="21"/>
                      <w:szCs w:val="21"/>
                    </w:rPr>
                  </w:pPr>
                  <w:r>
                    <w:rPr>
                      <w:sz w:val="21"/>
                      <w:szCs w:val="21"/>
                    </w:rPr>
                    <w:t>G</w:t>
                  </w:r>
                  <w:r>
                    <w:rPr>
                      <w:rFonts w:hint="eastAsia"/>
                      <w:sz w:val="21"/>
                      <w:szCs w:val="21"/>
                    </w:rPr>
                    <w:t>1项目生产区南侧厂界100m处居民点</w:t>
                  </w:r>
                </w:p>
              </w:tc>
              <w:tc>
                <w:tcPr>
                  <w:tcW w:w="564" w:type="pct"/>
                  <w:vMerge w:val="restart"/>
                  <w:vAlign w:val="center"/>
                </w:tcPr>
                <w:p w14:paraId="1F44FE89">
                  <w:pPr>
                    <w:spacing w:line="240" w:lineRule="auto"/>
                    <w:jc w:val="center"/>
                    <w:rPr>
                      <w:sz w:val="21"/>
                      <w:szCs w:val="21"/>
                    </w:rPr>
                  </w:pPr>
                  <w:r>
                    <w:rPr>
                      <w:sz w:val="21"/>
                      <w:szCs w:val="21"/>
                    </w:rPr>
                    <w:t>TSP</w:t>
                  </w:r>
                </w:p>
              </w:tc>
              <w:tc>
                <w:tcPr>
                  <w:tcW w:w="825" w:type="pct"/>
                  <w:vAlign w:val="center"/>
                </w:tcPr>
                <w:p w14:paraId="27F9CBC5">
                  <w:pPr>
                    <w:spacing w:line="240" w:lineRule="auto"/>
                    <w:jc w:val="center"/>
                    <w:rPr>
                      <w:sz w:val="21"/>
                      <w:szCs w:val="21"/>
                    </w:rPr>
                  </w:pPr>
                  <w:r>
                    <w:rPr>
                      <w:rFonts w:hint="eastAsia"/>
                      <w:sz w:val="21"/>
                      <w:szCs w:val="21"/>
                    </w:rPr>
                    <w:t>0.082</w:t>
                  </w:r>
                </w:p>
              </w:tc>
              <w:tc>
                <w:tcPr>
                  <w:tcW w:w="781" w:type="pct"/>
                  <w:vAlign w:val="center"/>
                </w:tcPr>
                <w:p w14:paraId="04F25FE2">
                  <w:pPr>
                    <w:spacing w:line="240" w:lineRule="auto"/>
                    <w:jc w:val="center"/>
                    <w:rPr>
                      <w:sz w:val="21"/>
                      <w:szCs w:val="21"/>
                    </w:rPr>
                  </w:pPr>
                  <w:r>
                    <w:rPr>
                      <w:sz w:val="21"/>
                      <w:szCs w:val="21"/>
                    </w:rPr>
                    <w:t>0.3</w:t>
                  </w:r>
                </w:p>
              </w:tc>
              <w:tc>
                <w:tcPr>
                  <w:tcW w:w="703" w:type="pct"/>
                  <w:vAlign w:val="center"/>
                </w:tcPr>
                <w:p w14:paraId="300AB5C8">
                  <w:pPr>
                    <w:spacing w:line="240" w:lineRule="auto"/>
                    <w:jc w:val="center"/>
                    <w:rPr>
                      <w:sz w:val="21"/>
                      <w:szCs w:val="21"/>
                    </w:rPr>
                  </w:pPr>
                  <w:r>
                    <w:rPr>
                      <w:sz w:val="21"/>
                      <w:szCs w:val="21"/>
                    </w:rPr>
                    <w:t>是</w:t>
                  </w:r>
                </w:p>
              </w:tc>
            </w:tr>
            <w:tr w14:paraId="57AC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4" w:type="pct"/>
                  <w:vAlign w:val="center"/>
                </w:tcPr>
                <w:p w14:paraId="6462FC79">
                  <w:pPr>
                    <w:spacing w:line="240" w:lineRule="auto"/>
                    <w:jc w:val="center"/>
                    <w:rPr>
                      <w:sz w:val="21"/>
                      <w:szCs w:val="21"/>
                    </w:rPr>
                  </w:pPr>
                  <w:r>
                    <w:rPr>
                      <w:sz w:val="21"/>
                      <w:szCs w:val="21"/>
                    </w:rPr>
                    <w:t>202</w:t>
                  </w:r>
                  <w:r>
                    <w:rPr>
                      <w:rFonts w:hint="eastAsia"/>
                      <w:sz w:val="21"/>
                      <w:szCs w:val="21"/>
                    </w:rPr>
                    <w:t>2</w:t>
                  </w:r>
                  <w:r>
                    <w:rPr>
                      <w:sz w:val="21"/>
                      <w:szCs w:val="21"/>
                    </w:rPr>
                    <w:t>.</w:t>
                  </w:r>
                  <w:r>
                    <w:rPr>
                      <w:rFonts w:hint="eastAsia"/>
                      <w:sz w:val="21"/>
                      <w:szCs w:val="21"/>
                    </w:rPr>
                    <w:t>3</w:t>
                  </w:r>
                  <w:r>
                    <w:rPr>
                      <w:sz w:val="21"/>
                      <w:szCs w:val="21"/>
                    </w:rPr>
                    <w:t>.</w:t>
                  </w:r>
                  <w:r>
                    <w:rPr>
                      <w:rFonts w:hint="eastAsia"/>
                      <w:sz w:val="21"/>
                      <w:szCs w:val="21"/>
                    </w:rPr>
                    <w:t>3</w:t>
                  </w:r>
                </w:p>
              </w:tc>
              <w:tc>
                <w:tcPr>
                  <w:tcW w:w="1441" w:type="pct"/>
                  <w:vMerge w:val="continue"/>
                  <w:vAlign w:val="center"/>
                </w:tcPr>
                <w:p w14:paraId="4118CA6B">
                  <w:pPr>
                    <w:spacing w:line="240" w:lineRule="auto"/>
                    <w:jc w:val="center"/>
                    <w:rPr>
                      <w:color w:val="0000C7"/>
                      <w:sz w:val="21"/>
                      <w:szCs w:val="21"/>
                    </w:rPr>
                  </w:pPr>
                </w:p>
              </w:tc>
              <w:tc>
                <w:tcPr>
                  <w:tcW w:w="564" w:type="pct"/>
                  <w:vMerge w:val="continue"/>
                  <w:vAlign w:val="center"/>
                </w:tcPr>
                <w:p w14:paraId="548D7102">
                  <w:pPr>
                    <w:spacing w:line="240" w:lineRule="auto"/>
                    <w:jc w:val="center"/>
                    <w:rPr>
                      <w:sz w:val="21"/>
                      <w:szCs w:val="21"/>
                    </w:rPr>
                  </w:pPr>
                </w:p>
              </w:tc>
              <w:tc>
                <w:tcPr>
                  <w:tcW w:w="825" w:type="pct"/>
                  <w:vAlign w:val="center"/>
                </w:tcPr>
                <w:p w14:paraId="2C686BFB">
                  <w:pPr>
                    <w:spacing w:line="240" w:lineRule="auto"/>
                    <w:jc w:val="center"/>
                    <w:rPr>
                      <w:sz w:val="21"/>
                      <w:szCs w:val="21"/>
                    </w:rPr>
                  </w:pPr>
                  <w:r>
                    <w:rPr>
                      <w:rFonts w:hint="eastAsia"/>
                      <w:sz w:val="21"/>
                      <w:szCs w:val="21"/>
                    </w:rPr>
                    <w:t>0.083</w:t>
                  </w:r>
                </w:p>
              </w:tc>
              <w:tc>
                <w:tcPr>
                  <w:tcW w:w="781" w:type="pct"/>
                  <w:vAlign w:val="center"/>
                </w:tcPr>
                <w:p w14:paraId="4D6D46A0">
                  <w:pPr>
                    <w:spacing w:line="240" w:lineRule="auto"/>
                    <w:jc w:val="center"/>
                    <w:rPr>
                      <w:sz w:val="21"/>
                      <w:szCs w:val="21"/>
                    </w:rPr>
                  </w:pPr>
                  <w:r>
                    <w:rPr>
                      <w:sz w:val="21"/>
                      <w:szCs w:val="21"/>
                    </w:rPr>
                    <w:t>0.3</w:t>
                  </w:r>
                </w:p>
              </w:tc>
              <w:tc>
                <w:tcPr>
                  <w:tcW w:w="703" w:type="pct"/>
                  <w:vAlign w:val="center"/>
                </w:tcPr>
                <w:p w14:paraId="38D38ADA">
                  <w:pPr>
                    <w:spacing w:line="240" w:lineRule="auto"/>
                    <w:jc w:val="center"/>
                    <w:rPr>
                      <w:sz w:val="21"/>
                      <w:szCs w:val="21"/>
                    </w:rPr>
                  </w:pPr>
                  <w:r>
                    <w:rPr>
                      <w:sz w:val="21"/>
                      <w:szCs w:val="21"/>
                    </w:rPr>
                    <w:t>是</w:t>
                  </w:r>
                </w:p>
              </w:tc>
            </w:tr>
            <w:tr w14:paraId="4109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4" w:type="pct"/>
                  <w:vAlign w:val="center"/>
                </w:tcPr>
                <w:p w14:paraId="6B4E6D8D">
                  <w:pPr>
                    <w:spacing w:line="240" w:lineRule="auto"/>
                    <w:jc w:val="center"/>
                    <w:rPr>
                      <w:sz w:val="21"/>
                      <w:szCs w:val="21"/>
                    </w:rPr>
                  </w:pPr>
                  <w:r>
                    <w:rPr>
                      <w:sz w:val="21"/>
                      <w:szCs w:val="21"/>
                    </w:rPr>
                    <w:t>202</w:t>
                  </w:r>
                  <w:r>
                    <w:rPr>
                      <w:rFonts w:hint="eastAsia"/>
                      <w:sz w:val="21"/>
                      <w:szCs w:val="21"/>
                    </w:rPr>
                    <w:t>2</w:t>
                  </w:r>
                  <w:r>
                    <w:rPr>
                      <w:sz w:val="21"/>
                      <w:szCs w:val="21"/>
                    </w:rPr>
                    <w:t>.</w:t>
                  </w:r>
                  <w:r>
                    <w:rPr>
                      <w:rFonts w:hint="eastAsia"/>
                      <w:sz w:val="21"/>
                      <w:szCs w:val="21"/>
                    </w:rPr>
                    <w:t>3</w:t>
                  </w:r>
                  <w:r>
                    <w:rPr>
                      <w:sz w:val="21"/>
                      <w:szCs w:val="21"/>
                    </w:rPr>
                    <w:t>.</w:t>
                  </w:r>
                  <w:r>
                    <w:rPr>
                      <w:rFonts w:hint="eastAsia"/>
                      <w:sz w:val="21"/>
                      <w:szCs w:val="21"/>
                    </w:rPr>
                    <w:t>4</w:t>
                  </w:r>
                </w:p>
              </w:tc>
              <w:tc>
                <w:tcPr>
                  <w:tcW w:w="1441" w:type="pct"/>
                  <w:vMerge w:val="continue"/>
                  <w:vAlign w:val="center"/>
                </w:tcPr>
                <w:p w14:paraId="6B1BEC9A">
                  <w:pPr>
                    <w:spacing w:line="240" w:lineRule="auto"/>
                    <w:jc w:val="center"/>
                    <w:rPr>
                      <w:color w:val="0000C7"/>
                      <w:sz w:val="21"/>
                      <w:szCs w:val="21"/>
                    </w:rPr>
                  </w:pPr>
                </w:p>
              </w:tc>
              <w:tc>
                <w:tcPr>
                  <w:tcW w:w="564" w:type="pct"/>
                  <w:vMerge w:val="continue"/>
                  <w:vAlign w:val="center"/>
                </w:tcPr>
                <w:p w14:paraId="4914D9F5">
                  <w:pPr>
                    <w:spacing w:line="240" w:lineRule="auto"/>
                    <w:jc w:val="center"/>
                    <w:rPr>
                      <w:sz w:val="21"/>
                      <w:szCs w:val="21"/>
                    </w:rPr>
                  </w:pPr>
                </w:p>
              </w:tc>
              <w:tc>
                <w:tcPr>
                  <w:tcW w:w="825" w:type="pct"/>
                  <w:vAlign w:val="center"/>
                </w:tcPr>
                <w:p w14:paraId="1B025C9C">
                  <w:pPr>
                    <w:spacing w:line="240" w:lineRule="auto"/>
                    <w:jc w:val="center"/>
                    <w:rPr>
                      <w:sz w:val="21"/>
                      <w:szCs w:val="21"/>
                    </w:rPr>
                  </w:pPr>
                  <w:r>
                    <w:rPr>
                      <w:rFonts w:hint="eastAsia"/>
                      <w:sz w:val="21"/>
                      <w:szCs w:val="21"/>
                    </w:rPr>
                    <w:t>0.082</w:t>
                  </w:r>
                </w:p>
              </w:tc>
              <w:tc>
                <w:tcPr>
                  <w:tcW w:w="781" w:type="pct"/>
                  <w:vAlign w:val="center"/>
                </w:tcPr>
                <w:p w14:paraId="594E7B39">
                  <w:pPr>
                    <w:spacing w:line="240" w:lineRule="auto"/>
                    <w:jc w:val="center"/>
                    <w:rPr>
                      <w:sz w:val="21"/>
                      <w:szCs w:val="21"/>
                    </w:rPr>
                  </w:pPr>
                  <w:r>
                    <w:rPr>
                      <w:sz w:val="21"/>
                      <w:szCs w:val="21"/>
                    </w:rPr>
                    <w:t>0.3</w:t>
                  </w:r>
                </w:p>
              </w:tc>
              <w:tc>
                <w:tcPr>
                  <w:tcW w:w="703" w:type="pct"/>
                  <w:vAlign w:val="center"/>
                </w:tcPr>
                <w:p w14:paraId="6A3CB89D">
                  <w:pPr>
                    <w:spacing w:line="240" w:lineRule="auto"/>
                    <w:jc w:val="center"/>
                    <w:rPr>
                      <w:sz w:val="21"/>
                      <w:szCs w:val="21"/>
                    </w:rPr>
                  </w:pPr>
                  <w:r>
                    <w:rPr>
                      <w:sz w:val="21"/>
                      <w:szCs w:val="21"/>
                    </w:rPr>
                    <w:t>是</w:t>
                  </w:r>
                </w:p>
              </w:tc>
            </w:tr>
            <w:tr w14:paraId="5848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pct"/>
                  <w:vAlign w:val="center"/>
                </w:tcPr>
                <w:p w14:paraId="06FFB21F">
                  <w:pPr>
                    <w:spacing w:line="240" w:lineRule="auto"/>
                    <w:jc w:val="center"/>
                    <w:rPr>
                      <w:sz w:val="21"/>
                      <w:szCs w:val="21"/>
                    </w:rPr>
                  </w:pPr>
                  <w:r>
                    <w:rPr>
                      <w:sz w:val="21"/>
                      <w:szCs w:val="21"/>
                    </w:rPr>
                    <w:t>备注</w:t>
                  </w:r>
                </w:p>
              </w:tc>
              <w:tc>
                <w:tcPr>
                  <w:tcW w:w="4315" w:type="pct"/>
                  <w:gridSpan w:val="5"/>
                  <w:vAlign w:val="center"/>
                </w:tcPr>
                <w:p w14:paraId="4A2B9707">
                  <w:pPr>
                    <w:spacing w:line="240" w:lineRule="auto"/>
                    <w:jc w:val="left"/>
                    <w:rPr>
                      <w:sz w:val="21"/>
                      <w:szCs w:val="21"/>
                    </w:rPr>
                  </w:pPr>
                  <w:r>
                    <w:rPr>
                      <w:sz w:val="21"/>
                      <w:szCs w:val="21"/>
                    </w:rPr>
                    <w:t>限值参照《环境空气质量标准》GB3095-2012 表2中总悬浮颗粒物（TSP）24小时平均浓度要求。</w:t>
                  </w:r>
                </w:p>
              </w:tc>
            </w:tr>
          </w:tbl>
          <w:p w14:paraId="13F9C2C2">
            <w:pPr>
              <w:ind w:firstLine="480" w:firstLineChars="200"/>
            </w:pPr>
            <w:r>
              <w:t>由上表可知，本项目建设区域TSP能达到《环境空气质量标准》（GB3095-2012）</w:t>
            </w:r>
            <w:r>
              <w:rPr>
                <w:rFonts w:ascii="宋体" w:hAnsi="宋体"/>
                <w:kern w:val="0"/>
              </w:rPr>
              <w:t>及其修改单中</w:t>
            </w:r>
            <w:r>
              <w:t>表2中限值要求。</w:t>
            </w:r>
          </w:p>
          <w:p w14:paraId="2A0DF6EF">
            <w:pPr>
              <w:pStyle w:val="30"/>
              <w:numPr>
                <w:ilvl w:val="1"/>
                <w:numId w:val="0"/>
              </w:numPr>
              <w:ind w:left="284"/>
            </w:pPr>
            <w:bookmarkStart w:id="43" w:name="_Toc68160367"/>
            <w:bookmarkStart w:id="44" w:name="_Toc26262"/>
            <w:r>
              <w:t>3.2地表水环境</w:t>
            </w:r>
            <w:bookmarkEnd w:id="43"/>
            <w:bookmarkEnd w:id="44"/>
          </w:p>
          <w:p w14:paraId="2974204C">
            <w:pPr>
              <w:adjustRightInd w:val="0"/>
              <w:snapToGrid w:val="0"/>
              <w:ind w:firstLine="480" w:firstLineChars="200"/>
            </w:pPr>
            <w:r>
              <w:rPr>
                <w:szCs w:val="32"/>
              </w:rPr>
              <w:t>评价区域内与本项目有关的主要地表水系为项目</w:t>
            </w:r>
            <w:r>
              <w:rPr>
                <w:rFonts w:hint="eastAsia"/>
                <w:szCs w:val="32"/>
              </w:rPr>
              <w:t>东</w:t>
            </w:r>
            <w:r>
              <w:rPr>
                <w:szCs w:val="32"/>
              </w:rPr>
              <w:t>面的</w:t>
            </w:r>
            <w:r>
              <w:rPr>
                <w:rFonts w:hint="eastAsia"/>
                <w:szCs w:val="32"/>
              </w:rPr>
              <w:t>渠水</w:t>
            </w:r>
            <w:r>
              <w:rPr>
                <w:szCs w:val="32"/>
              </w:rPr>
              <w:t>。根据怀化市环境保护局网站公布的《怀化市水环境质量年报（202</w:t>
            </w:r>
            <w:r>
              <w:rPr>
                <w:rFonts w:hint="eastAsia"/>
                <w:szCs w:val="32"/>
                <w:lang w:val="en-US" w:eastAsia="zh-CN"/>
              </w:rPr>
              <w:t>3</w:t>
            </w:r>
            <w:r>
              <w:rPr>
                <w:szCs w:val="32"/>
              </w:rPr>
              <w:t>年）》，</w:t>
            </w:r>
            <w:r>
              <w:rPr>
                <w:rFonts w:hint="eastAsia"/>
                <w:szCs w:val="32"/>
              </w:rPr>
              <w:t>渠水</w:t>
            </w:r>
            <w:r>
              <w:t>流域</w:t>
            </w:r>
            <w:r>
              <w:rPr>
                <w:rFonts w:hint="eastAsia"/>
              </w:rPr>
              <w:t>靖州县</w:t>
            </w:r>
            <w:r>
              <w:t>境内</w:t>
            </w:r>
            <w:r>
              <w:rPr>
                <w:rFonts w:hint="eastAsia"/>
              </w:rPr>
              <w:t>国控大笋坪（流坪）、</w:t>
            </w:r>
            <w:r>
              <w:t>省控</w:t>
            </w:r>
            <w:r>
              <w:rPr>
                <w:rFonts w:hint="eastAsia"/>
              </w:rPr>
              <w:t>靖州县水厂、省控桐油岭</w:t>
            </w:r>
            <w:r>
              <w:t>断面水质全年满足II类水质。本项目废水主要来自</w:t>
            </w:r>
            <w:r>
              <w:rPr>
                <w:rFonts w:hint="eastAsia"/>
              </w:rPr>
              <w:t>生产废水、初期雨水及生活污水。</w:t>
            </w:r>
            <w:r>
              <w:t>项目生活污水经</w:t>
            </w:r>
            <w:r>
              <w:rPr>
                <w:rFonts w:hint="eastAsia"/>
              </w:rPr>
              <w:t>隔油</w:t>
            </w:r>
            <w:r>
              <w:t>化粪池处理用于</w:t>
            </w:r>
            <w:r>
              <w:rPr>
                <w:rFonts w:hint="eastAsia"/>
              </w:rPr>
              <w:t>菜地</w:t>
            </w:r>
            <w:r>
              <w:t>浇灌，生产废水</w:t>
            </w:r>
            <w:r>
              <w:rPr>
                <w:rFonts w:hint="eastAsia"/>
              </w:rPr>
              <w:t>、初期雨水</w:t>
            </w:r>
            <w:r>
              <w:t>循环利用不外排。</w:t>
            </w:r>
          </w:p>
          <w:p w14:paraId="57B23185">
            <w:pPr>
              <w:adjustRightInd w:val="0"/>
              <w:snapToGrid w:val="0"/>
              <w:spacing w:line="240" w:lineRule="auto"/>
              <w:jc w:val="center"/>
            </w:pPr>
            <w:r>
              <w:rPr>
                <w:b/>
                <w:bCs/>
                <w:sz w:val="21"/>
                <w:szCs w:val="21"/>
              </w:rPr>
              <w:t>表3-</w:t>
            </w:r>
            <w:r>
              <w:rPr>
                <w:rFonts w:hint="eastAsia"/>
                <w:b/>
                <w:bCs/>
                <w:sz w:val="21"/>
                <w:szCs w:val="21"/>
              </w:rPr>
              <w:t>3</w:t>
            </w:r>
            <w:r>
              <w:rPr>
                <w:b/>
                <w:bCs/>
                <w:sz w:val="21"/>
                <w:szCs w:val="21"/>
              </w:rPr>
              <w:t xml:space="preserve">  </w:t>
            </w:r>
            <w:r>
              <w:rPr>
                <w:b/>
                <w:sz w:val="21"/>
                <w:szCs w:val="18"/>
              </w:rPr>
              <w:t>202</w:t>
            </w:r>
            <w:r>
              <w:rPr>
                <w:rFonts w:hint="eastAsia"/>
                <w:b/>
                <w:sz w:val="21"/>
                <w:szCs w:val="18"/>
                <w:lang w:val="en-US" w:eastAsia="zh-CN"/>
              </w:rPr>
              <w:t>3</w:t>
            </w:r>
            <w:r>
              <w:rPr>
                <w:b/>
                <w:sz w:val="21"/>
                <w:szCs w:val="18"/>
              </w:rPr>
              <w:t>年怀化市部分断面水质状况</w:t>
            </w:r>
          </w:p>
          <w:p w14:paraId="2189AEB3">
            <w:pPr>
              <w:autoSpaceDE w:val="0"/>
              <w:autoSpaceDN w:val="0"/>
              <w:ind w:left="480" w:hanging="480" w:hangingChars="200"/>
              <w:jc w:val="center"/>
              <w:rPr>
                <w:color w:val="0000C7"/>
              </w:rPr>
            </w:pPr>
            <w:r>
              <w:drawing>
                <wp:inline distT="0" distB="0" distL="114300" distR="114300">
                  <wp:extent cx="4724400" cy="6200775"/>
                  <wp:effectExtent l="0" t="0" r="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4724400" cy="6200775"/>
                          </a:xfrm>
                          <a:prstGeom prst="rect">
                            <a:avLst/>
                          </a:prstGeom>
                          <a:noFill/>
                          <a:ln>
                            <a:noFill/>
                          </a:ln>
                        </pic:spPr>
                      </pic:pic>
                    </a:graphicData>
                  </a:graphic>
                </wp:inline>
              </w:drawing>
            </w:r>
          </w:p>
          <w:p w14:paraId="4C41B211">
            <w:pPr>
              <w:autoSpaceDE w:val="0"/>
              <w:autoSpaceDN w:val="0"/>
              <w:ind w:firstLine="480" w:firstLineChars="200"/>
            </w:pPr>
            <w:r>
              <w:rPr>
                <w:szCs w:val="32"/>
              </w:rPr>
              <w:t>由上表统计结果可知：项目所在区域</w:t>
            </w:r>
            <w:r>
              <w:rPr>
                <w:rFonts w:hint="eastAsia"/>
              </w:rPr>
              <w:t>国控大笋坪（流坪）、</w:t>
            </w:r>
            <w:r>
              <w:t>省控</w:t>
            </w:r>
            <w:r>
              <w:rPr>
                <w:rFonts w:hint="eastAsia"/>
              </w:rPr>
              <w:t>靖州县水厂、省控桐油岭</w:t>
            </w:r>
            <w:r>
              <w:t>断面</w:t>
            </w:r>
            <w:r>
              <w:rPr>
                <w:rFonts w:hint="eastAsia"/>
                <w:szCs w:val="32"/>
              </w:rPr>
              <w:t>水质</w:t>
            </w:r>
            <w:r>
              <w:rPr>
                <w:szCs w:val="32"/>
              </w:rPr>
              <w:t>符合《地表水环境质量标准》（GB3838—2002）Ⅲ类水质要求。项目所在区域水环境质量达标。</w:t>
            </w:r>
          </w:p>
          <w:p w14:paraId="2478EE1F">
            <w:pPr>
              <w:pStyle w:val="30"/>
              <w:numPr>
                <w:ilvl w:val="1"/>
                <w:numId w:val="0"/>
              </w:numPr>
              <w:ind w:left="284"/>
            </w:pPr>
            <w:bookmarkStart w:id="45" w:name="_Toc15372"/>
            <w:bookmarkStart w:id="46" w:name="_Toc68160368"/>
            <w:r>
              <w:t>3.3声环境</w:t>
            </w:r>
            <w:bookmarkEnd w:id="45"/>
            <w:bookmarkEnd w:id="46"/>
          </w:p>
          <w:p w14:paraId="4AA8F658">
            <w:pPr>
              <w:ind w:firstLine="480" w:firstLineChars="200"/>
            </w:pPr>
            <w:bookmarkStart w:id="47" w:name="_Toc11254"/>
            <w:r>
              <w:t>为了解项目所在区域的声环境质量现状情况，评价委托湖南昌旭环保科技有限公司于202</w:t>
            </w:r>
            <w:r>
              <w:rPr>
                <w:rFonts w:hint="eastAsia"/>
              </w:rPr>
              <w:t>3</w:t>
            </w:r>
            <w:r>
              <w:t>年</w:t>
            </w:r>
            <w:r>
              <w:rPr>
                <w:rFonts w:hint="eastAsia"/>
              </w:rPr>
              <w:t>8</w:t>
            </w:r>
            <w:r>
              <w:t>月</w:t>
            </w:r>
            <w:r>
              <w:rPr>
                <w:rFonts w:hint="eastAsia"/>
              </w:rPr>
              <w:t>3</w:t>
            </w:r>
            <w:r>
              <w:t>日对项目厂界50米范围内敏感点声环境质量进行监测。</w:t>
            </w:r>
            <w:r>
              <w:rPr>
                <w:rFonts w:hint="eastAsia"/>
                <w:lang w:eastAsia="zh-CN"/>
              </w:rPr>
              <w:t>本次将对现有厂房等建筑进行拆除重建，</w:t>
            </w:r>
            <w:r>
              <w:t>监测结果见</w:t>
            </w:r>
            <w:r>
              <w:rPr>
                <w:rFonts w:hint="eastAsia"/>
              </w:rPr>
              <w:t>下表</w:t>
            </w:r>
            <w:r>
              <w:t>。</w:t>
            </w:r>
          </w:p>
          <w:p w14:paraId="6EF34D65">
            <w:pPr>
              <w:adjustRightInd w:val="0"/>
              <w:snapToGrid w:val="0"/>
              <w:ind w:firstLine="482"/>
            </w:pPr>
            <w:r>
              <w:t>（1）监测点位布设</w:t>
            </w:r>
          </w:p>
          <w:p w14:paraId="13E9609A">
            <w:pPr>
              <w:pStyle w:val="2"/>
              <w:snapToGrid w:val="0"/>
              <w:ind w:firstLine="482"/>
              <w:rPr>
                <w:rFonts w:hint="default" w:ascii="Times New Roman" w:hAnsi="Times New Roman" w:eastAsia="宋体" w:cs="Times New Roman"/>
                <w:color w:val="auto"/>
              </w:rPr>
            </w:pPr>
            <w:r>
              <w:rPr>
                <w:rFonts w:hint="default" w:ascii="Times New Roman" w:hAnsi="Times New Roman" w:eastAsia="宋体" w:cs="Times New Roman"/>
                <w:color w:val="auto"/>
              </w:rPr>
              <w:t>监测点位见下表。</w:t>
            </w:r>
          </w:p>
          <w:p w14:paraId="4C21C118">
            <w:pPr>
              <w:pStyle w:val="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ascii="Times New Roman" w:hAnsi="Times New Roman" w:eastAsia="宋体" w:cs="Times New Roman"/>
                <w:b/>
                <w:color w:val="auto"/>
                <w:sz w:val="21"/>
                <w:szCs w:val="21"/>
              </w:rPr>
              <w:t>4</w:t>
            </w:r>
            <w:r>
              <w:rPr>
                <w:rFonts w:hint="default" w:ascii="Times New Roman" w:hAnsi="Times New Roman" w:eastAsia="宋体" w:cs="Times New Roman"/>
                <w:b/>
                <w:color w:val="auto"/>
                <w:sz w:val="21"/>
                <w:szCs w:val="21"/>
              </w:rPr>
              <w:t xml:space="preserve"> 项目声环境监测点位一栏表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7"/>
              <w:gridCol w:w="4806"/>
              <w:gridCol w:w="2032"/>
            </w:tblGrid>
            <w:tr w14:paraId="31ED29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90" w:hRule="atLeast"/>
                <w:jc w:val="center"/>
              </w:trPr>
              <w:tc>
                <w:tcPr>
                  <w:tcW w:w="734" w:type="pct"/>
                  <w:tcBorders>
                    <w:bottom w:val="single" w:color="auto" w:sz="6" w:space="0"/>
                    <w:right w:val="single" w:color="auto" w:sz="6" w:space="0"/>
                  </w:tcBorders>
                  <w:vAlign w:val="center"/>
                </w:tcPr>
                <w:p w14:paraId="4644AF5E">
                  <w:pPr>
                    <w:pStyle w:val="7"/>
                    <w:spacing w:line="240" w:lineRule="auto"/>
                    <w:ind w:firstLine="0"/>
                    <w:jc w:val="center"/>
                    <w:rPr>
                      <w:rFonts w:eastAsia="宋体"/>
                      <w:b/>
                      <w:bCs/>
                      <w:w w:val="100"/>
                      <w:kern w:val="2"/>
                      <w:sz w:val="21"/>
                      <w:szCs w:val="21"/>
                    </w:rPr>
                  </w:pPr>
                  <w:r>
                    <w:rPr>
                      <w:rFonts w:eastAsia="宋体"/>
                      <w:b/>
                      <w:bCs/>
                      <w:w w:val="100"/>
                      <w:kern w:val="2"/>
                      <w:sz w:val="21"/>
                      <w:szCs w:val="21"/>
                    </w:rPr>
                    <w:t>序号</w:t>
                  </w:r>
                </w:p>
              </w:tc>
              <w:tc>
                <w:tcPr>
                  <w:tcW w:w="2997" w:type="pct"/>
                  <w:tcBorders>
                    <w:left w:val="single" w:color="auto" w:sz="6" w:space="0"/>
                    <w:bottom w:val="single" w:color="auto" w:sz="6" w:space="0"/>
                    <w:right w:val="single" w:color="auto" w:sz="6" w:space="0"/>
                  </w:tcBorders>
                  <w:vAlign w:val="center"/>
                </w:tcPr>
                <w:p w14:paraId="3A31BD87">
                  <w:pPr>
                    <w:pStyle w:val="7"/>
                    <w:spacing w:line="240" w:lineRule="auto"/>
                    <w:ind w:firstLine="0"/>
                    <w:jc w:val="center"/>
                    <w:rPr>
                      <w:rFonts w:eastAsia="宋体"/>
                      <w:b/>
                      <w:bCs/>
                      <w:w w:val="100"/>
                      <w:kern w:val="2"/>
                      <w:sz w:val="21"/>
                      <w:szCs w:val="21"/>
                    </w:rPr>
                  </w:pPr>
                  <w:r>
                    <w:rPr>
                      <w:rFonts w:eastAsia="宋体"/>
                      <w:b/>
                      <w:bCs/>
                      <w:w w:val="100"/>
                      <w:kern w:val="2"/>
                      <w:sz w:val="21"/>
                      <w:szCs w:val="21"/>
                    </w:rPr>
                    <w:t>监测点</w:t>
                  </w:r>
                </w:p>
              </w:tc>
              <w:tc>
                <w:tcPr>
                  <w:tcW w:w="1267" w:type="pct"/>
                  <w:tcBorders>
                    <w:left w:val="single" w:color="auto" w:sz="6" w:space="0"/>
                    <w:bottom w:val="single" w:color="auto" w:sz="6" w:space="0"/>
                  </w:tcBorders>
                  <w:vAlign w:val="center"/>
                </w:tcPr>
                <w:p w14:paraId="1B9F9570">
                  <w:pPr>
                    <w:pStyle w:val="7"/>
                    <w:spacing w:line="240" w:lineRule="auto"/>
                    <w:ind w:firstLine="0"/>
                    <w:jc w:val="center"/>
                    <w:rPr>
                      <w:rFonts w:eastAsia="宋体"/>
                      <w:b/>
                      <w:bCs/>
                      <w:w w:val="100"/>
                      <w:kern w:val="2"/>
                      <w:sz w:val="21"/>
                      <w:szCs w:val="21"/>
                    </w:rPr>
                  </w:pPr>
                  <w:r>
                    <w:rPr>
                      <w:rFonts w:eastAsia="宋体"/>
                      <w:b/>
                      <w:bCs/>
                      <w:w w:val="100"/>
                      <w:kern w:val="2"/>
                      <w:sz w:val="21"/>
                      <w:szCs w:val="21"/>
                    </w:rPr>
                    <w:t>监测内容</w:t>
                  </w:r>
                </w:p>
              </w:tc>
            </w:tr>
            <w:tr w14:paraId="5FF908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34" w:type="pct"/>
                  <w:tcBorders>
                    <w:top w:val="single" w:color="auto" w:sz="6" w:space="0"/>
                    <w:bottom w:val="single" w:color="auto" w:sz="6" w:space="0"/>
                    <w:right w:val="single" w:color="auto" w:sz="6" w:space="0"/>
                  </w:tcBorders>
                  <w:vAlign w:val="center"/>
                </w:tcPr>
                <w:p w14:paraId="31E373B4">
                  <w:pPr>
                    <w:pStyle w:val="7"/>
                    <w:spacing w:line="240" w:lineRule="auto"/>
                    <w:ind w:firstLine="0"/>
                    <w:jc w:val="center"/>
                    <w:rPr>
                      <w:rFonts w:eastAsia="宋体"/>
                      <w:w w:val="100"/>
                      <w:kern w:val="2"/>
                      <w:sz w:val="21"/>
                      <w:szCs w:val="21"/>
                    </w:rPr>
                  </w:pPr>
                  <w:r>
                    <w:rPr>
                      <w:rFonts w:eastAsia="宋体"/>
                      <w:w w:val="100"/>
                      <w:kern w:val="2"/>
                      <w:sz w:val="21"/>
                      <w:szCs w:val="21"/>
                    </w:rPr>
                    <w:t>N5</w:t>
                  </w:r>
                </w:p>
              </w:tc>
              <w:tc>
                <w:tcPr>
                  <w:tcW w:w="2997" w:type="pct"/>
                  <w:tcBorders>
                    <w:top w:val="single" w:color="auto" w:sz="6" w:space="0"/>
                    <w:left w:val="single" w:color="auto" w:sz="6" w:space="0"/>
                    <w:bottom w:val="single" w:color="auto" w:sz="6" w:space="0"/>
                    <w:right w:val="single" w:color="auto" w:sz="6" w:space="0"/>
                  </w:tcBorders>
                  <w:vAlign w:val="center"/>
                </w:tcPr>
                <w:p w14:paraId="3CDB1EB4">
                  <w:pPr>
                    <w:topLinePunct/>
                    <w:adjustRightInd w:val="0"/>
                    <w:snapToGrid w:val="0"/>
                    <w:spacing w:line="240" w:lineRule="auto"/>
                    <w:jc w:val="center"/>
                    <w:rPr>
                      <w:sz w:val="21"/>
                      <w:szCs w:val="21"/>
                    </w:rPr>
                  </w:pPr>
                  <w:r>
                    <w:rPr>
                      <w:sz w:val="21"/>
                      <w:szCs w:val="21"/>
                    </w:rPr>
                    <w:t>东南面30米处高桥村居民点</w:t>
                  </w:r>
                </w:p>
              </w:tc>
              <w:tc>
                <w:tcPr>
                  <w:tcW w:w="1267" w:type="pct"/>
                  <w:tcBorders>
                    <w:top w:val="single" w:color="auto" w:sz="6" w:space="0"/>
                    <w:left w:val="single" w:color="auto" w:sz="6" w:space="0"/>
                    <w:bottom w:val="single" w:color="auto" w:sz="6" w:space="0"/>
                  </w:tcBorders>
                  <w:vAlign w:val="center"/>
                </w:tcPr>
                <w:p w14:paraId="57261CCA">
                  <w:pPr>
                    <w:pStyle w:val="7"/>
                    <w:spacing w:line="240" w:lineRule="auto"/>
                    <w:ind w:firstLine="0"/>
                    <w:jc w:val="center"/>
                    <w:rPr>
                      <w:rFonts w:eastAsia="宋体"/>
                      <w:w w:val="100"/>
                      <w:kern w:val="2"/>
                      <w:sz w:val="21"/>
                      <w:szCs w:val="21"/>
                    </w:rPr>
                  </w:pPr>
                  <w:r>
                    <w:rPr>
                      <w:rFonts w:eastAsia="宋体"/>
                      <w:w w:val="100"/>
                      <w:kern w:val="2"/>
                      <w:sz w:val="21"/>
                      <w:szCs w:val="21"/>
                    </w:rPr>
                    <w:t>敏感点噪声</w:t>
                  </w:r>
                </w:p>
              </w:tc>
            </w:tr>
            <w:tr w14:paraId="2DC64C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734" w:type="pct"/>
                  <w:tcBorders>
                    <w:top w:val="single" w:color="auto" w:sz="6" w:space="0"/>
                    <w:right w:val="single" w:color="auto" w:sz="6" w:space="0"/>
                  </w:tcBorders>
                  <w:vAlign w:val="center"/>
                </w:tcPr>
                <w:p w14:paraId="7D8A1612">
                  <w:pPr>
                    <w:pStyle w:val="7"/>
                    <w:spacing w:line="240" w:lineRule="auto"/>
                    <w:ind w:firstLine="0"/>
                    <w:jc w:val="center"/>
                    <w:rPr>
                      <w:rFonts w:eastAsia="宋体"/>
                      <w:w w:val="100"/>
                      <w:kern w:val="2"/>
                      <w:sz w:val="21"/>
                      <w:szCs w:val="21"/>
                    </w:rPr>
                  </w:pPr>
                  <w:r>
                    <w:rPr>
                      <w:rFonts w:eastAsia="宋体"/>
                      <w:w w:val="100"/>
                      <w:kern w:val="2"/>
                      <w:sz w:val="21"/>
                      <w:szCs w:val="21"/>
                    </w:rPr>
                    <w:t>N6</w:t>
                  </w:r>
                </w:p>
              </w:tc>
              <w:tc>
                <w:tcPr>
                  <w:tcW w:w="2997" w:type="pct"/>
                  <w:tcBorders>
                    <w:top w:val="single" w:color="auto" w:sz="6" w:space="0"/>
                    <w:left w:val="single" w:color="auto" w:sz="6" w:space="0"/>
                    <w:right w:val="single" w:color="auto" w:sz="6" w:space="0"/>
                  </w:tcBorders>
                  <w:vAlign w:val="center"/>
                </w:tcPr>
                <w:p w14:paraId="3D22CE6D">
                  <w:pPr>
                    <w:topLinePunct/>
                    <w:adjustRightInd w:val="0"/>
                    <w:snapToGrid w:val="0"/>
                    <w:spacing w:line="240" w:lineRule="auto"/>
                    <w:jc w:val="center"/>
                    <w:rPr>
                      <w:sz w:val="21"/>
                      <w:szCs w:val="21"/>
                    </w:rPr>
                  </w:pPr>
                  <w:r>
                    <w:rPr>
                      <w:sz w:val="21"/>
                      <w:szCs w:val="21"/>
                    </w:rPr>
                    <w:t>西南面38米处高桥村居民点</w:t>
                  </w:r>
                </w:p>
              </w:tc>
              <w:tc>
                <w:tcPr>
                  <w:tcW w:w="1267" w:type="pct"/>
                  <w:tcBorders>
                    <w:top w:val="single" w:color="auto" w:sz="6" w:space="0"/>
                    <w:left w:val="single" w:color="auto" w:sz="6" w:space="0"/>
                  </w:tcBorders>
                  <w:vAlign w:val="center"/>
                </w:tcPr>
                <w:p w14:paraId="6B55B157">
                  <w:pPr>
                    <w:pStyle w:val="7"/>
                    <w:spacing w:line="240" w:lineRule="auto"/>
                    <w:ind w:firstLine="0"/>
                    <w:jc w:val="center"/>
                    <w:rPr>
                      <w:rFonts w:eastAsia="宋体"/>
                      <w:w w:val="100"/>
                      <w:kern w:val="2"/>
                      <w:sz w:val="21"/>
                      <w:szCs w:val="21"/>
                    </w:rPr>
                  </w:pPr>
                  <w:r>
                    <w:rPr>
                      <w:rFonts w:eastAsia="宋体"/>
                      <w:w w:val="100"/>
                      <w:kern w:val="2"/>
                      <w:sz w:val="21"/>
                      <w:szCs w:val="21"/>
                    </w:rPr>
                    <w:t>敏感点噪声</w:t>
                  </w:r>
                </w:p>
              </w:tc>
            </w:tr>
          </w:tbl>
          <w:p w14:paraId="4F52685E">
            <w:pPr>
              <w:widowControl/>
              <w:ind w:firstLine="480" w:firstLineChars="200"/>
              <w:jc w:val="left"/>
              <w:rPr>
                <w:szCs w:val="22"/>
              </w:rPr>
            </w:pPr>
            <w:r>
              <w:t>（2）监测时间、频次</w:t>
            </w:r>
          </w:p>
          <w:p w14:paraId="07AF007C">
            <w:pPr>
              <w:wordWrap w:val="0"/>
              <w:topLinePunct/>
              <w:adjustRightInd w:val="0"/>
              <w:snapToGrid w:val="0"/>
              <w:ind w:firstLine="480" w:firstLineChars="200"/>
              <w:rPr>
                <w:b/>
                <w:bCs/>
              </w:rPr>
            </w:pPr>
            <w:r>
              <w:t>在202</w:t>
            </w:r>
            <w:r>
              <w:rPr>
                <w:rFonts w:hint="eastAsia"/>
              </w:rPr>
              <w:t>3</w:t>
            </w:r>
            <w:r>
              <w:t>年</w:t>
            </w:r>
            <w:r>
              <w:rPr>
                <w:rFonts w:hint="eastAsia"/>
              </w:rPr>
              <w:t>8</w:t>
            </w:r>
            <w:r>
              <w:t>月</w:t>
            </w:r>
            <w:r>
              <w:rPr>
                <w:rFonts w:hint="eastAsia"/>
              </w:rPr>
              <w:t>3</w:t>
            </w:r>
            <w:r>
              <w:t>日进行监测。监测一天，昼间一次。</w:t>
            </w:r>
          </w:p>
          <w:p w14:paraId="4563A88F">
            <w:pPr>
              <w:widowControl/>
              <w:ind w:firstLine="480" w:firstLineChars="200"/>
              <w:jc w:val="left"/>
            </w:pPr>
            <w:r>
              <w:t>（3）监测方法</w:t>
            </w:r>
          </w:p>
          <w:p w14:paraId="07628F92">
            <w:pPr>
              <w:widowControl/>
              <w:ind w:firstLine="480" w:firstLineChars="200"/>
              <w:jc w:val="left"/>
            </w:pPr>
            <w:r>
              <w:t>按《声环境质量标准》（GB3096-2008）进行。</w:t>
            </w:r>
          </w:p>
          <w:p w14:paraId="7B53908F">
            <w:pPr>
              <w:widowControl/>
              <w:ind w:firstLine="480" w:firstLineChars="200"/>
              <w:jc w:val="left"/>
            </w:pPr>
            <w:r>
              <w:t>（4）评价标准</w:t>
            </w:r>
          </w:p>
          <w:p w14:paraId="0F0ABE63">
            <w:pPr>
              <w:widowControl/>
              <w:adjustRightInd w:val="0"/>
              <w:snapToGrid w:val="0"/>
              <w:ind w:firstLine="480" w:firstLineChars="200"/>
            </w:pPr>
            <w:r>
              <w:t>本项目所在区域敏感点</w:t>
            </w:r>
            <w:r>
              <w:rPr>
                <w:rFonts w:hint="eastAsia"/>
              </w:rPr>
              <w:t>东南面30米处高桥村居民点、西南面38米处高桥村居民点执行</w:t>
            </w:r>
            <w:r>
              <w:t>《声环境质量标准》（GB3096-2008）中4a类标准,标准值为昼间70dB(A)。</w:t>
            </w:r>
          </w:p>
          <w:p w14:paraId="47E328EE">
            <w:pPr>
              <w:adjustRightInd w:val="0"/>
              <w:snapToGrid w:val="0"/>
              <w:spacing w:line="240" w:lineRule="auto"/>
              <w:jc w:val="center"/>
              <w:rPr>
                <w:b/>
                <w:color w:val="0000C7"/>
                <w:sz w:val="21"/>
                <w:szCs w:val="21"/>
              </w:rPr>
            </w:pPr>
            <w:r>
              <w:rPr>
                <w:rFonts w:hint="eastAsia"/>
              </w:rPr>
              <w:t xml:space="preserve">  </w:t>
            </w:r>
            <w:r>
              <w:rPr>
                <w:b/>
                <w:sz w:val="21"/>
                <w:szCs w:val="21"/>
              </w:rPr>
              <w:t>表3-</w:t>
            </w:r>
            <w:r>
              <w:rPr>
                <w:rFonts w:hint="eastAsia"/>
                <w:b/>
                <w:sz w:val="21"/>
                <w:szCs w:val="21"/>
              </w:rPr>
              <w:t>5</w:t>
            </w:r>
            <w:r>
              <w:rPr>
                <w:b/>
                <w:sz w:val="21"/>
                <w:szCs w:val="21"/>
              </w:rPr>
              <w:t xml:space="preserve">  声环境现状监测结果一览表       单位：dB（A）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1381"/>
              <w:gridCol w:w="2765"/>
              <w:gridCol w:w="1711"/>
            </w:tblGrid>
            <w:tr w14:paraId="6AA9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346" w:type="pct"/>
                  <w:vMerge w:val="restart"/>
                  <w:vAlign w:val="center"/>
                </w:tcPr>
                <w:p w14:paraId="416B0A1F">
                  <w:pPr>
                    <w:topLinePunct/>
                    <w:adjustRightInd w:val="0"/>
                    <w:snapToGrid w:val="0"/>
                    <w:spacing w:line="240" w:lineRule="auto"/>
                    <w:jc w:val="center"/>
                    <w:rPr>
                      <w:b/>
                      <w:kern w:val="0"/>
                      <w:sz w:val="21"/>
                      <w:szCs w:val="21"/>
                    </w:rPr>
                  </w:pPr>
                  <w:r>
                    <w:rPr>
                      <w:b/>
                      <w:kern w:val="0"/>
                      <w:sz w:val="21"/>
                      <w:szCs w:val="21"/>
                    </w:rPr>
                    <w:t>点位名称</w:t>
                  </w:r>
                </w:p>
              </w:tc>
              <w:tc>
                <w:tcPr>
                  <w:tcW w:w="861" w:type="pct"/>
                  <w:vMerge w:val="restart"/>
                  <w:vAlign w:val="center"/>
                </w:tcPr>
                <w:p w14:paraId="42D9DD83">
                  <w:pPr>
                    <w:topLinePunct/>
                    <w:adjustRightInd w:val="0"/>
                    <w:snapToGrid w:val="0"/>
                    <w:spacing w:line="240" w:lineRule="auto"/>
                    <w:jc w:val="center"/>
                    <w:rPr>
                      <w:b/>
                      <w:kern w:val="0"/>
                      <w:sz w:val="21"/>
                      <w:szCs w:val="21"/>
                    </w:rPr>
                  </w:pPr>
                  <w:r>
                    <w:rPr>
                      <w:b/>
                      <w:kern w:val="0"/>
                      <w:sz w:val="21"/>
                      <w:szCs w:val="21"/>
                    </w:rPr>
                    <w:t>检测项目</w:t>
                  </w:r>
                </w:p>
              </w:tc>
              <w:tc>
                <w:tcPr>
                  <w:tcW w:w="1724" w:type="pct"/>
                  <w:vAlign w:val="center"/>
                </w:tcPr>
                <w:p w14:paraId="236455A0">
                  <w:pPr>
                    <w:topLinePunct/>
                    <w:adjustRightInd w:val="0"/>
                    <w:snapToGrid w:val="0"/>
                    <w:spacing w:line="240" w:lineRule="auto"/>
                    <w:jc w:val="center"/>
                    <w:rPr>
                      <w:b/>
                      <w:kern w:val="0"/>
                      <w:sz w:val="21"/>
                      <w:szCs w:val="21"/>
                    </w:rPr>
                  </w:pPr>
                  <w:r>
                    <w:rPr>
                      <w:b/>
                      <w:kern w:val="0"/>
                      <w:sz w:val="21"/>
                      <w:szCs w:val="21"/>
                    </w:rPr>
                    <w:t>监测结果</w:t>
                  </w:r>
                </w:p>
              </w:tc>
              <w:tc>
                <w:tcPr>
                  <w:tcW w:w="1067" w:type="pct"/>
                  <w:vMerge w:val="restart"/>
                  <w:vAlign w:val="center"/>
                </w:tcPr>
                <w:p w14:paraId="69143ADA">
                  <w:pPr>
                    <w:topLinePunct/>
                    <w:adjustRightInd w:val="0"/>
                    <w:snapToGrid w:val="0"/>
                    <w:spacing w:line="240" w:lineRule="auto"/>
                    <w:jc w:val="center"/>
                    <w:rPr>
                      <w:b/>
                      <w:kern w:val="0"/>
                      <w:sz w:val="21"/>
                      <w:szCs w:val="21"/>
                    </w:rPr>
                  </w:pPr>
                  <w:r>
                    <w:rPr>
                      <w:b/>
                      <w:kern w:val="0"/>
                      <w:sz w:val="21"/>
                      <w:szCs w:val="21"/>
                    </w:rPr>
                    <w:t>标准</w:t>
                  </w:r>
                </w:p>
              </w:tc>
            </w:tr>
            <w:tr w14:paraId="79EB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346" w:type="pct"/>
                  <w:vMerge w:val="continue"/>
                  <w:vAlign w:val="center"/>
                </w:tcPr>
                <w:p w14:paraId="2D70AB71">
                  <w:pPr>
                    <w:topLinePunct/>
                    <w:adjustRightInd w:val="0"/>
                    <w:snapToGrid w:val="0"/>
                    <w:spacing w:line="240" w:lineRule="auto"/>
                    <w:jc w:val="center"/>
                    <w:rPr>
                      <w:sz w:val="21"/>
                      <w:szCs w:val="21"/>
                    </w:rPr>
                  </w:pPr>
                </w:p>
              </w:tc>
              <w:tc>
                <w:tcPr>
                  <w:tcW w:w="861" w:type="pct"/>
                  <w:vMerge w:val="continue"/>
                  <w:vAlign w:val="center"/>
                </w:tcPr>
                <w:p w14:paraId="7AE6E3EE">
                  <w:pPr>
                    <w:topLinePunct/>
                    <w:adjustRightInd w:val="0"/>
                    <w:snapToGrid w:val="0"/>
                    <w:spacing w:line="240" w:lineRule="auto"/>
                    <w:jc w:val="center"/>
                    <w:rPr>
                      <w:sz w:val="21"/>
                      <w:szCs w:val="21"/>
                    </w:rPr>
                  </w:pPr>
                </w:p>
              </w:tc>
              <w:tc>
                <w:tcPr>
                  <w:tcW w:w="1724" w:type="pct"/>
                  <w:vAlign w:val="center"/>
                </w:tcPr>
                <w:p w14:paraId="3195E73A">
                  <w:pPr>
                    <w:topLinePunct/>
                    <w:adjustRightInd w:val="0"/>
                    <w:snapToGrid w:val="0"/>
                    <w:spacing w:line="240" w:lineRule="auto"/>
                    <w:jc w:val="center"/>
                    <w:rPr>
                      <w:b/>
                      <w:kern w:val="0"/>
                      <w:sz w:val="21"/>
                      <w:szCs w:val="21"/>
                    </w:rPr>
                  </w:pPr>
                  <w:r>
                    <w:rPr>
                      <w:b/>
                      <w:kern w:val="0"/>
                      <w:sz w:val="21"/>
                      <w:szCs w:val="21"/>
                    </w:rPr>
                    <w:t>202</w:t>
                  </w:r>
                  <w:r>
                    <w:rPr>
                      <w:rFonts w:hint="eastAsia"/>
                      <w:b/>
                      <w:kern w:val="0"/>
                      <w:sz w:val="21"/>
                      <w:szCs w:val="21"/>
                    </w:rPr>
                    <w:t>3</w:t>
                  </w:r>
                  <w:r>
                    <w:rPr>
                      <w:b/>
                      <w:kern w:val="0"/>
                      <w:sz w:val="21"/>
                      <w:szCs w:val="21"/>
                    </w:rPr>
                    <w:t>年0</w:t>
                  </w:r>
                  <w:r>
                    <w:rPr>
                      <w:rFonts w:hint="eastAsia"/>
                      <w:b/>
                      <w:kern w:val="0"/>
                      <w:sz w:val="21"/>
                      <w:szCs w:val="21"/>
                    </w:rPr>
                    <w:t>8</w:t>
                  </w:r>
                  <w:r>
                    <w:rPr>
                      <w:b/>
                      <w:kern w:val="0"/>
                      <w:sz w:val="21"/>
                      <w:szCs w:val="21"/>
                    </w:rPr>
                    <w:t>月</w:t>
                  </w:r>
                  <w:r>
                    <w:rPr>
                      <w:rFonts w:hint="eastAsia"/>
                      <w:b/>
                      <w:kern w:val="0"/>
                      <w:sz w:val="21"/>
                      <w:szCs w:val="21"/>
                    </w:rPr>
                    <w:t>03</w:t>
                  </w:r>
                  <w:r>
                    <w:rPr>
                      <w:b/>
                      <w:kern w:val="0"/>
                      <w:sz w:val="21"/>
                      <w:szCs w:val="21"/>
                    </w:rPr>
                    <w:t>日</w:t>
                  </w:r>
                </w:p>
              </w:tc>
              <w:tc>
                <w:tcPr>
                  <w:tcW w:w="1067" w:type="pct"/>
                  <w:vMerge w:val="continue"/>
                  <w:vAlign w:val="center"/>
                </w:tcPr>
                <w:p w14:paraId="0710A0AD">
                  <w:pPr>
                    <w:topLinePunct/>
                    <w:adjustRightInd w:val="0"/>
                    <w:snapToGrid w:val="0"/>
                    <w:spacing w:line="240" w:lineRule="auto"/>
                    <w:jc w:val="center"/>
                    <w:rPr>
                      <w:b/>
                      <w:kern w:val="0"/>
                      <w:sz w:val="21"/>
                      <w:szCs w:val="21"/>
                    </w:rPr>
                  </w:pPr>
                </w:p>
              </w:tc>
            </w:tr>
            <w:tr w14:paraId="48B4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46" w:type="pct"/>
                  <w:vMerge w:val="continue"/>
                  <w:vAlign w:val="center"/>
                </w:tcPr>
                <w:p w14:paraId="30CF065E">
                  <w:pPr>
                    <w:topLinePunct/>
                    <w:adjustRightInd w:val="0"/>
                    <w:snapToGrid w:val="0"/>
                    <w:spacing w:line="240" w:lineRule="auto"/>
                    <w:jc w:val="center"/>
                    <w:rPr>
                      <w:b/>
                      <w:kern w:val="0"/>
                      <w:sz w:val="21"/>
                      <w:szCs w:val="21"/>
                    </w:rPr>
                  </w:pPr>
                </w:p>
              </w:tc>
              <w:tc>
                <w:tcPr>
                  <w:tcW w:w="861" w:type="pct"/>
                  <w:vMerge w:val="continue"/>
                  <w:vAlign w:val="center"/>
                </w:tcPr>
                <w:p w14:paraId="252FF27E">
                  <w:pPr>
                    <w:topLinePunct/>
                    <w:adjustRightInd w:val="0"/>
                    <w:snapToGrid w:val="0"/>
                    <w:spacing w:line="240" w:lineRule="auto"/>
                    <w:jc w:val="center"/>
                    <w:rPr>
                      <w:b/>
                      <w:kern w:val="0"/>
                      <w:sz w:val="21"/>
                      <w:szCs w:val="21"/>
                    </w:rPr>
                  </w:pPr>
                </w:p>
              </w:tc>
              <w:tc>
                <w:tcPr>
                  <w:tcW w:w="1724" w:type="pct"/>
                  <w:vAlign w:val="center"/>
                </w:tcPr>
                <w:p w14:paraId="7B173A44">
                  <w:pPr>
                    <w:topLinePunct/>
                    <w:adjustRightInd w:val="0"/>
                    <w:snapToGrid w:val="0"/>
                    <w:spacing w:line="240" w:lineRule="auto"/>
                    <w:jc w:val="center"/>
                    <w:rPr>
                      <w:b/>
                      <w:sz w:val="21"/>
                      <w:szCs w:val="21"/>
                    </w:rPr>
                  </w:pPr>
                  <w:r>
                    <w:rPr>
                      <w:b/>
                      <w:sz w:val="21"/>
                      <w:szCs w:val="21"/>
                    </w:rPr>
                    <w:t>昼间</w:t>
                  </w:r>
                </w:p>
              </w:tc>
              <w:tc>
                <w:tcPr>
                  <w:tcW w:w="1067" w:type="pct"/>
                  <w:vAlign w:val="center"/>
                </w:tcPr>
                <w:p w14:paraId="06D64108">
                  <w:pPr>
                    <w:topLinePunct/>
                    <w:adjustRightInd w:val="0"/>
                    <w:snapToGrid w:val="0"/>
                    <w:spacing w:line="240" w:lineRule="auto"/>
                    <w:jc w:val="center"/>
                    <w:rPr>
                      <w:b/>
                      <w:sz w:val="21"/>
                      <w:szCs w:val="21"/>
                    </w:rPr>
                  </w:pPr>
                  <w:r>
                    <w:rPr>
                      <w:b/>
                      <w:sz w:val="21"/>
                      <w:szCs w:val="21"/>
                    </w:rPr>
                    <w:t>昼间</w:t>
                  </w:r>
                </w:p>
              </w:tc>
            </w:tr>
            <w:tr w14:paraId="000E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346" w:type="pct"/>
                  <w:vAlign w:val="center"/>
                </w:tcPr>
                <w:p w14:paraId="3C2CDD99">
                  <w:pPr>
                    <w:topLinePunct/>
                    <w:adjustRightInd w:val="0"/>
                    <w:snapToGrid w:val="0"/>
                    <w:spacing w:line="240" w:lineRule="auto"/>
                    <w:jc w:val="center"/>
                    <w:rPr>
                      <w:sz w:val="21"/>
                      <w:szCs w:val="21"/>
                    </w:rPr>
                  </w:pPr>
                  <w:r>
                    <w:rPr>
                      <w:sz w:val="21"/>
                      <w:szCs w:val="21"/>
                    </w:rPr>
                    <w:t>N5东南面30米处高桥村居民点</w:t>
                  </w:r>
                </w:p>
              </w:tc>
              <w:tc>
                <w:tcPr>
                  <w:tcW w:w="861" w:type="pct"/>
                  <w:vMerge w:val="restart"/>
                  <w:vAlign w:val="center"/>
                </w:tcPr>
                <w:p w14:paraId="290A698E">
                  <w:pPr>
                    <w:topLinePunct/>
                    <w:adjustRightInd w:val="0"/>
                    <w:snapToGrid w:val="0"/>
                    <w:spacing w:line="240" w:lineRule="auto"/>
                    <w:jc w:val="center"/>
                    <w:rPr>
                      <w:sz w:val="21"/>
                      <w:szCs w:val="21"/>
                    </w:rPr>
                  </w:pPr>
                  <w:r>
                    <w:rPr>
                      <w:sz w:val="21"/>
                      <w:szCs w:val="21"/>
                    </w:rPr>
                    <w:t>环境噪声</w:t>
                  </w:r>
                </w:p>
              </w:tc>
              <w:tc>
                <w:tcPr>
                  <w:tcW w:w="1724" w:type="pct"/>
                  <w:vAlign w:val="center"/>
                </w:tcPr>
                <w:p w14:paraId="1641132C">
                  <w:pPr>
                    <w:topLinePunct/>
                    <w:adjustRightInd w:val="0"/>
                    <w:snapToGrid w:val="0"/>
                    <w:spacing w:line="240" w:lineRule="auto"/>
                    <w:jc w:val="center"/>
                    <w:rPr>
                      <w:kern w:val="0"/>
                      <w:sz w:val="21"/>
                      <w:szCs w:val="21"/>
                    </w:rPr>
                  </w:pPr>
                  <w:r>
                    <w:rPr>
                      <w:rFonts w:hint="eastAsia"/>
                      <w:kern w:val="0"/>
                      <w:sz w:val="21"/>
                      <w:szCs w:val="21"/>
                    </w:rPr>
                    <w:t>55</w:t>
                  </w:r>
                </w:p>
              </w:tc>
              <w:tc>
                <w:tcPr>
                  <w:tcW w:w="1067" w:type="pct"/>
                  <w:vMerge w:val="restart"/>
                  <w:vAlign w:val="center"/>
                </w:tcPr>
                <w:p w14:paraId="0FC6784A">
                  <w:pPr>
                    <w:topLinePunct/>
                    <w:adjustRightInd w:val="0"/>
                    <w:snapToGrid w:val="0"/>
                    <w:spacing w:line="240" w:lineRule="auto"/>
                    <w:jc w:val="center"/>
                    <w:rPr>
                      <w:color w:val="0000C7"/>
                      <w:kern w:val="0"/>
                      <w:sz w:val="21"/>
                      <w:szCs w:val="21"/>
                    </w:rPr>
                  </w:pPr>
                  <w:r>
                    <w:rPr>
                      <w:kern w:val="0"/>
                      <w:sz w:val="21"/>
                      <w:szCs w:val="21"/>
                    </w:rPr>
                    <w:t>70</w:t>
                  </w:r>
                </w:p>
              </w:tc>
            </w:tr>
            <w:tr w14:paraId="1DE3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346" w:type="pct"/>
                  <w:vAlign w:val="center"/>
                </w:tcPr>
                <w:p w14:paraId="4A17FAB7">
                  <w:pPr>
                    <w:topLinePunct/>
                    <w:adjustRightInd w:val="0"/>
                    <w:snapToGrid w:val="0"/>
                    <w:spacing w:line="240" w:lineRule="auto"/>
                    <w:jc w:val="center"/>
                    <w:rPr>
                      <w:sz w:val="21"/>
                      <w:szCs w:val="21"/>
                    </w:rPr>
                  </w:pPr>
                  <w:r>
                    <w:rPr>
                      <w:sz w:val="21"/>
                      <w:szCs w:val="21"/>
                    </w:rPr>
                    <w:t>N6西南面38米处高桥村居民点</w:t>
                  </w:r>
                </w:p>
              </w:tc>
              <w:tc>
                <w:tcPr>
                  <w:tcW w:w="861" w:type="pct"/>
                  <w:vMerge w:val="continue"/>
                  <w:vAlign w:val="center"/>
                </w:tcPr>
                <w:p w14:paraId="0FAEA46C">
                  <w:pPr>
                    <w:topLinePunct/>
                    <w:adjustRightInd w:val="0"/>
                    <w:snapToGrid w:val="0"/>
                    <w:spacing w:line="240" w:lineRule="auto"/>
                    <w:jc w:val="center"/>
                    <w:rPr>
                      <w:sz w:val="21"/>
                      <w:szCs w:val="21"/>
                    </w:rPr>
                  </w:pPr>
                </w:p>
              </w:tc>
              <w:tc>
                <w:tcPr>
                  <w:tcW w:w="1724" w:type="pct"/>
                  <w:vAlign w:val="center"/>
                </w:tcPr>
                <w:p w14:paraId="0BC37021">
                  <w:pPr>
                    <w:topLinePunct/>
                    <w:adjustRightInd w:val="0"/>
                    <w:snapToGrid w:val="0"/>
                    <w:spacing w:line="240" w:lineRule="auto"/>
                    <w:jc w:val="center"/>
                    <w:rPr>
                      <w:kern w:val="0"/>
                      <w:sz w:val="21"/>
                      <w:szCs w:val="21"/>
                    </w:rPr>
                  </w:pPr>
                  <w:r>
                    <w:rPr>
                      <w:rFonts w:hint="eastAsia"/>
                      <w:kern w:val="0"/>
                      <w:sz w:val="21"/>
                      <w:szCs w:val="21"/>
                    </w:rPr>
                    <w:t>55</w:t>
                  </w:r>
                </w:p>
              </w:tc>
              <w:tc>
                <w:tcPr>
                  <w:tcW w:w="1067" w:type="pct"/>
                  <w:vMerge w:val="continue"/>
                  <w:vAlign w:val="center"/>
                </w:tcPr>
                <w:p w14:paraId="66A372B2">
                  <w:pPr>
                    <w:topLinePunct/>
                    <w:adjustRightInd w:val="0"/>
                    <w:snapToGrid w:val="0"/>
                    <w:spacing w:line="240" w:lineRule="auto"/>
                    <w:jc w:val="center"/>
                    <w:rPr>
                      <w:color w:val="0000C7"/>
                      <w:kern w:val="0"/>
                      <w:sz w:val="21"/>
                      <w:szCs w:val="21"/>
                    </w:rPr>
                  </w:pPr>
                </w:p>
              </w:tc>
            </w:tr>
          </w:tbl>
          <w:p w14:paraId="35A9AA83">
            <w:pPr>
              <w:pStyle w:val="30"/>
              <w:numPr>
                <w:ilvl w:val="1"/>
                <w:numId w:val="0"/>
              </w:numPr>
              <w:ind w:firstLine="480" w:firstLineChars="200"/>
              <w:jc w:val="both"/>
            </w:pPr>
            <w:r>
              <w:rPr>
                <w:b w:val="0"/>
                <w:bCs/>
              </w:rPr>
              <w:t>根据上表结果分析表明项目</w:t>
            </w:r>
            <w:r>
              <w:rPr>
                <w:rFonts w:hint="eastAsia"/>
                <w:b w:val="0"/>
                <w:bCs/>
                <w:lang w:val="en-US" w:eastAsia="zh-CN"/>
              </w:rPr>
              <w:t>周边</w:t>
            </w:r>
            <w:r>
              <w:rPr>
                <w:b w:val="0"/>
                <w:bCs/>
              </w:rPr>
              <w:t>敏感点监测点可以满足《声环境质量标准》（GB3096-2008）</w:t>
            </w:r>
            <w:r>
              <w:rPr>
                <w:rFonts w:hint="eastAsia"/>
                <w:b w:val="0"/>
                <w:bCs/>
              </w:rPr>
              <w:t>4a类</w:t>
            </w:r>
            <w:r>
              <w:rPr>
                <w:b w:val="0"/>
                <w:bCs/>
              </w:rPr>
              <w:t>标准要求。</w:t>
            </w:r>
          </w:p>
          <w:p w14:paraId="7907F801">
            <w:pPr>
              <w:pStyle w:val="30"/>
              <w:numPr>
                <w:ilvl w:val="1"/>
                <w:numId w:val="0"/>
              </w:numPr>
              <w:ind w:left="284"/>
            </w:pPr>
            <w:r>
              <w:t>3.4地下水、土壤环境</w:t>
            </w:r>
            <w:bookmarkEnd w:id="47"/>
          </w:p>
          <w:p w14:paraId="20E05EF9">
            <w:pPr>
              <w:adjustRightInd w:val="0"/>
              <w:snapToGrid w:val="0"/>
              <w:ind w:firstLine="480" w:firstLineChars="200"/>
              <w:outlineLvl w:val="2"/>
            </w:pPr>
            <w:r>
              <w:t>根据《建设项目环境影响报告表编制技术指南（污染影响类）（试行）》中提到的“原则上不开展环境质量现状调查。建设项目存在土壤、地下水环境污染途径的，应结合污染源、保护目标分布情况开展现状调查以留作背景值”。</w:t>
            </w:r>
          </w:p>
          <w:p w14:paraId="0587310D">
            <w:pPr>
              <w:adjustRightInd w:val="0"/>
              <w:snapToGrid w:val="0"/>
              <w:ind w:firstLine="480" w:firstLineChars="200"/>
              <w:outlineLvl w:val="2"/>
            </w:pPr>
            <w:r>
              <w:t>本项目</w:t>
            </w:r>
            <w:r>
              <w:rPr>
                <w:rFonts w:hint="eastAsia"/>
              </w:rPr>
              <w:t>主要利用青石、花岗岩进行加工，</w:t>
            </w:r>
            <w:r>
              <w:t>项目废水不外排，本项目</w:t>
            </w:r>
            <w:r>
              <w:rPr>
                <w:rFonts w:hint="eastAsia"/>
              </w:rPr>
              <w:t>路沿石、</w:t>
            </w:r>
            <w:r>
              <w:rPr>
                <w:rFonts w:hint="eastAsia"/>
                <w:b w:val="0"/>
                <w:bCs/>
                <w:kern w:val="0"/>
                <w:u w:val="none"/>
                <w:lang w:eastAsia="zh-CN" w:bidi="ar"/>
              </w:rPr>
              <w:t>墓碑</w:t>
            </w:r>
            <w:r>
              <w:rPr>
                <w:rFonts w:hint="eastAsia" w:ascii="Times New Roman" w:hAnsi="Times New Roman" w:eastAsia="宋体" w:cs="Times New Roman"/>
                <w:b w:val="0"/>
                <w:bCs/>
                <w:kern w:val="0"/>
                <w:sz w:val="24"/>
                <w:szCs w:val="24"/>
                <w:u w:val="none"/>
                <w:lang w:val="en-US" w:eastAsia="zh-CN" w:bidi="ar"/>
              </w:rPr>
              <w:t>及附属产品和其他板材</w:t>
            </w:r>
            <w:r>
              <w:t>加工过程中</w:t>
            </w:r>
            <w:r>
              <w:rPr>
                <w:rFonts w:hint="eastAsia"/>
              </w:rPr>
              <w:t>切割、磨光、雕刻</w:t>
            </w:r>
            <w:r>
              <w:t>等工序产生的废水经沉淀处理后循环使用，不外排；</w:t>
            </w:r>
            <w:r>
              <w:rPr>
                <w:rFonts w:hint="eastAsia"/>
              </w:rPr>
              <w:t>破碎制砂和筛分为</w:t>
            </w:r>
            <w:r>
              <w:rPr>
                <w:rFonts w:ascii="Times New Roman"/>
                <w:kern w:val="2"/>
                <w:szCs w:val="24"/>
              </w:rPr>
              <w:t>为</w:t>
            </w:r>
            <w:r>
              <w:rPr>
                <w:rFonts w:hint="eastAsia"/>
                <w:kern w:val="2"/>
                <w:szCs w:val="24"/>
                <w:lang w:eastAsia="zh-CN"/>
              </w:rPr>
              <w:t>干</w:t>
            </w:r>
            <w:r>
              <w:rPr>
                <w:rFonts w:ascii="Times New Roman"/>
                <w:kern w:val="2"/>
                <w:szCs w:val="24"/>
              </w:rPr>
              <w:t>法作业，</w:t>
            </w:r>
            <w:r>
              <w:rPr>
                <w:rFonts w:hint="default"/>
                <w:kern w:val="2"/>
                <w:sz w:val="24"/>
                <w:szCs w:val="24"/>
                <w:lang w:eastAsia="zh-CN"/>
              </w:rPr>
              <w:t>采取喷淋降尘</w:t>
            </w:r>
            <w:r>
              <w:rPr>
                <w:rFonts w:hint="default"/>
                <w:kern w:val="2"/>
                <w:sz w:val="24"/>
                <w:szCs w:val="24"/>
              </w:rPr>
              <w:t>，</w:t>
            </w:r>
            <w:r>
              <w:rPr>
                <w:rFonts w:hint="default"/>
                <w:sz w:val="24"/>
                <w:szCs w:val="24"/>
              </w:rPr>
              <w:t>同时</w:t>
            </w:r>
            <w:r>
              <w:rPr>
                <w:rFonts w:hint="default"/>
                <w:kern w:val="2"/>
                <w:sz w:val="24"/>
                <w:szCs w:val="24"/>
                <w:lang w:eastAsia="zh-CN"/>
              </w:rPr>
              <w:t>采用密闭生产工序，</w:t>
            </w:r>
            <w:r>
              <w:rPr>
                <w:rFonts w:hint="eastAsia"/>
              </w:rPr>
              <w:t>用水量很小，所产生的</w:t>
            </w:r>
            <w:r>
              <w:rPr>
                <w:rFonts w:hint="eastAsia"/>
                <w:lang w:eastAsia="zh-CN"/>
              </w:rPr>
              <w:t>用</w:t>
            </w:r>
            <w:r>
              <w:rPr>
                <w:rFonts w:hint="eastAsia"/>
              </w:rPr>
              <w:t>水一部分自然蒸发，一部分被带入搅拌工序，故破碎制砂和筛分废水可忽略不计；搅拌</w:t>
            </w:r>
            <w:r>
              <w:rPr>
                <w:rFonts w:hint="eastAsia"/>
                <w:lang w:eastAsia="zh-CN"/>
              </w:rPr>
              <w:t>用</w:t>
            </w:r>
            <w:r>
              <w:t>水</w:t>
            </w:r>
            <w:r>
              <w:rPr>
                <w:rFonts w:hint="eastAsia"/>
                <w:lang w:eastAsia="zh-CN"/>
              </w:rPr>
              <w:t>及夏季砖养护用水</w:t>
            </w:r>
            <w:r>
              <w:rPr>
                <w:rFonts w:hint="eastAsia"/>
              </w:rPr>
              <w:t>作为原料进入产品中后晾干蒸发，不外排；厂区抑尘废水</w:t>
            </w:r>
            <w:r>
              <w:t>大部分进入板材中或进入扬尘中并随其沉降在地面，剩余部分全部蒸发损耗，</w:t>
            </w:r>
            <w:r>
              <w:rPr>
                <w:rFonts w:hint="eastAsia"/>
              </w:rPr>
              <w:t>不</w:t>
            </w:r>
            <w:r>
              <w:t>外排</w:t>
            </w:r>
            <w:r>
              <w:rPr>
                <w:rFonts w:hint="eastAsia"/>
              </w:rPr>
              <w:t>；</w:t>
            </w:r>
            <w:r>
              <w:t>生活污水经</w:t>
            </w:r>
            <w:r>
              <w:rPr>
                <w:rFonts w:hint="eastAsia"/>
              </w:rPr>
              <w:t>隔油</w:t>
            </w:r>
            <w:r>
              <w:t>化粪池处理用于周边林地、</w:t>
            </w:r>
            <w:r>
              <w:rPr>
                <w:rFonts w:hint="eastAsia"/>
              </w:rPr>
              <w:t>菜地</w:t>
            </w:r>
            <w:r>
              <w:t>浇灌，不外排</w:t>
            </w:r>
            <w:r>
              <w:rPr>
                <w:rFonts w:hint="eastAsia"/>
              </w:rPr>
              <w:t>；初期</w:t>
            </w:r>
            <w:r>
              <w:t>雨水经</w:t>
            </w:r>
            <w:r>
              <w:rPr>
                <w:rFonts w:hint="eastAsia"/>
              </w:rPr>
              <w:t>初期雨水收集池</w:t>
            </w:r>
            <w:r>
              <w:t>沉淀后回用于厂区降尘洒水</w:t>
            </w:r>
            <w:r>
              <w:rPr>
                <w:rFonts w:hint="eastAsia"/>
              </w:rPr>
              <w:t>。</w:t>
            </w:r>
            <w:r>
              <w:rPr>
                <w:bCs/>
                <w:kern w:val="0"/>
              </w:rPr>
              <w:t>本项目</w:t>
            </w:r>
            <w:r>
              <w:rPr>
                <w:rFonts w:hint="eastAsia"/>
                <w:bCs/>
                <w:kern w:val="0"/>
                <w:lang w:eastAsia="zh-CN"/>
              </w:rPr>
              <w:t>无危险废物产生。</w:t>
            </w:r>
            <w:r>
              <w:rPr>
                <w:bCs/>
              </w:rPr>
              <w:t>厂区地面进行硬化，</w:t>
            </w:r>
            <w:r>
              <w:t>不涉及土壤、地下水环境的污染途径，故可不开展现状调查。</w:t>
            </w:r>
          </w:p>
          <w:p w14:paraId="55A94C2B">
            <w:pPr>
              <w:pStyle w:val="30"/>
              <w:numPr>
                <w:ilvl w:val="1"/>
                <w:numId w:val="0"/>
              </w:numPr>
              <w:ind w:left="284"/>
              <w:outlineLvl w:val="2"/>
            </w:pPr>
            <w:bookmarkStart w:id="48" w:name="_Toc13188"/>
            <w:r>
              <w:t>3.5生态环境现状</w:t>
            </w:r>
            <w:bookmarkEnd w:id="48"/>
          </w:p>
          <w:p w14:paraId="2F734EFE">
            <w:pPr>
              <w:widowControl/>
              <w:ind w:firstLine="480" w:firstLineChars="200"/>
            </w:pPr>
            <w:r>
              <w:rPr>
                <w:kern w:val="0"/>
              </w:rPr>
              <w:t>根据《建设项目环境影响报告表编制技术指南(试行)》(污染影响类)，</w:t>
            </w:r>
            <w:r>
              <w:rPr>
                <w:rFonts w:ascii="宋体" w:hAnsi="宋体"/>
                <w:kern w:val="0"/>
              </w:rPr>
              <w:t>“产业园区外建设项目新增用地且用地范围内含有生态环境保护目标时，应进行生态现状调查”</w:t>
            </w:r>
            <w:r>
              <w:rPr>
                <w:kern w:val="0"/>
              </w:rPr>
              <w:t>。</w:t>
            </w:r>
            <w:r>
              <w:rPr>
                <w:bCs/>
                <w:kern w:val="0"/>
              </w:rPr>
              <w:t>本项目</w:t>
            </w:r>
            <w:r>
              <w:rPr>
                <w:kern w:val="0"/>
              </w:rPr>
              <w:t>位于</w:t>
            </w:r>
            <w:r>
              <w:rPr>
                <w:bCs/>
              </w:rPr>
              <w:t>湖南省</w:t>
            </w:r>
            <w:r>
              <w:rPr>
                <w:szCs w:val="32"/>
              </w:rPr>
              <w:t>怀化市</w:t>
            </w:r>
            <w:r>
              <w:rPr>
                <w:rFonts w:hint="eastAsia"/>
              </w:rPr>
              <w:t>靖州苗族侗族自治县渠阳镇高桥村七坡冲</w:t>
            </w:r>
            <w:r>
              <w:rPr>
                <w:bCs/>
                <w:kern w:val="0"/>
              </w:rPr>
              <w:t>，</w:t>
            </w:r>
            <w:r>
              <w:rPr>
                <w:rFonts w:hint="eastAsia"/>
                <w:bCs/>
                <w:kern w:val="0"/>
              </w:rPr>
              <w:t>用地范围内不含有生态环境保护目标，</w:t>
            </w:r>
            <w:r>
              <w:rPr>
                <w:kern w:val="0"/>
              </w:rPr>
              <w:t>故不开展生态现状调查。</w:t>
            </w:r>
          </w:p>
          <w:p w14:paraId="557C1C5A">
            <w:pPr>
              <w:pStyle w:val="30"/>
              <w:numPr>
                <w:ilvl w:val="1"/>
                <w:numId w:val="0"/>
              </w:numPr>
              <w:ind w:left="284"/>
              <w:outlineLvl w:val="2"/>
            </w:pPr>
            <w:r>
              <w:rPr>
                <w:rFonts w:hint="eastAsia"/>
              </w:rPr>
              <w:t>3.6、电磁辐射</w:t>
            </w:r>
          </w:p>
          <w:p w14:paraId="28B5C4DA">
            <w:pPr>
              <w:pStyle w:val="10"/>
              <w:spacing w:after="0"/>
              <w:ind w:firstLine="480" w:firstLineChars="200"/>
              <w:rPr>
                <w:color w:val="0000C7"/>
              </w:rPr>
            </w:pPr>
            <w:r>
              <w:rPr>
                <w:rFonts w:hint="eastAsia" w:ascii="宋体" w:hAnsi="宋体"/>
              </w:rPr>
              <w:t>本项目不属于广播电台、差转台、电视塔台、卫星地球上行站、雷达等电磁辐射类项目，故不需开展电磁辐射现状调查。</w:t>
            </w:r>
          </w:p>
        </w:tc>
      </w:tr>
      <w:tr w14:paraId="16EE2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9" w:hRule="atLeast"/>
          <w:jc w:val="center"/>
        </w:trPr>
        <w:tc>
          <w:tcPr>
            <w:tcW w:w="800" w:type="dxa"/>
            <w:vAlign w:val="center"/>
          </w:tcPr>
          <w:p w14:paraId="396B19A4">
            <w:pPr>
              <w:adjustRightInd w:val="0"/>
              <w:snapToGrid w:val="0"/>
              <w:jc w:val="center"/>
              <w:rPr>
                <w:kern w:val="0"/>
                <w:szCs w:val="21"/>
              </w:rPr>
            </w:pPr>
            <w:r>
              <w:rPr>
                <w:kern w:val="0"/>
                <w:szCs w:val="21"/>
              </w:rPr>
              <w:t>环境</w:t>
            </w:r>
          </w:p>
          <w:p w14:paraId="4711A923">
            <w:pPr>
              <w:adjustRightInd w:val="0"/>
              <w:snapToGrid w:val="0"/>
              <w:jc w:val="center"/>
              <w:rPr>
                <w:kern w:val="0"/>
                <w:szCs w:val="21"/>
              </w:rPr>
            </w:pPr>
            <w:r>
              <w:rPr>
                <w:kern w:val="0"/>
                <w:szCs w:val="21"/>
              </w:rPr>
              <w:t>保护</w:t>
            </w:r>
          </w:p>
          <w:p w14:paraId="7CEDE7B5">
            <w:pPr>
              <w:adjustRightInd w:val="0"/>
              <w:snapToGrid w:val="0"/>
              <w:jc w:val="center"/>
              <w:rPr>
                <w:kern w:val="0"/>
                <w:szCs w:val="21"/>
              </w:rPr>
            </w:pPr>
            <w:r>
              <w:rPr>
                <w:kern w:val="0"/>
                <w:szCs w:val="21"/>
              </w:rPr>
              <w:t>目标</w:t>
            </w:r>
          </w:p>
        </w:tc>
        <w:tc>
          <w:tcPr>
            <w:tcW w:w="8190" w:type="dxa"/>
          </w:tcPr>
          <w:p w14:paraId="27964FF1">
            <w:pPr>
              <w:pStyle w:val="34"/>
              <w:numPr>
                <w:ilvl w:val="2"/>
                <w:numId w:val="0"/>
              </w:numPr>
              <w:ind w:left="709"/>
            </w:pPr>
            <w:bookmarkStart w:id="49" w:name="_Toc12406"/>
            <w:bookmarkStart w:id="50" w:name="_Toc68160370"/>
            <w:r>
              <w:rPr>
                <w:rFonts w:hint="eastAsia"/>
              </w:rPr>
              <w:t>3.7</w:t>
            </w:r>
            <w:r>
              <w:t>、环境保护目标</w:t>
            </w:r>
            <w:bookmarkEnd w:id="49"/>
            <w:bookmarkEnd w:id="50"/>
          </w:p>
          <w:p w14:paraId="0D8E425B">
            <w:pPr>
              <w:tabs>
                <w:tab w:val="left" w:pos="885"/>
              </w:tabs>
              <w:wordWrap w:val="0"/>
              <w:topLinePunct/>
              <w:adjustRightInd w:val="0"/>
              <w:snapToGrid w:val="0"/>
              <w:ind w:firstLine="480" w:firstLineChars="200"/>
              <w:rPr>
                <w:kern w:val="0"/>
              </w:rPr>
            </w:pPr>
            <w:r>
              <w:rPr>
                <w:bCs/>
                <w:kern w:val="0"/>
              </w:rPr>
              <w:t>（1）水环境保护目标：</w:t>
            </w:r>
            <w:r>
              <w:rPr>
                <w:kern w:val="0"/>
              </w:rPr>
              <w:t>本项目</w:t>
            </w:r>
            <w:r>
              <w:rPr>
                <w:rFonts w:hint="eastAsia"/>
                <w:kern w:val="0"/>
              </w:rPr>
              <w:t>生产废水及生活污水均不外排</w:t>
            </w:r>
            <w:r>
              <w:rPr>
                <w:kern w:val="0"/>
              </w:rPr>
              <w:t>，</w:t>
            </w:r>
            <w:r>
              <w:rPr>
                <w:bCs/>
                <w:kern w:val="0"/>
              </w:rPr>
              <w:t>水环境质量标准执行《地表水环境质量标准》(GB3838-2002)中表1之</w:t>
            </w:r>
            <w:r>
              <w:rPr>
                <w:kern w:val="0"/>
              </w:rPr>
              <w:t>III</w:t>
            </w:r>
            <w:r>
              <w:rPr>
                <w:bCs/>
                <w:kern w:val="0"/>
              </w:rPr>
              <w:t>类水质标准。</w:t>
            </w:r>
          </w:p>
          <w:p w14:paraId="78D4B55D">
            <w:pPr>
              <w:tabs>
                <w:tab w:val="left" w:pos="885"/>
              </w:tabs>
              <w:wordWrap w:val="0"/>
              <w:topLinePunct/>
              <w:adjustRightInd w:val="0"/>
              <w:snapToGrid w:val="0"/>
              <w:ind w:firstLine="480" w:firstLineChars="200"/>
              <w:rPr>
                <w:kern w:val="0"/>
              </w:rPr>
            </w:pPr>
            <w:r>
              <w:rPr>
                <w:bCs/>
                <w:kern w:val="0"/>
              </w:rPr>
              <w:t>（2）大气环境保护目标：</w:t>
            </w:r>
            <w:r>
              <w:rPr>
                <w:kern w:val="0"/>
              </w:rPr>
              <w:t>项目所在区环境空气质量满足《环境空气质量标准》(GB3095-2012)及修改单中表1之二级标准。</w:t>
            </w:r>
            <w:r>
              <w:rPr>
                <w:rStyle w:val="27"/>
                <w:kern w:val="0"/>
                <w:sz w:val="24"/>
              </w:rPr>
              <w:t>厂界500米范围内无自然保护区、风景名胜区、文化区等保护目标。500米范围内有居住区。</w:t>
            </w:r>
          </w:p>
          <w:p w14:paraId="591AE552">
            <w:pPr>
              <w:tabs>
                <w:tab w:val="left" w:pos="885"/>
              </w:tabs>
              <w:wordWrap w:val="0"/>
              <w:topLinePunct/>
              <w:adjustRightInd w:val="0"/>
              <w:snapToGrid w:val="0"/>
              <w:ind w:firstLine="480" w:firstLineChars="200"/>
              <w:rPr>
                <w:kern w:val="0"/>
              </w:rPr>
            </w:pPr>
            <w:r>
              <w:rPr>
                <w:bCs/>
                <w:kern w:val="0"/>
              </w:rPr>
              <w:t>（3）声环境保护目标：</w:t>
            </w:r>
            <w:r>
              <w:rPr>
                <w:kern w:val="0"/>
              </w:rPr>
              <w:t>项目所在</w:t>
            </w:r>
            <w:r>
              <w:rPr>
                <w:rFonts w:hint="eastAsia"/>
                <w:kern w:val="0"/>
              </w:rPr>
              <w:t>地南面及敏感点临近</w:t>
            </w:r>
            <w:r>
              <w:rPr>
                <w:rFonts w:hint="eastAsia"/>
                <w:bCs/>
              </w:rPr>
              <w:t>G356国道</w:t>
            </w:r>
            <w:r>
              <w:rPr>
                <w:rFonts w:hint="eastAsia"/>
                <w:kern w:val="0"/>
              </w:rPr>
              <w:t>，</w:t>
            </w:r>
            <w:r>
              <w:rPr>
                <w:kern w:val="0"/>
              </w:rPr>
              <w:t>声环境质量满足《声环境质量标准》(GB3096-2008)中</w:t>
            </w:r>
            <w:r>
              <w:rPr>
                <w:rFonts w:hint="eastAsia"/>
                <w:kern w:val="0"/>
              </w:rPr>
              <w:t>4a</w:t>
            </w:r>
            <w:r>
              <w:rPr>
                <w:kern w:val="0"/>
              </w:rPr>
              <w:t>类标准</w:t>
            </w:r>
            <w:r>
              <w:rPr>
                <w:rFonts w:hint="eastAsia"/>
                <w:kern w:val="0"/>
              </w:rPr>
              <w:t>；其余</w:t>
            </w:r>
            <w:r>
              <w:rPr>
                <w:kern w:val="0"/>
              </w:rPr>
              <w:t>区域声环境质量满足《声环境质量标准》(GB3096-2008)中</w:t>
            </w:r>
            <w:r>
              <w:rPr>
                <w:rFonts w:hint="eastAsia"/>
                <w:kern w:val="0"/>
              </w:rPr>
              <w:t>2</w:t>
            </w:r>
            <w:r>
              <w:rPr>
                <w:kern w:val="0"/>
              </w:rPr>
              <w:t>类标准。</w:t>
            </w:r>
          </w:p>
          <w:p w14:paraId="5CBC31CD">
            <w:pPr>
              <w:adjustRightInd w:val="0"/>
              <w:snapToGrid w:val="0"/>
              <w:ind w:firstLine="480" w:firstLineChars="200"/>
              <w:jc w:val="left"/>
              <w:rPr>
                <w:kern w:val="0"/>
              </w:rPr>
            </w:pPr>
            <w:r>
              <w:rPr>
                <w:kern w:val="0"/>
              </w:rPr>
              <w:t>（4）地下水环境保护目标：</w:t>
            </w:r>
            <w:r>
              <w:rPr>
                <w:rFonts w:hint="eastAsia"/>
                <w:kern w:val="0"/>
              </w:rPr>
              <w:t>厂界外500米范围内无地下水集中式饮用水水源和热水、矿泉水、温泉等特殊地下水资源</w:t>
            </w:r>
            <w:r>
              <w:rPr>
                <w:kern w:val="0"/>
              </w:rPr>
              <w:t>。</w:t>
            </w:r>
          </w:p>
          <w:p w14:paraId="6FF7B450">
            <w:pPr>
              <w:adjustRightInd w:val="0"/>
              <w:snapToGrid w:val="0"/>
              <w:ind w:firstLine="480" w:firstLineChars="200"/>
              <w:rPr>
                <w:bCs/>
                <w:color w:val="0000C7"/>
              </w:rPr>
            </w:pPr>
            <w:r>
              <w:rPr>
                <w:bCs/>
              </w:rPr>
              <w:t>项目周边主要环境敏感点环境保护级别见下表：</w:t>
            </w:r>
          </w:p>
          <w:p w14:paraId="4CF67C17">
            <w:pPr>
              <w:adjustRightInd w:val="0"/>
              <w:snapToGrid w:val="0"/>
              <w:spacing w:line="240" w:lineRule="auto"/>
              <w:jc w:val="center"/>
              <w:rPr>
                <w:b/>
                <w:sz w:val="21"/>
                <w:szCs w:val="21"/>
              </w:rPr>
            </w:pPr>
            <w:r>
              <w:rPr>
                <w:b/>
                <w:sz w:val="21"/>
                <w:szCs w:val="21"/>
              </w:rPr>
              <w:t>表3-6  本项目环境保护目标</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8"/>
              <w:gridCol w:w="1158"/>
              <w:gridCol w:w="1344"/>
              <w:gridCol w:w="783"/>
              <w:gridCol w:w="991"/>
              <w:gridCol w:w="1335"/>
              <w:gridCol w:w="1846"/>
            </w:tblGrid>
            <w:tr w14:paraId="4961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8" w:hRule="atLeast"/>
                <w:jc w:val="center"/>
              </w:trPr>
              <w:tc>
                <w:tcPr>
                  <w:tcW w:w="348" w:type="pct"/>
                  <w:vAlign w:val="center"/>
                </w:tcPr>
                <w:p w14:paraId="1A7A4623">
                  <w:pPr>
                    <w:adjustRightInd w:val="0"/>
                    <w:snapToGrid w:val="0"/>
                    <w:spacing w:line="240" w:lineRule="auto"/>
                    <w:jc w:val="center"/>
                    <w:rPr>
                      <w:b/>
                      <w:sz w:val="21"/>
                      <w:szCs w:val="21"/>
                      <w:u w:val="single"/>
                    </w:rPr>
                  </w:pPr>
                  <w:r>
                    <w:rPr>
                      <w:b/>
                      <w:sz w:val="21"/>
                      <w:szCs w:val="21"/>
                      <w:u w:val="single"/>
                    </w:rPr>
                    <w:t>环境要素</w:t>
                  </w:r>
                </w:p>
              </w:tc>
              <w:tc>
                <w:tcPr>
                  <w:tcW w:w="722" w:type="pct"/>
                  <w:vAlign w:val="center"/>
                </w:tcPr>
                <w:p w14:paraId="0FE0E7FC">
                  <w:pPr>
                    <w:adjustRightInd w:val="0"/>
                    <w:snapToGrid w:val="0"/>
                    <w:spacing w:line="240" w:lineRule="auto"/>
                    <w:jc w:val="center"/>
                    <w:rPr>
                      <w:b/>
                      <w:sz w:val="21"/>
                      <w:szCs w:val="21"/>
                      <w:u w:val="single"/>
                    </w:rPr>
                  </w:pPr>
                  <w:r>
                    <w:rPr>
                      <w:b/>
                      <w:sz w:val="21"/>
                      <w:szCs w:val="21"/>
                      <w:u w:val="single"/>
                    </w:rPr>
                    <w:t>环境保护目标</w:t>
                  </w:r>
                </w:p>
              </w:tc>
              <w:tc>
                <w:tcPr>
                  <w:tcW w:w="838" w:type="pct"/>
                  <w:vAlign w:val="center"/>
                </w:tcPr>
                <w:p w14:paraId="5C440487">
                  <w:pPr>
                    <w:adjustRightInd w:val="0"/>
                    <w:snapToGrid w:val="0"/>
                    <w:spacing w:line="240" w:lineRule="auto"/>
                    <w:jc w:val="center"/>
                    <w:rPr>
                      <w:b/>
                      <w:sz w:val="21"/>
                      <w:szCs w:val="21"/>
                      <w:u w:val="single"/>
                    </w:rPr>
                  </w:pPr>
                  <w:r>
                    <w:rPr>
                      <w:b/>
                      <w:sz w:val="21"/>
                      <w:szCs w:val="21"/>
                      <w:u w:val="single"/>
                    </w:rPr>
                    <w:t>方位距离</w:t>
                  </w:r>
                </w:p>
              </w:tc>
              <w:tc>
                <w:tcPr>
                  <w:tcW w:w="488" w:type="pct"/>
                  <w:vAlign w:val="center"/>
                </w:tcPr>
                <w:p w14:paraId="09A43728">
                  <w:pPr>
                    <w:adjustRightInd w:val="0"/>
                    <w:snapToGrid w:val="0"/>
                    <w:spacing w:line="240" w:lineRule="auto"/>
                    <w:jc w:val="center"/>
                    <w:rPr>
                      <w:b/>
                      <w:sz w:val="21"/>
                      <w:szCs w:val="21"/>
                      <w:u w:val="single"/>
                    </w:rPr>
                  </w:pPr>
                  <w:r>
                    <w:rPr>
                      <w:b/>
                      <w:sz w:val="21"/>
                      <w:szCs w:val="21"/>
                      <w:u w:val="single"/>
                    </w:rPr>
                    <w:t>环境保护对象功能</w:t>
                  </w:r>
                </w:p>
              </w:tc>
              <w:tc>
                <w:tcPr>
                  <w:tcW w:w="618" w:type="pct"/>
                  <w:vAlign w:val="center"/>
                </w:tcPr>
                <w:p w14:paraId="4E4B0BBE">
                  <w:pPr>
                    <w:adjustRightInd w:val="0"/>
                    <w:snapToGrid w:val="0"/>
                    <w:spacing w:line="240" w:lineRule="auto"/>
                    <w:jc w:val="center"/>
                    <w:rPr>
                      <w:b/>
                      <w:sz w:val="21"/>
                      <w:szCs w:val="21"/>
                      <w:u w:val="single"/>
                    </w:rPr>
                  </w:pPr>
                  <w:r>
                    <w:rPr>
                      <w:b/>
                      <w:sz w:val="21"/>
                      <w:szCs w:val="21"/>
                      <w:u w:val="single"/>
                    </w:rPr>
                    <w:t>规模</w:t>
                  </w:r>
                </w:p>
              </w:tc>
              <w:tc>
                <w:tcPr>
                  <w:tcW w:w="832" w:type="pct"/>
                  <w:vAlign w:val="center"/>
                </w:tcPr>
                <w:p w14:paraId="0D4F1515">
                  <w:pPr>
                    <w:adjustRightInd w:val="0"/>
                    <w:snapToGrid w:val="0"/>
                    <w:spacing w:line="240" w:lineRule="auto"/>
                    <w:jc w:val="center"/>
                    <w:rPr>
                      <w:b/>
                      <w:sz w:val="21"/>
                      <w:szCs w:val="21"/>
                      <w:u w:val="single"/>
                    </w:rPr>
                  </w:pPr>
                  <w:r>
                    <w:rPr>
                      <w:b/>
                      <w:sz w:val="21"/>
                      <w:szCs w:val="21"/>
                      <w:u w:val="single"/>
                    </w:rPr>
                    <w:t>有无山体阻隔</w:t>
                  </w:r>
                </w:p>
              </w:tc>
              <w:tc>
                <w:tcPr>
                  <w:tcW w:w="1150" w:type="pct"/>
                  <w:vAlign w:val="center"/>
                </w:tcPr>
                <w:p w14:paraId="1BA669C9">
                  <w:pPr>
                    <w:adjustRightInd w:val="0"/>
                    <w:snapToGrid w:val="0"/>
                    <w:spacing w:line="240" w:lineRule="auto"/>
                    <w:jc w:val="center"/>
                    <w:rPr>
                      <w:b/>
                      <w:sz w:val="21"/>
                      <w:szCs w:val="21"/>
                      <w:u w:val="single"/>
                    </w:rPr>
                  </w:pPr>
                  <w:r>
                    <w:rPr>
                      <w:b/>
                      <w:sz w:val="21"/>
                      <w:szCs w:val="21"/>
                      <w:u w:val="single"/>
                    </w:rPr>
                    <w:t>保护级别</w:t>
                  </w:r>
                </w:p>
              </w:tc>
            </w:tr>
            <w:tr w14:paraId="3397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348" w:type="pct"/>
                  <w:vMerge w:val="restart"/>
                  <w:vAlign w:val="center"/>
                </w:tcPr>
                <w:p w14:paraId="323B7983">
                  <w:pPr>
                    <w:adjustRightInd w:val="0"/>
                    <w:snapToGrid w:val="0"/>
                    <w:spacing w:line="240" w:lineRule="auto"/>
                    <w:jc w:val="center"/>
                    <w:rPr>
                      <w:sz w:val="21"/>
                      <w:szCs w:val="21"/>
                      <w:u w:val="single"/>
                    </w:rPr>
                  </w:pPr>
                  <w:r>
                    <w:rPr>
                      <w:sz w:val="21"/>
                      <w:szCs w:val="21"/>
                      <w:u w:val="single"/>
                    </w:rPr>
                    <w:t>环境空气</w:t>
                  </w:r>
                </w:p>
              </w:tc>
              <w:tc>
                <w:tcPr>
                  <w:tcW w:w="722" w:type="pct"/>
                  <w:vAlign w:val="center"/>
                </w:tcPr>
                <w:p w14:paraId="6151EE57">
                  <w:pPr>
                    <w:adjustRightInd w:val="0"/>
                    <w:snapToGrid w:val="0"/>
                    <w:spacing w:line="240" w:lineRule="auto"/>
                    <w:jc w:val="center"/>
                    <w:rPr>
                      <w:rFonts w:hint="eastAsia" w:eastAsia="宋体"/>
                      <w:sz w:val="21"/>
                      <w:szCs w:val="21"/>
                      <w:u w:val="single"/>
                      <w:lang w:val="en-US" w:eastAsia="zh-CN"/>
                    </w:rPr>
                  </w:pPr>
                  <w:r>
                    <w:rPr>
                      <w:sz w:val="21"/>
                      <w:szCs w:val="21"/>
                      <w:u w:val="single"/>
                    </w:rPr>
                    <w:t>高桥村居民</w:t>
                  </w:r>
                  <w:r>
                    <w:rPr>
                      <w:rFonts w:hint="eastAsia"/>
                      <w:sz w:val="21"/>
                      <w:szCs w:val="21"/>
                      <w:u w:val="single"/>
                      <w:lang w:val="en-US" w:eastAsia="zh-CN"/>
                    </w:rPr>
                    <w:t>1</w:t>
                  </w:r>
                </w:p>
              </w:tc>
              <w:tc>
                <w:tcPr>
                  <w:tcW w:w="838" w:type="pct"/>
                  <w:vAlign w:val="center"/>
                </w:tcPr>
                <w:p w14:paraId="33D6152C">
                  <w:pPr>
                    <w:adjustRightInd w:val="0"/>
                    <w:snapToGrid w:val="0"/>
                    <w:spacing w:line="240" w:lineRule="auto"/>
                    <w:jc w:val="center"/>
                    <w:rPr>
                      <w:sz w:val="21"/>
                      <w:szCs w:val="21"/>
                      <w:u w:val="single"/>
                    </w:rPr>
                  </w:pPr>
                  <w:r>
                    <w:rPr>
                      <w:sz w:val="21"/>
                      <w:szCs w:val="21"/>
                      <w:u w:val="single"/>
                    </w:rPr>
                    <w:t>东南面30m</w:t>
                  </w:r>
                </w:p>
              </w:tc>
              <w:tc>
                <w:tcPr>
                  <w:tcW w:w="488" w:type="pct"/>
                  <w:vAlign w:val="center"/>
                </w:tcPr>
                <w:p w14:paraId="216246A2">
                  <w:pPr>
                    <w:adjustRightInd w:val="0"/>
                    <w:snapToGrid w:val="0"/>
                    <w:spacing w:line="240" w:lineRule="auto"/>
                    <w:jc w:val="center"/>
                    <w:rPr>
                      <w:sz w:val="21"/>
                      <w:szCs w:val="21"/>
                      <w:u w:val="single"/>
                    </w:rPr>
                  </w:pPr>
                  <w:r>
                    <w:rPr>
                      <w:sz w:val="21"/>
                      <w:szCs w:val="21"/>
                      <w:u w:val="single"/>
                    </w:rPr>
                    <w:t>居住</w:t>
                  </w:r>
                </w:p>
              </w:tc>
              <w:tc>
                <w:tcPr>
                  <w:tcW w:w="618" w:type="pct"/>
                  <w:vAlign w:val="center"/>
                </w:tcPr>
                <w:p w14:paraId="3A3BFB49">
                  <w:pPr>
                    <w:adjustRightInd w:val="0"/>
                    <w:snapToGrid w:val="0"/>
                    <w:spacing w:line="240" w:lineRule="auto"/>
                    <w:jc w:val="center"/>
                    <w:rPr>
                      <w:sz w:val="21"/>
                      <w:szCs w:val="21"/>
                      <w:u w:val="single"/>
                    </w:rPr>
                  </w:pPr>
                  <w:r>
                    <w:rPr>
                      <w:sz w:val="21"/>
                      <w:szCs w:val="21"/>
                      <w:u w:val="single"/>
                    </w:rPr>
                    <w:t>1户约3人</w:t>
                  </w:r>
                </w:p>
              </w:tc>
              <w:tc>
                <w:tcPr>
                  <w:tcW w:w="832" w:type="pct"/>
                  <w:vAlign w:val="center"/>
                </w:tcPr>
                <w:p w14:paraId="45AB92D1">
                  <w:pPr>
                    <w:adjustRightInd w:val="0"/>
                    <w:snapToGrid w:val="0"/>
                    <w:spacing w:line="240" w:lineRule="auto"/>
                    <w:jc w:val="center"/>
                    <w:rPr>
                      <w:sz w:val="21"/>
                      <w:szCs w:val="21"/>
                      <w:u w:val="single"/>
                    </w:rPr>
                  </w:pPr>
                  <w:r>
                    <w:rPr>
                      <w:sz w:val="21"/>
                      <w:szCs w:val="21"/>
                      <w:u w:val="single"/>
                    </w:rPr>
                    <w:t>无</w:t>
                  </w:r>
                </w:p>
              </w:tc>
              <w:tc>
                <w:tcPr>
                  <w:tcW w:w="1150" w:type="pct"/>
                  <w:vMerge w:val="restart"/>
                  <w:vAlign w:val="center"/>
                </w:tcPr>
                <w:p w14:paraId="7AEAD499">
                  <w:pPr>
                    <w:adjustRightInd w:val="0"/>
                    <w:snapToGrid w:val="0"/>
                    <w:spacing w:line="240" w:lineRule="auto"/>
                    <w:jc w:val="center"/>
                    <w:rPr>
                      <w:color w:val="0000C7"/>
                      <w:sz w:val="21"/>
                      <w:szCs w:val="21"/>
                      <w:u w:val="single"/>
                    </w:rPr>
                  </w:pPr>
                  <w:r>
                    <w:rPr>
                      <w:sz w:val="21"/>
                      <w:szCs w:val="21"/>
                      <w:u w:val="single"/>
                    </w:rPr>
                    <w:t>《环境空气质量标准》（GB3095-2012）二级标准</w:t>
                  </w:r>
                </w:p>
              </w:tc>
            </w:tr>
            <w:tr w14:paraId="2430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8" w:type="pct"/>
                  <w:vMerge w:val="continue"/>
                  <w:vAlign w:val="center"/>
                </w:tcPr>
                <w:p w14:paraId="5F05AD80">
                  <w:pPr>
                    <w:widowControl/>
                    <w:adjustRightInd w:val="0"/>
                    <w:snapToGrid w:val="0"/>
                    <w:spacing w:line="240" w:lineRule="auto"/>
                    <w:jc w:val="left"/>
                    <w:rPr>
                      <w:sz w:val="21"/>
                      <w:szCs w:val="21"/>
                      <w:u w:val="single"/>
                    </w:rPr>
                  </w:pPr>
                </w:p>
              </w:tc>
              <w:tc>
                <w:tcPr>
                  <w:tcW w:w="722" w:type="pct"/>
                  <w:vAlign w:val="center"/>
                </w:tcPr>
                <w:p w14:paraId="17D4AB24">
                  <w:pPr>
                    <w:adjustRightInd w:val="0"/>
                    <w:snapToGrid w:val="0"/>
                    <w:spacing w:line="240" w:lineRule="auto"/>
                    <w:jc w:val="center"/>
                    <w:rPr>
                      <w:rFonts w:hint="eastAsia" w:eastAsia="宋体"/>
                      <w:sz w:val="21"/>
                      <w:szCs w:val="21"/>
                      <w:u w:val="single"/>
                      <w:lang w:val="en-US" w:eastAsia="zh-CN"/>
                    </w:rPr>
                  </w:pPr>
                  <w:r>
                    <w:rPr>
                      <w:sz w:val="21"/>
                      <w:szCs w:val="21"/>
                      <w:u w:val="single"/>
                    </w:rPr>
                    <w:t>高桥村居民</w:t>
                  </w:r>
                  <w:r>
                    <w:rPr>
                      <w:rFonts w:hint="eastAsia"/>
                      <w:sz w:val="21"/>
                      <w:szCs w:val="21"/>
                      <w:u w:val="single"/>
                      <w:lang w:val="en-US" w:eastAsia="zh-CN"/>
                    </w:rPr>
                    <w:t>2</w:t>
                  </w:r>
                </w:p>
              </w:tc>
              <w:tc>
                <w:tcPr>
                  <w:tcW w:w="838" w:type="pct"/>
                  <w:vAlign w:val="center"/>
                </w:tcPr>
                <w:p w14:paraId="6A47870B">
                  <w:pPr>
                    <w:adjustRightInd w:val="0"/>
                    <w:snapToGrid w:val="0"/>
                    <w:spacing w:line="240" w:lineRule="auto"/>
                    <w:jc w:val="center"/>
                    <w:rPr>
                      <w:sz w:val="21"/>
                      <w:szCs w:val="21"/>
                      <w:u w:val="single"/>
                    </w:rPr>
                  </w:pPr>
                  <w:r>
                    <w:rPr>
                      <w:sz w:val="21"/>
                      <w:szCs w:val="21"/>
                      <w:u w:val="single"/>
                    </w:rPr>
                    <w:t>西南面38m</w:t>
                  </w:r>
                </w:p>
              </w:tc>
              <w:tc>
                <w:tcPr>
                  <w:tcW w:w="488" w:type="pct"/>
                  <w:vAlign w:val="center"/>
                </w:tcPr>
                <w:p w14:paraId="2993935D">
                  <w:pPr>
                    <w:adjustRightInd w:val="0"/>
                    <w:snapToGrid w:val="0"/>
                    <w:spacing w:line="240" w:lineRule="auto"/>
                    <w:jc w:val="center"/>
                    <w:rPr>
                      <w:sz w:val="21"/>
                      <w:szCs w:val="21"/>
                      <w:u w:val="single"/>
                    </w:rPr>
                  </w:pPr>
                  <w:r>
                    <w:rPr>
                      <w:sz w:val="21"/>
                      <w:szCs w:val="21"/>
                      <w:u w:val="single"/>
                    </w:rPr>
                    <w:t>居住</w:t>
                  </w:r>
                </w:p>
              </w:tc>
              <w:tc>
                <w:tcPr>
                  <w:tcW w:w="618" w:type="pct"/>
                  <w:vAlign w:val="center"/>
                </w:tcPr>
                <w:p w14:paraId="0443A740">
                  <w:pPr>
                    <w:adjustRightInd w:val="0"/>
                    <w:snapToGrid w:val="0"/>
                    <w:spacing w:line="240" w:lineRule="auto"/>
                    <w:jc w:val="center"/>
                    <w:rPr>
                      <w:sz w:val="21"/>
                      <w:szCs w:val="21"/>
                      <w:u w:val="single"/>
                    </w:rPr>
                  </w:pPr>
                  <w:r>
                    <w:rPr>
                      <w:sz w:val="21"/>
                      <w:szCs w:val="21"/>
                      <w:u w:val="single"/>
                    </w:rPr>
                    <w:t>1户约3人</w:t>
                  </w:r>
                </w:p>
              </w:tc>
              <w:tc>
                <w:tcPr>
                  <w:tcW w:w="832" w:type="pct"/>
                  <w:vAlign w:val="center"/>
                </w:tcPr>
                <w:p w14:paraId="62127D99">
                  <w:pPr>
                    <w:adjustRightInd w:val="0"/>
                    <w:snapToGrid w:val="0"/>
                    <w:spacing w:line="240" w:lineRule="auto"/>
                    <w:jc w:val="center"/>
                    <w:rPr>
                      <w:sz w:val="21"/>
                      <w:szCs w:val="21"/>
                      <w:u w:val="single"/>
                    </w:rPr>
                  </w:pPr>
                  <w:r>
                    <w:rPr>
                      <w:sz w:val="21"/>
                      <w:szCs w:val="21"/>
                      <w:u w:val="single"/>
                    </w:rPr>
                    <w:t>有</w:t>
                  </w:r>
                </w:p>
              </w:tc>
              <w:tc>
                <w:tcPr>
                  <w:tcW w:w="1150" w:type="pct"/>
                  <w:vMerge w:val="continue"/>
                  <w:vAlign w:val="center"/>
                </w:tcPr>
                <w:p w14:paraId="4835F0AF">
                  <w:pPr>
                    <w:widowControl/>
                    <w:adjustRightInd w:val="0"/>
                    <w:snapToGrid w:val="0"/>
                    <w:spacing w:line="240" w:lineRule="auto"/>
                    <w:jc w:val="left"/>
                    <w:rPr>
                      <w:color w:val="0000C7"/>
                      <w:sz w:val="21"/>
                      <w:szCs w:val="21"/>
                      <w:u w:val="single"/>
                    </w:rPr>
                  </w:pPr>
                </w:p>
              </w:tc>
            </w:tr>
            <w:tr w14:paraId="1358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8" w:type="pct"/>
                  <w:vMerge w:val="continue"/>
                  <w:vAlign w:val="center"/>
                </w:tcPr>
                <w:p w14:paraId="11A08078">
                  <w:pPr>
                    <w:widowControl/>
                    <w:adjustRightInd w:val="0"/>
                    <w:snapToGrid w:val="0"/>
                    <w:spacing w:line="240" w:lineRule="auto"/>
                    <w:jc w:val="left"/>
                    <w:rPr>
                      <w:sz w:val="21"/>
                      <w:szCs w:val="21"/>
                      <w:u w:val="single"/>
                    </w:rPr>
                  </w:pPr>
                </w:p>
              </w:tc>
              <w:tc>
                <w:tcPr>
                  <w:tcW w:w="722" w:type="pct"/>
                  <w:vAlign w:val="center"/>
                </w:tcPr>
                <w:p w14:paraId="009BC6DE">
                  <w:pPr>
                    <w:adjustRightInd w:val="0"/>
                    <w:snapToGrid w:val="0"/>
                    <w:spacing w:line="240" w:lineRule="auto"/>
                    <w:jc w:val="center"/>
                    <w:rPr>
                      <w:rFonts w:hint="eastAsia" w:eastAsia="宋体"/>
                      <w:sz w:val="21"/>
                      <w:szCs w:val="21"/>
                      <w:u w:val="single"/>
                      <w:lang w:val="en-US" w:eastAsia="zh-CN"/>
                    </w:rPr>
                  </w:pPr>
                  <w:r>
                    <w:rPr>
                      <w:sz w:val="21"/>
                      <w:szCs w:val="21"/>
                      <w:u w:val="single"/>
                    </w:rPr>
                    <w:t>七坡冲居民</w:t>
                  </w:r>
                  <w:r>
                    <w:rPr>
                      <w:rFonts w:hint="eastAsia"/>
                      <w:sz w:val="21"/>
                      <w:szCs w:val="21"/>
                      <w:u w:val="single"/>
                      <w:lang w:val="en-US" w:eastAsia="zh-CN"/>
                    </w:rPr>
                    <w:t>1</w:t>
                  </w:r>
                </w:p>
              </w:tc>
              <w:tc>
                <w:tcPr>
                  <w:tcW w:w="838" w:type="pct"/>
                  <w:vAlign w:val="center"/>
                </w:tcPr>
                <w:p w14:paraId="450370E6">
                  <w:pPr>
                    <w:adjustRightInd w:val="0"/>
                    <w:snapToGrid w:val="0"/>
                    <w:spacing w:line="240" w:lineRule="auto"/>
                    <w:jc w:val="center"/>
                    <w:rPr>
                      <w:sz w:val="21"/>
                      <w:szCs w:val="21"/>
                      <w:u w:val="single"/>
                    </w:rPr>
                  </w:pPr>
                  <w:r>
                    <w:rPr>
                      <w:sz w:val="21"/>
                      <w:szCs w:val="21"/>
                      <w:u w:val="single"/>
                    </w:rPr>
                    <w:t>东面130~290m</w:t>
                  </w:r>
                </w:p>
              </w:tc>
              <w:tc>
                <w:tcPr>
                  <w:tcW w:w="488" w:type="pct"/>
                  <w:vAlign w:val="center"/>
                </w:tcPr>
                <w:p w14:paraId="564E6FF9">
                  <w:pPr>
                    <w:adjustRightInd w:val="0"/>
                    <w:snapToGrid w:val="0"/>
                    <w:spacing w:line="240" w:lineRule="auto"/>
                    <w:jc w:val="center"/>
                    <w:rPr>
                      <w:sz w:val="21"/>
                      <w:szCs w:val="21"/>
                      <w:u w:val="single"/>
                    </w:rPr>
                  </w:pPr>
                  <w:r>
                    <w:rPr>
                      <w:sz w:val="21"/>
                      <w:szCs w:val="21"/>
                      <w:u w:val="single"/>
                    </w:rPr>
                    <w:t>居住</w:t>
                  </w:r>
                </w:p>
              </w:tc>
              <w:tc>
                <w:tcPr>
                  <w:tcW w:w="618" w:type="pct"/>
                  <w:vAlign w:val="center"/>
                </w:tcPr>
                <w:p w14:paraId="6A431483">
                  <w:pPr>
                    <w:adjustRightInd w:val="0"/>
                    <w:snapToGrid w:val="0"/>
                    <w:spacing w:line="240" w:lineRule="auto"/>
                    <w:jc w:val="center"/>
                    <w:rPr>
                      <w:sz w:val="21"/>
                      <w:szCs w:val="21"/>
                      <w:u w:val="single"/>
                    </w:rPr>
                  </w:pPr>
                  <w:r>
                    <w:rPr>
                      <w:sz w:val="21"/>
                      <w:szCs w:val="21"/>
                      <w:u w:val="single"/>
                    </w:rPr>
                    <w:t>10户约40人</w:t>
                  </w:r>
                </w:p>
              </w:tc>
              <w:tc>
                <w:tcPr>
                  <w:tcW w:w="832" w:type="pct"/>
                  <w:vAlign w:val="center"/>
                </w:tcPr>
                <w:p w14:paraId="020BBAD8">
                  <w:pPr>
                    <w:adjustRightInd w:val="0"/>
                    <w:snapToGrid w:val="0"/>
                    <w:spacing w:line="240" w:lineRule="auto"/>
                    <w:jc w:val="center"/>
                    <w:rPr>
                      <w:sz w:val="21"/>
                      <w:szCs w:val="21"/>
                      <w:u w:val="single"/>
                    </w:rPr>
                  </w:pPr>
                  <w:r>
                    <w:rPr>
                      <w:sz w:val="21"/>
                      <w:szCs w:val="21"/>
                      <w:u w:val="single"/>
                    </w:rPr>
                    <w:t>有</w:t>
                  </w:r>
                </w:p>
              </w:tc>
              <w:tc>
                <w:tcPr>
                  <w:tcW w:w="1150" w:type="pct"/>
                  <w:vMerge w:val="continue"/>
                  <w:vAlign w:val="center"/>
                </w:tcPr>
                <w:p w14:paraId="70DCC3A3">
                  <w:pPr>
                    <w:widowControl/>
                    <w:adjustRightInd w:val="0"/>
                    <w:snapToGrid w:val="0"/>
                    <w:spacing w:line="240" w:lineRule="auto"/>
                    <w:jc w:val="left"/>
                    <w:rPr>
                      <w:color w:val="0000C7"/>
                      <w:sz w:val="21"/>
                      <w:szCs w:val="21"/>
                      <w:u w:val="single"/>
                    </w:rPr>
                  </w:pPr>
                </w:p>
              </w:tc>
            </w:tr>
            <w:tr w14:paraId="09ED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8" w:type="pct"/>
                  <w:vMerge w:val="continue"/>
                  <w:vAlign w:val="center"/>
                </w:tcPr>
                <w:p w14:paraId="2D1A18CD">
                  <w:pPr>
                    <w:widowControl/>
                    <w:adjustRightInd w:val="0"/>
                    <w:snapToGrid w:val="0"/>
                    <w:spacing w:line="240" w:lineRule="auto"/>
                    <w:jc w:val="left"/>
                    <w:rPr>
                      <w:sz w:val="21"/>
                      <w:szCs w:val="21"/>
                      <w:u w:val="single"/>
                    </w:rPr>
                  </w:pPr>
                </w:p>
              </w:tc>
              <w:tc>
                <w:tcPr>
                  <w:tcW w:w="722" w:type="pct"/>
                  <w:vAlign w:val="center"/>
                </w:tcPr>
                <w:p w14:paraId="7A18AD42">
                  <w:pPr>
                    <w:adjustRightInd w:val="0"/>
                    <w:snapToGrid w:val="0"/>
                    <w:spacing w:line="240" w:lineRule="auto"/>
                    <w:jc w:val="center"/>
                    <w:rPr>
                      <w:rFonts w:hint="eastAsia" w:eastAsia="宋体"/>
                      <w:sz w:val="21"/>
                      <w:szCs w:val="21"/>
                      <w:u w:val="single"/>
                      <w:lang w:val="en-US" w:eastAsia="zh-CN"/>
                    </w:rPr>
                  </w:pPr>
                  <w:r>
                    <w:rPr>
                      <w:sz w:val="21"/>
                      <w:szCs w:val="21"/>
                      <w:u w:val="single"/>
                    </w:rPr>
                    <w:t>七坡冲居民</w:t>
                  </w:r>
                  <w:r>
                    <w:rPr>
                      <w:rFonts w:hint="eastAsia"/>
                      <w:sz w:val="21"/>
                      <w:szCs w:val="21"/>
                      <w:u w:val="single"/>
                      <w:lang w:val="en-US" w:eastAsia="zh-CN"/>
                    </w:rPr>
                    <w:t>2</w:t>
                  </w:r>
                </w:p>
              </w:tc>
              <w:tc>
                <w:tcPr>
                  <w:tcW w:w="838" w:type="pct"/>
                  <w:vAlign w:val="center"/>
                </w:tcPr>
                <w:p w14:paraId="435922C3">
                  <w:pPr>
                    <w:adjustRightInd w:val="0"/>
                    <w:snapToGrid w:val="0"/>
                    <w:spacing w:line="240" w:lineRule="auto"/>
                    <w:jc w:val="center"/>
                    <w:rPr>
                      <w:sz w:val="21"/>
                      <w:szCs w:val="21"/>
                      <w:u w:val="single"/>
                    </w:rPr>
                  </w:pPr>
                  <w:r>
                    <w:rPr>
                      <w:sz w:val="21"/>
                      <w:szCs w:val="21"/>
                      <w:u w:val="single"/>
                    </w:rPr>
                    <w:t>东北面60~120m</w:t>
                  </w:r>
                </w:p>
              </w:tc>
              <w:tc>
                <w:tcPr>
                  <w:tcW w:w="488" w:type="pct"/>
                  <w:vAlign w:val="center"/>
                </w:tcPr>
                <w:p w14:paraId="5D6D152E">
                  <w:pPr>
                    <w:adjustRightInd w:val="0"/>
                    <w:snapToGrid w:val="0"/>
                    <w:spacing w:line="240" w:lineRule="auto"/>
                    <w:jc w:val="center"/>
                    <w:rPr>
                      <w:sz w:val="21"/>
                      <w:szCs w:val="21"/>
                      <w:u w:val="single"/>
                    </w:rPr>
                  </w:pPr>
                  <w:r>
                    <w:rPr>
                      <w:sz w:val="21"/>
                      <w:szCs w:val="21"/>
                      <w:u w:val="single"/>
                    </w:rPr>
                    <w:t>居住</w:t>
                  </w:r>
                </w:p>
              </w:tc>
              <w:tc>
                <w:tcPr>
                  <w:tcW w:w="618" w:type="pct"/>
                  <w:vAlign w:val="center"/>
                </w:tcPr>
                <w:p w14:paraId="4CF13819">
                  <w:pPr>
                    <w:adjustRightInd w:val="0"/>
                    <w:snapToGrid w:val="0"/>
                    <w:spacing w:line="240" w:lineRule="auto"/>
                    <w:jc w:val="center"/>
                    <w:rPr>
                      <w:sz w:val="21"/>
                      <w:szCs w:val="21"/>
                      <w:u w:val="single"/>
                    </w:rPr>
                  </w:pPr>
                  <w:r>
                    <w:rPr>
                      <w:sz w:val="21"/>
                      <w:szCs w:val="21"/>
                      <w:u w:val="single"/>
                    </w:rPr>
                    <w:t>3户约10人</w:t>
                  </w:r>
                </w:p>
              </w:tc>
              <w:tc>
                <w:tcPr>
                  <w:tcW w:w="832" w:type="pct"/>
                  <w:vAlign w:val="center"/>
                </w:tcPr>
                <w:p w14:paraId="133173E0">
                  <w:pPr>
                    <w:adjustRightInd w:val="0"/>
                    <w:snapToGrid w:val="0"/>
                    <w:spacing w:line="240" w:lineRule="auto"/>
                    <w:jc w:val="center"/>
                    <w:rPr>
                      <w:sz w:val="21"/>
                      <w:szCs w:val="21"/>
                      <w:u w:val="single"/>
                    </w:rPr>
                  </w:pPr>
                  <w:r>
                    <w:rPr>
                      <w:sz w:val="21"/>
                      <w:szCs w:val="21"/>
                      <w:u w:val="single"/>
                    </w:rPr>
                    <w:t>有</w:t>
                  </w:r>
                </w:p>
              </w:tc>
              <w:tc>
                <w:tcPr>
                  <w:tcW w:w="1150" w:type="pct"/>
                  <w:vMerge w:val="continue"/>
                  <w:vAlign w:val="center"/>
                </w:tcPr>
                <w:p w14:paraId="7364F0F0">
                  <w:pPr>
                    <w:widowControl/>
                    <w:adjustRightInd w:val="0"/>
                    <w:snapToGrid w:val="0"/>
                    <w:spacing w:line="240" w:lineRule="auto"/>
                    <w:jc w:val="left"/>
                    <w:rPr>
                      <w:color w:val="0000C7"/>
                      <w:sz w:val="21"/>
                      <w:szCs w:val="21"/>
                      <w:u w:val="single"/>
                    </w:rPr>
                  </w:pPr>
                </w:p>
              </w:tc>
            </w:tr>
            <w:tr w14:paraId="4C30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8" w:type="pct"/>
                  <w:vMerge w:val="continue"/>
                  <w:vAlign w:val="center"/>
                </w:tcPr>
                <w:p w14:paraId="1CDE3FAE">
                  <w:pPr>
                    <w:widowControl/>
                    <w:adjustRightInd w:val="0"/>
                    <w:snapToGrid w:val="0"/>
                    <w:spacing w:line="240" w:lineRule="auto"/>
                    <w:jc w:val="left"/>
                    <w:rPr>
                      <w:sz w:val="21"/>
                      <w:szCs w:val="21"/>
                      <w:u w:val="single"/>
                    </w:rPr>
                  </w:pPr>
                </w:p>
              </w:tc>
              <w:tc>
                <w:tcPr>
                  <w:tcW w:w="722" w:type="pct"/>
                  <w:vAlign w:val="center"/>
                </w:tcPr>
                <w:p w14:paraId="6C50B4AE">
                  <w:pPr>
                    <w:adjustRightInd w:val="0"/>
                    <w:snapToGrid w:val="0"/>
                    <w:spacing w:line="240" w:lineRule="auto"/>
                    <w:jc w:val="center"/>
                    <w:rPr>
                      <w:rFonts w:hint="eastAsia" w:eastAsia="宋体"/>
                      <w:sz w:val="21"/>
                      <w:szCs w:val="21"/>
                      <w:u w:val="single"/>
                      <w:lang w:val="en-US" w:eastAsia="zh-CN"/>
                    </w:rPr>
                  </w:pPr>
                  <w:r>
                    <w:rPr>
                      <w:sz w:val="21"/>
                      <w:szCs w:val="21"/>
                      <w:u w:val="single"/>
                    </w:rPr>
                    <w:t>宴团居民</w:t>
                  </w:r>
                  <w:r>
                    <w:rPr>
                      <w:rFonts w:hint="eastAsia"/>
                      <w:sz w:val="21"/>
                      <w:szCs w:val="21"/>
                      <w:u w:val="single"/>
                      <w:lang w:val="en-US" w:eastAsia="zh-CN"/>
                    </w:rPr>
                    <w:t>1</w:t>
                  </w:r>
                </w:p>
              </w:tc>
              <w:tc>
                <w:tcPr>
                  <w:tcW w:w="838" w:type="pct"/>
                  <w:vAlign w:val="center"/>
                </w:tcPr>
                <w:p w14:paraId="13DB31E8">
                  <w:pPr>
                    <w:adjustRightInd w:val="0"/>
                    <w:snapToGrid w:val="0"/>
                    <w:spacing w:line="240" w:lineRule="auto"/>
                    <w:jc w:val="center"/>
                    <w:rPr>
                      <w:sz w:val="21"/>
                      <w:szCs w:val="21"/>
                      <w:u w:val="single"/>
                    </w:rPr>
                  </w:pPr>
                  <w:r>
                    <w:rPr>
                      <w:sz w:val="21"/>
                      <w:szCs w:val="21"/>
                      <w:u w:val="single"/>
                    </w:rPr>
                    <w:t>西南面290~500m</w:t>
                  </w:r>
                </w:p>
              </w:tc>
              <w:tc>
                <w:tcPr>
                  <w:tcW w:w="488" w:type="pct"/>
                  <w:vAlign w:val="center"/>
                </w:tcPr>
                <w:p w14:paraId="7965B0AE">
                  <w:pPr>
                    <w:adjustRightInd w:val="0"/>
                    <w:snapToGrid w:val="0"/>
                    <w:spacing w:line="240" w:lineRule="auto"/>
                    <w:jc w:val="center"/>
                    <w:rPr>
                      <w:sz w:val="21"/>
                      <w:szCs w:val="21"/>
                      <w:u w:val="single"/>
                    </w:rPr>
                  </w:pPr>
                  <w:r>
                    <w:rPr>
                      <w:sz w:val="21"/>
                      <w:szCs w:val="21"/>
                      <w:u w:val="single"/>
                    </w:rPr>
                    <w:t>居住</w:t>
                  </w:r>
                </w:p>
              </w:tc>
              <w:tc>
                <w:tcPr>
                  <w:tcW w:w="618" w:type="pct"/>
                  <w:vAlign w:val="center"/>
                </w:tcPr>
                <w:p w14:paraId="5F5638DF">
                  <w:pPr>
                    <w:adjustRightInd w:val="0"/>
                    <w:snapToGrid w:val="0"/>
                    <w:spacing w:line="240" w:lineRule="auto"/>
                    <w:jc w:val="center"/>
                    <w:rPr>
                      <w:sz w:val="21"/>
                      <w:szCs w:val="21"/>
                      <w:u w:val="single"/>
                    </w:rPr>
                  </w:pPr>
                  <w:r>
                    <w:rPr>
                      <w:sz w:val="21"/>
                      <w:szCs w:val="21"/>
                      <w:u w:val="single"/>
                    </w:rPr>
                    <w:t>10户约40人</w:t>
                  </w:r>
                </w:p>
              </w:tc>
              <w:tc>
                <w:tcPr>
                  <w:tcW w:w="832" w:type="pct"/>
                  <w:vAlign w:val="center"/>
                </w:tcPr>
                <w:p w14:paraId="08679892">
                  <w:pPr>
                    <w:adjustRightInd w:val="0"/>
                    <w:snapToGrid w:val="0"/>
                    <w:spacing w:line="240" w:lineRule="auto"/>
                    <w:jc w:val="center"/>
                    <w:rPr>
                      <w:sz w:val="21"/>
                      <w:szCs w:val="21"/>
                      <w:u w:val="single"/>
                    </w:rPr>
                  </w:pPr>
                  <w:r>
                    <w:rPr>
                      <w:sz w:val="21"/>
                      <w:szCs w:val="21"/>
                      <w:u w:val="single"/>
                    </w:rPr>
                    <w:t>有</w:t>
                  </w:r>
                </w:p>
              </w:tc>
              <w:tc>
                <w:tcPr>
                  <w:tcW w:w="1150" w:type="pct"/>
                  <w:vMerge w:val="continue"/>
                  <w:vAlign w:val="center"/>
                </w:tcPr>
                <w:p w14:paraId="00E554D7">
                  <w:pPr>
                    <w:widowControl/>
                    <w:adjustRightInd w:val="0"/>
                    <w:snapToGrid w:val="0"/>
                    <w:spacing w:line="240" w:lineRule="auto"/>
                    <w:jc w:val="left"/>
                    <w:rPr>
                      <w:color w:val="0000C7"/>
                      <w:sz w:val="21"/>
                      <w:szCs w:val="21"/>
                      <w:u w:val="single"/>
                    </w:rPr>
                  </w:pPr>
                </w:p>
              </w:tc>
            </w:tr>
            <w:tr w14:paraId="0E04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348" w:type="pct"/>
                  <w:vMerge w:val="continue"/>
                  <w:vAlign w:val="center"/>
                </w:tcPr>
                <w:p w14:paraId="3EDF12CD">
                  <w:pPr>
                    <w:widowControl/>
                    <w:adjustRightInd w:val="0"/>
                    <w:snapToGrid w:val="0"/>
                    <w:spacing w:line="240" w:lineRule="auto"/>
                    <w:jc w:val="left"/>
                    <w:rPr>
                      <w:sz w:val="21"/>
                      <w:szCs w:val="21"/>
                      <w:u w:val="single"/>
                    </w:rPr>
                  </w:pPr>
                </w:p>
              </w:tc>
              <w:tc>
                <w:tcPr>
                  <w:tcW w:w="722" w:type="pct"/>
                  <w:vAlign w:val="center"/>
                </w:tcPr>
                <w:p w14:paraId="5315BD6B">
                  <w:pPr>
                    <w:adjustRightInd w:val="0"/>
                    <w:snapToGrid w:val="0"/>
                    <w:spacing w:line="240" w:lineRule="auto"/>
                    <w:jc w:val="center"/>
                    <w:rPr>
                      <w:rFonts w:hint="eastAsia" w:eastAsia="宋体"/>
                      <w:sz w:val="21"/>
                      <w:szCs w:val="21"/>
                      <w:u w:val="single"/>
                      <w:lang w:val="en-US" w:eastAsia="zh-CN"/>
                    </w:rPr>
                  </w:pPr>
                  <w:r>
                    <w:rPr>
                      <w:sz w:val="21"/>
                      <w:szCs w:val="21"/>
                      <w:u w:val="single"/>
                    </w:rPr>
                    <w:t>宴团居民</w:t>
                  </w:r>
                  <w:r>
                    <w:rPr>
                      <w:rFonts w:hint="eastAsia"/>
                      <w:sz w:val="21"/>
                      <w:szCs w:val="21"/>
                      <w:u w:val="single"/>
                      <w:lang w:val="en-US" w:eastAsia="zh-CN"/>
                    </w:rPr>
                    <w:t>2</w:t>
                  </w:r>
                </w:p>
              </w:tc>
              <w:tc>
                <w:tcPr>
                  <w:tcW w:w="838" w:type="pct"/>
                  <w:vAlign w:val="center"/>
                </w:tcPr>
                <w:p w14:paraId="24D0350B">
                  <w:pPr>
                    <w:adjustRightInd w:val="0"/>
                    <w:snapToGrid w:val="0"/>
                    <w:spacing w:line="240" w:lineRule="auto"/>
                    <w:jc w:val="center"/>
                    <w:rPr>
                      <w:sz w:val="21"/>
                      <w:szCs w:val="21"/>
                      <w:u w:val="single"/>
                    </w:rPr>
                  </w:pPr>
                  <w:r>
                    <w:rPr>
                      <w:sz w:val="21"/>
                      <w:szCs w:val="21"/>
                      <w:u w:val="single"/>
                    </w:rPr>
                    <w:t>西面350~500m</w:t>
                  </w:r>
                </w:p>
              </w:tc>
              <w:tc>
                <w:tcPr>
                  <w:tcW w:w="488" w:type="pct"/>
                  <w:vAlign w:val="center"/>
                </w:tcPr>
                <w:p w14:paraId="04834950">
                  <w:pPr>
                    <w:adjustRightInd w:val="0"/>
                    <w:snapToGrid w:val="0"/>
                    <w:spacing w:line="240" w:lineRule="auto"/>
                    <w:jc w:val="center"/>
                    <w:rPr>
                      <w:sz w:val="21"/>
                      <w:szCs w:val="21"/>
                      <w:u w:val="single"/>
                    </w:rPr>
                  </w:pPr>
                  <w:r>
                    <w:rPr>
                      <w:sz w:val="21"/>
                      <w:szCs w:val="21"/>
                      <w:u w:val="single"/>
                    </w:rPr>
                    <w:t>居住</w:t>
                  </w:r>
                </w:p>
              </w:tc>
              <w:tc>
                <w:tcPr>
                  <w:tcW w:w="618" w:type="pct"/>
                  <w:vAlign w:val="center"/>
                </w:tcPr>
                <w:p w14:paraId="5D4776F5">
                  <w:pPr>
                    <w:adjustRightInd w:val="0"/>
                    <w:snapToGrid w:val="0"/>
                    <w:spacing w:line="240" w:lineRule="auto"/>
                    <w:jc w:val="center"/>
                    <w:rPr>
                      <w:sz w:val="21"/>
                      <w:szCs w:val="21"/>
                      <w:u w:val="single"/>
                    </w:rPr>
                  </w:pPr>
                  <w:r>
                    <w:rPr>
                      <w:sz w:val="21"/>
                      <w:szCs w:val="21"/>
                      <w:u w:val="single"/>
                    </w:rPr>
                    <w:t>3户约10人</w:t>
                  </w:r>
                </w:p>
              </w:tc>
              <w:tc>
                <w:tcPr>
                  <w:tcW w:w="832" w:type="pct"/>
                  <w:vAlign w:val="center"/>
                </w:tcPr>
                <w:p w14:paraId="3010A131">
                  <w:pPr>
                    <w:adjustRightInd w:val="0"/>
                    <w:snapToGrid w:val="0"/>
                    <w:spacing w:line="240" w:lineRule="auto"/>
                    <w:jc w:val="center"/>
                    <w:rPr>
                      <w:sz w:val="21"/>
                      <w:szCs w:val="21"/>
                      <w:u w:val="single"/>
                    </w:rPr>
                  </w:pPr>
                  <w:r>
                    <w:rPr>
                      <w:sz w:val="21"/>
                      <w:szCs w:val="21"/>
                      <w:u w:val="single"/>
                    </w:rPr>
                    <w:t>有</w:t>
                  </w:r>
                </w:p>
              </w:tc>
              <w:tc>
                <w:tcPr>
                  <w:tcW w:w="1150" w:type="pct"/>
                  <w:vMerge w:val="continue"/>
                  <w:vAlign w:val="center"/>
                </w:tcPr>
                <w:p w14:paraId="31285290">
                  <w:pPr>
                    <w:widowControl/>
                    <w:adjustRightInd w:val="0"/>
                    <w:snapToGrid w:val="0"/>
                    <w:spacing w:line="240" w:lineRule="auto"/>
                    <w:jc w:val="left"/>
                    <w:rPr>
                      <w:color w:val="0000C7"/>
                      <w:sz w:val="21"/>
                      <w:szCs w:val="21"/>
                      <w:u w:val="single"/>
                    </w:rPr>
                  </w:pPr>
                </w:p>
              </w:tc>
            </w:tr>
            <w:tr w14:paraId="3520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jc w:val="center"/>
              </w:trPr>
              <w:tc>
                <w:tcPr>
                  <w:tcW w:w="348" w:type="pct"/>
                  <w:vMerge w:val="restart"/>
                  <w:vAlign w:val="center"/>
                </w:tcPr>
                <w:p w14:paraId="58ED3E5E">
                  <w:pPr>
                    <w:adjustRightInd w:val="0"/>
                    <w:snapToGrid w:val="0"/>
                    <w:spacing w:line="240" w:lineRule="auto"/>
                    <w:jc w:val="center"/>
                    <w:rPr>
                      <w:sz w:val="21"/>
                      <w:szCs w:val="21"/>
                      <w:u w:val="single"/>
                    </w:rPr>
                  </w:pPr>
                  <w:r>
                    <w:rPr>
                      <w:sz w:val="21"/>
                      <w:szCs w:val="21"/>
                      <w:u w:val="single"/>
                    </w:rPr>
                    <w:t>地表水</w:t>
                  </w:r>
                </w:p>
              </w:tc>
              <w:tc>
                <w:tcPr>
                  <w:tcW w:w="722" w:type="pct"/>
                  <w:vAlign w:val="center"/>
                </w:tcPr>
                <w:p w14:paraId="444AECCF">
                  <w:pPr>
                    <w:adjustRightInd w:val="0"/>
                    <w:snapToGrid w:val="0"/>
                    <w:spacing w:line="240" w:lineRule="auto"/>
                    <w:jc w:val="center"/>
                    <w:rPr>
                      <w:sz w:val="21"/>
                      <w:szCs w:val="21"/>
                      <w:u w:val="single"/>
                    </w:rPr>
                  </w:pPr>
                  <w:r>
                    <w:rPr>
                      <w:sz w:val="21"/>
                      <w:szCs w:val="21"/>
                      <w:u w:val="single"/>
                    </w:rPr>
                    <w:t>高桥溪</w:t>
                  </w:r>
                </w:p>
              </w:tc>
              <w:tc>
                <w:tcPr>
                  <w:tcW w:w="838" w:type="pct"/>
                  <w:vAlign w:val="center"/>
                </w:tcPr>
                <w:p w14:paraId="504484A7">
                  <w:pPr>
                    <w:adjustRightInd w:val="0"/>
                    <w:snapToGrid w:val="0"/>
                    <w:spacing w:line="240" w:lineRule="auto"/>
                    <w:jc w:val="center"/>
                    <w:rPr>
                      <w:color w:val="0000C7"/>
                      <w:sz w:val="21"/>
                      <w:szCs w:val="21"/>
                      <w:u w:val="single"/>
                    </w:rPr>
                  </w:pPr>
                  <w:r>
                    <w:rPr>
                      <w:sz w:val="21"/>
                      <w:szCs w:val="21"/>
                      <w:u w:val="single"/>
                    </w:rPr>
                    <w:t>南面100m</w:t>
                  </w:r>
                </w:p>
              </w:tc>
              <w:tc>
                <w:tcPr>
                  <w:tcW w:w="488" w:type="pct"/>
                  <w:vAlign w:val="center"/>
                </w:tcPr>
                <w:p w14:paraId="4BF943DA">
                  <w:pPr>
                    <w:adjustRightInd w:val="0"/>
                    <w:snapToGrid w:val="0"/>
                    <w:spacing w:line="240" w:lineRule="auto"/>
                    <w:jc w:val="center"/>
                    <w:rPr>
                      <w:sz w:val="21"/>
                      <w:szCs w:val="21"/>
                      <w:u w:val="single"/>
                    </w:rPr>
                  </w:pPr>
                  <w:r>
                    <w:rPr>
                      <w:sz w:val="21"/>
                      <w:szCs w:val="21"/>
                      <w:u w:val="single"/>
                    </w:rPr>
                    <w:t>农业用水</w:t>
                  </w:r>
                </w:p>
              </w:tc>
              <w:tc>
                <w:tcPr>
                  <w:tcW w:w="618" w:type="pct"/>
                  <w:vAlign w:val="center"/>
                </w:tcPr>
                <w:p w14:paraId="7AAF52B9">
                  <w:pPr>
                    <w:adjustRightInd w:val="0"/>
                    <w:snapToGrid w:val="0"/>
                    <w:spacing w:line="240" w:lineRule="auto"/>
                    <w:jc w:val="center"/>
                    <w:rPr>
                      <w:sz w:val="21"/>
                      <w:szCs w:val="21"/>
                      <w:u w:val="single"/>
                    </w:rPr>
                  </w:pPr>
                  <w:r>
                    <w:rPr>
                      <w:sz w:val="21"/>
                      <w:szCs w:val="21"/>
                      <w:u w:val="single"/>
                    </w:rPr>
                    <w:t>小溪</w:t>
                  </w:r>
                </w:p>
              </w:tc>
              <w:tc>
                <w:tcPr>
                  <w:tcW w:w="832" w:type="pct"/>
                  <w:vAlign w:val="center"/>
                </w:tcPr>
                <w:p w14:paraId="36950881">
                  <w:pPr>
                    <w:adjustRightInd w:val="0"/>
                    <w:snapToGrid w:val="0"/>
                    <w:spacing w:line="240" w:lineRule="auto"/>
                    <w:jc w:val="center"/>
                    <w:rPr>
                      <w:rFonts w:hint="eastAsia" w:eastAsia="宋体"/>
                      <w:sz w:val="21"/>
                      <w:szCs w:val="21"/>
                      <w:u w:val="single"/>
                      <w:lang w:eastAsia="zh-CN"/>
                    </w:rPr>
                  </w:pPr>
                  <w:r>
                    <w:rPr>
                      <w:rFonts w:hint="eastAsia"/>
                      <w:sz w:val="21"/>
                      <w:szCs w:val="21"/>
                      <w:u w:val="single"/>
                      <w:lang w:val="en-US" w:eastAsia="zh-CN"/>
                    </w:rPr>
                    <w:t>/</w:t>
                  </w:r>
                </w:p>
              </w:tc>
              <w:tc>
                <w:tcPr>
                  <w:tcW w:w="1150" w:type="pct"/>
                  <w:vMerge w:val="restart"/>
                  <w:vAlign w:val="center"/>
                </w:tcPr>
                <w:p w14:paraId="705B3109">
                  <w:pPr>
                    <w:adjustRightInd w:val="0"/>
                    <w:snapToGrid w:val="0"/>
                    <w:spacing w:line="240" w:lineRule="auto"/>
                    <w:jc w:val="center"/>
                    <w:rPr>
                      <w:color w:val="0000C7"/>
                      <w:sz w:val="21"/>
                      <w:szCs w:val="21"/>
                      <w:u w:val="single"/>
                    </w:rPr>
                  </w:pPr>
                  <w:r>
                    <w:rPr>
                      <w:sz w:val="21"/>
                      <w:szCs w:val="21"/>
                      <w:u w:val="single"/>
                    </w:rPr>
                    <w:t>《地表水环境质量标准》（GB3838 -2002）Ⅲ类标准</w:t>
                  </w:r>
                </w:p>
              </w:tc>
            </w:tr>
            <w:tr w14:paraId="4969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jc w:val="center"/>
              </w:trPr>
              <w:tc>
                <w:tcPr>
                  <w:tcW w:w="348" w:type="pct"/>
                  <w:vMerge w:val="continue"/>
                  <w:vAlign w:val="center"/>
                </w:tcPr>
                <w:p w14:paraId="39BC3B99">
                  <w:pPr>
                    <w:adjustRightInd w:val="0"/>
                    <w:snapToGrid w:val="0"/>
                    <w:spacing w:line="240" w:lineRule="auto"/>
                    <w:jc w:val="center"/>
                    <w:rPr>
                      <w:sz w:val="21"/>
                      <w:szCs w:val="21"/>
                      <w:u w:val="single"/>
                    </w:rPr>
                  </w:pPr>
                </w:p>
              </w:tc>
              <w:tc>
                <w:tcPr>
                  <w:tcW w:w="722" w:type="pct"/>
                  <w:vAlign w:val="center"/>
                </w:tcPr>
                <w:p w14:paraId="7EAFEF5A">
                  <w:pPr>
                    <w:adjustRightInd w:val="0"/>
                    <w:snapToGrid w:val="0"/>
                    <w:spacing w:line="240" w:lineRule="auto"/>
                    <w:jc w:val="center"/>
                    <w:rPr>
                      <w:sz w:val="21"/>
                      <w:szCs w:val="21"/>
                      <w:u w:val="single"/>
                    </w:rPr>
                  </w:pPr>
                  <w:r>
                    <w:rPr>
                      <w:sz w:val="21"/>
                      <w:szCs w:val="21"/>
                      <w:u w:val="single"/>
                    </w:rPr>
                    <w:t>渠水</w:t>
                  </w:r>
                </w:p>
              </w:tc>
              <w:tc>
                <w:tcPr>
                  <w:tcW w:w="838" w:type="pct"/>
                  <w:vAlign w:val="center"/>
                </w:tcPr>
                <w:p w14:paraId="535AB45D">
                  <w:pPr>
                    <w:adjustRightInd w:val="0"/>
                    <w:snapToGrid w:val="0"/>
                    <w:spacing w:line="240" w:lineRule="auto"/>
                    <w:jc w:val="center"/>
                    <w:rPr>
                      <w:color w:val="0000C7"/>
                      <w:sz w:val="21"/>
                      <w:szCs w:val="21"/>
                      <w:u w:val="single"/>
                    </w:rPr>
                  </w:pPr>
                  <w:r>
                    <w:rPr>
                      <w:sz w:val="21"/>
                      <w:szCs w:val="21"/>
                      <w:u w:val="single"/>
                    </w:rPr>
                    <w:t>东面5.9km</w:t>
                  </w:r>
                </w:p>
              </w:tc>
              <w:tc>
                <w:tcPr>
                  <w:tcW w:w="488" w:type="pct"/>
                  <w:vAlign w:val="center"/>
                </w:tcPr>
                <w:p w14:paraId="3424D9D7">
                  <w:pPr>
                    <w:adjustRightInd w:val="0"/>
                    <w:snapToGrid w:val="0"/>
                    <w:spacing w:line="240" w:lineRule="auto"/>
                    <w:jc w:val="center"/>
                    <w:rPr>
                      <w:sz w:val="21"/>
                      <w:szCs w:val="21"/>
                      <w:u w:val="single"/>
                    </w:rPr>
                  </w:pPr>
                  <w:r>
                    <w:rPr>
                      <w:sz w:val="21"/>
                      <w:szCs w:val="21"/>
                      <w:u w:val="single"/>
                    </w:rPr>
                    <w:t>渔业用水</w:t>
                  </w:r>
                </w:p>
              </w:tc>
              <w:tc>
                <w:tcPr>
                  <w:tcW w:w="618" w:type="pct"/>
                  <w:vAlign w:val="center"/>
                </w:tcPr>
                <w:p w14:paraId="05CA035D">
                  <w:pPr>
                    <w:adjustRightInd w:val="0"/>
                    <w:snapToGrid w:val="0"/>
                    <w:spacing w:line="240" w:lineRule="auto"/>
                    <w:jc w:val="center"/>
                    <w:rPr>
                      <w:sz w:val="21"/>
                      <w:szCs w:val="21"/>
                      <w:u w:val="single"/>
                    </w:rPr>
                  </w:pPr>
                  <w:r>
                    <w:rPr>
                      <w:sz w:val="21"/>
                      <w:szCs w:val="21"/>
                      <w:u w:val="single"/>
                    </w:rPr>
                    <w:t>大河</w:t>
                  </w:r>
                </w:p>
              </w:tc>
              <w:tc>
                <w:tcPr>
                  <w:tcW w:w="832" w:type="pct"/>
                  <w:vAlign w:val="center"/>
                </w:tcPr>
                <w:p w14:paraId="66C3F0FF">
                  <w:pPr>
                    <w:adjustRightInd w:val="0"/>
                    <w:snapToGrid w:val="0"/>
                    <w:spacing w:line="240" w:lineRule="auto"/>
                    <w:jc w:val="center"/>
                    <w:rPr>
                      <w:rFonts w:hint="eastAsia" w:eastAsia="宋体"/>
                      <w:sz w:val="21"/>
                      <w:szCs w:val="21"/>
                      <w:u w:val="single"/>
                      <w:lang w:eastAsia="zh-CN"/>
                    </w:rPr>
                  </w:pPr>
                  <w:r>
                    <w:rPr>
                      <w:rFonts w:hint="eastAsia"/>
                      <w:sz w:val="21"/>
                      <w:szCs w:val="21"/>
                      <w:u w:val="single"/>
                      <w:lang w:val="en-US" w:eastAsia="zh-CN"/>
                    </w:rPr>
                    <w:t>/</w:t>
                  </w:r>
                </w:p>
              </w:tc>
              <w:tc>
                <w:tcPr>
                  <w:tcW w:w="1150" w:type="pct"/>
                  <w:vMerge w:val="continue"/>
                  <w:vAlign w:val="center"/>
                </w:tcPr>
                <w:p w14:paraId="3D5DA7D0">
                  <w:pPr>
                    <w:adjustRightInd w:val="0"/>
                    <w:snapToGrid w:val="0"/>
                    <w:spacing w:line="240" w:lineRule="auto"/>
                    <w:jc w:val="center"/>
                    <w:rPr>
                      <w:color w:val="0000C7"/>
                      <w:sz w:val="21"/>
                      <w:szCs w:val="21"/>
                      <w:u w:val="single"/>
                    </w:rPr>
                  </w:pPr>
                </w:p>
              </w:tc>
            </w:tr>
            <w:tr w14:paraId="387A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348" w:type="pct"/>
                  <w:vMerge w:val="restart"/>
                  <w:vAlign w:val="center"/>
                </w:tcPr>
                <w:p w14:paraId="0CB3AADA">
                  <w:pPr>
                    <w:adjustRightInd w:val="0"/>
                    <w:snapToGrid w:val="0"/>
                    <w:spacing w:line="240" w:lineRule="auto"/>
                    <w:jc w:val="center"/>
                    <w:rPr>
                      <w:sz w:val="21"/>
                      <w:szCs w:val="21"/>
                      <w:u w:val="single"/>
                    </w:rPr>
                  </w:pPr>
                  <w:r>
                    <w:rPr>
                      <w:sz w:val="21"/>
                      <w:szCs w:val="21"/>
                      <w:u w:val="single"/>
                    </w:rPr>
                    <w:t>噪声</w:t>
                  </w:r>
                </w:p>
              </w:tc>
              <w:tc>
                <w:tcPr>
                  <w:tcW w:w="1211" w:type="dxa"/>
                  <w:vAlign w:val="center"/>
                </w:tcPr>
                <w:p w14:paraId="475C9F9D">
                  <w:pPr>
                    <w:adjustRightInd w:val="0"/>
                    <w:snapToGrid w:val="0"/>
                    <w:spacing w:line="240" w:lineRule="auto"/>
                    <w:jc w:val="center"/>
                    <w:rPr>
                      <w:rFonts w:hint="eastAsia" w:eastAsia="宋体"/>
                      <w:sz w:val="21"/>
                      <w:szCs w:val="21"/>
                      <w:u w:val="single"/>
                      <w:lang w:val="en-US" w:eastAsia="zh-CN"/>
                    </w:rPr>
                  </w:pPr>
                  <w:r>
                    <w:rPr>
                      <w:sz w:val="21"/>
                      <w:szCs w:val="21"/>
                      <w:u w:val="single"/>
                    </w:rPr>
                    <w:t>高桥村居民</w:t>
                  </w:r>
                  <w:r>
                    <w:rPr>
                      <w:rFonts w:hint="eastAsia"/>
                      <w:sz w:val="21"/>
                      <w:szCs w:val="21"/>
                      <w:u w:val="single"/>
                      <w:lang w:val="en-US" w:eastAsia="zh-CN"/>
                    </w:rPr>
                    <w:t>1</w:t>
                  </w:r>
                </w:p>
              </w:tc>
              <w:tc>
                <w:tcPr>
                  <w:tcW w:w="1405" w:type="dxa"/>
                  <w:vAlign w:val="center"/>
                </w:tcPr>
                <w:p w14:paraId="58E26E97">
                  <w:pPr>
                    <w:adjustRightInd w:val="0"/>
                    <w:snapToGrid w:val="0"/>
                    <w:spacing w:line="240" w:lineRule="auto"/>
                    <w:jc w:val="center"/>
                    <w:rPr>
                      <w:color w:val="0000C7"/>
                      <w:sz w:val="21"/>
                      <w:szCs w:val="21"/>
                      <w:u w:val="single"/>
                    </w:rPr>
                  </w:pPr>
                  <w:r>
                    <w:rPr>
                      <w:sz w:val="21"/>
                      <w:szCs w:val="21"/>
                      <w:u w:val="single"/>
                    </w:rPr>
                    <w:t>东南面30m</w:t>
                  </w:r>
                </w:p>
              </w:tc>
              <w:tc>
                <w:tcPr>
                  <w:tcW w:w="818" w:type="dxa"/>
                  <w:vAlign w:val="center"/>
                </w:tcPr>
                <w:p w14:paraId="443C447C">
                  <w:pPr>
                    <w:adjustRightInd w:val="0"/>
                    <w:snapToGrid w:val="0"/>
                    <w:spacing w:line="240" w:lineRule="auto"/>
                    <w:jc w:val="center"/>
                    <w:rPr>
                      <w:color w:val="0000C7"/>
                      <w:sz w:val="21"/>
                      <w:szCs w:val="21"/>
                      <w:u w:val="single"/>
                    </w:rPr>
                  </w:pPr>
                  <w:r>
                    <w:rPr>
                      <w:sz w:val="21"/>
                      <w:szCs w:val="21"/>
                      <w:u w:val="single"/>
                    </w:rPr>
                    <w:t>居住</w:t>
                  </w:r>
                </w:p>
              </w:tc>
              <w:tc>
                <w:tcPr>
                  <w:tcW w:w="1036" w:type="dxa"/>
                  <w:vAlign w:val="center"/>
                </w:tcPr>
                <w:p w14:paraId="4AC8C47B">
                  <w:pPr>
                    <w:adjustRightInd w:val="0"/>
                    <w:snapToGrid w:val="0"/>
                    <w:spacing w:line="240" w:lineRule="auto"/>
                    <w:jc w:val="center"/>
                    <w:rPr>
                      <w:color w:val="0000C7"/>
                      <w:sz w:val="21"/>
                      <w:szCs w:val="21"/>
                      <w:u w:val="single"/>
                    </w:rPr>
                  </w:pPr>
                  <w:r>
                    <w:rPr>
                      <w:sz w:val="21"/>
                      <w:szCs w:val="21"/>
                      <w:u w:val="single"/>
                    </w:rPr>
                    <w:t>1户约3人</w:t>
                  </w:r>
                </w:p>
              </w:tc>
              <w:tc>
                <w:tcPr>
                  <w:tcW w:w="1395" w:type="dxa"/>
                  <w:vAlign w:val="center"/>
                </w:tcPr>
                <w:p w14:paraId="6BBEC726">
                  <w:pPr>
                    <w:adjustRightInd w:val="0"/>
                    <w:snapToGrid w:val="0"/>
                    <w:spacing w:line="240" w:lineRule="auto"/>
                    <w:jc w:val="center"/>
                    <w:rPr>
                      <w:color w:val="0000C7"/>
                      <w:sz w:val="21"/>
                      <w:szCs w:val="21"/>
                      <w:u w:val="single"/>
                    </w:rPr>
                  </w:pPr>
                  <w:r>
                    <w:rPr>
                      <w:sz w:val="21"/>
                      <w:szCs w:val="21"/>
                      <w:u w:val="single"/>
                    </w:rPr>
                    <w:t>无</w:t>
                  </w:r>
                </w:p>
              </w:tc>
              <w:tc>
                <w:tcPr>
                  <w:tcW w:w="1150" w:type="pct"/>
                  <w:vMerge w:val="restart"/>
                  <w:vAlign w:val="center"/>
                </w:tcPr>
                <w:p w14:paraId="14F63D97">
                  <w:pPr>
                    <w:adjustRightInd w:val="0"/>
                    <w:snapToGrid w:val="0"/>
                    <w:spacing w:line="240" w:lineRule="auto"/>
                    <w:jc w:val="center"/>
                    <w:rPr>
                      <w:color w:val="0000C7"/>
                      <w:sz w:val="21"/>
                      <w:szCs w:val="21"/>
                      <w:u w:val="single"/>
                    </w:rPr>
                  </w:pPr>
                  <w:r>
                    <w:rPr>
                      <w:sz w:val="21"/>
                      <w:szCs w:val="21"/>
                      <w:u w:val="single"/>
                    </w:rPr>
                    <w:t>噪声敏感点执行《声环境质量标准》（GB3096-2008）中4a类标准</w:t>
                  </w:r>
                </w:p>
              </w:tc>
            </w:tr>
            <w:tr w14:paraId="1235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348" w:type="pct"/>
                  <w:vMerge w:val="continue"/>
                  <w:vAlign w:val="center"/>
                </w:tcPr>
                <w:p w14:paraId="20A84672">
                  <w:pPr>
                    <w:adjustRightInd w:val="0"/>
                    <w:snapToGrid w:val="0"/>
                    <w:spacing w:line="240" w:lineRule="auto"/>
                    <w:jc w:val="center"/>
                    <w:rPr>
                      <w:color w:val="0000C7"/>
                      <w:sz w:val="21"/>
                      <w:szCs w:val="21"/>
                      <w:u w:val="single"/>
                    </w:rPr>
                  </w:pPr>
                </w:p>
              </w:tc>
              <w:tc>
                <w:tcPr>
                  <w:tcW w:w="1211" w:type="dxa"/>
                  <w:vAlign w:val="center"/>
                </w:tcPr>
                <w:p w14:paraId="4BEAE2F5">
                  <w:pPr>
                    <w:adjustRightInd w:val="0"/>
                    <w:snapToGrid w:val="0"/>
                    <w:spacing w:line="240" w:lineRule="auto"/>
                    <w:jc w:val="center"/>
                    <w:rPr>
                      <w:rFonts w:hint="eastAsia" w:eastAsia="宋体"/>
                      <w:color w:val="0000C7"/>
                      <w:sz w:val="21"/>
                      <w:szCs w:val="21"/>
                      <w:u w:val="single"/>
                      <w:lang w:val="en-US" w:eastAsia="zh-CN"/>
                    </w:rPr>
                  </w:pPr>
                  <w:r>
                    <w:rPr>
                      <w:rFonts w:hint="eastAsia"/>
                      <w:sz w:val="21"/>
                      <w:szCs w:val="21"/>
                      <w:u w:val="single"/>
                    </w:rPr>
                    <w:t>高桥</w:t>
                  </w:r>
                  <w:r>
                    <w:rPr>
                      <w:sz w:val="21"/>
                      <w:szCs w:val="21"/>
                      <w:u w:val="single"/>
                    </w:rPr>
                    <w:t>村居民</w:t>
                  </w:r>
                  <w:r>
                    <w:rPr>
                      <w:rFonts w:hint="eastAsia"/>
                      <w:sz w:val="21"/>
                      <w:szCs w:val="21"/>
                      <w:u w:val="single"/>
                      <w:lang w:val="en-US" w:eastAsia="zh-CN"/>
                    </w:rPr>
                    <w:t>2</w:t>
                  </w:r>
                </w:p>
              </w:tc>
              <w:tc>
                <w:tcPr>
                  <w:tcW w:w="1405" w:type="dxa"/>
                  <w:vAlign w:val="center"/>
                </w:tcPr>
                <w:p w14:paraId="4FC92733">
                  <w:pPr>
                    <w:adjustRightInd w:val="0"/>
                    <w:snapToGrid w:val="0"/>
                    <w:spacing w:line="240" w:lineRule="auto"/>
                    <w:jc w:val="center"/>
                    <w:rPr>
                      <w:color w:val="0000C7"/>
                      <w:sz w:val="21"/>
                      <w:szCs w:val="21"/>
                      <w:u w:val="single"/>
                    </w:rPr>
                  </w:pPr>
                  <w:r>
                    <w:rPr>
                      <w:rFonts w:hint="eastAsia"/>
                      <w:sz w:val="21"/>
                      <w:szCs w:val="21"/>
                      <w:u w:val="single"/>
                    </w:rPr>
                    <w:t>西</w:t>
                  </w:r>
                  <w:r>
                    <w:rPr>
                      <w:sz w:val="21"/>
                      <w:szCs w:val="21"/>
                      <w:u w:val="single"/>
                    </w:rPr>
                    <w:t>南面</w:t>
                  </w:r>
                  <w:r>
                    <w:rPr>
                      <w:rFonts w:hint="eastAsia"/>
                      <w:sz w:val="21"/>
                      <w:szCs w:val="21"/>
                      <w:u w:val="single"/>
                    </w:rPr>
                    <w:t>38</w:t>
                  </w:r>
                  <w:r>
                    <w:rPr>
                      <w:sz w:val="21"/>
                      <w:szCs w:val="21"/>
                      <w:u w:val="single"/>
                    </w:rPr>
                    <w:t>m</w:t>
                  </w:r>
                </w:p>
              </w:tc>
              <w:tc>
                <w:tcPr>
                  <w:tcW w:w="818" w:type="dxa"/>
                  <w:vAlign w:val="center"/>
                </w:tcPr>
                <w:p w14:paraId="32F4D36F">
                  <w:pPr>
                    <w:adjustRightInd w:val="0"/>
                    <w:snapToGrid w:val="0"/>
                    <w:spacing w:line="240" w:lineRule="auto"/>
                    <w:jc w:val="center"/>
                    <w:rPr>
                      <w:color w:val="0000C7"/>
                      <w:sz w:val="21"/>
                      <w:szCs w:val="21"/>
                      <w:u w:val="single"/>
                    </w:rPr>
                  </w:pPr>
                  <w:r>
                    <w:rPr>
                      <w:sz w:val="21"/>
                      <w:szCs w:val="21"/>
                      <w:u w:val="single"/>
                    </w:rPr>
                    <w:t>居住</w:t>
                  </w:r>
                </w:p>
              </w:tc>
              <w:tc>
                <w:tcPr>
                  <w:tcW w:w="1036" w:type="dxa"/>
                  <w:vAlign w:val="center"/>
                </w:tcPr>
                <w:p w14:paraId="4B1C84D4">
                  <w:pPr>
                    <w:adjustRightInd w:val="0"/>
                    <w:snapToGrid w:val="0"/>
                    <w:spacing w:line="240" w:lineRule="auto"/>
                    <w:jc w:val="center"/>
                    <w:rPr>
                      <w:color w:val="0000C7"/>
                      <w:sz w:val="21"/>
                      <w:szCs w:val="21"/>
                      <w:u w:val="single"/>
                    </w:rPr>
                  </w:pPr>
                  <w:r>
                    <w:rPr>
                      <w:sz w:val="21"/>
                      <w:szCs w:val="21"/>
                      <w:u w:val="single"/>
                    </w:rPr>
                    <w:t>1户约</w:t>
                  </w:r>
                  <w:r>
                    <w:rPr>
                      <w:rFonts w:hint="eastAsia"/>
                      <w:sz w:val="21"/>
                      <w:szCs w:val="21"/>
                      <w:u w:val="single"/>
                    </w:rPr>
                    <w:t>3</w:t>
                  </w:r>
                  <w:r>
                    <w:rPr>
                      <w:sz w:val="21"/>
                      <w:szCs w:val="21"/>
                      <w:u w:val="single"/>
                    </w:rPr>
                    <w:t>人</w:t>
                  </w:r>
                </w:p>
              </w:tc>
              <w:tc>
                <w:tcPr>
                  <w:tcW w:w="1395" w:type="dxa"/>
                  <w:vAlign w:val="center"/>
                </w:tcPr>
                <w:p w14:paraId="25A9CF57">
                  <w:pPr>
                    <w:adjustRightInd w:val="0"/>
                    <w:snapToGrid w:val="0"/>
                    <w:spacing w:line="240" w:lineRule="auto"/>
                    <w:jc w:val="center"/>
                    <w:rPr>
                      <w:color w:val="0000C7"/>
                      <w:sz w:val="21"/>
                      <w:szCs w:val="21"/>
                      <w:u w:val="single"/>
                    </w:rPr>
                  </w:pPr>
                  <w:r>
                    <w:rPr>
                      <w:rFonts w:hint="eastAsia"/>
                      <w:sz w:val="21"/>
                      <w:szCs w:val="21"/>
                      <w:u w:val="single"/>
                    </w:rPr>
                    <w:t>有</w:t>
                  </w:r>
                </w:p>
              </w:tc>
              <w:tc>
                <w:tcPr>
                  <w:tcW w:w="1150" w:type="pct"/>
                  <w:vMerge w:val="continue"/>
                  <w:vAlign w:val="center"/>
                </w:tcPr>
                <w:p w14:paraId="25E9C2AC">
                  <w:pPr>
                    <w:adjustRightInd w:val="0"/>
                    <w:snapToGrid w:val="0"/>
                    <w:spacing w:line="240" w:lineRule="auto"/>
                    <w:jc w:val="center"/>
                    <w:rPr>
                      <w:color w:val="0000C7"/>
                      <w:sz w:val="21"/>
                      <w:szCs w:val="21"/>
                      <w:u w:val="single"/>
                    </w:rPr>
                  </w:pPr>
                </w:p>
              </w:tc>
            </w:tr>
          </w:tbl>
          <w:p w14:paraId="6AFADD4F">
            <w:pPr>
              <w:adjustRightInd w:val="0"/>
              <w:snapToGrid w:val="0"/>
              <w:spacing w:line="240" w:lineRule="auto"/>
              <w:rPr>
                <w:color w:val="0000C7"/>
                <w:kern w:val="0"/>
                <w:sz w:val="21"/>
                <w:szCs w:val="21"/>
              </w:rPr>
            </w:pPr>
          </w:p>
        </w:tc>
      </w:tr>
      <w:tr w14:paraId="3E2C0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00" w:type="dxa"/>
            <w:tcMar>
              <w:left w:w="28" w:type="dxa"/>
              <w:right w:w="28" w:type="dxa"/>
            </w:tcMar>
            <w:vAlign w:val="center"/>
          </w:tcPr>
          <w:p w14:paraId="34A9FFDA">
            <w:pPr>
              <w:adjustRightInd w:val="0"/>
              <w:snapToGrid w:val="0"/>
              <w:jc w:val="center"/>
              <w:rPr>
                <w:kern w:val="0"/>
                <w:szCs w:val="21"/>
              </w:rPr>
            </w:pPr>
            <w:r>
              <w:rPr>
                <w:kern w:val="0"/>
                <w:szCs w:val="21"/>
              </w:rPr>
              <w:t>污染</w:t>
            </w:r>
          </w:p>
          <w:p w14:paraId="7E268505">
            <w:pPr>
              <w:adjustRightInd w:val="0"/>
              <w:snapToGrid w:val="0"/>
              <w:jc w:val="center"/>
              <w:rPr>
                <w:kern w:val="0"/>
                <w:szCs w:val="21"/>
              </w:rPr>
            </w:pPr>
            <w:r>
              <w:rPr>
                <w:kern w:val="0"/>
                <w:szCs w:val="21"/>
              </w:rPr>
              <w:t>物排</w:t>
            </w:r>
          </w:p>
          <w:p w14:paraId="1AEF881D">
            <w:pPr>
              <w:adjustRightInd w:val="0"/>
              <w:snapToGrid w:val="0"/>
              <w:jc w:val="center"/>
              <w:rPr>
                <w:kern w:val="0"/>
                <w:szCs w:val="21"/>
              </w:rPr>
            </w:pPr>
            <w:r>
              <w:rPr>
                <w:kern w:val="0"/>
                <w:szCs w:val="21"/>
              </w:rPr>
              <w:t>放控</w:t>
            </w:r>
          </w:p>
          <w:p w14:paraId="293CBADC">
            <w:pPr>
              <w:adjustRightInd w:val="0"/>
              <w:snapToGrid w:val="0"/>
              <w:jc w:val="center"/>
              <w:rPr>
                <w:kern w:val="0"/>
                <w:szCs w:val="21"/>
              </w:rPr>
            </w:pPr>
            <w:r>
              <w:rPr>
                <w:kern w:val="0"/>
                <w:szCs w:val="21"/>
              </w:rPr>
              <w:t>制标</w:t>
            </w:r>
          </w:p>
          <w:p w14:paraId="2864B33B">
            <w:pPr>
              <w:adjustRightInd w:val="0"/>
              <w:snapToGrid w:val="0"/>
              <w:jc w:val="center"/>
              <w:rPr>
                <w:color w:val="0000C7"/>
                <w:kern w:val="0"/>
                <w:szCs w:val="21"/>
              </w:rPr>
            </w:pPr>
            <w:r>
              <w:rPr>
                <w:kern w:val="0"/>
                <w:szCs w:val="21"/>
              </w:rPr>
              <w:t>准</w:t>
            </w:r>
          </w:p>
        </w:tc>
        <w:tc>
          <w:tcPr>
            <w:tcW w:w="8190" w:type="dxa"/>
          </w:tcPr>
          <w:p w14:paraId="10B65E9F">
            <w:pPr>
              <w:widowControl/>
              <w:ind w:firstLine="480" w:firstLineChars="200"/>
            </w:pPr>
            <w:bookmarkStart w:id="51" w:name="_Toc68160374"/>
            <w:bookmarkStart w:id="52" w:name="_Toc18782"/>
            <w:r>
              <w:t>3.</w:t>
            </w:r>
            <w:r>
              <w:rPr>
                <w:rFonts w:hint="eastAsia"/>
              </w:rPr>
              <w:t>8</w:t>
            </w:r>
            <w:r>
              <w:t>污染物排放控制标准</w:t>
            </w:r>
            <w:bookmarkEnd w:id="51"/>
            <w:bookmarkEnd w:id="52"/>
          </w:p>
          <w:p w14:paraId="7FC8CC47">
            <w:pPr>
              <w:widowControl/>
              <w:ind w:firstLine="480" w:firstLineChars="200"/>
            </w:pPr>
            <w:bookmarkStart w:id="53" w:name="_Toc25231"/>
            <w:bookmarkStart w:id="54" w:name="_Toc68160375"/>
            <w:r>
              <w:t>1、废气排放标准</w:t>
            </w:r>
            <w:bookmarkEnd w:id="53"/>
            <w:bookmarkEnd w:id="54"/>
          </w:p>
          <w:p w14:paraId="2C47AB7D">
            <w:pPr>
              <w:widowControl/>
              <w:wordWrap/>
              <w:topLinePunct w:val="0"/>
              <w:autoSpaceDE/>
              <w:autoSpaceDN/>
              <w:adjustRightInd/>
              <w:snapToGrid/>
              <w:ind w:firstLine="480" w:firstLineChars="200"/>
            </w:pPr>
            <w:r>
              <w:rPr>
                <w:rFonts w:hint="eastAsia"/>
              </w:rPr>
              <w:t>项目</w:t>
            </w:r>
            <w:r>
              <w:rPr>
                <w:rFonts w:hint="eastAsia" w:ascii="Times New Roman" w:hAnsi="Times New Roman" w:eastAsia="宋体" w:cs="Times New Roman"/>
                <w:kern w:val="2"/>
                <w:sz w:val="24"/>
                <w:szCs w:val="24"/>
                <w:u w:val="none"/>
                <w:lang w:val="en-US" w:eastAsia="zh-CN" w:bidi="ar-SA"/>
              </w:rPr>
              <w:t>透水砖、路面砖</w:t>
            </w:r>
            <w:r>
              <w:rPr>
                <w:kern w:val="0"/>
              </w:rPr>
              <w:t>生产</w:t>
            </w:r>
            <w:r>
              <w:rPr>
                <w:rFonts w:hint="eastAsia"/>
                <w:kern w:val="0"/>
              </w:rPr>
              <w:t>线投料输送及搅拌</w:t>
            </w:r>
            <w:r>
              <w:rPr>
                <w:kern w:val="0"/>
              </w:rPr>
              <w:t>、</w:t>
            </w:r>
            <w:r>
              <w:rPr>
                <w:rFonts w:hint="eastAsia"/>
                <w:kern w:val="2"/>
                <w:szCs w:val="21"/>
                <w:lang w:val="en-US" w:eastAsia="zh-CN"/>
              </w:rPr>
              <w:t>水泥筒仓</w:t>
            </w:r>
            <w:r>
              <w:rPr>
                <w:rFonts w:hint="eastAsia"/>
                <w:kern w:val="0"/>
              </w:rPr>
              <w:t>呼吸孔产生的颗粒物执行《水泥工业大气污染物排放标准》</w:t>
            </w:r>
            <w:r>
              <w:t>（GB</w:t>
            </w:r>
            <w:r>
              <w:rPr>
                <w:rFonts w:hint="eastAsia"/>
              </w:rPr>
              <w:t>4915</w:t>
            </w:r>
            <w:r>
              <w:t>-20</w:t>
            </w:r>
            <w:r>
              <w:rPr>
                <w:rFonts w:hint="eastAsia"/>
              </w:rPr>
              <w:t>13</w:t>
            </w:r>
            <w:r>
              <w:t>）</w:t>
            </w:r>
            <w:r>
              <w:rPr>
                <w:rFonts w:hint="eastAsia"/>
              </w:rPr>
              <w:t>中表3的大气污染物无组织排放限值</w:t>
            </w:r>
            <w:r>
              <w:rPr>
                <w:rFonts w:hint="eastAsia"/>
                <w:kern w:val="0"/>
              </w:rPr>
              <w:t>；其他工序产生的</w:t>
            </w:r>
            <w:r>
              <w:t>颗粒物</w:t>
            </w:r>
            <w:r>
              <w:rPr>
                <w:rFonts w:hint="eastAsia"/>
                <w:lang w:eastAsia="zh-CN"/>
              </w:rPr>
              <w:t>参考</w:t>
            </w:r>
            <w:r>
              <w:t>执行</w:t>
            </w:r>
            <w:r>
              <w:rPr>
                <w:rFonts w:hint="eastAsia"/>
                <w:kern w:val="0"/>
              </w:rPr>
              <w:t>《水泥工业大气污染物排放标准》</w:t>
            </w:r>
            <w:r>
              <w:t>（GB</w:t>
            </w:r>
            <w:r>
              <w:rPr>
                <w:rFonts w:hint="eastAsia"/>
              </w:rPr>
              <w:t>4915</w:t>
            </w:r>
            <w:r>
              <w:t>-20</w:t>
            </w:r>
            <w:r>
              <w:rPr>
                <w:rFonts w:hint="eastAsia"/>
              </w:rPr>
              <w:t>13</w:t>
            </w:r>
            <w:r>
              <w:t>）</w:t>
            </w:r>
            <w:r>
              <w:rPr>
                <w:rFonts w:hint="eastAsia"/>
              </w:rPr>
              <w:t>中表3的大气污染物无组织排放限值</w:t>
            </w:r>
            <w:r>
              <w:rPr>
                <w:rFonts w:hint="eastAsia"/>
                <w:lang w:eastAsia="zh-CN"/>
              </w:rPr>
              <w:t>；</w:t>
            </w:r>
            <w:r>
              <w:rPr>
                <w:u w:val="single"/>
              </w:rPr>
              <w:t>无组织排放的VOCs厂界排放浓度参照执行《大气污染综合排放标准》（GB16297-1996）表2中的新污染源</w:t>
            </w:r>
            <w:r>
              <w:rPr>
                <w:rFonts w:hint="eastAsia"/>
                <w:u w:val="single"/>
              </w:rPr>
              <w:t>中</w:t>
            </w:r>
            <w:r>
              <w:rPr>
                <w:u w:val="single"/>
              </w:rPr>
              <w:t>非甲烷总烃无组织监控点挥发性有机物浓度限值；厂区内厂房外无组织有机废气执行《挥发性有机物无组织排放控制标准》（GB37822-2019）附录A表A.1中的特别排放限值</w:t>
            </w:r>
            <w:r>
              <w:rPr>
                <w:rFonts w:hint="default"/>
                <w:u w:val="single"/>
                <w:lang w:eastAsia="zh-CN"/>
              </w:rPr>
              <w:t>；</w:t>
            </w:r>
            <w:r>
              <w:rPr>
                <w:u w:val="single"/>
              </w:rPr>
              <w:t>食堂油烟执行《饮食业油烟排放标准（试行）》（GB18483-2001）</w:t>
            </w:r>
            <w:r>
              <w:rPr>
                <w:rFonts w:hint="eastAsia"/>
                <w:u w:val="single"/>
                <w:lang w:eastAsia="zh-CN"/>
              </w:rPr>
              <w:t>；</w:t>
            </w:r>
            <w:r>
              <w:rPr>
                <w:highlight w:val="none"/>
              </w:rPr>
              <w:t>具</w:t>
            </w:r>
            <w:r>
              <w:t>体标准值见</w:t>
            </w:r>
            <w:r>
              <w:rPr>
                <w:rFonts w:hint="eastAsia"/>
              </w:rPr>
              <w:t>下表</w:t>
            </w:r>
            <w:r>
              <w:t>。</w:t>
            </w:r>
          </w:p>
          <w:p w14:paraId="17AED3F1">
            <w:pPr>
              <w:widowControl/>
              <w:spacing w:line="240" w:lineRule="auto"/>
              <w:ind w:firstLine="422" w:firstLineChars="200"/>
              <w:jc w:val="center"/>
              <w:rPr>
                <w:b/>
                <w:bCs/>
                <w:sz w:val="21"/>
                <w:szCs w:val="21"/>
              </w:rPr>
            </w:pPr>
            <w:r>
              <w:rPr>
                <w:b/>
                <w:bCs/>
                <w:sz w:val="21"/>
                <w:szCs w:val="21"/>
              </w:rPr>
              <w:t>表3-</w:t>
            </w:r>
            <w:r>
              <w:rPr>
                <w:rFonts w:hint="eastAsia"/>
                <w:b/>
                <w:bCs/>
                <w:sz w:val="21"/>
                <w:szCs w:val="21"/>
              </w:rPr>
              <w:t>7</w:t>
            </w:r>
            <w:r>
              <w:rPr>
                <w:b/>
                <w:bCs/>
                <w:sz w:val="21"/>
                <w:szCs w:val="21"/>
              </w:rPr>
              <w:t xml:space="preserve"> </w:t>
            </w:r>
            <w:r>
              <w:rPr>
                <w:rFonts w:hint="eastAsia"/>
                <w:b/>
                <w:bCs/>
                <w:sz w:val="21"/>
                <w:szCs w:val="21"/>
              </w:rPr>
              <w:t>《水泥工业大气污染物排放标准》</w:t>
            </w:r>
            <w:r>
              <w:rPr>
                <w:b/>
                <w:bCs/>
                <w:sz w:val="21"/>
                <w:szCs w:val="21"/>
              </w:rPr>
              <w:t>（GB</w:t>
            </w:r>
            <w:r>
              <w:rPr>
                <w:rFonts w:hint="eastAsia"/>
                <w:b/>
                <w:bCs/>
                <w:sz w:val="21"/>
                <w:szCs w:val="21"/>
              </w:rPr>
              <w:t>4915</w:t>
            </w:r>
            <w:r>
              <w:rPr>
                <w:b/>
                <w:bCs/>
                <w:sz w:val="21"/>
                <w:szCs w:val="21"/>
              </w:rPr>
              <w:t>-20</w:t>
            </w:r>
            <w:r>
              <w:rPr>
                <w:rFonts w:hint="eastAsia"/>
                <w:b/>
                <w:bCs/>
                <w:sz w:val="21"/>
                <w:szCs w:val="21"/>
              </w:rPr>
              <w:t>13</w:t>
            </w:r>
            <w:r>
              <w:rPr>
                <w:b/>
                <w:bCs/>
                <w:sz w:val="21"/>
                <w:szCs w:val="21"/>
              </w:rPr>
              <w:t>）</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452"/>
              <w:gridCol w:w="1278"/>
              <w:gridCol w:w="2816"/>
              <w:gridCol w:w="1469"/>
            </w:tblGrid>
            <w:tr w14:paraId="474E6B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1530" w:type="pct"/>
                  <w:vAlign w:val="center"/>
                </w:tcPr>
                <w:p w14:paraId="357C9CB5">
                  <w:pPr>
                    <w:widowControl/>
                    <w:adjustRightInd/>
                    <w:snapToGrid/>
                    <w:spacing w:line="240" w:lineRule="auto"/>
                    <w:ind w:firstLine="0" w:firstLineChars="0"/>
                    <w:jc w:val="center"/>
                    <w:rPr>
                      <w:b/>
                      <w:bCs/>
                      <w:sz w:val="21"/>
                      <w:szCs w:val="21"/>
                    </w:rPr>
                  </w:pPr>
                  <w:r>
                    <w:rPr>
                      <w:b/>
                      <w:bCs/>
                      <w:sz w:val="21"/>
                      <w:szCs w:val="21"/>
                    </w:rPr>
                    <w:t>标准</w:t>
                  </w:r>
                </w:p>
              </w:tc>
              <w:tc>
                <w:tcPr>
                  <w:tcW w:w="3469" w:type="pct"/>
                  <w:gridSpan w:val="3"/>
                  <w:vAlign w:val="center"/>
                </w:tcPr>
                <w:p w14:paraId="2DF900D8">
                  <w:pPr>
                    <w:widowControl/>
                    <w:adjustRightInd/>
                    <w:snapToGrid/>
                    <w:spacing w:line="240" w:lineRule="auto"/>
                    <w:ind w:firstLine="0" w:firstLineChars="0"/>
                    <w:jc w:val="center"/>
                    <w:rPr>
                      <w:b/>
                      <w:bCs/>
                      <w:sz w:val="21"/>
                      <w:szCs w:val="21"/>
                    </w:rPr>
                  </w:pPr>
                  <w:r>
                    <w:rPr>
                      <w:b/>
                      <w:bCs/>
                      <w:sz w:val="21"/>
                      <w:szCs w:val="21"/>
                    </w:rPr>
                    <w:t>评价标准值</w:t>
                  </w:r>
                </w:p>
              </w:tc>
            </w:tr>
            <w:tr w14:paraId="66276D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1530" w:type="pct"/>
                  <w:vMerge w:val="restart"/>
                  <w:vAlign w:val="center"/>
                </w:tcPr>
                <w:p w14:paraId="3193D3A8">
                  <w:pPr>
                    <w:widowControl/>
                    <w:adjustRightInd/>
                    <w:snapToGrid/>
                    <w:spacing w:line="240" w:lineRule="auto"/>
                    <w:ind w:firstLine="0" w:firstLineChars="0"/>
                    <w:jc w:val="center"/>
                    <w:rPr>
                      <w:sz w:val="21"/>
                      <w:szCs w:val="21"/>
                    </w:rPr>
                  </w:pPr>
                  <w:r>
                    <w:rPr>
                      <w:rFonts w:hint="eastAsia"/>
                      <w:sz w:val="21"/>
                      <w:szCs w:val="21"/>
                    </w:rPr>
                    <w:t>《水泥工业大气污染物排放标准》</w:t>
                  </w:r>
                  <w:r>
                    <w:rPr>
                      <w:sz w:val="21"/>
                      <w:szCs w:val="21"/>
                    </w:rPr>
                    <w:t>（GB</w:t>
                  </w:r>
                  <w:r>
                    <w:rPr>
                      <w:rFonts w:hint="eastAsia"/>
                      <w:sz w:val="21"/>
                      <w:szCs w:val="21"/>
                    </w:rPr>
                    <w:t>4915</w:t>
                  </w:r>
                  <w:r>
                    <w:rPr>
                      <w:sz w:val="21"/>
                      <w:szCs w:val="21"/>
                    </w:rPr>
                    <w:t>-20</w:t>
                  </w:r>
                  <w:r>
                    <w:rPr>
                      <w:rFonts w:hint="eastAsia"/>
                      <w:sz w:val="21"/>
                      <w:szCs w:val="21"/>
                    </w:rPr>
                    <w:t>13</w:t>
                  </w:r>
                  <w:r>
                    <w:rPr>
                      <w:sz w:val="21"/>
                      <w:szCs w:val="21"/>
                    </w:rPr>
                    <w:t>）</w:t>
                  </w:r>
                </w:p>
              </w:tc>
              <w:tc>
                <w:tcPr>
                  <w:tcW w:w="3469" w:type="pct"/>
                  <w:gridSpan w:val="3"/>
                  <w:vAlign w:val="center"/>
                </w:tcPr>
                <w:p w14:paraId="09BFFE51">
                  <w:pPr>
                    <w:widowControl/>
                    <w:adjustRightInd/>
                    <w:snapToGrid/>
                    <w:spacing w:line="240" w:lineRule="auto"/>
                    <w:ind w:firstLine="0" w:firstLineChars="0"/>
                    <w:jc w:val="center"/>
                    <w:rPr>
                      <w:sz w:val="21"/>
                      <w:szCs w:val="21"/>
                    </w:rPr>
                  </w:pPr>
                  <w:r>
                    <w:rPr>
                      <w:sz w:val="21"/>
                      <w:szCs w:val="21"/>
                    </w:rPr>
                    <w:t>无组织排放监控浓度限值mg/m³</w:t>
                  </w:r>
                </w:p>
              </w:tc>
            </w:tr>
            <w:tr w14:paraId="5E3AC7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30" w:type="pct"/>
                  <w:vMerge w:val="continue"/>
                  <w:vAlign w:val="center"/>
                </w:tcPr>
                <w:p w14:paraId="3DF2ED5B">
                  <w:pPr>
                    <w:widowControl/>
                    <w:adjustRightInd/>
                    <w:snapToGrid/>
                    <w:spacing w:line="240" w:lineRule="auto"/>
                    <w:ind w:firstLine="420" w:firstLineChars="200"/>
                    <w:jc w:val="center"/>
                    <w:rPr>
                      <w:sz w:val="21"/>
                      <w:szCs w:val="21"/>
                    </w:rPr>
                  </w:pPr>
                </w:p>
              </w:tc>
              <w:tc>
                <w:tcPr>
                  <w:tcW w:w="797" w:type="pct"/>
                  <w:vAlign w:val="center"/>
                </w:tcPr>
                <w:p w14:paraId="194CD111">
                  <w:pPr>
                    <w:widowControl/>
                    <w:adjustRightInd/>
                    <w:snapToGrid/>
                    <w:spacing w:line="240" w:lineRule="auto"/>
                    <w:ind w:firstLine="0" w:firstLineChars="0"/>
                    <w:jc w:val="center"/>
                    <w:rPr>
                      <w:sz w:val="21"/>
                      <w:szCs w:val="21"/>
                    </w:rPr>
                  </w:pPr>
                  <w:r>
                    <w:rPr>
                      <w:sz w:val="21"/>
                      <w:szCs w:val="21"/>
                    </w:rPr>
                    <w:t>污染物</w:t>
                  </w:r>
                </w:p>
              </w:tc>
              <w:tc>
                <w:tcPr>
                  <w:tcW w:w="1756" w:type="pct"/>
                  <w:vAlign w:val="center"/>
                </w:tcPr>
                <w:p w14:paraId="47A59598">
                  <w:pPr>
                    <w:widowControl/>
                    <w:adjustRightInd/>
                    <w:snapToGrid/>
                    <w:spacing w:line="240" w:lineRule="auto"/>
                    <w:ind w:firstLine="0" w:firstLineChars="0"/>
                    <w:jc w:val="center"/>
                    <w:rPr>
                      <w:sz w:val="21"/>
                      <w:szCs w:val="21"/>
                    </w:rPr>
                  </w:pPr>
                  <w:r>
                    <w:rPr>
                      <w:sz w:val="21"/>
                      <w:szCs w:val="21"/>
                    </w:rPr>
                    <w:t>监控点</w:t>
                  </w:r>
                </w:p>
              </w:tc>
              <w:tc>
                <w:tcPr>
                  <w:tcW w:w="915" w:type="pct"/>
                  <w:vAlign w:val="center"/>
                </w:tcPr>
                <w:p w14:paraId="12F4E0E7">
                  <w:pPr>
                    <w:widowControl/>
                    <w:adjustRightInd/>
                    <w:snapToGrid/>
                    <w:spacing w:line="240" w:lineRule="auto"/>
                    <w:ind w:firstLine="0" w:firstLineChars="0"/>
                    <w:jc w:val="center"/>
                    <w:rPr>
                      <w:sz w:val="21"/>
                      <w:szCs w:val="21"/>
                    </w:rPr>
                  </w:pPr>
                  <w:r>
                    <w:rPr>
                      <w:sz w:val="21"/>
                      <w:szCs w:val="21"/>
                    </w:rPr>
                    <w:t>浓度</w:t>
                  </w:r>
                </w:p>
              </w:tc>
            </w:tr>
            <w:tr w14:paraId="1B7AE0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30" w:type="pct"/>
                  <w:vMerge w:val="continue"/>
                  <w:vAlign w:val="center"/>
                </w:tcPr>
                <w:p w14:paraId="4F184586">
                  <w:pPr>
                    <w:widowControl/>
                    <w:adjustRightInd/>
                    <w:snapToGrid/>
                    <w:spacing w:line="240" w:lineRule="auto"/>
                    <w:ind w:firstLine="420" w:firstLineChars="200"/>
                    <w:jc w:val="center"/>
                    <w:rPr>
                      <w:sz w:val="21"/>
                      <w:szCs w:val="21"/>
                    </w:rPr>
                  </w:pPr>
                </w:p>
              </w:tc>
              <w:tc>
                <w:tcPr>
                  <w:tcW w:w="797" w:type="pct"/>
                  <w:vAlign w:val="center"/>
                </w:tcPr>
                <w:p w14:paraId="1F7AC975">
                  <w:pPr>
                    <w:widowControl/>
                    <w:adjustRightInd/>
                    <w:snapToGrid/>
                    <w:spacing w:line="240" w:lineRule="auto"/>
                    <w:ind w:firstLine="0" w:firstLineChars="0"/>
                    <w:jc w:val="center"/>
                    <w:rPr>
                      <w:sz w:val="21"/>
                      <w:szCs w:val="21"/>
                    </w:rPr>
                  </w:pPr>
                  <w:r>
                    <w:rPr>
                      <w:sz w:val="21"/>
                      <w:szCs w:val="21"/>
                    </w:rPr>
                    <w:t>颗粒物</w:t>
                  </w:r>
                </w:p>
              </w:tc>
              <w:tc>
                <w:tcPr>
                  <w:tcW w:w="1756" w:type="pct"/>
                  <w:vAlign w:val="center"/>
                </w:tcPr>
                <w:p w14:paraId="3D166B60">
                  <w:pPr>
                    <w:widowControl/>
                    <w:adjustRightInd/>
                    <w:snapToGrid/>
                    <w:spacing w:line="240" w:lineRule="auto"/>
                    <w:ind w:firstLine="0" w:firstLineChars="0"/>
                    <w:jc w:val="center"/>
                    <w:rPr>
                      <w:sz w:val="21"/>
                      <w:szCs w:val="21"/>
                    </w:rPr>
                  </w:pPr>
                  <w:r>
                    <w:rPr>
                      <w:rFonts w:hint="eastAsia"/>
                      <w:sz w:val="21"/>
                      <w:szCs w:val="21"/>
                    </w:rPr>
                    <w:t>厂界外20m处上风向设参照点，下风向设监控点</w:t>
                  </w:r>
                </w:p>
              </w:tc>
              <w:tc>
                <w:tcPr>
                  <w:tcW w:w="915" w:type="pct"/>
                  <w:vAlign w:val="center"/>
                </w:tcPr>
                <w:p w14:paraId="2221617A">
                  <w:pPr>
                    <w:widowControl/>
                    <w:adjustRightInd/>
                    <w:snapToGrid/>
                    <w:spacing w:line="240" w:lineRule="auto"/>
                    <w:ind w:firstLine="0" w:firstLineChars="0"/>
                    <w:jc w:val="center"/>
                    <w:rPr>
                      <w:sz w:val="21"/>
                      <w:szCs w:val="21"/>
                    </w:rPr>
                  </w:pPr>
                  <w:r>
                    <w:rPr>
                      <w:rFonts w:hint="eastAsia"/>
                      <w:sz w:val="21"/>
                      <w:szCs w:val="21"/>
                    </w:rPr>
                    <w:t>0.5</w:t>
                  </w:r>
                </w:p>
              </w:tc>
            </w:tr>
          </w:tbl>
          <w:p w14:paraId="658E976F">
            <w:pPr>
              <w:spacing w:line="240" w:lineRule="auto"/>
              <w:ind w:firstLine="422" w:firstLineChars="200"/>
              <w:jc w:val="center"/>
              <w:rPr>
                <w:rFonts w:ascii="Times New Roman" w:hAnsi="Times New Roman"/>
                <w:b/>
                <w:bCs/>
                <w:kern w:val="2"/>
                <w:sz w:val="21"/>
                <w:szCs w:val="21"/>
                <w:u w:val="single"/>
              </w:rPr>
            </w:pPr>
            <w:bookmarkStart w:id="55" w:name="_Toc11265"/>
            <w:bookmarkStart w:id="56" w:name="_Toc68160376"/>
            <w:r>
              <w:rPr>
                <w:rFonts w:ascii="Times New Roman" w:hAnsi="Times New Roman" w:eastAsia="宋体" w:cs="Times New Roman"/>
                <w:b/>
                <w:bCs/>
                <w:kern w:val="2"/>
                <w:sz w:val="21"/>
                <w:szCs w:val="21"/>
                <w:u w:val="single"/>
              </w:rPr>
              <w:t>表3-</w:t>
            </w:r>
            <w:r>
              <w:rPr>
                <w:rFonts w:hint="eastAsia" w:ascii="Times New Roman" w:hAnsi="Times New Roman" w:eastAsia="宋体" w:cs="Times New Roman"/>
                <w:b/>
                <w:bCs/>
                <w:kern w:val="2"/>
                <w:sz w:val="21"/>
                <w:szCs w:val="21"/>
                <w:u w:val="single"/>
                <w:lang w:val="en-US" w:eastAsia="zh-CN"/>
              </w:rPr>
              <w:t>8</w:t>
            </w:r>
            <w:r>
              <w:rPr>
                <w:rFonts w:ascii="Times New Roman" w:hAnsi="Times New Roman" w:eastAsia="宋体" w:cs="Times New Roman"/>
                <w:b/>
                <w:bCs/>
                <w:kern w:val="2"/>
                <w:sz w:val="21"/>
                <w:szCs w:val="21"/>
                <w:u w:val="single"/>
              </w:rPr>
              <w:t xml:space="preserve"> </w:t>
            </w:r>
            <w:r>
              <w:rPr>
                <w:rFonts w:ascii="Times New Roman" w:hAnsi="Times New Roman"/>
                <w:b/>
                <w:bCs/>
                <w:kern w:val="2"/>
                <w:sz w:val="21"/>
                <w:szCs w:val="21"/>
                <w:u w:val="single"/>
              </w:rPr>
              <w:t xml:space="preserve"> 大气污染物综合排放标准</w:t>
            </w:r>
          </w:p>
          <w:tbl>
            <w:tblPr>
              <w:tblStyle w:val="24"/>
              <w:tblW w:w="7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1693"/>
              <w:gridCol w:w="1912"/>
              <w:gridCol w:w="1527"/>
              <w:gridCol w:w="1397"/>
            </w:tblGrid>
            <w:tr w14:paraId="1EEB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98" w:type="pct"/>
                  <w:vMerge w:val="restart"/>
                  <w:noWrap w:val="0"/>
                  <w:vAlign w:val="center"/>
                </w:tcPr>
                <w:p w14:paraId="29F1D85D">
                  <w:pPr>
                    <w:widowControl/>
                    <w:wordWrap/>
                    <w:topLinePunct w:val="0"/>
                    <w:adjustRightInd/>
                    <w:snapToGrid/>
                    <w:spacing w:line="240" w:lineRule="auto"/>
                    <w:ind w:firstLine="0" w:firstLineChars="0"/>
                    <w:jc w:val="center"/>
                    <w:rPr>
                      <w:b/>
                      <w:bCs/>
                      <w:sz w:val="21"/>
                      <w:szCs w:val="21"/>
                      <w:u w:val="single"/>
                    </w:rPr>
                  </w:pPr>
                  <w:r>
                    <w:rPr>
                      <w:b/>
                      <w:bCs/>
                      <w:kern w:val="2"/>
                      <w:sz w:val="21"/>
                      <w:szCs w:val="21"/>
                      <w:u w:val="single"/>
                    </w:rPr>
                    <w:t>污染物控制项目</w:t>
                  </w:r>
                </w:p>
              </w:tc>
              <w:tc>
                <w:tcPr>
                  <w:tcW w:w="2264" w:type="pct"/>
                  <w:gridSpan w:val="2"/>
                  <w:noWrap w:val="0"/>
                  <w:vAlign w:val="center"/>
                </w:tcPr>
                <w:p w14:paraId="3A2A28F6">
                  <w:pPr>
                    <w:widowControl/>
                    <w:wordWrap/>
                    <w:topLinePunct w:val="0"/>
                    <w:adjustRightInd/>
                    <w:snapToGrid/>
                    <w:spacing w:line="240" w:lineRule="auto"/>
                    <w:ind w:firstLine="422" w:firstLineChars="200"/>
                    <w:jc w:val="center"/>
                    <w:rPr>
                      <w:b/>
                      <w:bCs/>
                      <w:sz w:val="21"/>
                      <w:szCs w:val="21"/>
                      <w:u w:val="single"/>
                    </w:rPr>
                  </w:pPr>
                  <w:r>
                    <w:rPr>
                      <w:b/>
                      <w:bCs/>
                      <w:kern w:val="2"/>
                      <w:sz w:val="21"/>
                      <w:szCs w:val="21"/>
                      <w:u w:val="single"/>
                    </w:rPr>
                    <w:t>有组织排放</w:t>
                  </w:r>
                </w:p>
              </w:tc>
              <w:tc>
                <w:tcPr>
                  <w:tcW w:w="1836" w:type="pct"/>
                  <w:gridSpan w:val="2"/>
                  <w:noWrap w:val="0"/>
                  <w:vAlign w:val="center"/>
                </w:tcPr>
                <w:p w14:paraId="1B9FD153">
                  <w:pPr>
                    <w:widowControl/>
                    <w:wordWrap/>
                    <w:topLinePunct w:val="0"/>
                    <w:adjustRightInd/>
                    <w:snapToGrid/>
                    <w:spacing w:line="240" w:lineRule="auto"/>
                    <w:ind w:firstLine="422" w:firstLineChars="200"/>
                    <w:jc w:val="center"/>
                    <w:rPr>
                      <w:b/>
                      <w:bCs/>
                      <w:kern w:val="2"/>
                      <w:sz w:val="21"/>
                      <w:szCs w:val="21"/>
                      <w:u w:val="single"/>
                    </w:rPr>
                  </w:pPr>
                  <w:r>
                    <w:rPr>
                      <w:b/>
                      <w:bCs/>
                      <w:kern w:val="2"/>
                      <w:sz w:val="21"/>
                      <w:szCs w:val="21"/>
                      <w:u w:val="single"/>
                    </w:rPr>
                    <w:t>无组织排放</w:t>
                  </w:r>
                </w:p>
              </w:tc>
            </w:tr>
            <w:tr w14:paraId="31A6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898" w:type="pct"/>
                  <w:vMerge w:val="continue"/>
                  <w:noWrap w:val="0"/>
                  <w:vAlign w:val="center"/>
                </w:tcPr>
                <w:p w14:paraId="5EC91AAC">
                  <w:pPr>
                    <w:widowControl/>
                    <w:wordWrap/>
                    <w:topLinePunct w:val="0"/>
                    <w:adjustRightInd/>
                    <w:snapToGrid/>
                    <w:spacing w:line="240" w:lineRule="auto"/>
                    <w:ind w:firstLine="422" w:firstLineChars="200"/>
                    <w:jc w:val="center"/>
                    <w:rPr>
                      <w:b/>
                      <w:bCs/>
                      <w:sz w:val="21"/>
                      <w:szCs w:val="21"/>
                      <w:u w:val="single"/>
                    </w:rPr>
                  </w:pPr>
                </w:p>
              </w:tc>
              <w:tc>
                <w:tcPr>
                  <w:tcW w:w="1063" w:type="pct"/>
                  <w:noWrap w:val="0"/>
                  <w:vAlign w:val="center"/>
                </w:tcPr>
                <w:p w14:paraId="22763CCB">
                  <w:pPr>
                    <w:widowControl/>
                    <w:wordWrap/>
                    <w:topLinePunct w:val="0"/>
                    <w:adjustRightInd/>
                    <w:snapToGrid/>
                    <w:spacing w:line="240" w:lineRule="auto"/>
                    <w:ind w:firstLine="0" w:firstLineChars="0"/>
                    <w:jc w:val="center"/>
                    <w:rPr>
                      <w:b/>
                      <w:bCs/>
                      <w:kern w:val="2"/>
                      <w:sz w:val="21"/>
                      <w:szCs w:val="21"/>
                      <w:u w:val="single"/>
                    </w:rPr>
                  </w:pPr>
                  <w:r>
                    <w:rPr>
                      <w:b/>
                      <w:bCs/>
                      <w:sz w:val="21"/>
                      <w:szCs w:val="21"/>
                      <w:u w:val="single"/>
                    </w:rPr>
                    <w:t>最高允许排放浓度(mg/m</w:t>
                  </w:r>
                  <w:r>
                    <w:rPr>
                      <w:b/>
                      <w:bCs/>
                      <w:sz w:val="21"/>
                      <w:szCs w:val="21"/>
                      <w:u w:val="single"/>
                      <w:vertAlign w:val="superscript"/>
                    </w:rPr>
                    <w:t>3</w:t>
                  </w:r>
                  <w:r>
                    <w:rPr>
                      <w:b/>
                      <w:bCs/>
                      <w:sz w:val="21"/>
                      <w:szCs w:val="21"/>
                      <w:u w:val="single"/>
                    </w:rPr>
                    <w:t>)</w:t>
                  </w:r>
                </w:p>
              </w:tc>
              <w:tc>
                <w:tcPr>
                  <w:tcW w:w="1201" w:type="pct"/>
                  <w:noWrap w:val="0"/>
                  <w:vAlign w:val="center"/>
                </w:tcPr>
                <w:p w14:paraId="48266C16">
                  <w:pPr>
                    <w:widowControl/>
                    <w:wordWrap/>
                    <w:topLinePunct w:val="0"/>
                    <w:adjustRightInd/>
                    <w:snapToGrid/>
                    <w:spacing w:line="240" w:lineRule="auto"/>
                    <w:ind w:firstLine="0" w:firstLineChars="0"/>
                    <w:jc w:val="center"/>
                    <w:rPr>
                      <w:b/>
                      <w:bCs/>
                      <w:kern w:val="2"/>
                      <w:sz w:val="21"/>
                      <w:szCs w:val="21"/>
                      <w:u w:val="single"/>
                    </w:rPr>
                  </w:pPr>
                  <w:r>
                    <w:rPr>
                      <w:b/>
                      <w:bCs/>
                      <w:sz w:val="21"/>
                      <w:szCs w:val="21"/>
                      <w:u w:val="single"/>
                    </w:rPr>
                    <w:t>污染物排放监控位置</w:t>
                  </w:r>
                </w:p>
              </w:tc>
              <w:tc>
                <w:tcPr>
                  <w:tcW w:w="959" w:type="pct"/>
                  <w:noWrap w:val="0"/>
                  <w:vAlign w:val="center"/>
                </w:tcPr>
                <w:p w14:paraId="2313E9A3">
                  <w:pPr>
                    <w:widowControl/>
                    <w:wordWrap/>
                    <w:topLinePunct w:val="0"/>
                    <w:adjustRightInd/>
                    <w:snapToGrid/>
                    <w:spacing w:line="240" w:lineRule="auto"/>
                    <w:ind w:firstLine="0" w:firstLineChars="0"/>
                    <w:jc w:val="center"/>
                    <w:rPr>
                      <w:b/>
                      <w:bCs/>
                      <w:kern w:val="2"/>
                      <w:sz w:val="21"/>
                      <w:szCs w:val="21"/>
                      <w:u w:val="single"/>
                    </w:rPr>
                  </w:pPr>
                  <w:r>
                    <w:rPr>
                      <w:b/>
                      <w:bCs/>
                      <w:sz w:val="21"/>
                      <w:szCs w:val="21"/>
                      <w:u w:val="single"/>
                    </w:rPr>
                    <w:t>最高允许排放浓度(mg/m</w:t>
                  </w:r>
                  <w:r>
                    <w:rPr>
                      <w:b/>
                      <w:bCs/>
                      <w:sz w:val="21"/>
                      <w:szCs w:val="21"/>
                      <w:u w:val="single"/>
                      <w:vertAlign w:val="superscript"/>
                    </w:rPr>
                    <w:t>3</w:t>
                  </w:r>
                  <w:r>
                    <w:rPr>
                      <w:b/>
                      <w:bCs/>
                      <w:sz w:val="21"/>
                      <w:szCs w:val="21"/>
                      <w:u w:val="single"/>
                    </w:rPr>
                    <w:t>)</w:t>
                  </w:r>
                </w:p>
              </w:tc>
              <w:tc>
                <w:tcPr>
                  <w:tcW w:w="877" w:type="pct"/>
                  <w:noWrap w:val="0"/>
                  <w:vAlign w:val="center"/>
                </w:tcPr>
                <w:p w14:paraId="5BE8A8A4">
                  <w:pPr>
                    <w:widowControl/>
                    <w:wordWrap/>
                    <w:topLinePunct w:val="0"/>
                    <w:adjustRightInd/>
                    <w:snapToGrid/>
                    <w:spacing w:line="240" w:lineRule="auto"/>
                    <w:ind w:firstLine="0" w:firstLineChars="0"/>
                    <w:jc w:val="center"/>
                    <w:rPr>
                      <w:b/>
                      <w:bCs/>
                      <w:sz w:val="21"/>
                      <w:szCs w:val="21"/>
                      <w:u w:val="single"/>
                    </w:rPr>
                  </w:pPr>
                  <w:r>
                    <w:rPr>
                      <w:b/>
                      <w:bCs/>
                      <w:sz w:val="21"/>
                      <w:szCs w:val="21"/>
                      <w:u w:val="single"/>
                    </w:rPr>
                    <w:t>污染物排放</w:t>
                  </w:r>
                </w:p>
                <w:p w14:paraId="20BB74E1">
                  <w:pPr>
                    <w:widowControl/>
                    <w:wordWrap/>
                    <w:topLinePunct w:val="0"/>
                    <w:adjustRightInd/>
                    <w:snapToGrid/>
                    <w:spacing w:line="240" w:lineRule="auto"/>
                    <w:ind w:firstLine="0" w:firstLineChars="0"/>
                    <w:jc w:val="center"/>
                    <w:rPr>
                      <w:b/>
                      <w:bCs/>
                      <w:kern w:val="2"/>
                      <w:sz w:val="21"/>
                      <w:szCs w:val="21"/>
                      <w:u w:val="single"/>
                    </w:rPr>
                  </w:pPr>
                  <w:r>
                    <w:rPr>
                      <w:b/>
                      <w:bCs/>
                      <w:sz w:val="21"/>
                      <w:szCs w:val="21"/>
                      <w:u w:val="single"/>
                    </w:rPr>
                    <w:t>监控位置</w:t>
                  </w:r>
                </w:p>
              </w:tc>
            </w:tr>
            <w:tr w14:paraId="618A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98" w:type="pct"/>
                  <w:noWrap w:val="0"/>
                  <w:vAlign w:val="center"/>
                </w:tcPr>
                <w:p w14:paraId="54856093">
                  <w:pPr>
                    <w:ind w:firstLine="0" w:firstLineChars="0"/>
                    <w:jc w:val="center"/>
                    <w:rPr>
                      <w:rFonts w:hint="default" w:ascii="Times New Roman" w:hAnsi="Times New Roman"/>
                      <w:kern w:val="2"/>
                      <w:sz w:val="21"/>
                      <w:szCs w:val="21"/>
                      <w:u w:val="single"/>
                    </w:rPr>
                  </w:pPr>
                  <w:r>
                    <w:rPr>
                      <w:rFonts w:hint="default" w:ascii="Times New Roman" w:hAnsi="Times New Roman"/>
                      <w:kern w:val="2"/>
                      <w:sz w:val="21"/>
                      <w:szCs w:val="21"/>
                      <w:u w:val="single"/>
                    </w:rPr>
                    <w:t>非甲烷总烃</w:t>
                  </w:r>
                </w:p>
              </w:tc>
              <w:tc>
                <w:tcPr>
                  <w:tcW w:w="1063" w:type="pct"/>
                  <w:noWrap w:val="0"/>
                  <w:vAlign w:val="center"/>
                </w:tcPr>
                <w:p w14:paraId="3D1ABA7B">
                  <w:pPr>
                    <w:ind w:firstLine="0"/>
                    <w:jc w:val="center"/>
                    <w:rPr>
                      <w:rFonts w:hint="default" w:ascii="Times New Roman" w:hAnsi="Times New Roman"/>
                      <w:kern w:val="2"/>
                      <w:sz w:val="21"/>
                      <w:szCs w:val="21"/>
                      <w:u w:val="single"/>
                    </w:rPr>
                  </w:pPr>
                  <w:r>
                    <w:rPr>
                      <w:rFonts w:hint="default" w:ascii="Times New Roman" w:hAnsi="Times New Roman"/>
                      <w:kern w:val="2"/>
                      <w:sz w:val="21"/>
                      <w:szCs w:val="21"/>
                      <w:u w:val="single"/>
                    </w:rPr>
                    <w:t>/</w:t>
                  </w:r>
                </w:p>
              </w:tc>
              <w:tc>
                <w:tcPr>
                  <w:tcW w:w="1201" w:type="pct"/>
                  <w:noWrap w:val="0"/>
                  <w:vAlign w:val="center"/>
                </w:tcPr>
                <w:p w14:paraId="5B2E158D">
                  <w:pPr>
                    <w:ind w:firstLine="0" w:firstLineChars="0"/>
                    <w:jc w:val="center"/>
                    <w:rPr>
                      <w:rFonts w:hint="default" w:ascii="Times New Roman" w:hAnsi="Times New Roman"/>
                      <w:kern w:val="2"/>
                      <w:sz w:val="21"/>
                      <w:szCs w:val="21"/>
                      <w:u w:val="single"/>
                    </w:rPr>
                  </w:pPr>
                  <w:r>
                    <w:rPr>
                      <w:rFonts w:hint="default" w:ascii="Times New Roman" w:hAnsi="Times New Roman"/>
                      <w:kern w:val="2"/>
                      <w:sz w:val="21"/>
                      <w:szCs w:val="21"/>
                      <w:u w:val="single"/>
                    </w:rPr>
                    <w:t>/</w:t>
                  </w:r>
                </w:p>
              </w:tc>
              <w:tc>
                <w:tcPr>
                  <w:tcW w:w="959" w:type="pct"/>
                  <w:noWrap w:val="0"/>
                  <w:vAlign w:val="center"/>
                </w:tcPr>
                <w:p w14:paraId="14875EC1">
                  <w:pPr>
                    <w:ind w:firstLine="0" w:firstLineChars="0"/>
                    <w:jc w:val="center"/>
                    <w:rPr>
                      <w:rFonts w:ascii="Times New Roman" w:hAnsi="Times New Roman"/>
                      <w:kern w:val="2"/>
                      <w:sz w:val="21"/>
                      <w:szCs w:val="21"/>
                      <w:u w:val="single"/>
                    </w:rPr>
                  </w:pPr>
                  <w:r>
                    <w:rPr>
                      <w:rFonts w:hint="default" w:ascii="Times New Roman" w:hAnsi="Times New Roman"/>
                      <w:kern w:val="2"/>
                      <w:sz w:val="21"/>
                      <w:szCs w:val="21"/>
                      <w:u w:val="single"/>
                    </w:rPr>
                    <w:t>4.0</w:t>
                  </w:r>
                  <w:r>
                    <w:rPr>
                      <w:rFonts w:ascii="Times New Roman" w:hAnsi="Times New Roman"/>
                      <w:kern w:val="2"/>
                      <w:sz w:val="21"/>
                      <w:szCs w:val="21"/>
                      <w:u w:val="single"/>
                    </w:rPr>
                    <w:t>mg/m³</w:t>
                  </w:r>
                </w:p>
              </w:tc>
              <w:tc>
                <w:tcPr>
                  <w:tcW w:w="877" w:type="pct"/>
                  <w:noWrap w:val="0"/>
                  <w:vAlign w:val="center"/>
                </w:tcPr>
                <w:p w14:paraId="01A9988B">
                  <w:pPr>
                    <w:ind w:firstLine="0"/>
                    <w:jc w:val="center"/>
                    <w:rPr>
                      <w:rFonts w:hint="default" w:ascii="Times New Roman" w:hAnsi="Times New Roman"/>
                      <w:kern w:val="2"/>
                      <w:sz w:val="21"/>
                      <w:szCs w:val="21"/>
                      <w:u w:val="single"/>
                    </w:rPr>
                  </w:pPr>
                  <w:r>
                    <w:rPr>
                      <w:rFonts w:hint="default" w:ascii="Times New Roman" w:hAnsi="Times New Roman"/>
                      <w:kern w:val="2"/>
                      <w:sz w:val="21"/>
                      <w:szCs w:val="21"/>
                      <w:u w:val="single"/>
                    </w:rPr>
                    <w:t>厂界</w:t>
                  </w:r>
                </w:p>
              </w:tc>
            </w:tr>
          </w:tbl>
          <w:p w14:paraId="127E685A">
            <w:pPr>
              <w:widowControl/>
              <w:wordWrap/>
              <w:topLinePunct w:val="0"/>
              <w:adjustRightInd/>
              <w:snapToGrid/>
              <w:spacing w:before="0" w:beforeLines="-2147483648" w:line="240" w:lineRule="auto"/>
              <w:ind w:firstLine="422" w:firstLineChars="200"/>
              <w:jc w:val="center"/>
              <w:rPr>
                <w:b/>
                <w:bCs/>
                <w:sz w:val="21"/>
                <w:szCs w:val="21"/>
                <w:u w:val="single"/>
              </w:rPr>
            </w:pPr>
            <w:r>
              <w:rPr>
                <w:b/>
                <w:bCs/>
                <w:sz w:val="21"/>
                <w:szCs w:val="21"/>
                <w:u w:val="single"/>
              </w:rPr>
              <w:t>表3-</w:t>
            </w:r>
            <w:r>
              <w:rPr>
                <w:rFonts w:hint="eastAsia"/>
                <w:b/>
                <w:bCs/>
                <w:sz w:val="21"/>
                <w:szCs w:val="21"/>
                <w:u w:val="single"/>
                <w:lang w:val="en-US" w:eastAsia="zh-CN"/>
              </w:rPr>
              <w:t>9</w:t>
            </w:r>
            <w:r>
              <w:rPr>
                <w:b/>
                <w:bCs/>
                <w:sz w:val="21"/>
                <w:szCs w:val="21"/>
                <w:u w:val="single"/>
              </w:rPr>
              <w:t xml:space="preserve">  挥发性有机物无组织排放控制标准  单位：mg/m</w:t>
            </w:r>
            <w:r>
              <w:rPr>
                <w:b/>
                <w:bCs/>
                <w:sz w:val="21"/>
                <w:szCs w:val="21"/>
                <w:u w:val="single"/>
                <w:vertAlign w:val="superscript"/>
              </w:rPr>
              <w:t>3</w:t>
            </w:r>
          </w:p>
          <w:tbl>
            <w:tblPr>
              <w:tblStyle w:val="24"/>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1166"/>
              <w:gridCol w:w="2664"/>
              <w:gridCol w:w="2327"/>
            </w:tblGrid>
            <w:tr w14:paraId="545C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160" w:type="pct"/>
                  <w:noWrap w:val="0"/>
                  <w:vAlign w:val="center"/>
                </w:tcPr>
                <w:p w14:paraId="35AFC928">
                  <w:pPr>
                    <w:widowControl/>
                    <w:wordWrap/>
                    <w:topLinePunct w:val="0"/>
                    <w:adjustRightInd/>
                    <w:snapToGrid/>
                    <w:spacing w:line="240" w:lineRule="auto"/>
                    <w:ind w:firstLine="0" w:firstLineChars="0"/>
                    <w:jc w:val="center"/>
                    <w:rPr>
                      <w:b/>
                      <w:bCs/>
                      <w:kern w:val="2"/>
                      <w:sz w:val="21"/>
                      <w:szCs w:val="21"/>
                      <w:u w:val="single"/>
                    </w:rPr>
                  </w:pPr>
                  <w:r>
                    <w:rPr>
                      <w:b/>
                      <w:bCs/>
                      <w:kern w:val="2"/>
                      <w:sz w:val="21"/>
                      <w:szCs w:val="21"/>
                      <w:u w:val="single"/>
                    </w:rPr>
                    <w:t>污染物控制项目</w:t>
                  </w:r>
                </w:p>
              </w:tc>
              <w:tc>
                <w:tcPr>
                  <w:tcW w:w="727" w:type="pct"/>
                  <w:noWrap w:val="0"/>
                  <w:vAlign w:val="center"/>
                </w:tcPr>
                <w:p w14:paraId="7AB89344">
                  <w:pPr>
                    <w:widowControl/>
                    <w:wordWrap/>
                    <w:topLinePunct w:val="0"/>
                    <w:adjustRightInd/>
                    <w:snapToGrid/>
                    <w:spacing w:line="240" w:lineRule="auto"/>
                    <w:ind w:firstLine="0" w:firstLineChars="0"/>
                    <w:jc w:val="center"/>
                    <w:rPr>
                      <w:b/>
                      <w:bCs/>
                      <w:kern w:val="2"/>
                      <w:sz w:val="21"/>
                      <w:szCs w:val="21"/>
                      <w:u w:val="single"/>
                    </w:rPr>
                  </w:pPr>
                  <w:r>
                    <w:rPr>
                      <w:b/>
                      <w:bCs/>
                      <w:kern w:val="2"/>
                      <w:sz w:val="21"/>
                      <w:szCs w:val="21"/>
                      <w:u w:val="single"/>
                    </w:rPr>
                    <w:t>排放限值</w:t>
                  </w:r>
                </w:p>
              </w:tc>
              <w:tc>
                <w:tcPr>
                  <w:tcW w:w="1661" w:type="pct"/>
                  <w:noWrap w:val="0"/>
                  <w:vAlign w:val="center"/>
                </w:tcPr>
                <w:p w14:paraId="7B316801">
                  <w:pPr>
                    <w:widowControl/>
                    <w:wordWrap/>
                    <w:topLinePunct w:val="0"/>
                    <w:adjustRightInd/>
                    <w:snapToGrid/>
                    <w:spacing w:line="240" w:lineRule="auto"/>
                    <w:ind w:firstLine="0" w:firstLineChars="0"/>
                    <w:jc w:val="center"/>
                    <w:rPr>
                      <w:b/>
                      <w:bCs/>
                      <w:kern w:val="2"/>
                      <w:sz w:val="21"/>
                      <w:szCs w:val="21"/>
                      <w:u w:val="single"/>
                    </w:rPr>
                  </w:pPr>
                  <w:r>
                    <w:rPr>
                      <w:b/>
                      <w:bCs/>
                      <w:kern w:val="2"/>
                      <w:sz w:val="21"/>
                      <w:szCs w:val="21"/>
                      <w:u w:val="single"/>
                    </w:rPr>
                    <w:t>限值含义</w:t>
                  </w:r>
                </w:p>
              </w:tc>
              <w:tc>
                <w:tcPr>
                  <w:tcW w:w="1451" w:type="pct"/>
                  <w:noWrap w:val="0"/>
                  <w:vAlign w:val="center"/>
                </w:tcPr>
                <w:p w14:paraId="1AFDBC05">
                  <w:pPr>
                    <w:widowControl/>
                    <w:wordWrap/>
                    <w:topLinePunct w:val="0"/>
                    <w:adjustRightInd/>
                    <w:snapToGrid/>
                    <w:spacing w:line="240" w:lineRule="auto"/>
                    <w:ind w:firstLine="0" w:firstLineChars="0"/>
                    <w:jc w:val="center"/>
                    <w:rPr>
                      <w:b/>
                      <w:bCs/>
                      <w:kern w:val="2"/>
                      <w:sz w:val="21"/>
                      <w:szCs w:val="21"/>
                      <w:u w:val="single"/>
                    </w:rPr>
                  </w:pPr>
                  <w:r>
                    <w:rPr>
                      <w:b/>
                      <w:bCs/>
                      <w:kern w:val="2"/>
                      <w:sz w:val="21"/>
                      <w:szCs w:val="21"/>
                      <w:u w:val="single"/>
                    </w:rPr>
                    <w:t>无组织排放监控位置</w:t>
                  </w:r>
                </w:p>
              </w:tc>
            </w:tr>
            <w:tr w14:paraId="141D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160" w:type="pct"/>
                  <w:noWrap w:val="0"/>
                  <w:vAlign w:val="center"/>
                </w:tcPr>
                <w:p w14:paraId="03D879F0">
                  <w:pPr>
                    <w:widowControl/>
                    <w:wordWrap/>
                    <w:topLinePunct w:val="0"/>
                    <w:adjustRightInd/>
                    <w:snapToGrid/>
                    <w:spacing w:line="240" w:lineRule="auto"/>
                    <w:ind w:firstLine="0" w:firstLineChars="0"/>
                    <w:jc w:val="center"/>
                    <w:rPr>
                      <w:kern w:val="2"/>
                      <w:sz w:val="21"/>
                      <w:szCs w:val="21"/>
                      <w:u w:val="single"/>
                    </w:rPr>
                  </w:pPr>
                  <w:r>
                    <w:rPr>
                      <w:sz w:val="21"/>
                      <w:szCs w:val="21"/>
                      <w:u w:val="single"/>
                    </w:rPr>
                    <w:t>VOCs</w:t>
                  </w:r>
                </w:p>
              </w:tc>
              <w:tc>
                <w:tcPr>
                  <w:tcW w:w="727" w:type="pct"/>
                  <w:noWrap w:val="0"/>
                  <w:vAlign w:val="center"/>
                </w:tcPr>
                <w:p w14:paraId="79E26BFC">
                  <w:pPr>
                    <w:widowControl/>
                    <w:wordWrap/>
                    <w:topLinePunct w:val="0"/>
                    <w:adjustRightInd/>
                    <w:snapToGrid/>
                    <w:spacing w:line="240" w:lineRule="auto"/>
                    <w:ind w:firstLine="0" w:firstLineChars="0"/>
                    <w:jc w:val="center"/>
                    <w:rPr>
                      <w:kern w:val="2"/>
                      <w:sz w:val="21"/>
                      <w:szCs w:val="21"/>
                      <w:u w:val="single"/>
                    </w:rPr>
                  </w:pPr>
                  <w:r>
                    <w:rPr>
                      <w:kern w:val="2"/>
                      <w:sz w:val="21"/>
                      <w:szCs w:val="21"/>
                      <w:u w:val="single"/>
                    </w:rPr>
                    <w:t>10</w:t>
                  </w:r>
                </w:p>
              </w:tc>
              <w:tc>
                <w:tcPr>
                  <w:tcW w:w="1661" w:type="pct"/>
                  <w:noWrap w:val="0"/>
                  <w:vAlign w:val="center"/>
                </w:tcPr>
                <w:p w14:paraId="7B375BAA">
                  <w:pPr>
                    <w:widowControl/>
                    <w:wordWrap/>
                    <w:topLinePunct w:val="0"/>
                    <w:adjustRightInd/>
                    <w:snapToGrid/>
                    <w:spacing w:line="240" w:lineRule="auto"/>
                    <w:ind w:firstLine="0" w:firstLineChars="0"/>
                    <w:jc w:val="center"/>
                    <w:rPr>
                      <w:kern w:val="2"/>
                      <w:sz w:val="21"/>
                      <w:szCs w:val="21"/>
                      <w:u w:val="single"/>
                    </w:rPr>
                  </w:pPr>
                  <w:r>
                    <w:rPr>
                      <w:kern w:val="2"/>
                      <w:sz w:val="21"/>
                      <w:szCs w:val="21"/>
                      <w:u w:val="single"/>
                    </w:rPr>
                    <w:t>监控点处1h平均浓度值</w:t>
                  </w:r>
                </w:p>
              </w:tc>
              <w:tc>
                <w:tcPr>
                  <w:tcW w:w="1451" w:type="pct"/>
                  <w:noWrap w:val="0"/>
                  <w:vAlign w:val="center"/>
                </w:tcPr>
                <w:p w14:paraId="0E6376D6">
                  <w:pPr>
                    <w:widowControl/>
                    <w:wordWrap/>
                    <w:topLinePunct w:val="0"/>
                    <w:adjustRightInd/>
                    <w:snapToGrid/>
                    <w:spacing w:line="240" w:lineRule="auto"/>
                    <w:ind w:firstLine="0" w:firstLineChars="0"/>
                    <w:jc w:val="center"/>
                    <w:rPr>
                      <w:kern w:val="2"/>
                      <w:sz w:val="21"/>
                      <w:szCs w:val="21"/>
                      <w:u w:val="single"/>
                    </w:rPr>
                  </w:pPr>
                  <w:r>
                    <w:rPr>
                      <w:kern w:val="2"/>
                      <w:sz w:val="21"/>
                      <w:szCs w:val="21"/>
                      <w:u w:val="single"/>
                    </w:rPr>
                    <w:t>厂房外厂区内</w:t>
                  </w:r>
                </w:p>
              </w:tc>
            </w:tr>
          </w:tbl>
          <w:p w14:paraId="3F63CC7A">
            <w:pPr>
              <w:widowControl/>
              <w:spacing w:line="240" w:lineRule="auto"/>
              <w:ind w:firstLine="422" w:firstLineChars="200"/>
              <w:jc w:val="center"/>
              <w:rPr>
                <w:u w:val="single"/>
              </w:rPr>
            </w:pPr>
            <w:r>
              <w:rPr>
                <w:rFonts w:ascii="Times New Roman" w:hAnsi="Times New Roman" w:eastAsia="宋体" w:cs="Times New Roman"/>
                <w:b/>
                <w:bCs/>
                <w:sz w:val="21"/>
                <w:szCs w:val="21"/>
                <w:u w:val="single"/>
              </w:rPr>
              <w:t>表3-</w:t>
            </w:r>
            <w:r>
              <w:rPr>
                <w:rFonts w:hint="eastAsia" w:ascii="Times New Roman" w:hAnsi="Times New Roman" w:eastAsia="宋体" w:cs="Times New Roman"/>
                <w:b/>
                <w:bCs/>
                <w:sz w:val="21"/>
                <w:szCs w:val="21"/>
                <w:u w:val="single"/>
                <w:lang w:val="en-US" w:eastAsia="zh-CN"/>
              </w:rPr>
              <w:t>10</w:t>
            </w:r>
            <w:r>
              <w:rPr>
                <w:rFonts w:ascii="Times New Roman" w:hAnsi="Times New Roman" w:eastAsia="宋体" w:cs="Times New Roman"/>
                <w:b/>
                <w:bCs/>
                <w:sz w:val="21"/>
                <w:szCs w:val="21"/>
                <w:u w:val="single"/>
              </w:rPr>
              <w:t xml:space="preserve"> 《饮食业油烟</w:t>
            </w:r>
            <w:r>
              <w:rPr>
                <w:b/>
                <w:bCs/>
                <w:sz w:val="21"/>
                <w:szCs w:val="21"/>
                <w:u w:val="single"/>
              </w:rPr>
              <w:t>排放标准（试行）》（GB18483-2001）</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1758"/>
              <w:gridCol w:w="2342"/>
              <w:gridCol w:w="2866"/>
            </w:tblGrid>
            <w:tr w14:paraId="12C1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23A1803B">
                  <w:pPr>
                    <w:widowControl/>
                    <w:adjustRightInd/>
                    <w:snapToGrid/>
                    <w:spacing w:line="240" w:lineRule="auto"/>
                    <w:ind w:firstLine="0" w:firstLineChars="0"/>
                    <w:jc w:val="center"/>
                    <w:rPr>
                      <w:b/>
                      <w:bCs/>
                      <w:sz w:val="21"/>
                      <w:szCs w:val="21"/>
                      <w:u w:val="single"/>
                    </w:rPr>
                  </w:pPr>
                  <w:r>
                    <w:rPr>
                      <w:b/>
                      <w:bCs/>
                      <w:sz w:val="21"/>
                      <w:szCs w:val="21"/>
                      <w:u w:val="single"/>
                    </w:rPr>
                    <w:t>规模</w:t>
                  </w:r>
                </w:p>
              </w:tc>
              <w:tc>
                <w:tcPr>
                  <w:tcW w:w="1096" w:type="pct"/>
                  <w:vAlign w:val="center"/>
                </w:tcPr>
                <w:p w14:paraId="1EA11093">
                  <w:pPr>
                    <w:widowControl/>
                    <w:adjustRightInd/>
                    <w:snapToGrid/>
                    <w:spacing w:line="240" w:lineRule="auto"/>
                    <w:ind w:firstLine="0" w:firstLineChars="0"/>
                    <w:jc w:val="center"/>
                    <w:rPr>
                      <w:b/>
                      <w:bCs/>
                      <w:sz w:val="21"/>
                      <w:szCs w:val="21"/>
                      <w:u w:val="single"/>
                    </w:rPr>
                  </w:pPr>
                  <w:r>
                    <w:rPr>
                      <w:b/>
                      <w:bCs/>
                      <w:sz w:val="21"/>
                      <w:szCs w:val="21"/>
                      <w:u w:val="single"/>
                    </w:rPr>
                    <w:t>基准灶台数</w:t>
                  </w:r>
                </w:p>
              </w:tc>
              <w:tc>
                <w:tcPr>
                  <w:tcW w:w="1460" w:type="pct"/>
                  <w:vAlign w:val="center"/>
                </w:tcPr>
                <w:p w14:paraId="441875C3">
                  <w:pPr>
                    <w:widowControl/>
                    <w:adjustRightInd/>
                    <w:snapToGrid/>
                    <w:spacing w:line="240" w:lineRule="auto"/>
                    <w:ind w:firstLine="0" w:firstLineChars="0"/>
                    <w:jc w:val="center"/>
                    <w:rPr>
                      <w:b/>
                      <w:bCs/>
                      <w:sz w:val="21"/>
                      <w:szCs w:val="21"/>
                      <w:u w:val="single"/>
                    </w:rPr>
                  </w:pPr>
                  <w:r>
                    <w:rPr>
                      <w:b/>
                      <w:bCs/>
                      <w:sz w:val="21"/>
                      <w:szCs w:val="21"/>
                      <w:u w:val="single"/>
                    </w:rPr>
                    <w:t>最高允许排放浓度</w:t>
                  </w:r>
                </w:p>
              </w:tc>
              <w:tc>
                <w:tcPr>
                  <w:tcW w:w="1786" w:type="pct"/>
                  <w:vAlign w:val="center"/>
                </w:tcPr>
                <w:p w14:paraId="7AA6DF2D">
                  <w:pPr>
                    <w:widowControl/>
                    <w:adjustRightInd/>
                    <w:snapToGrid/>
                    <w:spacing w:line="240" w:lineRule="auto"/>
                    <w:ind w:firstLine="0" w:firstLineChars="0"/>
                    <w:jc w:val="center"/>
                    <w:rPr>
                      <w:b/>
                      <w:bCs/>
                      <w:sz w:val="21"/>
                      <w:szCs w:val="21"/>
                      <w:u w:val="single"/>
                    </w:rPr>
                  </w:pPr>
                  <w:r>
                    <w:rPr>
                      <w:b/>
                      <w:bCs/>
                      <w:sz w:val="21"/>
                      <w:szCs w:val="21"/>
                      <w:u w:val="single"/>
                    </w:rPr>
                    <w:t>净化设施最低去除效率</w:t>
                  </w:r>
                </w:p>
              </w:tc>
            </w:tr>
            <w:tr w14:paraId="5798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7B035014">
                  <w:pPr>
                    <w:widowControl/>
                    <w:adjustRightInd/>
                    <w:snapToGrid/>
                    <w:spacing w:line="240" w:lineRule="auto"/>
                    <w:ind w:firstLine="0" w:firstLineChars="0"/>
                    <w:jc w:val="center"/>
                    <w:rPr>
                      <w:sz w:val="21"/>
                      <w:szCs w:val="21"/>
                      <w:u w:val="single"/>
                    </w:rPr>
                  </w:pPr>
                  <w:r>
                    <w:rPr>
                      <w:sz w:val="21"/>
                      <w:szCs w:val="21"/>
                      <w:u w:val="single"/>
                    </w:rPr>
                    <w:t>小型</w:t>
                  </w:r>
                </w:p>
              </w:tc>
              <w:tc>
                <w:tcPr>
                  <w:tcW w:w="1096" w:type="pct"/>
                  <w:vAlign w:val="center"/>
                </w:tcPr>
                <w:p w14:paraId="7190BAA1">
                  <w:pPr>
                    <w:widowControl/>
                    <w:adjustRightInd/>
                    <w:snapToGrid/>
                    <w:spacing w:line="240" w:lineRule="auto"/>
                    <w:ind w:firstLine="0" w:firstLineChars="0"/>
                    <w:jc w:val="center"/>
                    <w:rPr>
                      <w:sz w:val="21"/>
                      <w:szCs w:val="21"/>
                      <w:u w:val="single"/>
                    </w:rPr>
                  </w:pPr>
                  <w:r>
                    <w:rPr>
                      <w:sz w:val="21"/>
                      <w:szCs w:val="21"/>
                      <w:u w:val="single"/>
                    </w:rPr>
                    <w:t>1≥，＜3</w:t>
                  </w:r>
                </w:p>
              </w:tc>
              <w:tc>
                <w:tcPr>
                  <w:tcW w:w="1460" w:type="pct"/>
                  <w:vAlign w:val="center"/>
                </w:tcPr>
                <w:p w14:paraId="21930A71">
                  <w:pPr>
                    <w:widowControl/>
                    <w:adjustRightInd/>
                    <w:snapToGrid/>
                    <w:spacing w:line="240" w:lineRule="auto"/>
                    <w:ind w:firstLine="0" w:firstLineChars="0"/>
                    <w:jc w:val="center"/>
                    <w:rPr>
                      <w:sz w:val="21"/>
                      <w:szCs w:val="21"/>
                      <w:u w:val="single"/>
                    </w:rPr>
                  </w:pPr>
                  <w:r>
                    <w:rPr>
                      <w:sz w:val="21"/>
                      <w:szCs w:val="21"/>
                      <w:u w:val="single"/>
                    </w:rPr>
                    <w:t>2.0mg/m</w:t>
                  </w:r>
                  <w:r>
                    <w:rPr>
                      <w:sz w:val="21"/>
                      <w:szCs w:val="21"/>
                      <w:u w:val="single"/>
                      <w:vertAlign w:val="superscript"/>
                    </w:rPr>
                    <w:t>3</w:t>
                  </w:r>
                </w:p>
              </w:tc>
              <w:tc>
                <w:tcPr>
                  <w:tcW w:w="1786" w:type="pct"/>
                  <w:vAlign w:val="center"/>
                </w:tcPr>
                <w:p w14:paraId="2722C334">
                  <w:pPr>
                    <w:widowControl/>
                    <w:adjustRightInd/>
                    <w:snapToGrid/>
                    <w:spacing w:line="240" w:lineRule="auto"/>
                    <w:ind w:firstLine="0" w:firstLineChars="0"/>
                    <w:jc w:val="center"/>
                    <w:rPr>
                      <w:sz w:val="21"/>
                      <w:szCs w:val="21"/>
                      <w:u w:val="single"/>
                    </w:rPr>
                  </w:pPr>
                  <w:r>
                    <w:rPr>
                      <w:sz w:val="21"/>
                      <w:szCs w:val="21"/>
                      <w:u w:val="single"/>
                    </w:rPr>
                    <w:t>65%</w:t>
                  </w:r>
                </w:p>
              </w:tc>
            </w:tr>
          </w:tbl>
          <w:p w14:paraId="7460647B">
            <w:pPr>
              <w:widowControl/>
              <w:ind w:firstLine="480" w:firstLineChars="200"/>
            </w:pPr>
            <w:r>
              <w:t>2、废水排放标准</w:t>
            </w:r>
            <w:bookmarkEnd w:id="55"/>
            <w:bookmarkEnd w:id="56"/>
          </w:p>
          <w:p w14:paraId="5207158E">
            <w:pPr>
              <w:widowControl/>
              <w:ind w:firstLine="480" w:firstLineChars="200"/>
            </w:pPr>
            <w:r>
              <w:t>项目生产废水经处理后</w:t>
            </w:r>
            <w:r>
              <w:rPr>
                <w:rFonts w:hint="eastAsia"/>
              </w:rPr>
              <w:t>回用于生产</w:t>
            </w:r>
            <w:r>
              <w:t>，不外排，生活污水经</w:t>
            </w:r>
            <w:r>
              <w:rPr>
                <w:rFonts w:hint="eastAsia"/>
              </w:rPr>
              <w:t>隔油</w:t>
            </w:r>
            <w:r>
              <w:t>化粪池处理后用于林地、</w:t>
            </w:r>
            <w:r>
              <w:rPr>
                <w:rFonts w:hint="eastAsia"/>
              </w:rPr>
              <w:t>菜地施肥</w:t>
            </w:r>
            <w:r>
              <w:t>；厂区初期雨水经</w:t>
            </w:r>
            <w:r>
              <w:rPr>
                <w:rFonts w:hint="eastAsia"/>
              </w:rPr>
              <w:t>沉淀处理后回用于生产（洒水降尘等）</w:t>
            </w:r>
            <w:r>
              <w:t>。</w:t>
            </w:r>
          </w:p>
          <w:p w14:paraId="3EB1DCD2">
            <w:pPr>
              <w:widowControl/>
              <w:ind w:firstLine="480" w:firstLineChars="200"/>
              <w:rPr>
                <w:u w:val="single"/>
              </w:rPr>
            </w:pPr>
            <w:bookmarkStart w:id="57" w:name="_Toc14408"/>
            <w:bookmarkStart w:id="58" w:name="_Toc68160377"/>
            <w:r>
              <w:rPr>
                <w:u w:val="single"/>
              </w:rPr>
              <w:t>3、噪声排放标准</w:t>
            </w:r>
            <w:bookmarkEnd w:id="57"/>
            <w:bookmarkEnd w:id="58"/>
          </w:p>
          <w:p w14:paraId="09809FE0">
            <w:pPr>
              <w:widowControl/>
              <w:ind w:firstLine="480" w:firstLineChars="200"/>
              <w:rPr>
                <w:u w:val="single"/>
              </w:rPr>
            </w:pPr>
            <w:r>
              <w:rPr>
                <w:u w:val="single"/>
              </w:rPr>
              <w:t>施工期场界执行《建筑施工场界环境噪声排放标准》（GB12523-2011）；营运期</w:t>
            </w:r>
            <w:r>
              <w:rPr>
                <w:rFonts w:hint="eastAsia"/>
                <w:u w:val="single"/>
              </w:rPr>
              <w:t>东、西、北</w:t>
            </w:r>
            <w:r>
              <w:rPr>
                <w:u w:val="single"/>
              </w:rPr>
              <w:t>厂界噪声执行《工业企业厂界环境噪声排放标准》（GB12348-2008）中的</w:t>
            </w:r>
            <w:r>
              <w:rPr>
                <w:rFonts w:hint="eastAsia"/>
                <w:u w:val="single"/>
              </w:rPr>
              <w:t>2</w:t>
            </w:r>
            <w:r>
              <w:rPr>
                <w:u w:val="single"/>
              </w:rPr>
              <w:t>类标准</w:t>
            </w:r>
            <w:r>
              <w:rPr>
                <w:rFonts w:hint="eastAsia"/>
                <w:u w:val="single"/>
              </w:rPr>
              <w:t>，南厂界噪声执行</w:t>
            </w:r>
            <w:r>
              <w:rPr>
                <w:u w:val="single"/>
              </w:rPr>
              <w:t>《工业企业厂界环境噪声排放标准》（GB12348-2008）中的</w:t>
            </w:r>
            <w:r>
              <w:rPr>
                <w:rFonts w:hint="eastAsia"/>
                <w:u w:val="single"/>
              </w:rPr>
              <w:t>4类标准</w:t>
            </w:r>
            <w:r>
              <w:rPr>
                <w:u w:val="single"/>
              </w:rPr>
              <w:t>。具体限值见</w:t>
            </w:r>
            <w:r>
              <w:rPr>
                <w:rFonts w:hint="eastAsia"/>
                <w:u w:val="single"/>
              </w:rPr>
              <w:t>下</w:t>
            </w:r>
            <w:r>
              <w:rPr>
                <w:u w:val="single"/>
              </w:rPr>
              <w:t>表。</w:t>
            </w:r>
          </w:p>
          <w:p w14:paraId="7B9559B7">
            <w:pPr>
              <w:widowControl/>
              <w:spacing w:line="240" w:lineRule="auto"/>
              <w:ind w:firstLine="422" w:firstLineChars="200"/>
              <w:jc w:val="center"/>
              <w:rPr>
                <w:b/>
                <w:bCs/>
                <w:sz w:val="21"/>
                <w:szCs w:val="21"/>
                <w:u w:val="single"/>
              </w:rPr>
            </w:pPr>
            <w:r>
              <w:rPr>
                <w:b/>
                <w:bCs/>
                <w:sz w:val="21"/>
                <w:szCs w:val="21"/>
                <w:u w:val="single"/>
              </w:rPr>
              <w:t>表3-</w:t>
            </w:r>
            <w:r>
              <w:rPr>
                <w:rFonts w:hint="eastAsia"/>
                <w:b/>
                <w:bCs/>
                <w:sz w:val="21"/>
                <w:szCs w:val="21"/>
                <w:u w:val="single"/>
                <w:lang w:val="en-US" w:eastAsia="zh-CN"/>
              </w:rPr>
              <w:t>11</w:t>
            </w:r>
            <w:r>
              <w:rPr>
                <w:b/>
                <w:bCs/>
                <w:sz w:val="21"/>
                <w:szCs w:val="21"/>
                <w:u w:val="single"/>
              </w:rPr>
              <w:t xml:space="preserve"> 《建筑施工场界环境噪声排放标准》（GB12523-2011）</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7"/>
              <w:gridCol w:w="4009"/>
            </w:tblGrid>
            <w:tr w14:paraId="18BD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499" w:type="pct"/>
                  <w:tcBorders>
                    <w:tl2br w:val="nil"/>
                    <w:tr2bl w:val="nil"/>
                  </w:tcBorders>
                </w:tcPr>
                <w:p w14:paraId="0605B6BF">
                  <w:pPr>
                    <w:widowControl/>
                    <w:spacing w:line="240" w:lineRule="auto"/>
                    <w:ind w:firstLine="422" w:firstLineChars="200"/>
                    <w:jc w:val="center"/>
                    <w:rPr>
                      <w:b/>
                      <w:bCs/>
                      <w:sz w:val="21"/>
                      <w:szCs w:val="21"/>
                      <w:u w:val="single"/>
                    </w:rPr>
                  </w:pPr>
                  <w:r>
                    <w:rPr>
                      <w:b/>
                      <w:bCs/>
                      <w:sz w:val="21"/>
                      <w:szCs w:val="21"/>
                      <w:u w:val="single"/>
                    </w:rPr>
                    <w:t>昼间</w:t>
                  </w:r>
                </w:p>
              </w:tc>
              <w:tc>
                <w:tcPr>
                  <w:tcW w:w="2500" w:type="pct"/>
                  <w:tcBorders>
                    <w:tl2br w:val="nil"/>
                    <w:tr2bl w:val="nil"/>
                  </w:tcBorders>
                </w:tcPr>
                <w:p w14:paraId="79AB6DA3">
                  <w:pPr>
                    <w:widowControl/>
                    <w:spacing w:line="240" w:lineRule="auto"/>
                    <w:ind w:firstLine="422" w:firstLineChars="200"/>
                    <w:jc w:val="center"/>
                    <w:rPr>
                      <w:b/>
                      <w:bCs/>
                      <w:sz w:val="21"/>
                      <w:szCs w:val="21"/>
                      <w:u w:val="single"/>
                    </w:rPr>
                  </w:pPr>
                  <w:r>
                    <w:rPr>
                      <w:b/>
                      <w:bCs/>
                      <w:sz w:val="21"/>
                      <w:szCs w:val="21"/>
                      <w:u w:val="single"/>
                    </w:rPr>
                    <w:t>夜间</w:t>
                  </w:r>
                </w:p>
              </w:tc>
            </w:tr>
            <w:tr w14:paraId="5AAE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499" w:type="pct"/>
                  <w:tcBorders>
                    <w:tl2br w:val="nil"/>
                    <w:tr2bl w:val="nil"/>
                  </w:tcBorders>
                </w:tcPr>
                <w:p w14:paraId="59A47195">
                  <w:pPr>
                    <w:widowControl/>
                    <w:spacing w:line="240" w:lineRule="auto"/>
                    <w:ind w:firstLine="420" w:firstLineChars="200"/>
                    <w:jc w:val="center"/>
                    <w:rPr>
                      <w:sz w:val="21"/>
                      <w:szCs w:val="21"/>
                      <w:u w:val="single"/>
                    </w:rPr>
                  </w:pPr>
                  <w:r>
                    <w:rPr>
                      <w:sz w:val="21"/>
                      <w:szCs w:val="21"/>
                      <w:u w:val="single"/>
                    </w:rPr>
                    <w:t>70dB（A）</w:t>
                  </w:r>
                </w:p>
              </w:tc>
              <w:tc>
                <w:tcPr>
                  <w:tcW w:w="2500" w:type="pct"/>
                  <w:tcBorders>
                    <w:tl2br w:val="nil"/>
                    <w:tr2bl w:val="nil"/>
                  </w:tcBorders>
                </w:tcPr>
                <w:p w14:paraId="0A09FF75">
                  <w:pPr>
                    <w:widowControl/>
                    <w:spacing w:line="240" w:lineRule="auto"/>
                    <w:ind w:firstLine="420" w:firstLineChars="200"/>
                    <w:jc w:val="center"/>
                    <w:rPr>
                      <w:sz w:val="21"/>
                      <w:szCs w:val="21"/>
                      <w:u w:val="single"/>
                    </w:rPr>
                  </w:pPr>
                  <w:r>
                    <w:rPr>
                      <w:sz w:val="21"/>
                      <w:szCs w:val="21"/>
                      <w:u w:val="single"/>
                    </w:rPr>
                    <w:t>55dB(A)</w:t>
                  </w:r>
                </w:p>
              </w:tc>
            </w:tr>
          </w:tbl>
          <w:p w14:paraId="635BF676">
            <w:pPr>
              <w:widowControl/>
              <w:spacing w:line="240" w:lineRule="auto"/>
              <w:ind w:firstLine="422" w:firstLineChars="200"/>
              <w:jc w:val="center"/>
              <w:rPr>
                <w:b/>
                <w:bCs/>
                <w:sz w:val="21"/>
                <w:szCs w:val="21"/>
                <w:u w:val="single"/>
              </w:rPr>
            </w:pPr>
            <w:r>
              <w:rPr>
                <w:b/>
                <w:bCs/>
                <w:sz w:val="21"/>
                <w:szCs w:val="21"/>
                <w:u w:val="single"/>
              </w:rPr>
              <w:t>表3-</w:t>
            </w:r>
            <w:r>
              <w:rPr>
                <w:rFonts w:hint="eastAsia"/>
                <w:b/>
                <w:bCs/>
                <w:sz w:val="21"/>
                <w:szCs w:val="21"/>
                <w:u w:val="single"/>
                <w:lang w:val="en-US" w:eastAsia="zh-CN"/>
              </w:rPr>
              <w:t xml:space="preserve">12 </w:t>
            </w:r>
            <w:r>
              <w:rPr>
                <w:b/>
                <w:bCs/>
                <w:sz w:val="21"/>
                <w:szCs w:val="21"/>
                <w:u w:val="single"/>
              </w:rPr>
              <w:t>《工业企业厂界环境噪声排放标准》  单位：dB(A)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92"/>
              <w:gridCol w:w="2915"/>
              <w:gridCol w:w="3408"/>
            </w:tblGrid>
            <w:tr w14:paraId="489F9A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6" w:hRule="atLeast"/>
                <w:jc w:val="center"/>
              </w:trPr>
              <w:tc>
                <w:tcPr>
                  <w:tcW w:w="1055" w:type="pct"/>
                  <w:shd w:val="clear" w:color="auto" w:fill="auto"/>
                  <w:vAlign w:val="center"/>
                </w:tcPr>
                <w:p w14:paraId="1BD0B8B6">
                  <w:pPr>
                    <w:widowControl/>
                    <w:spacing w:line="240" w:lineRule="auto"/>
                    <w:ind w:firstLine="422" w:firstLineChars="200"/>
                    <w:jc w:val="center"/>
                    <w:rPr>
                      <w:b/>
                      <w:bCs/>
                      <w:sz w:val="21"/>
                      <w:szCs w:val="21"/>
                      <w:u w:val="single"/>
                    </w:rPr>
                  </w:pPr>
                  <w:r>
                    <w:rPr>
                      <w:b/>
                      <w:bCs/>
                      <w:sz w:val="21"/>
                      <w:szCs w:val="21"/>
                      <w:u w:val="single"/>
                    </w:rPr>
                    <w:t>功能区</w:t>
                  </w:r>
                </w:p>
              </w:tc>
              <w:tc>
                <w:tcPr>
                  <w:tcW w:w="1818" w:type="pct"/>
                  <w:shd w:val="clear" w:color="auto" w:fill="auto"/>
                  <w:vAlign w:val="center"/>
                </w:tcPr>
                <w:p w14:paraId="420356CC">
                  <w:pPr>
                    <w:widowControl/>
                    <w:spacing w:line="240" w:lineRule="auto"/>
                    <w:ind w:firstLine="422" w:firstLineChars="200"/>
                    <w:jc w:val="center"/>
                    <w:rPr>
                      <w:b/>
                      <w:bCs/>
                      <w:sz w:val="21"/>
                      <w:szCs w:val="21"/>
                      <w:u w:val="single"/>
                    </w:rPr>
                  </w:pPr>
                  <w:r>
                    <w:rPr>
                      <w:b/>
                      <w:bCs/>
                      <w:sz w:val="21"/>
                      <w:szCs w:val="21"/>
                      <w:u w:val="single"/>
                    </w:rPr>
                    <w:t>昼间</w:t>
                  </w:r>
                </w:p>
              </w:tc>
              <w:tc>
                <w:tcPr>
                  <w:tcW w:w="2125" w:type="pct"/>
                  <w:shd w:val="clear" w:color="auto" w:fill="auto"/>
                  <w:vAlign w:val="center"/>
                </w:tcPr>
                <w:p w14:paraId="33A011A9">
                  <w:pPr>
                    <w:widowControl/>
                    <w:spacing w:line="240" w:lineRule="auto"/>
                    <w:ind w:firstLine="422" w:firstLineChars="200"/>
                    <w:jc w:val="center"/>
                    <w:rPr>
                      <w:b/>
                      <w:bCs/>
                      <w:sz w:val="21"/>
                      <w:szCs w:val="21"/>
                      <w:u w:val="single"/>
                    </w:rPr>
                  </w:pPr>
                  <w:r>
                    <w:rPr>
                      <w:b/>
                      <w:bCs/>
                      <w:sz w:val="21"/>
                      <w:szCs w:val="21"/>
                      <w:u w:val="single"/>
                    </w:rPr>
                    <w:t>夜间</w:t>
                  </w:r>
                </w:p>
              </w:tc>
            </w:tr>
            <w:tr w14:paraId="5DB1F8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1055" w:type="pct"/>
                  <w:shd w:val="clear" w:color="auto" w:fill="auto"/>
                  <w:vAlign w:val="center"/>
                </w:tcPr>
                <w:p w14:paraId="2FB72ED1">
                  <w:pPr>
                    <w:widowControl/>
                    <w:spacing w:line="240" w:lineRule="auto"/>
                    <w:ind w:firstLine="420" w:firstLineChars="200"/>
                    <w:jc w:val="center"/>
                    <w:rPr>
                      <w:sz w:val="21"/>
                      <w:szCs w:val="21"/>
                      <w:u w:val="single"/>
                    </w:rPr>
                  </w:pPr>
                  <w:r>
                    <w:rPr>
                      <w:sz w:val="21"/>
                      <w:szCs w:val="21"/>
                      <w:u w:val="single"/>
                    </w:rPr>
                    <w:t>2类区</w:t>
                  </w:r>
                </w:p>
              </w:tc>
              <w:tc>
                <w:tcPr>
                  <w:tcW w:w="1818" w:type="pct"/>
                  <w:shd w:val="clear" w:color="auto" w:fill="auto"/>
                  <w:vAlign w:val="center"/>
                </w:tcPr>
                <w:p w14:paraId="3407839A">
                  <w:pPr>
                    <w:widowControl/>
                    <w:spacing w:line="240" w:lineRule="auto"/>
                    <w:ind w:firstLine="420" w:firstLineChars="200"/>
                    <w:jc w:val="center"/>
                    <w:rPr>
                      <w:sz w:val="21"/>
                      <w:szCs w:val="21"/>
                      <w:u w:val="single"/>
                    </w:rPr>
                  </w:pPr>
                  <w:r>
                    <w:rPr>
                      <w:sz w:val="21"/>
                      <w:szCs w:val="21"/>
                      <w:u w:val="single"/>
                    </w:rPr>
                    <w:t>60</w:t>
                  </w:r>
                </w:p>
              </w:tc>
              <w:tc>
                <w:tcPr>
                  <w:tcW w:w="2125" w:type="pct"/>
                  <w:shd w:val="clear" w:color="auto" w:fill="auto"/>
                  <w:vAlign w:val="center"/>
                </w:tcPr>
                <w:p w14:paraId="6EAC67CA">
                  <w:pPr>
                    <w:widowControl/>
                    <w:spacing w:line="240" w:lineRule="auto"/>
                    <w:ind w:firstLine="420" w:firstLineChars="200"/>
                    <w:jc w:val="center"/>
                    <w:rPr>
                      <w:sz w:val="21"/>
                      <w:szCs w:val="21"/>
                      <w:u w:val="single"/>
                    </w:rPr>
                  </w:pPr>
                  <w:r>
                    <w:rPr>
                      <w:sz w:val="21"/>
                      <w:szCs w:val="21"/>
                      <w:u w:val="single"/>
                    </w:rPr>
                    <w:t>50</w:t>
                  </w:r>
                </w:p>
              </w:tc>
            </w:tr>
            <w:tr w14:paraId="00EA65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1055" w:type="pct"/>
                  <w:shd w:val="clear" w:color="auto" w:fill="auto"/>
                  <w:vAlign w:val="center"/>
                </w:tcPr>
                <w:p w14:paraId="73F70B56">
                  <w:pPr>
                    <w:widowControl/>
                    <w:spacing w:line="240" w:lineRule="auto"/>
                    <w:ind w:firstLine="420" w:firstLineChars="200"/>
                    <w:jc w:val="center"/>
                    <w:rPr>
                      <w:sz w:val="21"/>
                      <w:szCs w:val="21"/>
                      <w:u w:val="single"/>
                    </w:rPr>
                  </w:pPr>
                  <w:bookmarkStart w:id="59" w:name="_Toc8843"/>
                  <w:bookmarkStart w:id="60" w:name="_Toc68160378"/>
                  <w:r>
                    <w:rPr>
                      <w:rFonts w:hint="eastAsia"/>
                      <w:sz w:val="21"/>
                      <w:szCs w:val="21"/>
                      <w:u w:val="single"/>
                    </w:rPr>
                    <w:t>4类区</w:t>
                  </w:r>
                </w:p>
              </w:tc>
              <w:tc>
                <w:tcPr>
                  <w:tcW w:w="1818" w:type="pct"/>
                  <w:shd w:val="clear" w:color="auto" w:fill="auto"/>
                  <w:vAlign w:val="center"/>
                </w:tcPr>
                <w:p w14:paraId="78284A0B">
                  <w:pPr>
                    <w:widowControl/>
                    <w:spacing w:line="240" w:lineRule="auto"/>
                    <w:ind w:firstLine="420" w:firstLineChars="200"/>
                    <w:jc w:val="center"/>
                    <w:rPr>
                      <w:sz w:val="21"/>
                      <w:szCs w:val="21"/>
                      <w:u w:val="single"/>
                    </w:rPr>
                  </w:pPr>
                  <w:r>
                    <w:rPr>
                      <w:rFonts w:hint="eastAsia"/>
                      <w:sz w:val="21"/>
                      <w:szCs w:val="21"/>
                      <w:u w:val="single"/>
                    </w:rPr>
                    <w:t>70</w:t>
                  </w:r>
                </w:p>
              </w:tc>
              <w:tc>
                <w:tcPr>
                  <w:tcW w:w="2125" w:type="pct"/>
                  <w:shd w:val="clear" w:color="auto" w:fill="auto"/>
                  <w:vAlign w:val="center"/>
                </w:tcPr>
                <w:p w14:paraId="50C0B256">
                  <w:pPr>
                    <w:widowControl/>
                    <w:spacing w:line="240" w:lineRule="auto"/>
                    <w:ind w:firstLine="420" w:firstLineChars="200"/>
                    <w:jc w:val="center"/>
                    <w:rPr>
                      <w:sz w:val="21"/>
                      <w:szCs w:val="21"/>
                      <w:u w:val="single"/>
                    </w:rPr>
                  </w:pPr>
                  <w:r>
                    <w:rPr>
                      <w:rFonts w:hint="eastAsia"/>
                      <w:sz w:val="21"/>
                      <w:szCs w:val="21"/>
                      <w:u w:val="single"/>
                    </w:rPr>
                    <w:t>55</w:t>
                  </w:r>
                </w:p>
              </w:tc>
            </w:tr>
          </w:tbl>
          <w:p w14:paraId="3946FF87">
            <w:pPr>
              <w:widowControl/>
              <w:ind w:firstLine="480" w:firstLineChars="200"/>
              <w:rPr>
                <w:u w:val="single"/>
              </w:rPr>
            </w:pPr>
            <w:r>
              <w:rPr>
                <w:u w:val="single"/>
              </w:rPr>
              <w:t>4、固废排放标准</w:t>
            </w:r>
            <w:bookmarkEnd w:id="59"/>
            <w:bookmarkEnd w:id="60"/>
          </w:p>
          <w:p w14:paraId="3E55DC39">
            <w:pPr>
              <w:widowControl/>
              <w:ind w:firstLine="480" w:firstLineChars="200"/>
              <w:rPr>
                <w:u w:val="single"/>
              </w:rPr>
            </w:pPr>
            <w:r>
              <w:rPr>
                <w:u w:val="single"/>
              </w:rPr>
              <w:t>项目产生的一般固体废弃物排放执行《一般工业固体废物贮存和填埋污染控制标准》（GB18599-2020）要求。</w:t>
            </w:r>
          </w:p>
          <w:p w14:paraId="263D0411">
            <w:pPr>
              <w:widowControl/>
              <w:ind w:firstLine="480" w:firstLineChars="200"/>
              <w:rPr>
                <w:color w:val="0000C7"/>
              </w:rPr>
            </w:pPr>
            <w:r>
              <w:rPr>
                <w:rFonts w:hint="default"/>
                <w:sz w:val="24"/>
                <w:szCs w:val="24"/>
                <w:u w:val="single"/>
              </w:rPr>
              <w:t>生活垃圾</w:t>
            </w:r>
            <w:r>
              <w:rPr>
                <w:bCs w:val="0"/>
                <w:sz w:val="24"/>
                <w:szCs w:val="24"/>
                <w:u w:val="single"/>
              </w:rPr>
              <w:t>收集后</w:t>
            </w:r>
            <w:r>
              <w:rPr>
                <w:rFonts w:hint="eastAsia"/>
                <w:bCs w:val="0"/>
                <w:sz w:val="24"/>
                <w:szCs w:val="24"/>
                <w:u w:val="single"/>
                <w:lang w:val="en-US" w:eastAsia="zh-CN"/>
              </w:rPr>
              <w:t>交由环卫部门处置</w:t>
            </w:r>
            <w:r>
              <w:rPr>
                <w:u w:val="single"/>
              </w:rPr>
              <w:t>。</w:t>
            </w:r>
          </w:p>
        </w:tc>
      </w:tr>
      <w:tr w14:paraId="4D4106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800" w:type="dxa"/>
            <w:vAlign w:val="center"/>
          </w:tcPr>
          <w:p w14:paraId="675CF3D4">
            <w:pPr>
              <w:adjustRightInd w:val="0"/>
              <w:snapToGrid w:val="0"/>
              <w:jc w:val="center"/>
              <w:rPr>
                <w:kern w:val="0"/>
                <w:szCs w:val="21"/>
              </w:rPr>
            </w:pPr>
            <w:r>
              <w:rPr>
                <w:kern w:val="0"/>
                <w:szCs w:val="21"/>
              </w:rPr>
              <w:t>总量</w:t>
            </w:r>
          </w:p>
          <w:p w14:paraId="3974F5BC">
            <w:pPr>
              <w:adjustRightInd w:val="0"/>
              <w:snapToGrid w:val="0"/>
              <w:jc w:val="center"/>
              <w:rPr>
                <w:kern w:val="0"/>
                <w:szCs w:val="21"/>
              </w:rPr>
            </w:pPr>
            <w:r>
              <w:rPr>
                <w:kern w:val="0"/>
                <w:szCs w:val="21"/>
              </w:rPr>
              <w:t>控制</w:t>
            </w:r>
          </w:p>
          <w:p w14:paraId="467007B5">
            <w:pPr>
              <w:adjustRightInd w:val="0"/>
              <w:snapToGrid w:val="0"/>
              <w:jc w:val="center"/>
              <w:rPr>
                <w:kern w:val="0"/>
                <w:szCs w:val="21"/>
              </w:rPr>
            </w:pPr>
            <w:r>
              <w:rPr>
                <w:kern w:val="0"/>
                <w:szCs w:val="21"/>
              </w:rPr>
              <w:t>指标</w:t>
            </w:r>
          </w:p>
        </w:tc>
        <w:tc>
          <w:tcPr>
            <w:tcW w:w="8190" w:type="dxa"/>
          </w:tcPr>
          <w:p w14:paraId="0FF51981">
            <w:pPr>
              <w:widowControl/>
              <w:ind w:firstLine="480" w:firstLineChars="200"/>
              <w:rPr>
                <w:u w:val="single"/>
              </w:rPr>
            </w:pPr>
            <w:bookmarkStart w:id="61" w:name="_Toc39274019"/>
            <w:r>
              <w:rPr>
                <w:u w:val="single"/>
              </w:rPr>
              <w:t>“十四五”期间，</w:t>
            </w:r>
            <w:r>
              <w:rPr>
                <w:rFonts w:hint="eastAsia"/>
                <w:u w:val="single"/>
              </w:rPr>
              <w:t>我国</w:t>
            </w:r>
            <w:r>
              <w:rPr>
                <w:u w:val="single"/>
              </w:rPr>
              <w:t>将继续实施主要污染物总量控制制度，将化学需氧量、氨氮、氮氧化物、挥发性有机物等4项污染物作为约束性指标进行考核</w:t>
            </w:r>
            <w:r>
              <w:rPr>
                <w:rFonts w:hint="eastAsia"/>
                <w:u w:val="single"/>
              </w:rPr>
              <w:t>，二氧化硫不作为总量控制指标，但是需要申请总量或进行排污权交易。</w:t>
            </w:r>
            <w:bookmarkEnd w:id="61"/>
          </w:p>
          <w:p w14:paraId="3A368612">
            <w:pPr>
              <w:widowControl/>
              <w:ind w:firstLine="480" w:firstLineChars="200"/>
              <w:rPr>
                <w:u w:val="single"/>
              </w:rPr>
            </w:pPr>
            <w:r>
              <w:rPr>
                <w:rFonts w:hint="eastAsia"/>
                <w:u w:val="single"/>
              </w:rPr>
              <w:t>1、</w:t>
            </w:r>
            <w:r>
              <w:rPr>
                <w:u w:val="single"/>
              </w:rPr>
              <w:t>项目生产废水循环使用不外排，生活污水经</w:t>
            </w:r>
            <w:r>
              <w:rPr>
                <w:rFonts w:hint="eastAsia"/>
                <w:u w:val="single"/>
              </w:rPr>
              <w:t>隔油</w:t>
            </w:r>
            <w:r>
              <w:rPr>
                <w:u w:val="single"/>
              </w:rPr>
              <w:t>化粪池处理用于林地、</w:t>
            </w:r>
            <w:r>
              <w:rPr>
                <w:rFonts w:hint="eastAsia"/>
                <w:u w:val="single"/>
              </w:rPr>
              <w:t>菜地</w:t>
            </w:r>
            <w:r>
              <w:rPr>
                <w:u w:val="single"/>
              </w:rPr>
              <w:t>浇灌，不外排，则无需申请总量。</w:t>
            </w:r>
          </w:p>
          <w:p w14:paraId="032D35DF">
            <w:pPr>
              <w:widowControl/>
              <w:ind w:firstLine="480" w:firstLineChars="200"/>
            </w:pPr>
            <w:r>
              <w:rPr>
                <w:rFonts w:hint="eastAsia"/>
                <w:kern w:val="0"/>
                <w:u w:val="single"/>
              </w:rPr>
              <w:t>2、</w:t>
            </w:r>
            <w:r>
              <w:rPr>
                <w:kern w:val="0"/>
                <w:u w:val="single"/>
              </w:rPr>
              <w:t>运营期大气污染物主要为</w:t>
            </w:r>
            <w:r>
              <w:rPr>
                <w:rFonts w:hint="eastAsia"/>
                <w:kern w:val="0"/>
                <w:u w:val="single"/>
              </w:rPr>
              <w:t>原料堆场扬尘、成品</w:t>
            </w:r>
            <w:r>
              <w:rPr>
                <w:kern w:val="0"/>
                <w:u w:val="single"/>
              </w:rPr>
              <w:t>堆场扬尘、</w:t>
            </w:r>
            <w:r>
              <w:rPr>
                <w:rFonts w:hint="eastAsia"/>
                <w:kern w:val="0"/>
                <w:u w:val="single"/>
              </w:rPr>
              <w:t>路沿石加工粉尘、</w:t>
            </w:r>
            <w:r>
              <w:rPr>
                <w:rFonts w:hint="eastAsia"/>
                <w:b w:val="0"/>
                <w:bCs/>
                <w:kern w:val="0"/>
                <w:u w:val="single"/>
                <w:lang w:eastAsia="zh-CN" w:bidi="ar"/>
              </w:rPr>
              <w:t>墓碑</w:t>
            </w:r>
            <w:r>
              <w:rPr>
                <w:rFonts w:hint="eastAsia" w:ascii="Times New Roman" w:hAnsi="Times New Roman" w:eastAsia="宋体" w:cs="Times New Roman"/>
                <w:b w:val="0"/>
                <w:bCs/>
                <w:kern w:val="0"/>
                <w:sz w:val="24"/>
                <w:szCs w:val="24"/>
                <w:u w:val="single"/>
                <w:lang w:val="en-US" w:eastAsia="zh-CN" w:bidi="ar"/>
              </w:rPr>
              <w:t>及附属产品和其他板材</w:t>
            </w:r>
            <w:r>
              <w:rPr>
                <w:rFonts w:hint="eastAsia"/>
                <w:kern w:val="0"/>
                <w:u w:val="single"/>
              </w:rPr>
              <w:t>加工</w:t>
            </w:r>
            <w:r>
              <w:rPr>
                <w:rFonts w:hint="eastAsia"/>
                <w:kern w:val="0"/>
                <w:highlight w:val="none"/>
                <w:u w:val="single"/>
              </w:rPr>
              <w:t>粉尘</w:t>
            </w:r>
            <w:r>
              <w:rPr>
                <w:rFonts w:hint="eastAsia"/>
                <w:kern w:val="0"/>
                <w:u w:val="single"/>
              </w:rPr>
              <w:t>、</w:t>
            </w:r>
            <w:r>
              <w:rPr>
                <w:rFonts w:hint="eastAsia"/>
                <w:kern w:val="0"/>
                <w:u w:val="single"/>
                <w:lang w:eastAsia="zh-CN"/>
              </w:rPr>
              <w:t>墓碑加工有机废气、</w:t>
            </w:r>
            <w:r>
              <w:rPr>
                <w:rFonts w:hint="eastAsia" w:ascii="Times New Roman" w:hAnsi="Times New Roman" w:eastAsia="宋体" w:cs="Times New Roman"/>
                <w:kern w:val="2"/>
                <w:sz w:val="24"/>
                <w:szCs w:val="24"/>
                <w:u w:val="single"/>
                <w:lang w:val="en-US" w:eastAsia="zh-CN" w:bidi="ar-SA"/>
              </w:rPr>
              <w:t>透水砖、路面砖</w:t>
            </w:r>
            <w:r>
              <w:rPr>
                <w:kern w:val="0"/>
                <w:u w:val="single"/>
              </w:rPr>
              <w:t>生产过程中产生的破碎筛分</w:t>
            </w:r>
            <w:r>
              <w:rPr>
                <w:rFonts w:hint="eastAsia"/>
                <w:kern w:val="0"/>
                <w:u w:val="single"/>
              </w:rPr>
              <w:t>制砂</w:t>
            </w:r>
            <w:r>
              <w:rPr>
                <w:kern w:val="0"/>
                <w:u w:val="single"/>
              </w:rPr>
              <w:t>粉尘、</w:t>
            </w:r>
            <w:r>
              <w:rPr>
                <w:rFonts w:hint="eastAsia" w:ascii="Times New Roman" w:hAnsi="Times New Roman" w:eastAsia="宋体" w:cs="Times New Roman"/>
                <w:kern w:val="2"/>
                <w:sz w:val="24"/>
                <w:szCs w:val="24"/>
                <w:u w:val="single"/>
                <w:lang w:val="en-US" w:eastAsia="zh-CN" w:bidi="ar-SA"/>
              </w:rPr>
              <w:t>透水砖、路面砖</w:t>
            </w:r>
            <w:r>
              <w:rPr>
                <w:kern w:val="0"/>
                <w:u w:val="single"/>
              </w:rPr>
              <w:t>生产</w:t>
            </w:r>
            <w:r>
              <w:rPr>
                <w:rFonts w:hint="eastAsia"/>
                <w:kern w:val="0"/>
                <w:u w:val="single"/>
              </w:rPr>
              <w:t>线投料输送及搅拌</w:t>
            </w:r>
            <w:r>
              <w:rPr>
                <w:kern w:val="0"/>
                <w:u w:val="single"/>
              </w:rPr>
              <w:t>粉尘、</w:t>
            </w:r>
            <w:r>
              <w:rPr>
                <w:rFonts w:hint="eastAsia"/>
                <w:kern w:val="2"/>
                <w:szCs w:val="21"/>
                <w:u w:val="single"/>
                <w:lang w:val="en-US" w:eastAsia="zh-CN"/>
              </w:rPr>
              <w:t>水泥筒仓</w:t>
            </w:r>
            <w:r>
              <w:rPr>
                <w:rFonts w:hint="eastAsia"/>
                <w:kern w:val="0"/>
                <w:u w:val="single"/>
              </w:rPr>
              <w:t>呼吸孔粉尘、</w:t>
            </w:r>
            <w:r>
              <w:rPr>
                <w:kern w:val="0"/>
                <w:u w:val="single"/>
              </w:rPr>
              <w:t>运输车辆扬尘及</w:t>
            </w:r>
            <w:r>
              <w:rPr>
                <w:u w:val="single"/>
              </w:rPr>
              <w:t>食堂油烟</w:t>
            </w:r>
            <w:r>
              <w:rPr>
                <w:rFonts w:hint="eastAsia"/>
                <w:u w:val="single"/>
              </w:rPr>
              <w:t>，</w:t>
            </w:r>
            <w:r>
              <w:rPr>
                <w:u w:val="single"/>
              </w:rPr>
              <w:t>项目全过程采用多种废气环保措施，</w:t>
            </w:r>
            <w:r>
              <w:rPr>
                <w:rFonts w:hint="eastAsia"/>
                <w:u w:val="single"/>
              </w:rPr>
              <w:t>项目生产过程中产生的废气</w:t>
            </w:r>
            <w:r>
              <w:rPr>
                <w:u w:val="single"/>
              </w:rPr>
              <w:t>及厨房油烟对周围大气环境的影响将会大大降低，同时其对环境的影响也将随施工的结束而消失，</w:t>
            </w:r>
            <w:r>
              <w:rPr>
                <w:rFonts w:hint="eastAsia"/>
                <w:u w:val="single"/>
                <w:lang w:eastAsia="zh-CN"/>
              </w:rPr>
              <w:t>墓碑加工产生极少量有机废气，本次环评不做定量分析，</w:t>
            </w:r>
            <w:r>
              <w:rPr>
                <w:u w:val="single"/>
              </w:rPr>
              <w:t>因此本项目无总量控制建议指标。</w:t>
            </w:r>
          </w:p>
          <w:p w14:paraId="1B8DB171">
            <w:pPr>
              <w:pStyle w:val="11"/>
              <w:jc w:val="both"/>
              <w:rPr>
                <w:rFonts w:eastAsia="宋体"/>
                <w:color w:val="0000C7"/>
                <w:sz w:val="21"/>
              </w:rPr>
            </w:pPr>
          </w:p>
        </w:tc>
      </w:tr>
    </w:tbl>
    <w:p w14:paraId="5AFA7840">
      <w:pPr>
        <w:pStyle w:val="31"/>
        <w:numPr>
          <w:ilvl w:val="0"/>
          <w:numId w:val="0"/>
        </w:numPr>
        <w:rPr>
          <w:snapToGrid w:val="0"/>
          <w:color w:val="0000C7"/>
          <w:sz w:val="36"/>
          <w:szCs w:val="36"/>
        </w:rPr>
      </w:pPr>
      <w:r>
        <w:rPr>
          <w:snapToGrid w:val="0"/>
          <w:color w:val="0000C7"/>
          <w:sz w:val="36"/>
          <w:szCs w:val="36"/>
        </w:rPr>
        <w:br w:type="page"/>
      </w:r>
      <w:bookmarkStart w:id="62" w:name="_Toc68160379"/>
      <w:bookmarkStart w:id="63" w:name="_Toc7084"/>
    </w:p>
    <w:p w14:paraId="7DDAB31E">
      <w:pPr>
        <w:pStyle w:val="31"/>
        <w:numPr>
          <w:ilvl w:val="0"/>
          <w:numId w:val="0"/>
        </w:numPr>
        <w:rPr>
          <w:snapToGrid w:val="0"/>
        </w:rPr>
      </w:pPr>
      <w:r>
        <w:rPr>
          <w:b w:val="0"/>
          <w:snapToGrid w:val="0"/>
          <w:kern w:val="0"/>
          <w:sz w:val="30"/>
          <w:szCs w:val="30"/>
        </w:rPr>
        <w:t>四、主要环境影响和保护措施</w:t>
      </w:r>
      <w:bookmarkEnd w:id="62"/>
      <w:bookmarkEnd w:id="63"/>
    </w:p>
    <w:tbl>
      <w:tblPr>
        <w:tblStyle w:val="2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9"/>
        <w:gridCol w:w="8732"/>
      </w:tblGrid>
      <w:tr w14:paraId="626A9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 w:type="pct"/>
            <w:tcMar>
              <w:left w:w="28" w:type="dxa"/>
              <w:right w:w="28" w:type="dxa"/>
            </w:tcMar>
            <w:vAlign w:val="center"/>
          </w:tcPr>
          <w:p w14:paraId="1CD0BD51">
            <w:pPr>
              <w:widowControl/>
              <w:adjustRightInd w:val="0"/>
              <w:snapToGrid w:val="0"/>
              <w:jc w:val="center"/>
              <w:rPr>
                <w:szCs w:val="21"/>
              </w:rPr>
            </w:pPr>
            <w:r>
              <w:rPr>
                <w:szCs w:val="21"/>
              </w:rPr>
              <w:t>施工</w:t>
            </w:r>
          </w:p>
          <w:p w14:paraId="3C5C13B9">
            <w:pPr>
              <w:widowControl/>
              <w:adjustRightInd w:val="0"/>
              <w:snapToGrid w:val="0"/>
              <w:jc w:val="center"/>
              <w:rPr>
                <w:szCs w:val="21"/>
              </w:rPr>
            </w:pPr>
            <w:r>
              <w:rPr>
                <w:szCs w:val="21"/>
              </w:rPr>
              <w:t>期环</w:t>
            </w:r>
          </w:p>
          <w:p w14:paraId="40D1D460">
            <w:pPr>
              <w:widowControl/>
              <w:adjustRightInd w:val="0"/>
              <w:snapToGrid w:val="0"/>
              <w:jc w:val="center"/>
              <w:rPr>
                <w:szCs w:val="21"/>
              </w:rPr>
            </w:pPr>
            <w:r>
              <w:rPr>
                <w:szCs w:val="21"/>
              </w:rPr>
              <w:t>境保</w:t>
            </w:r>
          </w:p>
          <w:p w14:paraId="65F10973">
            <w:pPr>
              <w:widowControl/>
              <w:adjustRightInd w:val="0"/>
              <w:snapToGrid w:val="0"/>
              <w:jc w:val="center"/>
              <w:rPr>
                <w:szCs w:val="21"/>
              </w:rPr>
            </w:pPr>
            <w:r>
              <w:rPr>
                <w:szCs w:val="21"/>
              </w:rPr>
              <w:t>护措</w:t>
            </w:r>
          </w:p>
          <w:p w14:paraId="16C41E6B">
            <w:pPr>
              <w:widowControl/>
              <w:adjustRightInd w:val="0"/>
              <w:snapToGrid w:val="0"/>
              <w:jc w:val="center"/>
              <w:rPr>
                <w:bCs/>
                <w:color w:val="0000C7"/>
                <w:szCs w:val="21"/>
              </w:rPr>
            </w:pPr>
            <w:r>
              <w:rPr>
                <w:szCs w:val="21"/>
              </w:rPr>
              <w:t>施</w:t>
            </w:r>
          </w:p>
        </w:tc>
        <w:tc>
          <w:tcPr>
            <w:tcW w:w="4867" w:type="pct"/>
          </w:tcPr>
          <w:p w14:paraId="36AEB4F9">
            <w:pPr>
              <w:pStyle w:val="12"/>
              <w:ind w:firstLine="461"/>
              <w:rPr>
                <w:rFonts w:ascii="宋体" w:hAnsi="宋体"/>
                <w:kern w:val="0"/>
                <w:szCs w:val="24"/>
              </w:rPr>
            </w:pPr>
            <w:bookmarkStart w:id="64" w:name="_Toc68160380"/>
            <w:bookmarkStart w:id="65" w:name="_Toc6397"/>
            <w:r>
              <w:rPr>
                <w:rFonts w:hint="eastAsia"/>
                <w:bCs/>
                <w:sz w:val="24"/>
                <w:szCs w:val="24"/>
                <w:highlight w:val="none"/>
                <w:u w:val="single"/>
              </w:rPr>
              <w:t>本项目施工建设内容为将已建厂房</w:t>
            </w:r>
            <w:r>
              <w:rPr>
                <w:rFonts w:hint="eastAsia"/>
                <w:bCs/>
                <w:sz w:val="24"/>
                <w:szCs w:val="24"/>
                <w:highlight w:val="none"/>
                <w:u w:val="single"/>
                <w:lang w:eastAsia="zh-CN"/>
              </w:rPr>
              <w:t>、</w:t>
            </w:r>
            <w:r>
              <w:rPr>
                <w:rFonts w:hint="eastAsia"/>
                <w:bCs/>
                <w:sz w:val="24"/>
                <w:szCs w:val="24"/>
                <w:highlight w:val="none"/>
                <w:u w:val="single"/>
              </w:rPr>
              <w:t>综合办公楼</w:t>
            </w:r>
            <w:r>
              <w:rPr>
                <w:rFonts w:hint="eastAsia"/>
                <w:bCs/>
                <w:sz w:val="24"/>
                <w:szCs w:val="24"/>
                <w:highlight w:val="none"/>
                <w:u w:val="single"/>
                <w:lang w:eastAsia="zh-CN"/>
              </w:rPr>
              <w:t>等现有工程全部</w:t>
            </w:r>
            <w:r>
              <w:rPr>
                <w:rFonts w:hint="eastAsia"/>
                <w:bCs/>
                <w:sz w:val="24"/>
                <w:szCs w:val="24"/>
                <w:highlight w:val="none"/>
                <w:u w:val="single"/>
              </w:rPr>
              <w:t>拆除，并将已建沉淀池填平，新建厂房、环保设施、原料成品堆场及综合办公楼等，安装增设的相关设备机械，完善厂区相关环保设施建设。目前</w:t>
            </w:r>
            <w:r>
              <w:rPr>
                <w:rFonts w:hint="eastAsia"/>
                <w:bCs/>
                <w:sz w:val="24"/>
                <w:szCs w:val="24"/>
                <w:highlight w:val="none"/>
                <w:u w:val="single"/>
                <w:lang w:eastAsia="zh-CN"/>
              </w:rPr>
              <w:t>现有</w:t>
            </w:r>
            <w:r>
              <w:rPr>
                <w:rFonts w:hint="eastAsia"/>
                <w:bCs/>
                <w:sz w:val="24"/>
                <w:szCs w:val="24"/>
                <w:highlight w:val="none"/>
                <w:u w:val="single"/>
              </w:rPr>
              <w:t>厂区中部有一块面积约为667平方米的小山，</w:t>
            </w:r>
            <w:r>
              <w:rPr>
                <w:rFonts w:hint="eastAsia"/>
                <w:bCs/>
                <w:sz w:val="24"/>
                <w:szCs w:val="24"/>
                <w:highlight w:val="none"/>
                <w:u w:val="single"/>
                <w:lang w:eastAsia="zh-CN"/>
              </w:rPr>
              <w:t>且本次改扩建地块比现有厂区地势低，现有厂区地块面积约为</w:t>
            </w:r>
            <w:r>
              <w:rPr>
                <w:rFonts w:hint="eastAsia"/>
                <w:bCs/>
                <w:sz w:val="24"/>
                <w:szCs w:val="24"/>
                <w:highlight w:val="none"/>
                <w:u w:val="single"/>
                <w:lang w:val="en-US" w:eastAsia="zh-CN"/>
              </w:rPr>
              <w:t>5000平方米</w:t>
            </w:r>
            <w:r>
              <w:rPr>
                <w:rFonts w:hint="eastAsia"/>
                <w:bCs/>
                <w:sz w:val="24"/>
                <w:szCs w:val="24"/>
                <w:highlight w:val="none"/>
                <w:u w:val="single"/>
                <w:lang w:eastAsia="zh-CN"/>
              </w:rPr>
              <w:t>，</w:t>
            </w:r>
            <w:r>
              <w:rPr>
                <w:rFonts w:hint="eastAsia"/>
                <w:bCs/>
                <w:sz w:val="24"/>
                <w:szCs w:val="24"/>
                <w:u w:val="single"/>
              </w:rPr>
              <w:t>需平整施工场地。</w:t>
            </w:r>
            <w:r>
              <w:rPr>
                <w:rFonts w:hint="eastAsia"/>
                <w:bCs/>
                <w:sz w:val="24"/>
                <w:szCs w:val="24"/>
              </w:rPr>
              <w:t>施工期约为8个月（按30天/月计），每天工作7小时（仅昼间施工）。</w:t>
            </w:r>
          </w:p>
          <w:p w14:paraId="3B9C7159">
            <w:pPr>
              <w:pStyle w:val="30"/>
              <w:numPr>
                <w:ilvl w:val="1"/>
                <w:numId w:val="0"/>
              </w:numPr>
              <w:ind w:firstLine="482" w:firstLineChars="200"/>
            </w:pPr>
            <w:r>
              <w:t>4.1施工期环境保护措施</w:t>
            </w:r>
            <w:bookmarkEnd w:id="64"/>
            <w:bookmarkEnd w:id="65"/>
          </w:p>
          <w:p w14:paraId="4D655B88">
            <w:pPr>
              <w:pStyle w:val="34"/>
              <w:numPr>
                <w:ilvl w:val="2"/>
                <w:numId w:val="0"/>
              </w:numPr>
              <w:ind w:firstLine="482" w:firstLineChars="200"/>
            </w:pPr>
            <w:bookmarkStart w:id="66" w:name="_Toc68160381"/>
            <w:bookmarkStart w:id="67" w:name="_Toc30110"/>
            <w:r>
              <w:t>4.1.1、废气防治措施</w:t>
            </w:r>
            <w:bookmarkEnd w:id="66"/>
            <w:bookmarkEnd w:id="67"/>
          </w:p>
          <w:p w14:paraId="7B774BAD">
            <w:pPr>
              <w:adjustRightInd w:val="0"/>
              <w:snapToGrid w:val="0"/>
              <w:ind w:firstLine="480" w:firstLineChars="200"/>
              <w:rPr>
                <w:bCs/>
                <w:u w:val="single"/>
              </w:rPr>
            </w:pPr>
            <w:r>
              <w:rPr>
                <w:bCs/>
                <w:u w:val="single"/>
              </w:rPr>
              <w:t>为使建设项目在施工期扬尘对周围环境空气的影响减少到尽可能小的限度，依据《怀化市扬尘污染防治条例》中相关要求，建议采取以下防护措施：</w:t>
            </w:r>
          </w:p>
          <w:p w14:paraId="62F37EFB">
            <w:pPr>
              <w:adjustRightInd w:val="0"/>
              <w:snapToGrid w:val="0"/>
              <w:ind w:firstLine="480" w:firstLineChars="200"/>
              <w:rPr>
                <w:bCs/>
                <w:u w:val="single"/>
              </w:rPr>
            </w:pPr>
            <w:r>
              <w:rPr>
                <w:bCs/>
                <w:u w:val="single"/>
              </w:rPr>
              <w:t>结合本项目特征，具体防治措施如下：</w:t>
            </w:r>
          </w:p>
          <w:p w14:paraId="206E0294">
            <w:pPr>
              <w:adjustRightInd w:val="0"/>
              <w:snapToGrid w:val="0"/>
              <w:ind w:firstLine="480" w:firstLineChars="200"/>
              <w:rPr>
                <w:bCs/>
                <w:u w:val="single"/>
              </w:rPr>
            </w:pPr>
            <w:r>
              <w:rPr>
                <w:bCs/>
                <w:u w:val="single"/>
              </w:rPr>
              <w:t>（1）施工现场出口设置洗车平台，运输车辆加蓬盖，且离开装卸场前先将车辆冲洗干净，减少车轮、底盘等携带泥土散落路面。</w:t>
            </w:r>
          </w:p>
          <w:p w14:paraId="30A9AE74">
            <w:pPr>
              <w:adjustRightInd w:val="0"/>
              <w:snapToGrid w:val="0"/>
              <w:ind w:firstLine="480" w:firstLineChars="200"/>
              <w:rPr>
                <w:bCs/>
                <w:u w:val="single"/>
              </w:rPr>
            </w:pPr>
            <w:r>
              <w:rPr>
                <w:bCs/>
                <w:u w:val="single"/>
              </w:rPr>
              <w:t>（2）对运输过程中落在路面上的泥土要及时清扫，以减少运行过程中的扬尘。</w:t>
            </w:r>
          </w:p>
          <w:p w14:paraId="699C170E">
            <w:pPr>
              <w:adjustRightInd w:val="0"/>
              <w:snapToGrid w:val="0"/>
              <w:ind w:firstLine="480" w:firstLineChars="200"/>
              <w:rPr>
                <w:bCs/>
                <w:u w:val="single"/>
              </w:rPr>
            </w:pPr>
            <w:r>
              <w:rPr>
                <w:bCs/>
                <w:u w:val="single"/>
              </w:rPr>
              <w:t>（3）在施工现场</w:t>
            </w:r>
            <w:r>
              <w:rPr>
                <w:rFonts w:hint="eastAsia"/>
                <w:bCs/>
                <w:u w:val="single"/>
                <w:lang w:eastAsia="zh-CN"/>
              </w:rPr>
              <w:t>（包括拆除</w:t>
            </w:r>
            <w:r>
              <w:rPr>
                <w:rFonts w:hint="eastAsia"/>
                <w:bCs/>
                <w:sz w:val="24"/>
                <w:szCs w:val="24"/>
                <w:u w:val="single"/>
              </w:rPr>
              <w:t>已建厂房及综合办公楼</w:t>
            </w:r>
            <w:r>
              <w:rPr>
                <w:rFonts w:hint="eastAsia"/>
                <w:bCs/>
                <w:u w:val="single"/>
                <w:lang w:eastAsia="zh-CN"/>
              </w:rPr>
              <w:t>时）</w:t>
            </w:r>
            <w:r>
              <w:rPr>
                <w:bCs/>
                <w:u w:val="single"/>
              </w:rPr>
              <w:t>必须采取防风遮盖措施及洒水降尘。</w:t>
            </w:r>
          </w:p>
          <w:p w14:paraId="59364854">
            <w:pPr>
              <w:adjustRightInd w:val="0"/>
              <w:snapToGrid w:val="0"/>
              <w:ind w:firstLine="480" w:firstLineChars="200"/>
              <w:rPr>
                <w:bCs/>
                <w:u w:val="single"/>
              </w:rPr>
            </w:pPr>
            <w:r>
              <w:rPr>
                <w:bCs/>
                <w:u w:val="single"/>
              </w:rPr>
              <w:t>（4）必须使用污染物排放符合国家标准的施工机械、运输车辆，加强施工机械、车辆的维护保养，使车辆处于良好的工作状态。</w:t>
            </w:r>
          </w:p>
          <w:p w14:paraId="7B271EF0">
            <w:pPr>
              <w:adjustRightInd w:val="0"/>
              <w:snapToGrid w:val="0"/>
              <w:ind w:firstLine="480" w:firstLineChars="200"/>
              <w:rPr>
                <w:bCs/>
                <w:u w:val="single"/>
              </w:rPr>
            </w:pPr>
            <w:r>
              <w:rPr>
                <w:bCs/>
                <w:u w:val="single"/>
              </w:rPr>
              <w:t>（5）施工过程中，应禁止燃烧废弃的建筑材料</w:t>
            </w:r>
            <w:r>
              <w:rPr>
                <w:rFonts w:hint="eastAsia"/>
                <w:bCs/>
                <w:u w:val="single"/>
                <w:lang w:eastAsia="zh-CN"/>
              </w:rPr>
              <w:t>（包括</w:t>
            </w:r>
            <w:r>
              <w:rPr>
                <w:rFonts w:hint="eastAsia"/>
                <w:bCs/>
                <w:sz w:val="24"/>
                <w:szCs w:val="24"/>
                <w:u w:val="single"/>
              </w:rPr>
              <w:t>拆除已建厂房及综合办公楼</w:t>
            </w:r>
            <w:r>
              <w:rPr>
                <w:rFonts w:hint="eastAsia"/>
                <w:bCs/>
                <w:sz w:val="24"/>
                <w:szCs w:val="24"/>
                <w:u w:val="single"/>
                <w:lang w:eastAsia="zh-CN"/>
              </w:rPr>
              <w:t>产生的废弃建筑材料</w:t>
            </w:r>
            <w:r>
              <w:rPr>
                <w:rFonts w:hint="eastAsia"/>
                <w:bCs/>
                <w:u w:val="single"/>
                <w:lang w:eastAsia="zh-CN"/>
              </w:rPr>
              <w:t>）</w:t>
            </w:r>
            <w:r>
              <w:rPr>
                <w:bCs/>
                <w:u w:val="single"/>
              </w:rPr>
              <w:t>。</w:t>
            </w:r>
          </w:p>
          <w:p w14:paraId="77C6C6F3">
            <w:pPr>
              <w:pStyle w:val="39"/>
              <w:rPr>
                <w:rFonts w:ascii="Times New Roman" w:hAnsi="Times New Roman" w:cs="Times New Roman"/>
                <w:u w:val="single"/>
              </w:rPr>
            </w:pPr>
            <w:r>
              <w:rPr>
                <w:rFonts w:ascii="Times New Roman" w:hAnsi="Times New Roman" w:cs="Times New Roman"/>
                <w:bCs/>
                <w:u w:val="single"/>
              </w:rPr>
              <w:t>综上所述，只要加强管理、切实落实好上述相应措施，施工场地扬尘对周围大气环境的影响将会大大降低，同时其对环境的影响也将随施工的结束而消失。因此，项目施工期的大气污染防治措施是可行的。</w:t>
            </w:r>
          </w:p>
          <w:p w14:paraId="3C48BA7F">
            <w:pPr>
              <w:pStyle w:val="34"/>
              <w:numPr>
                <w:ilvl w:val="2"/>
                <w:numId w:val="0"/>
              </w:numPr>
              <w:ind w:left="709"/>
            </w:pPr>
            <w:bookmarkStart w:id="68" w:name="_Toc68160382"/>
            <w:bookmarkStart w:id="69" w:name="_Toc30191"/>
            <w:r>
              <w:t>4.1.2、废水防治措施</w:t>
            </w:r>
            <w:bookmarkEnd w:id="68"/>
            <w:bookmarkEnd w:id="69"/>
          </w:p>
          <w:p w14:paraId="5404EC2F">
            <w:pPr>
              <w:ind w:firstLine="480" w:firstLineChars="200"/>
              <w:rPr>
                <w:bCs/>
              </w:rPr>
            </w:pPr>
            <w:r>
              <w:rPr>
                <w:bCs/>
              </w:rPr>
              <w:t>通过对施工期排水的合理组织设计、文明施工、加强工地管理、并采取有效的处理措施，可降低施工期废水对环境的影响。主要措施有：</w:t>
            </w:r>
          </w:p>
          <w:p w14:paraId="10B50D30">
            <w:pPr>
              <w:ind w:firstLine="480" w:firstLineChars="200"/>
              <w:rPr>
                <w:bCs/>
              </w:rPr>
            </w:pPr>
            <w:r>
              <w:rPr>
                <w:bCs/>
              </w:rPr>
              <w:t>（1）施工期间</w:t>
            </w:r>
            <w:r>
              <w:rPr>
                <w:rFonts w:hint="eastAsia"/>
                <w:bCs/>
                <w:lang w:eastAsia="zh-CN"/>
              </w:rPr>
              <w:t>（包括拆除</w:t>
            </w:r>
            <w:r>
              <w:rPr>
                <w:rFonts w:hint="eastAsia"/>
                <w:bCs/>
                <w:sz w:val="24"/>
                <w:szCs w:val="24"/>
              </w:rPr>
              <w:t>已建厂房及综合办公楼</w:t>
            </w:r>
            <w:r>
              <w:rPr>
                <w:rFonts w:hint="eastAsia"/>
                <w:bCs/>
                <w:lang w:eastAsia="zh-CN"/>
              </w:rPr>
              <w:t>时）</w:t>
            </w:r>
            <w:r>
              <w:rPr>
                <w:bCs/>
              </w:rPr>
              <w:t>，施工单位应严格执行《建设工程施工场地文明施工及环境管理暂行规定》，施工产生的泥浆水不得随意排放，场地内设置沉砂池，对建筑施工废水进行沉淀处理，回用于施工场地洒水抑尘。</w:t>
            </w:r>
          </w:p>
          <w:p w14:paraId="5B58A031">
            <w:pPr>
              <w:ind w:firstLine="480" w:firstLineChars="200"/>
              <w:rPr>
                <w:bCs/>
              </w:rPr>
            </w:pPr>
            <w:r>
              <w:rPr>
                <w:bCs/>
              </w:rPr>
              <w:t>（2）使用性能良好的汽车和施工机械，及时保养和维修，防止漏油；加强工地化学品管理，不得随便丢弃涂料等化学品容器，避免含油污水和化学品流入地表水体造成污染。施工机械、运输车辆的清洗废水应集中采取设置废水收集池处理，将设备、车辆洗涤水简单处理后循环使用，禁止此类废水直接外排，经处理后全部回用于洒水抑尘和清洗。</w:t>
            </w:r>
          </w:p>
          <w:p w14:paraId="3562B65B">
            <w:pPr>
              <w:ind w:firstLine="480" w:firstLineChars="200"/>
              <w:rPr>
                <w:bCs/>
              </w:rPr>
            </w:pPr>
            <w:r>
              <w:rPr>
                <w:bCs/>
              </w:rPr>
              <w:t>经采取以上措施后，项目施工期对地表水环境的影响将大大减少。因此，项目施工期的水污染防治措施是可行的。</w:t>
            </w:r>
          </w:p>
          <w:p w14:paraId="61312CF9">
            <w:pPr>
              <w:pStyle w:val="34"/>
              <w:numPr>
                <w:ilvl w:val="2"/>
                <w:numId w:val="0"/>
              </w:numPr>
              <w:ind w:left="709"/>
            </w:pPr>
            <w:bookmarkStart w:id="70" w:name="_Toc13968"/>
            <w:bookmarkStart w:id="71" w:name="_Toc68160383"/>
            <w:r>
              <w:t>4.1.3、噪声控制措施</w:t>
            </w:r>
            <w:bookmarkEnd w:id="70"/>
            <w:bookmarkEnd w:id="71"/>
          </w:p>
          <w:p w14:paraId="3988A51C">
            <w:pPr>
              <w:pStyle w:val="39"/>
              <w:rPr>
                <w:rFonts w:ascii="Times New Roman" w:hAnsi="Times New Roman" w:cs="Times New Roman"/>
                <w:u w:val="single"/>
              </w:rPr>
            </w:pPr>
            <w:r>
              <w:rPr>
                <w:rFonts w:ascii="Times New Roman" w:hAnsi="Times New Roman" w:cs="Times New Roman"/>
                <w:u w:val="single"/>
              </w:rPr>
              <w:t>虽然施工作业噪声不可避免，但可通过采取相应措施减少噪声对周围环境、特别是对周围敏感点的影响。建议建设单位采取以下措施降低施工噪声的影响：</w:t>
            </w:r>
          </w:p>
          <w:p w14:paraId="3F8ECD41">
            <w:pPr>
              <w:pStyle w:val="39"/>
              <w:rPr>
                <w:rFonts w:ascii="Times New Roman" w:hAnsi="Times New Roman" w:cs="Times New Roman"/>
                <w:u w:val="single"/>
              </w:rPr>
            </w:pPr>
            <w:r>
              <w:rPr>
                <w:rFonts w:ascii="Times New Roman" w:hAnsi="Times New Roman" w:cs="Times New Roman"/>
                <w:u w:val="single"/>
              </w:rPr>
              <w:t>（1）尽量选用低噪声设备，大型设备均安装减震座垫。应经常对施工设备进行维护保养，避免由于设备性能减退而使噪声增强的现象发生。整体设备应安放稳固，并与地面保持良好接触，有条件的应使用减振机座，</w:t>
            </w:r>
            <w:r>
              <w:rPr>
                <w:rFonts w:hint="eastAsia" w:ascii="Times New Roman" w:hAnsi="Times New Roman" w:cs="Times New Roman"/>
                <w:u w:val="single"/>
                <w:lang w:eastAsia="zh-CN"/>
              </w:rPr>
              <w:t>控制</w:t>
            </w:r>
            <w:r>
              <w:rPr>
                <w:rFonts w:hint="eastAsia"/>
                <w:bCs/>
                <w:u w:val="single"/>
                <w:lang w:eastAsia="zh-CN"/>
              </w:rPr>
              <w:t>拆除</w:t>
            </w:r>
            <w:r>
              <w:rPr>
                <w:rFonts w:hint="eastAsia"/>
                <w:bCs/>
                <w:sz w:val="24"/>
                <w:szCs w:val="24"/>
                <w:u w:val="single"/>
              </w:rPr>
              <w:t>已建厂房及综合办公楼</w:t>
            </w:r>
            <w:r>
              <w:rPr>
                <w:rFonts w:hint="eastAsia"/>
                <w:bCs/>
                <w:u w:val="single"/>
                <w:lang w:eastAsia="zh-CN"/>
              </w:rPr>
              <w:t>时产生的噪声，</w:t>
            </w:r>
            <w:r>
              <w:rPr>
                <w:rFonts w:ascii="Times New Roman" w:hAnsi="Times New Roman" w:cs="Times New Roman"/>
                <w:u w:val="single"/>
              </w:rPr>
              <w:t>降低噪声。</w:t>
            </w:r>
          </w:p>
          <w:p w14:paraId="10E9A07A">
            <w:pPr>
              <w:pStyle w:val="39"/>
              <w:rPr>
                <w:rFonts w:ascii="Times New Roman" w:hAnsi="Times New Roman" w:cs="Times New Roman"/>
                <w:u w:val="single"/>
              </w:rPr>
            </w:pPr>
            <w:r>
              <w:rPr>
                <w:rFonts w:ascii="Times New Roman" w:hAnsi="Times New Roman" w:cs="Times New Roman"/>
                <w:u w:val="single"/>
              </w:rPr>
              <w:t>（2）运输车辆经过居民区时应适当减速，禁止使用高音喇叭。</w:t>
            </w:r>
          </w:p>
          <w:p w14:paraId="08D3577E">
            <w:pPr>
              <w:pStyle w:val="39"/>
              <w:rPr>
                <w:rFonts w:ascii="Times New Roman" w:hAnsi="Times New Roman" w:cs="Times New Roman"/>
                <w:u w:val="single"/>
              </w:rPr>
            </w:pPr>
            <w:r>
              <w:rPr>
                <w:rFonts w:ascii="Times New Roman" w:hAnsi="Times New Roman" w:cs="Times New Roman"/>
                <w:u w:val="single"/>
              </w:rPr>
              <w:t>（3）施工单位应采用先进的低噪声施工机械，禁止露天开锯。必须加强施工机械的维护保养，使机械处于最佳工作状况。</w:t>
            </w:r>
          </w:p>
          <w:p w14:paraId="30A0C778">
            <w:pPr>
              <w:pStyle w:val="39"/>
              <w:rPr>
                <w:rFonts w:ascii="Times New Roman" w:hAnsi="Times New Roman" w:cs="Times New Roman"/>
                <w:u w:val="single"/>
              </w:rPr>
            </w:pPr>
            <w:r>
              <w:rPr>
                <w:rFonts w:ascii="Times New Roman" w:hAnsi="Times New Roman" w:cs="Times New Roman"/>
                <w:u w:val="single"/>
              </w:rPr>
              <w:t>（5）施工单位要加强管理和调度，提高工效，尽可能集中产生较大噪声的机械进行突击作业，优化施工时间，以便缩短施工噪声的污染时间，缩小施工噪声的影响范围。</w:t>
            </w:r>
          </w:p>
          <w:p w14:paraId="58871EF8">
            <w:pPr>
              <w:pStyle w:val="39"/>
              <w:rPr>
                <w:rFonts w:ascii="Times New Roman" w:hAnsi="Times New Roman" w:cs="Times New Roman"/>
                <w:u w:val="single"/>
              </w:rPr>
            </w:pPr>
            <w:r>
              <w:rPr>
                <w:rFonts w:ascii="Times New Roman" w:hAnsi="Times New Roman" w:cs="Times New Roman"/>
                <w:u w:val="single"/>
              </w:rPr>
              <w:t>综上所述，项目采取上述相应措施后，对周围声环境及环境敏感点的影响较小。</w:t>
            </w:r>
          </w:p>
          <w:p w14:paraId="764028BB">
            <w:pPr>
              <w:pStyle w:val="39"/>
              <w:rPr>
                <w:rFonts w:ascii="Times New Roman" w:hAnsi="Times New Roman" w:cs="Times New Roman"/>
                <w:bCs/>
              </w:rPr>
            </w:pPr>
            <w:r>
              <w:rPr>
                <w:rFonts w:ascii="Times New Roman" w:hAnsi="Times New Roman" w:cs="Times New Roman"/>
                <w:u w:val="single"/>
              </w:rPr>
              <w:t>因此，项目施工期的声环境污染防治措施是可行的。</w:t>
            </w:r>
          </w:p>
          <w:p w14:paraId="00453D32">
            <w:pPr>
              <w:pStyle w:val="34"/>
              <w:numPr>
                <w:ilvl w:val="2"/>
                <w:numId w:val="0"/>
              </w:numPr>
              <w:ind w:left="709"/>
            </w:pPr>
            <w:bookmarkStart w:id="72" w:name="_Toc25436"/>
            <w:bookmarkStart w:id="73" w:name="_Toc68160384"/>
            <w:r>
              <w:t>4.1.4、固废防治措施</w:t>
            </w:r>
            <w:bookmarkEnd w:id="72"/>
            <w:bookmarkEnd w:id="73"/>
          </w:p>
          <w:p w14:paraId="5C8E1855">
            <w:pPr>
              <w:ind w:firstLine="480"/>
            </w:pPr>
            <w:r>
              <w:t>施工期间固体废物主要来自工程建设过程产生的施工建筑垃圾、施工人员的生活垃圾等。环评建议采取如下措施：</w:t>
            </w:r>
          </w:p>
          <w:p w14:paraId="73AC67A2">
            <w:pPr>
              <w:ind w:firstLine="480"/>
            </w:pPr>
            <w:r>
              <w:t>（1）工程建设过程中产生的建筑垃圾进行分类收集、分类暂存，能够回收利用的尽量回收综合利用，以节约宝贵的资源。</w:t>
            </w:r>
          </w:p>
          <w:p w14:paraId="426E982E">
            <w:pPr>
              <w:ind w:firstLine="480"/>
            </w:pPr>
            <w:r>
              <w:t>（</w:t>
            </w:r>
            <w:r>
              <w:rPr>
                <w:rFonts w:hint="eastAsia"/>
              </w:rPr>
              <w:t>2</w:t>
            </w:r>
            <w:r>
              <w:t>）要做好建筑垃圾暂存点的防护工作，避免风吹、雨淋散失或流失。</w:t>
            </w:r>
          </w:p>
          <w:p w14:paraId="2B0A7821">
            <w:pPr>
              <w:ind w:firstLine="480"/>
            </w:pPr>
            <w:r>
              <w:t>（</w:t>
            </w:r>
            <w:r>
              <w:rPr>
                <w:rFonts w:hint="eastAsia"/>
              </w:rPr>
              <w:t>3</w:t>
            </w:r>
            <w:r>
              <w:t>）车辆运输散体物和废弃物时，必须密封、覆盖，不得沿途撒漏；运载建筑垃圾的车辆必须在规定的时间内，按指定路段行驶，禁止在处置场地以外倾倒工程渣土和垃圾。</w:t>
            </w:r>
          </w:p>
          <w:p w14:paraId="385064C9">
            <w:pPr>
              <w:ind w:firstLine="480"/>
              <w:rPr>
                <w:rFonts w:hint="eastAsia" w:eastAsia="宋体"/>
                <w:color w:val="0000C7"/>
                <w:lang w:eastAsia="zh-CN"/>
              </w:rPr>
            </w:pPr>
            <w:r>
              <w:rPr>
                <w:rFonts w:hint="eastAsia"/>
              </w:rPr>
              <w:t>（5）</w:t>
            </w:r>
            <w:r>
              <w:rPr>
                <w:rFonts w:hint="eastAsia"/>
                <w:highlight w:val="none"/>
                <w:u w:val="single"/>
              </w:rPr>
              <w:t>项目地块</w:t>
            </w:r>
            <w:r>
              <w:rPr>
                <w:rFonts w:hint="eastAsia"/>
                <w:highlight w:val="none"/>
                <w:u w:val="single"/>
                <w:lang w:val="en-US" w:eastAsia="zh-CN"/>
              </w:rPr>
              <w:t>西面</w:t>
            </w:r>
            <w:r>
              <w:rPr>
                <w:rFonts w:hint="eastAsia"/>
                <w:highlight w:val="none"/>
                <w:u w:val="single"/>
              </w:rPr>
              <w:t>目前</w:t>
            </w:r>
            <w:r>
              <w:rPr>
                <w:rFonts w:hint="eastAsia"/>
                <w:highlight w:val="none"/>
                <w:u w:val="single"/>
                <w:lang w:eastAsia="zh-CN"/>
              </w:rPr>
              <w:t>还未开始建设</w:t>
            </w:r>
            <w:r>
              <w:rPr>
                <w:rFonts w:hint="eastAsia"/>
                <w:highlight w:val="none"/>
                <w:u w:val="single"/>
              </w:rPr>
              <w:t>，</w:t>
            </w:r>
            <w:r>
              <w:rPr>
                <w:rFonts w:hint="eastAsia"/>
                <w:highlight w:val="none"/>
                <w:u w:val="single"/>
                <w:lang w:val="en-US" w:eastAsia="zh-CN"/>
              </w:rPr>
              <w:t>地块中部的现有厂房等还未拆除</w:t>
            </w:r>
            <w:r>
              <w:rPr>
                <w:rFonts w:hint="eastAsia"/>
                <w:u w:val="single"/>
                <w:lang w:val="en-US" w:eastAsia="zh-CN"/>
              </w:rPr>
              <w:t>，</w:t>
            </w:r>
            <w:r>
              <w:rPr>
                <w:rFonts w:hint="eastAsia" w:ascii="Times New Roman" w:hAnsi="Times New Roman" w:eastAsia="宋体" w:cs="Times New Roman"/>
                <w:highlight w:val="none"/>
                <w:u w:val="single"/>
                <w:lang w:val="en-US" w:eastAsia="zh-CN"/>
              </w:rPr>
              <w:t>拆除现有厂房等全部现有工程后</w:t>
            </w:r>
            <w:r>
              <w:rPr>
                <w:rFonts w:hint="eastAsia" w:ascii="Times New Roman" w:hAnsi="Times New Roman" w:eastAsia="宋体" w:cs="Times New Roman"/>
                <w:b w:val="0"/>
                <w:bCs w:val="0"/>
                <w:sz w:val="24"/>
                <w:highlight w:val="none"/>
                <w:u w:val="single"/>
              </w:rPr>
              <w:t>砼及砌体</w:t>
            </w:r>
            <w:r>
              <w:rPr>
                <w:rFonts w:hint="eastAsia" w:ascii="Times New Roman" w:hAnsi="Times New Roman" w:eastAsia="宋体" w:cs="Times New Roman"/>
                <w:b w:val="0"/>
                <w:bCs w:val="0"/>
                <w:sz w:val="24"/>
                <w:highlight w:val="none"/>
                <w:u w:val="single"/>
                <w:lang w:eastAsia="zh-CN"/>
              </w:rPr>
              <w:t>产生量约</w:t>
            </w:r>
            <w:r>
              <w:rPr>
                <w:rFonts w:hint="eastAsia" w:ascii="Times New Roman" w:hAnsi="Times New Roman" w:eastAsia="宋体" w:cs="Times New Roman"/>
                <w:b w:val="0"/>
                <w:bCs w:val="0"/>
                <w:sz w:val="24"/>
                <w:highlight w:val="none"/>
                <w:u w:val="single"/>
                <w:lang w:val="en-US" w:eastAsia="zh-CN"/>
              </w:rPr>
              <w:t>9280</w:t>
            </w:r>
            <w:r>
              <w:rPr>
                <w:kern w:val="0"/>
                <w:u w:val="single"/>
              </w:rPr>
              <w:t>m</w:t>
            </w:r>
            <w:r>
              <w:rPr>
                <w:kern w:val="0"/>
                <w:u w:val="single"/>
                <w:vertAlign w:val="superscript"/>
              </w:rPr>
              <w:t>3</w:t>
            </w:r>
            <w:r>
              <w:rPr>
                <w:rFonts w:hint="eastAsia" w:ascii="Times New Roman" w:hAnsi="Times New Roman" w:eastAsia="宋体" w:cs="Times New Roman"/>
                <w:b w:val="0"/>
                <w:bCs w:val="0"/>
                <w:sz w:val="24"/>
                <w:highlight w:val="none"/>
                <w:u w:val="single"/>
                <w:lang w:val="en-US" w:eastAsia="zh-CN"/>
              </w:rPr>
              <w:t>，</w:t>
            </w:r>
            <w:r>
              <w:rPr>
                <w:rFonts w:hint="eastAsia"/>
                <w:u w:val="single"/>
                <w:lang w:val="en-US" w:eastAsia="zh-CN"/>
              </w:rPr>
              <w:t>后期</w:t>
            </w:r>
            <w:r>
              <w:rPr>
                <w:rFonts w:hint="eastAsia"/>
                <w:u w:val="single"/>
              </w:rPr>
              <w:t>平整阶段主要将</w:t>
            </w:r>
            <w:r>
              <w:rPr>
                <w:rFonts w:hint="eastAsia"/>
                <w:u w:val="single"/>
                <w:lang w:eastAsia="zh-CN"/>
              </w:rPr>
              <w:t>现有</w:t>
            </w:r>
            <w:r>
              <w:rPr>
                <w:rFonts w:hint="eastAsia"/>
                <w:u w:val="single"/>
              </w:rPr>
              <w:t>地块</w:t>
            </w:r>
            <w:r>
              <w:rPr>
                <w:rFonts w:hint="eastAsia"/>
                <w:u w:val="single"/>
                <w:lang w:eastAsia="zh-CN"/>
              </w:rPr>
              <w:t>整体</w:t>
            </w:r>
            <w:r>
              <w:rPr>
                <w:rFonts w:hint="eastAsia"/>
                <w:u w:val="single"/>
              </w:rPr>
              <w:t>挖低，</w:t>
            </w:r>
            <w:r>
              <w:rPr>
                <w:kern w:val="0"/>
                <w:u w:val="single"/>
              </w:rPr>
              <w:t>项目施工</w:t>
            </w:r>
            <w:r>
              <w:rPr>
                <w:kern w:val="0"/>
                <w:u w:val="single"/>
                <w:lang w:val="zh-CN"/>
              </w:rPr>
              <w:t>过程中挖</w:t>
            </w:r>
            <w:r>
              <w:rPr>
                <w:rFonts w:hint="eastAsia"/>
                <w:kern w:val="0"/>
                <w:u w:val="single"/>
                <w:lang w:val="zh-CN"/>
              </w:rPr>
              <w:t>小山</w:t>
            </w:r>
            <w:r>
              <w:rPr>
                <w:kern w:val="0"/>
                <w:u w:val="single"/>
              </w:rPr>
              <w:t>会产生约</w:t>
            </w:r>
            <w:r>
              <w:rPr>
                <w:rFonts w:hint="eastAsia"/>
                <w:kern w:val="0"/>
                <w:u w:val="single"/>
                <w:lang w:val="en-US" w:eastAsia="zh-CN"/>
              </w:rPr>
              <w:t>17</w:t>
            </w:r>
            <w:r>
              <w:rPr>
                <w:rFonts w:hint="eastAsia"/>
                <w:kern w:val="0"/>
                <w:u w:val="single"/>
              </w:rPr>
              <w:t>00</w:t>
            </w:r>
            <w:r>
              <w:rPr>
                <w:rFonts w:hint="eastAsia"/>
                <w:kern w:val="0"/>
                <w:u w:val="single"/>
                <w:lang w:val="en-US" w:eastAsia="zh-CN"/>
              </w:rPr>
              <w:t>0</w:t>
            </w:r>
            <w:r>
              <w:rPr>
                <w:kern w:val="0"/>
                <w:u w:val="single"/>
              </w:rPr>
              <w:t>m</w:t>
            </w:r>
            <w:r>
              <w:rPr>
                <w:kern w:val="0"/>
                <w:u w:val="single"/>
                <w:vertAlign w:val="superscript"/>
              </w:rPr>
              <w:t>3</w:t>
            </w:r>
            <w:r>
              <w:rPr>
                <w:u w:val="single"/>
              </w:rPr>
              <w:t>废弃土石方，由建设单位委托专业渣土公司运输至其它建设用地做填方；</w:t>
            </w:r>
            <w:r>
              <w:t>生活垃圾应统一收集，由管理人员运至村垃圾堆放点。垃圾运输应按规定的时间、线路清运，倾倒到指定的地点</w:t>
            </w:r>
            <w:r>
              <w:rPr>
                <w:rFonts w:hint="eastAsia"/>
              </w:rPr>
              <w:t>。</w:t>
            </w:r>
            <w:r>
              <w:rPr>
                <w:rFonts w:hint="eastAsia"/>
                <w:u w:val="single"/>
                <w:lang w:eastAsia="zh-CN"/>
              </w:rPr>
              <w:t>土石方平衡表见下表</w:t>
            </w:r>
            <w:r>
              <w:rPr>
                <w:rFonts w:hint="eastAsia"/>
                <w:u w:val="single"/>
                <w:lang w:val="en-US" w:eastAsia="zh-CN"/>
              </w:rPr>
              <w:t>4-1</w:t>
            </w:r>
            <w:r>
              <w:rPr>
                <w:rFonts w:hint="eastAsia"/>
                <w:u w:val="single"/>
                <w:lang w:eastAsia="zh-CN"/>
              </w:rPr>
              <w:t>。</w:t>
            </w:r>
          </w:p>
          <w:p w14:paraId="6C12525C">
            <w:pPr>
              <w:ind w:firstLine="480"/>
            </w:pPr>
            <w:r>
              <w:t>（</w:t>
            </w:r>
            <w:r>
              <w:rPr>
                <w:rFonts w:hint="eastAsia"/>
              </w:rPr>
              <w:t>6</w:t>
            </w:r>
            <w:r>
              <w:t>）施工结束后，及时清理施工现场，废弃的建筑材料</w:t>
            </w:r>
            <w:r>
              <w:rPr>
                <w:rFonts w:hint="eastAsia"/>
                <w:bCs/>
                <w:lang w:eastAsia="zh-CN"/>
              </w:rPr>
              <w:t>（包括拆除</w:t>
            </w:r>
            <w:r>
              <w:rPr>
                <w:rFonts w:hint="eastAsia"/>
                <w:bCs/>
                <w:sz w:val="24"/>
                <w:szCs w:val="24"/>
              </w:rPr>
              <w:t>已建厂房及综合办公楼</w:t>
            </w:r>
            <w:r>
              <w:rPr>
                <w:rFonts w:hint="eastAsia"/>
                <w:bCs/>
                <w:lang w:eastAsia="zh-CN"/>
              </w:rPr>
              <w:t>时）</w:t>
            </w:r>
            <w:r>
              <w:t>送到指定地点处置采取上述措施后，施工固体废物均可得到有效处理处置，措施可行。</w:t>
            </w:r>
          </w:p>
          <w:p w14:paraId="6E3E1517">
            <w:pPr>
              <w:pStyle w:val="59"/>
              <w:spacing w:before="0" w:beforeLines="0" w:after="0" w:afterLines="0"/>
              <w:rPr>
                <w:rFonts w:hint="default" w:ascii="Times New Roman" w:hAnsi="Times New Roman"/>
                <w:b/>
                <w:bCs/>
                <w:kern w:val="2"/>
                <w:sz w:val="21"/>
                <w:szCs w:val="21"/>
                <w:u w:val="single"/>
              </w:rPr>
            </w:pPr>
            <w:r>
              <w:rPr>
                <w:rFonts w:hint="default" w:ascii="Times New Roman" w:hAnsi="Times New Roman"/>
                <w:b/>
                <w:bCs/>
                <w:kern w:val="2"/>
                <w:sz w:val="21"/>
                <w:szCs w:val="21"/>
                <w:u w:val="single"/>
              </w:rPr>
              <w:t>表</w:t>
            </w:r>
            <w:r>
              <w:rPr>
                <w:rFonts w:hint="eastAsia" w:ascii="Times New Roman" w:hAnsi="Times New Roman"/>
                <w:b/>
                <w:bCs/>
                <w:kern w:val="2"/>
                <w:sz w:val="21"/>
                <w:szCs w:val="21"/>
                <w:highlight w:val="none"/>
                <w:u w:val="single"/>
                <w:lang w:val="en-US" w:eastAsia="zh-CN"/>
              </w:rPr>
              <w:t>4-1</w:t>
            </w:r>
            <w:r>
              <w:rPr>
                <w:rFonts w:ascii="Times New Roman" w:hAnsi="Times New Roman"/>
                <w:b/>
                <w:bCs/>
                <w:kern w:val="2"/>
                <w:sz w:val="21"/>
                <w:szCs w:val="21"/>
                <w:u w:val="single"/>
              </w:rPr>
              <w:t xml:space="preserve">  </w:t>
            </w:r>
            <w:r>
              <w:rPr>
                <w:rFonts w:hint="default" w:ascii="Times New Roman" w:hAnsi="Times New Roman"/>
                <w:b/>
                <w:bCs/>
                <w:kern w:val="2"/>
                <w:sz w:val="21"/>
                <w:szCs w:val="21"/>
                <w:u w:val="single"/>
              </w:rPr>
              <w:t>工程土石方平衡表  单位</w:t>
            </w:r>
            <w:r>
              <w:rPr>
                <w:rFonts w:ascii="Times New Roman" w:hAnsi="Times New Roman"/>
                <w:b/>
                <w:bCs/>
                <w:kern w:val="2"/>
                <w:sz w:val="21"/>
                <w:szCs w:val="21"/>
                <w:u w:val="single"/>
              </w:rPr>
              <w:t>：m</w:t>
            </w:r>
            <w:r>
              <w:rPr>
                <w:rFonts w:ascii="Times New Roman" w:hAnsi="Times New Roman"/>
                <w:b/>
                <w:bCs/>
                <w:kern w:val="2"/>
                <w:sz w:val="21"/>
                <w:szCs w:val="21"/>
                <w:u w:val="single"/>
                <w:vertAlign w:val="superscript"/>
              </w:rPr>
              <w:t>3</w:t>
            </w:r>
          </w:p>
          <w:tbl>
            <w:tblPr>
              <w:tblStyle w:val="24"/>
              <w:tblW w:w="8578" w:type="dxa"/>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2162"/>
              <w:gridCol w:w="1793"/>
              <w:gridCol w:w="2121"/>
              <w:gridCol w:w="1191"/>
            </w:tblGrid>
            <w:tr w14:paraId="5445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64" w:type="pct"/>
                  <w:vMerge w:val="restart"/>
                  <w:noWrap w:val="0"/>
                  <w:vAlign w:val="center"/>
                </w:tcPr>
                <w:p w14:paraId="6C793690">
                  <w:pPr>
                    <w:pStyle w:val="60"/>
                    <w:ind w:left="-72" w:leftChars="-30" w:right="-72" w:rightChars="-30"/>
                    <w:rPr>
                      <w:rFonts w:hint="default" w:ascii="Times New Roman" w:hAnsi="Times New Roman"/>
                      <w:b/>
                      <w:bCs/>
                      <w:sz w:val="21"/>
                      <w:u w:val="single"/>
                    </w:rPr>
                  </w:pPr>
                  <w:r>
                    <w:rPr>
                      <w:rFonts w:hint="default" w:ascii="Times New Roman" w:hAnsi="Times New Roman"/>
                      <w:b/>
                      <w:bCs/>
                      <w:sz w:val="21"/>
                      <w:u w:val="single"/>
                    </w:rPr>
                    <w:t>项目</w:t>
                  </w:r>
                </w:p>
              </w:tc>
              <w:tc>
                <w:tcPr>
                  <w:tcW w:w="2305" w:type="pct"/>
                  <w:gridSpan w:val="2"/>
                  <w:noWrap w:val="0"/>
                  <w:vAlign w:val="center"/>
                </w:tcPr>
                <w:p w14:paraId="15316511">
                  <w:pPr>
                    <w:pStyle w:val="60"/>
                    <w:ind w:left="-72" w:leftChars="-30" w:right="-72" w:rightChars="-30"/>
                    <w:rPr>
                      <w:rFonts w:hint="default" w:ascii="Times New Roman" w:hAnsi="Times New Roman"/>
                      <w:b/>
                      <w:bCs/>
                      <w:sz w:val="21"/>
                      <w:u w:val="single"/>
                    </w:rPr>
                  </w:pPr>
                  <w:r>
                    <w:rPr>
                      <w:rFonts w:hint="default" w:ascii="Times New Roman" w:hAnsi="Times New Roman"/>
                      <w:b/>
                      <w:bCs/>
                      <w:sz w:val="21"/>
                      <w:u w:val="single"/>
                    </w:rPr>
                    <w:t>开挖与拆除量</w:t>
                  </w:r>
                </w:p>
              </w:tc>
              <w:tc>
                <w:tcPr>
                  <w:tcW w:w="1236" w:type="pct"/>
                  <w:noWrap w:val="0"/>
                  <w:vAlign w:val="center"/>
                </w:tcPr>
                <w:p w14:paraId="4628D9D8">
                  <w:pPr>
                    <w:pStyle w:val="60"/>
                    <w:ind w:left="-72" w:leftChars="-30" w:right="-72" w:rightChars="-30"/>
                    <w:rPr>
                      <w:rFonts w:hint="default" w:ascii="Times New Roman" w:hAnsi="Times New Roman"/>
                      <w:b/>
                      <w:bCs/>
                      <w:sz w:val="21"/>
                      <w:u w:val="single"/>
                    </w:rPr>
                  </w:pPr>
                  <w:r>
                    <w:rPr>
                      <w:rFonts w:hint="default" w:ascii="Times New Roman" w:hAnsi="Times New Roman"/>
                      <w:b/>
                      <w:bCs/>
                      <w:sz w:val="21"/>
                      <w:u w:val="single"/>
                    </w:rPr>
                    <w:t>填筑量</w:t>
                  </w:r>
                </w:p>
              </w:tc>
              <w:tc>
                <w:tcPr>
                  <w:tcW w:w="694" w:type="pct"/>
                  <w:noWrap w:val="0"/>
                  <w:vAlign w:val="center"/>
                </w:tcPr>
                <w:p w14:paraId="0447E552">
                  <w:pPr>
                    <w:pStyle w:val="60"/>
                    <w:ind w:left="-72" w:leftChars="-30" w:right="-72" w:rightChars="-30"/>
                    <w:rPr>
                      <w:rFonts w:hint="default" w:ascii="Times New Roman" w:hAnsi="Times New Roman"/>
                      <w:b/>
                      <w:bCs/>
                      <w:sz w:val="21"/>
                      <w:u w:val="single"/>
                    </w:rPr>
                  </w:pPr>
                  <w:r>
                    <w:rPr>
                      <w:rFonts w:hint="default" w:ascii="Times New Roman" w:hAnsi="Times New Roman"/>
                      <w:b/>
                      <w:bCs/>
                      <w:sz w:val="21"/>
                      <w:u w:val="single"/>
                    </w:rPr>
                    <w:t>弃方</w:t>
                  </w:r>
                </w:p>
              </w:tc>
            </w:tr>
            <w:tr w14:paraId="6D60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64" w:type="pct"/>
                  <w:vMerge w:val="continue"/>
                  <w:noWrap w:val="0"/>
                  <w:vAlign w:val="center"/>
                </w:tcPr>
                <w:p w14:paraId="0E193DEB">
                  <w:pPr>
                    <w:pStyle w:val="60"/>
                    <w:ind w:left="-72" w:leftChars="-30" w:right="-72" w:rightChars="-30"/>
                    <w:rPr>
                      <w:rFonts w:hint="default" w:ascii="Times New Roman" w:hAnsi="Times New Roman"/>
                      <w:b/>
                      <w:bCs/>
                      <w:sz w:val="21"/>
                      <w:u w:val="single"/>
                    </w:rPr>
                  </w:pPr>
                </w:p>
              </w:tc>
              <w:tc>
                <w:tcPr>
                  <w:tcW w:w="1260" w:type="pct"/>
                  <w:noWrap w:val="0"/>
                  <w:vAlign w:val="center"/>
                </w:tcPr>
                <w:p w14:paraId="126E0658">
                  <w:pPr>
                    <w:pStyle w:val="60"/>
                    <w:ind w:left="-72" w:leftChars="-30" w:right="-72" w:rightChars="-30"/>
                    <w:rPr>
                      <w:rFonts w:hint="default" w:ascii="Times New Roman" w:hAnsi="Times New Roman"/>
                      <w:b/>
                      <w:bCs/>
                      <w:sz w:val="21"/>
                      <w:u w:val="single"/>
                    </w:rPr>
                  </w:pPr>
                  <w:r>
                    <w:rPr>
                      <w:rFonts w:hint="default" w:ascii="Times New Roman" w:hAnsi="Times New Roman"/>
                      <w:b/>
                      <w:bCs/>
                      <w:sz w:val="21"/>
                      <w:u w:val="single"/>
                    </w:rPr>
                    <w:t>土石方</w:t>
                  </w:r>
                </w:p>
              </w:tc>
              <w:tc>
                <w:tcPr>
                  <w:tcW w:w="1045" w:type="pct"/>
                  <w:noWrap w:val="0"/>
                  <w:vAlign w:val="center"/>
                </w:tcPr>
                <w:p w14:paraId="4B6E947C">
                  <w:pPr>
                    <w:pStyle w:val="60"/>
                    <w:ind w:left="-72" w:leftChars="-30" w:right="-72" w:rightChars="-30"/>
                    <w:rPr>
                      <w:rFonts w:hint="default" w:ascii="Times New Roman" w:hAnsi="Times New Roman"/>
                      <w:b/>
                      <w:bCs/>
                      <w:sz w:val="21"/>
                      <w:u w:val="single"/>
                    </w:rPr>
                  </w:pPr>
                  <w:r>
                    <w:rPr>
                      <w:rFonts w:hint="eastAsia" w:ascii="Times New Roman" w:hAnsi="Times New Roman"/>
                      <w:b/>
                      <w:bCs/>
                      <w:sz w:val="21"/>
                      <w:u w:val="single"/>
                    </w:rPr>
                    <w:t>砼及砌体拆除</w:t>
                  </w:r>
                </w:p>
              </w:tc>
              <w:tc>
                <w:tcPr>
                  <w:tcW w:w="1236" w:type="pct"/>
                  <w:noWrap w:val="0"/>
                  <w:vAlign w:val="center"/>
                </w:tcPr>
                <w:p w14:paraId="311A316E">
                  <w:pPr>
                    <w:pStyle w:val="60"/>
                    <w:ind w:left="-72" w:leftChars="-30" w:right="-72" w:rightChars="-30"/>
                    <w:rPr>
                      <w:rFonts w:hint="default" w:ascii="Times New Roman" w:hAnsi="Times New Roman"/>
                      <w:b/>
                      <w:bCs/>
                      <w:sz w:val="21"/>
                      <w:u w:val="single"/>
                    </w:rPr>
                  </w:pPr>
                  <w:r>
                    <w:rPr>
                      <w:rFonts w:hint="default" w:ascii="Times New Roman" w:hAnsi="Times New Roman"/>
                      <w:b/>
                      <w:bCs/>
                      <w:sz w:val="21"/>
                      <w:u w:val="single"/>
                    </w:rPr>
                    <w:t>自然方</w:t>
                  </w:r>
                </w:p>
              </w:tc>
              <w:tc>
                <w:tcPr>
                  <w:tcW w:w="694" w:type="pct"/>
                  <w:noWrap w:val="0"/>
                  <w:vAlign w:val="center"/>
                </w:tcPr>
                <w:p w14:paraId="04AB1FEE">
                  <w:pPr>
                    <w:pStyle w:val="60"/>
                    <w:ind w:left="-72" w:leftChars="-30" w:right="-72" w:rightChars="-30"/>
                    <w:rPr>
                      <w:rFonts w:hint="default" w:ascii="Times New Roman" w:hAnsi="Times New Roman"/>
                      <w:b/>
                      <w:bCs/>
                      <w:sz w:val="21"/>
                      <w:u w:val="single"/>
                    </w:rPr>
                  </w:pPr>
                  <w:r>
                    <w:rPr>
                      <w:rFonts w:hint="default" w:ascii="Times New Roman" w:hAnsi="Times New Roman"/>
                      <w:b/>
                      <w:bCs/>
                      <w:sz w:val="21"/>
                      <w:u w:val="single"/>
                    </w:rPr>
                    <w:t>自然方</w:t>
                  </w:r>
                </w:p>
              </w:tc>
            </w:tr>
            <w:tr w14:paraId="26D0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64" w:type="pct"/>
                  <w:noWrap w:val="0"/>
                  <w:vAlign w:val="center"/>
                </w:tcPr>
                <w:p w14:paraId="5C4C78DF">
                  <w:pPr>
                    <w:pStyle w:val="60"/>
                    <w:ind w:left="-72" w:leftChars="-30" w:right="-72" w:rightChars="-30"/>
                    <w:rPr>
                      <w:rFonts w:hint="eastAsia" w:ascii="Times New Roman" w:hAnsi="Times New Roman" w:eastAsia="宋体"/>
                      <w:sz w:val="21"/>
                      <w:u w:val="single"/>
                      <w:lang w:val="en-US" w:eastAsia="zh-CN"/>
                    </w:rPr>
                  </w:pPr>
                  <w:r>
                    <w:rPr>
                      <w:rFonts w:hint="eastAsia" w:ascii="Times New Roman" w:hAnsi="Times New Roman"/>
                      <w:sz w:val="21"/>
                      <w:u w:val="single"/>
                      <w:lang w:val="en-US" w:eastAsia="zh-CN"/>
                    </w:rPr>
                    <w:t>小计</w:t>
                  </w:r>
                </w:p>
              </w:tc>
              <w:tc>
                <w:tcPr>
                  <w:tcW w:w="1260" w:type="pct"/>
                  <w:noWrap w:val="0"/>
                  <w:vAlign w:val="center"/>
                </w:tcPr>
                <w:p w14:paraId="42D4C7A9">
                  <w:pPr>
                    <w:pStyle w:val="60"/>
                    <w:rPr>
                      <w:rFonts w:hint="default" w:ascii="Times New Roman" w:hAnsi="Times New Roman" w:eastAsia="宋体"/>
                      <w:sz w:val="21"/>
                      <w:u w:val="single"/>
                      <w:lang w:val="en-US" w:eastAsia="zh-CN"/>
                    </w:rPr>
                  </w:pPr>
                  <w:r>
                    <w:rPr>
                      <w:rFonts w:hint="eastAsia" w:ascii="Times New Roman" w:hAnsi="Times New Roman"/>
                      <w:sz w:val="21"/>
                      <w:u w:val="single"/>
                      <w:lang w:val="en-US" w:eastAsia="zh-CN"/>
                    </w:rPr>
                    <w:t>17000</w:t>
                  </w:r>
                </w:p>
              </w:tc>
              <w:tc>
                <w:tcPr>
                  <w:tcW w:w="1045" w:type="pct"/>
                  <w:noWrap w:val="0"/>
                  <w:vAlign w:val="center"/>
                </w:tcPr>
                <w:p w14:paraId="3E59CA4E">
                  <w:pPr>
                    <w:pStyle w:val="60"/>
                    <w:ind w:left="-72" w:leftChars="-30" w:right="-72" w:rightChars="-30"/>
                    <w:rPr>
                      <w:rFonts w:hint="default" w:ascii="Times New Roman" w:hAnsi="Times New Roman"/>
                      <w:b/>
                      <w:bCs/>
                      <w:sz w:val="21"/>
                      <w:u w:val="single"/>
                      <w:lang w:val="en-US" w:eastAsia="zh-CN"/>
                    </w:rPr>
                  </w:pPr>
                  <w:r>
                    <w:rPr>
                      <w:rFonts w:hint="eastAsia" w:ascii="Times New Roman" w:hAnsi="Times New Roman"/>
                      <w:b/>
                      <w:bCs/>
                      <w:sz w:val="21"/>
                      <w:u w:val="single"/>
                      <w:lang w:val="en-US" w:eastAsia="zh-CN"/>
                    </w:rPr>
                    <w:t>9280</w:t>
                  </w:r>
                </w:p>
              </w:tc>
              <w:tc>
                <w:tcPr>
                  <w:tcW w:w="2121" w:type="dxa"/>
                  <w:noWrap w:val="0"/>
                  <w:vAlign w:val="center"/>
                </w:tcPr>
                <w:p w14:paraId="56F97F58">
                  <w:pPr>
                    <w:pStyle w:val="60"/>
                    <w:ind w:left="-72" w:leftChars="-30" w:right="-72" w:rightChars="-30"/>
                    <w:rPr>
                      <w:rFonts w:hint="default" w:ascii="Times New Roman" w:hAnsi="Times New Roman"/>
                      <w:b/>
                      <w:bCs/>
                      <w:sz w:val="21"/>
                      <w:u w:val="single"/>
                    </w:rPr>
                  </w:pPr>
                  <w:r>
                    <w:rPr>
                      <w:rFonts w:hint="default" w:ascii="Times New Roman" w:hAnsi="Times New Roman"/>
                      <w:b/>
                      <w:bCs/>
                      <w:sz w:val="21"/>
                      <w:u w:val="single"/>
                    </w:rPr>
                    <w:t>0</w:t>
                  </w:r>
                </w:p>
              </w:tc>
              <w:tc>
                <w:tcPr>
                  <w:tcW w:w="694" w:type="pct"/>
                  <w:noWrap w:val="0"/>
                  <w:vAlign w:val="center"/>
                </w:tcPr>
                <w:p w14:paraId="0C8E0836">
                  <w:pPr>
                    <w:pStyle w:val="60"/>
                    <w:ind w:left="-72" w:leftChars="-30" w:right="-72" w:rightChars="-30"/>
                    <w:rPr>
                      <w:rFonts w:hint="default" w:ascii="Times New Roman" w:hAnsi="Times New Roman"/>
                      <w:b/>
                      <w:bCs/>
                      <w:sz w:val="21"/>
                      <w:u w:val="single"/>
                      <w:lang w:val="en-US" w:eastAsia="zh-CN"/>
                    </w:rPr>
                  </w:pPr>
                  <w:r>
                    <w:rPr>
                      <w:rFonts w:hint="eastAsia" w:ascii="Times New Roman" w:hAnsi="Times New Roman"/>
                      <w:b/>
                      <w:bCs/>
                      <w:sz w:val="21"/>
                      <w:u w:val="single"/>
                      <w:lang w:val="en-US" w:eastAsia="zh-CN"/>
                    </w:rPr>
                    <w:t>26280</w:t>
                  </w:r>
                </w:p>
              </w:tc>
            </w:tr>
            <w:tr w14:paraId="2769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64" w:type="pct"/>
                  <w:noWrap w:val="0"/>
                  <w:vAlign w:val="center"/>
                </w:tcPr>
                <w:p w14:paraId="63260273">
                  <w:pPr>
                    <w:pStyle w:val="60"/>
                    <w:ind w:left="-72" w:leftChars="-30" w:right="-72" w:rightChars="-30"/>
                    <w:rPr>
                      <w:rFonts w:hint="eastAsia" w:ascii="Times New Roman" w:hAnsi="Times New Roman" w:eastAsia="宋体"/>
                      <w:sz w:val="21"/>
                      <w:u w:val="single"/>
                      <w:lang w:val="en-US" w:eastAsia="zh-CN"/>
                    </w:rPr>
                  </w:pPr>
                  <w:r>
                    <w:rPr>
                      <w:rFonts w:hint="eastAsia" w:ascii="Times New Roman" w:hAnsi="Times New Roman"/>
                      <w:sz w:val="21"/>
                      <w:u w:val="single"/>
                      <w:lang w:val="en-US" w:eastAsia="zh-CN"/>
                    </w:rPr>
                    <w:t>合计</w:t>
                  </w:r>
                </w:p>
              </w:tc>
              <w:tc>
                <w:tcPr>
                  <w:tcW w:w="1260" w:type="pct"/>
                  <w:noWrap w:val="0"/>
                  <w:vAlign w:val="center"/>
                </w:tcPr>
                <w:p w14:paraId="01266A09">
                  <w:pPr>
                    <w:pStyle w:val="60"/>
                    <w:rPr>
                      <w:rFonts w:hint="default" w:ascii="Times New Roman" w:hAnsi="Times New Roman" w:eastAsia="宋体"/>
                      <w:sz w:val="21"/>
                      <w:u w:val="single"/>
                      <w:lang w:val="en-US" w:eastAsia="zh-CN"/>
                    </w:rPr>
                  </w:pPr>
                  <w:r>
                    <w:rPr>
                      <w:rFonts w:hint="eastAsia" w:ascii="Times New Roman" w:hAnsi="Times New Roman"/>
                      <w:sz w:val="21"/>
                      <w:u w:val="single"/>
                      <w:lang w:val="en-US" w:eastAsia="zh-CN"/>
                    </w:rPr>
                    <w:t>17000</w:t>
                  </w:r>
                </w:p>
              </w:tc>
              <w:tc>
                <w:tcPr>
                  <w:tcW w:w="1045" w:type="pct"/>
                  <w:noWrap w:val="0"/>
                  <w:vAlign w:val="center"/>
                </w:tcPr>
                <w:p w14:paraId="2FA54579">
                  <w:pPr>
                    <w:pStyle w:val="60"/>
                    <w:ind w:left="-72" w:leftChars="-30" w:right="-72" w:rightChars="-30"/>
                    <w:rPr>
                      <w:rFonts w:hint="default" w:ascii="Times New Roman" w:hAnsi="Times New Roman"/>
                      <w:b/>
                      <w:bCs/>
                      <w:sz w:val="21"/>
                      <w:u w:val="single"/>
                      <w:lang w:val="en-US" w:eastAsia="zh-CN"/>
                    </w:rPr>
                  </w:pPr>
                  <w:r>
                    <w:rPr>
                      <w:rFonts w:hint="eastAsia" w:ascii="Times New Roman" w:hAnsi="Times New Roman"/>
                      <w:b/>
                      <w:bCs/>
                      <w:sz w:val="21"/>
                      <w:u w:val="single"/>
                      <w:lang w:val="en-US" w:eastAsia="zh-CN"/>
                    </w:rPr>
                    <w:t>9280</w:t>
                  </w:r>
                </w:p>
              </w:tc>
              <w:tc>
                <w:tcPr>
                  <w:tcW w:w="2121" w:type="dxa"/>
                  <w:noWrap w:val="0"/>
                  <w:vAlign w:val="center"/>
                </w:tcPr>
                <w:p w14:paraId="1EAF043C">
                  <w:pPr>
                    <w:pStyle w:val="60"/>
                    <w:ind w:left="-72" w:leftChars="-30" w:right="-72" w:rightChars="-30"/>
                    <w:rPr>
                      <w:rFonts w:hint="default" w:ascii="Times New Roman" w:hAnsi="Times New Roman"/>
                      <w:b/>
                      <w:bCs/>
                      <w:sz w:val="21"/>
                      <w:u w:val="single"/>
                    </w:rPr>
                  </w:pPr>
                  <w:r>
                    <w:rPr>
                      <w:rFonts w:hint="default" w:ascii="Times New Roman" w:hAnsi="Times New Roman"/>
                      <w:b/>
                      <w:bCs/>
                      <w:sz w:val="21"/>
                      <w:u w:val="single"/>
                    </w:rPr>
                    <w:t>0</w:t>
                  </w:r>
                </w:p>
              </w:tc>
              <w:tc>
                <w:tcPr>
                  <w:tcW w:w="694" w:type="pct"/>
                  <w:noWrap w:val="0"/>
                  <w:vAlign w:val="center"/>
                </w:tcPr>
                <w:p w14:paraId="47912DDA">
                  <w:pPr>
                    <w:pStyle w:val="60"/>
                    <w:ind w:left="-72" w:leftChars="-30" w:right="-72" w:rightChars="-30"/>
                    <w:rPr>
                      <w:rFonts w:hint="default" w:ascii="Times New Roman" w:hAnsi="Times New Roman"/>
                      <w:b/>
                      <w:bCs/>
                      <w:sz w:val="21"/>
                      <w:u w:val="single"/>
                      <w:lang w:val="en-US" w:eastAsia="zh-CN"/>
                    </w:rPr>
                  </w:pPr>
                  <w:r>
                    <w:rPr>
                      <w:rFonts w:hint="eastAsia" w:ascii="Times New Roman" w:hAnsi="Times New Roman"/>
                      <w:b/>
                      <w:bCs/>
                      <w:sz w:val="21"/>
                      <w:u w:val="single"/>
                      <w:lang w:val="en-US" w:eastAsia="zh-CN"/>
                    </w:rPr>
                    <w:t>26280</w:t>
                  </w:r>
                </w:p>
              </w:tc>
            </w:tr>
          </w:tbl>
          <w:p w14:paraId="167DAB21">
            <w:pPr>
              <w:pStyle w:val="4"/>
            </w:pPr>
          </w:p>
        </w:tc>
      </w:tr>
      <w:tr w14:paraId="2FBC6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85" w:hRule="atLeast"/>
          <w:jc w:val="center"/>
        </w:trPr>
        <w:tc>
          <w:tcPr>
            <w:tcW w:w="132" w:type="pct"/>
            <w:tcMar>
              <w:left w:w="28" w:type="dxa"/>
              <w:right w:w="28" w:type="dxa"/>
            </w:tcMar>
            <w:vAlign w:val="center"/>
          </w:tcPr>
          <w:p w14:paraId="4E430031">
            <w:pPr>
              <w:adjustRightInd w:val="0"/>
              <w:snapToGrid w:val="0"/>
              <w:jc w:val="center"/>
              <w:rPr>
                <w:bCs/>
                <w:szCs w:val="21"/>
              </w:rPr>
            </w:pPr>
            <w:r>
              <w:rPr>
                <w:bCs/>
                <w:szCs w:val="21"/>
              </w:rPr>
              <w:t>运营</w:t>
            </w:r>
          </w:p>
          <w:p w14:paraId="1E99866C">
            <w:pPr>
              <w:adjustRightInd w:val="0"/>
              <w:snapToGrid w:val="0"/>
              <w:jc w:val="center"/>
              <w:rPr>
                <w:bCs/>
                <w:szCs w:val="21"/>
              </w:rPr>
            </w:pPr>
            <w:r>
              <w:rPr>
                <w:bCs/>
                <w:szCs w:val="21"/>
              </w:rPr>
              <w:t>期环</w:t>
            </w:r>
          </w:p>
          <w:p w14:paraId="0E4CDA3A">
            <w:pPr>
              <w:adjustRightInd w:val="0"/>
              <w:snapToGrid w:val="0"/>
              <w:jc w:val="center"/>
              <w:rPr>
                <w:bCs/>
                <w:szCs w:val="21"/>
              </w:rPr>
            </w:pPr>
            <w:r>
              <w:rPr>
                <w:bCs/>
                <w:szCs w:val="21"/>
              </w:rPr>
              <w:t>境影</w:t>
            </w:r>
          </w:p>
          <w:p w14:paraId="5CA75A9C">
            <w:pPr>
              <w:adjustRightInd w:val="0"/>
              <w:snapToGrid w:val="0"/>
              <w:jc w:val="center"/>
              <w:rPr>
                <w:bCs/>
                <w:szCs w:val="21"/>
              </w:rPr>
            </w:pPr>
            <w:r>
              <w:rPr>
                <w:bCs/>
                <w:szCs w:val="21"/>
              </w:rPr>
              <w:t>响和</w:t>
            </w:r>
          </w:p>
          <w:p w14:paraId="6B644887">
            <w:pPr>
              <w:adjustRightInd w:val="0"/>
              <w:snapToGrid w:val="0"/>
              <w:jc w:val="center"/>
              <w:rPr>
                <w:bCs/>
                <w:szCs w:val="21"/>
              </w:rPr>
            </w:pPr>
            <w:r>
              <w:rPr>
                <w:bCs/>
                <w:szCs w:val="21"/>
              </w:rPr>
              <w:t>保护</w:t>
            </w:r>
          </w:p>
          <w:p w14:paraId="30E25CEA">
            <w:pPr>
              <w:adjustRightInd w:val="0"/>
              <w:snapToGrid w:val="0"/>
              <w:jc w:val="center"/>
              <w:rPr>
                <w:bCs/>
                <w:color w:val="0000C7"/>
                <w:szCs w:val="21"/>
              </w:rPr>
            </w:pPr>
            <w:r>
              <w:rPr>
                <w:bCs/>
                <w:szCs w:val="21"/>
              </w:rPr>
              <w:t>措施</w:t>
            </w:r>
          </w:p>
        </w:tc>
        <w:tc>
          <w:tcPr>
            <w:tcW w:w="4867" w:type="pct"/>
          </w:tcPr>
          <w:p w14:paraId="552AF6BD">
            <w:pPr>
              <w:pStyle w:val="30"/>
              <w:numPr>
                <w:ilvl w:val="1"/>
                <w:numId w:val="0"/>
              </w:numPr>
              <w:ind w:left="284"/>
            </w:pPr>
            <w:bookmarkStart w:id="74" w:name="_Toc13983"/>
            <w:bookmarkStart w:id="75" w:name="_Toc68160385"/>
            <w:r>
              <w:t>4.2运营期环境影响及保护措施</w:t>
            </w:r>
            <w:bookmarkEnd w:id="74"/>
            <w:bookmarkEnd w:id="75"/>
          </w:p>
          <w:p w14:paraId="6AA8D261">
            <w:pPr>
              <w:pStyle w:val="34"/>
              <w:numPr>
                <w:ilvl w:val="2"/>
                <w:numId w:val="0"/>
              </w:numPr>
              <w:ind w:firstLine="482" w:firstLineChars="200"/>
            </w:pPr>
            <w:bookmarkStart w:id="76" w:name="_Toc68160386"/>
            <w:bookmarkStart w:id="77" w:name="_Toc32464"/>
            <w:r>
              <w:t>4.2.1、废气</w:t>
            </w:r>
            <w:bookmarkEnd w:id="76"/>
            <w:bookmarkEnd w:id="77"/>
          </w:p>
          <w:p w14:paraId="54AE75B8">
            <w:pPr>
              <w:autoSpaceDE w:val="0"/>
              <w:autoSpaceDN w:val="0"/>
              <w:adjustRightInd w:val="0"/>
              <w:ind w:firstLine="480" w:firstLineChars="200"/>
              <w:jc w:val="left"/>
              <w:rPr>
                <w:color w:val="0000C7"/>
                <w:kern w:val="0"/>
              </w:rPr>
            </w:pPr>
            <w:bookmarkStart w:id="78" w:name="_Toc13180"/>
            <w:r>
              <w:rPr>
                <w:kern w:val="0"/>
              </w:rPr>
              <w:t>本项目运营期大气污染物主要为</w:t>
            </w:r>
            <w:r>
              <w:rPr>
                <w:rFonts w:hint="eastAsia"/>
                <w:kern w:val="0"/>
              </w:rPr>
              <w:t>原料堆场扬尘、成品</w:t>
            </w:r>
            <w:r>
              <w:rPr>
                <w:kern w:val="0"/>
              </w:rPr>
              <w:t>堆场扬尘、</w:t>
            </w:r>
            <w:r>
              <w:rPr>
                <w:rFonts w:hint="eastAsia"/>
                <w:kern w:val="0"/>
              </w:rPr>
              <w:t>路沿石加工粉尘、</w:t>
            </w:r>
            <w:r>
              <w:rPr>
                <w:rFonts w:hint="eastAsia"/>
                <w:b w:val="0"/>
                <w:bCs/>
                <w:kern w:val="0"/>
                <w:u w:val="none"/>
                <w:lang w:eastAsia="zh-CN" w:bidi="ar"/>
              </w:rPr>
              <w:t>墓碑</w:t>
            </w:r>
            <w:r>
              <w:rPr>
                <w:rFonts w:hint="eastAsia" w:ascii="Times New Roman" w:hAnsi="Times New Roman" w:eastAsia="宋体" w:cs="Times New Roman"/>
                <w:b w:val="0"/>
                <w:bCs/>
                <w:kern w:val="0"/>
                <w:sz w:val="24"/>
                <w:szCs w:val="24"/>
                <w:u w:val="none"/>
                <w:lang w:val="en-US" w:eastAsia="zh-CN" w:bidi="ar"/>
              </w:rPr>
              <w:t>及附属产品和其他板材</w:t>
            </w:r>
            <w:r>
              <w:rPr>
                <w:rFonts w:hint="eastAsia"/>
                <w:kern w:val="0"/>
              </w:rPr>
              <w:t>加工</w:t>
            </w:r>
            <w:r>
              <w:rPr>
                <w:rFonts w:hint="eastAsia"/>
                <w:kern w:val="0"/>
                <w:highlight w:val="none"/>
              </w:rPr>
              <w:t>粉尘</w:t>
            </w:r>
            <w:r>
              <w:rPr>
                <w:rFonts w:hint="eastAsia"/>
                <w:kern w:val="0"/>
              </w:rPr>
              <w:t>、</w:t>
            </w:r>
            <w:r>
              <w:rPr>
                <w:rFonts w:hint="eastAsia"/>
                <w:kern w:val="0"/>
                <w:lang w:eastAsia="zh-CN"/>
              </w:rPr>
              <w:t>墓碑加工有机废气、</w:t>
            </w:r>
            <w:r>
              <w:rPr>
                <w:rFonts w:hint="eastAsia" w:ascii="Times New Roman" w:hAnsi="Times New Roman" w:eastAsia="宋体" w:cs="Times New Roman"/>
                <w:kern w:val="2"/>
                <w:sz w:val="24"/>
                <w:szCs w:val="24"/>
                <w:u w:val="none"/>
                <w:lang w:val="en-US" w:eastAsia="zh-CN" w:bidi="ar-SA"/>
              </w:rPr>
              <w:t>透水砖、路面砖</w:t>
            </w:r>
            <w:r>
              <w:rPr>
                <w:kern w:val="0"/>
              </w:rPr>
              <w:t>生产过程中产生的破碎筛分</w:t>
            </w:r>
            <w:r>
              <w:rPr>
                <w:rFonts w:hint="eastAsia"/>
                <w:kern w:val="0"/>
              </w:rPr>
              <w:t>制砂</w:t>
            </w:r>
            <w:r>
              <w:rPr>
                <w:kern w:val="0"/>
              </w:rPr>
              <w:t>粉尘、</w:t>
            </w:r>
            <w:r>
              <w:rPr>
                <w:rFonts w:hint="eastAsia" w:ascii="Times New Roman" w:hAnsi="Times New Roman" w:eastAsia="宋体" w:cs="Times New Roman"/>
                <w:kern w:val="2"/>
                <w:sz w:val="24"/>
                <w:szCs w:val="24"/>
                <w:u w:val="none"/>
                <w:lang w:val="en-US" w:eastAsia="zh-CN" w:bidi="ar-SA"/>
              </w:rPr>
              <w:t>透水砖、路面砖</w:t>
            </w:r>
            <w:r>
              <w:rPr>
                <w:kern w:val="0"/>
              </w:rPr>
              <w:t>生产</w:t>
            </w:r>
            <w:r>
              <w:rPr>
                <w:rFonts w:hint="eastAsia"/>
                <w:kern w:val="0"/>
              </w:rPr>
              <w:t>线投料输送及搅拌</w:t>
            </w:r>
            <w:r>
              <w:rPr>
                <w:kern w:val="0"/>
              </w:rPr>
              <w:t>粉尘、</w:t>
            </w:r>
            <w:r>
              <w:rPr>
                <w:rFonts w:hint="eastAsia"/>
                <w:kern w:val="2"/>
                <w:szCs w:val="21"/>
                <w:lang w:val="en-US" w:eastAsia="zh-CN"/>
              </w:rPr>
              <w:t>水泥筒仓</w:t>
            </w:r>
            <w:r>
              <w:rPr>
                <w:rFonts w:hint="eastAsia"/>
                <w:kern w:val="0"/>
              </w:rPr>
              <w:t>呼吸孔粉尘、</w:t>
            </w:r>
            <w:r>
              <w:rPr>
                <w:kern w:val="0"/>
              </w:rPr>
              <w:t>运输车辆扬尘及</w:t>
            </w:r>
            <w:r>
              <w:t>食堂油烟</w:t>
            </w:r>
            <w:r>
              <w:rPr>
                <w:kern w:val="0"/>
              </w:rPr>
              <w:t>。</w:t>
            </w:r>
          </w:p>
          <w:p w14:paraId="6991740A">
            <w:pPr>
              <w:pStyle w:val="40"/>
              <w:numPr>
                <w:ilvl w:val="3"/>
                <w:numId w:val="0"/>
              </w:numPr>
              <w:ind w:left="454"/>
            </w:pPr>
            <w:r>
              <w:t>1、污染源强及污染防治措施</w:t>
            </w:r>
            <w:bookmarkEnd w:id="78"/>
          </w:p>
          <w:p w14:paraId="2B261811">
            <w:pPr>
              <w:pStyle w:val="41"/>
              <w:ind w:left="420" w:firstLine="0" w:firstLineChars="0"/>
              <w:rPr>
                <w:bCs/>
                <w:spacing w:val="-10"/>
                <w:szCs w:val="21"/>
              </w:rPr>
            </w:pPr>
            <w:r>
              <w:rPr>
                <w:bCs/>
                <w:spacing w:val="-10"/>
                <w:szCs w:val="21"/>
              </w:rPr>
              <w:t>（1）</w:t>
            </w:r>
            <w:r>
              <w:rPr>
                <w:rFonts w:hint="eastAsia"/>
                <w:bCs/>
                <w:spacing w:val="-10"/>
                <w:szCs w:val="21"/>
              </w:rPr>
              <w:t>成品</w:t>
            </w:r>
            <w:r>
              <w:rPr>
                <w:bCs/>
                <w:spacing w:val="-10"/>
                <w:szCs w:val="21"/>
              </w:rPr>
              <w:t>堆场扬尘</w:t>
            </w:r>
          </w:p>
          <w:p w14:paraId="27CCE2FE">
            <w:pPr>
              <w:ind w:firstLine="480" w:firstLineChars="200"/>
              <w:rPr>
                <w:color w:val="0000C7"/>
              </w:rPr>
            </w:pPr>
            <w:r>
              <w:t>本项目</w:t>
            </w:r>
            <w:r>
              <w:rPr>
                <w:rFonts w:hint="eastAsia"/>
              </w:rPr>
              <w:t>生产出的路沿石、</w:t>
            </w:r>
            <w:r>
              <w:rPr>
                <w:rFonts w:hint="eastAsia"/>
                <w:b w:val="0"/>
                <w:bCs/>
                <w:kern w:val="0"/>
                <w:u w:val="none"/>
                <w:lang w:eastAsia="zh-CN" w:bidi="ar"/>
              </w:rPr>
              <w:t>墓碑</w:t>
            </w:r>
            <w:r>
              <w:rPr>
                <w:rFonts w:hint="eastAsia" w:ascii="Times New Roman" w:hAnsi="Times New Roman" w:eastAsia="宋体" w:cs="Times New Roman"/>
                <w:b w:val="0"/>
                <w:bCs/>
                <w:kern w:val="0"/>
                <w:sz w:val="24"/>
                <w:szCs w:val="24"/>
                <w:u w:val="none"/>
                <w:lang w:val="en-US" w:eastAsia="zh-CN" w:bidi="ar"/>
              </w:rPr>
              <w:t>及附属产品和其他板材</w:t>
            </w:r>
            <w:r>
              <w:rPr>
                <w:rFonts w:hint="eastAsia"/>
              </w:rPr>
              <w:t>以及</w:t>
            </w:r>
            <w:r>
              <w:rPr>
                <w:rFonts w:hint="eastAsia" w:ascii="Times New Roman" w:hAnsi="Times New Roman" w:eastAsia="宋体" w:cs="Times New Roman"/>
                <w:kern w:val="2"/>
                <w:sz w:val="24"/>
                <w:szCs w:val="24"/>
                <w:u w:val="none"/>
                <w:lang w:val="en-US" w:eastAsia="zh-CN" w:bidi="ar-SA"/>
              </w:rPr>
              <w:t>透水砖、路面砖</w:t>
            </w:r>
            <w:r>
              <w:rPr>
                <w:rFonts w:hint="eastAsia"/>
              </w:rPr>
              <w:t>分区堆放于成品堆场，设置顶棚，三面围挡，防风防雨，路沿石、</w:t>
            </w:r>
            <w:r>
              <w:rPr>
                <w:rFonts w:hint="eastAsia"/>
                <w:b w:val="0"/>
                <w:bCs/>
                <w:kern w:val="0"/>
                <w:u w:val="none"/>
                <w:lang w:eastAsia="zh-CN" w:bidi="ar"/>
              </w:rPr>
              <w:t>墓碑</w:t>
            </w:r>
            <w:r>
              <w:rPr>
                <w:rFonts w:hint="eastAsia" w:ascii="Times New Roman" w:hAnsi="Times New Roman" w:eastAsia="宋体" w:cs="Times New Roman"/>
                <w:b w:val="0"/>
                <w:bCs/>
                <w:kern w:val="0"/>
                <w:sz w:val="24"/>
                <w:szCs w:val="24"/>
                <w:u w:val="none"/>
                <w:lang w:val="en-US" w:eastAsia="zh-CN" w:bidi="ar"/>
              </w:rPr>
              <w:t>及附属产品</w:t>
            </w:r>
            <w:r>
              <w:t>为</w:t>
            </w:r>
            <w:r>
              <w:rPr>
                <w:highlight w:val="none"/>
              </w:rPr>
              <w:t>块状结构，</w:t>
            </w:r>
            <w:r>
              <w:rPr>
                <w:rFonts w:hint="eastAsia"/>
                <w:lang w:eastAsia="zh-CN"/>
              </w:rPr>
              <w:t>其他板材为球状结构等，</w:t>
            </w:r>
            <w:r>
              <w:t>地面已做硬化处理，在堆放过程不易引起扬尘</w:t>
            </w:r>
            <w:r>
              <w:rPr>
                <w:rFonts w:hint="eastAsia"/>
              </w:rPr>
              <w:t>；</w:t>
            </w:r>
            <w:r>
              <w:rPr>
                <w:rFonts w:hint="eastAsia" w:ascii="Times New Roman" w:hAnsi="Times New Roman" w:eastAsia="宋体" w:cs="Times New Roman"/>
                <w:kern w:val="2"/>
                <w:sz w:val="24"/>
                <w:szCs w:val="24"/>
                <w:u w:val="none"/>
                <w:lang w:val="en-US" w:eastAsia="zh-CN" w:bidi="ar-SA"/>
              </w:rPr>
              <w:t>透水砖、路面砖</w:t>
            </w:r>
            <w:r>
              <w:t>经生产加工后的成品表面湿度较大，短期堆存扬尘产生可忽略不计。</w:t>
            </w:r>
            <w:r>
              <w:rPr>
                <w:rFonts w:hint="eastAsia"/>
              </w:rPr>
              <w:t>项目</w:t>
            </w:r>
            <w:r>
              <w:t>成品一般不会在厂区内长期贮存，短期贮存扬尘可忽略不计</w:t>
            </w:r>
            <w:r>
              <w:rPr>
                <w:rFonts w:hint="eastAsia"/>
              </w:rPr>
              <w:t>。</w:t>
            </w:r>
          </w:p>
          <w:p w14:paraId="742340FE">
            <w:pPr>
              <w:adjustRightInd w:val="0"/>
              <w:ind w:firstLine="480" w:firstLineChars="200"/>
              <w:rPr>
                <w:kern w:val="0"/>
              </w:rPr>
            </w:pPr>
            <w:r>
              <w:rPr>
                <w:kern w:val="0"/>
              </w:rPr>
              <w:t>（2）</w:t>
            </w:r>
            <w:r>
              <w:rPr>
                <w:rFonts w:hint="eastAsia"/>
                <w:kern w:val="0"/>
              </w:rPr>
              <w:t>原料堆场粉尘</w:t>
            </w:r>
          </w:p>
          <w:p w14:paraId="13A73318">
            <w:pPr>
              <w:pStyle w:val="4"/>
              <w:ind w:firstLine="480" w:firstLineChars="200"/>
              <w:jc w:val="both"/>
              <w:rPr>
                <w:color w:val="auto"/>
                <w:sz w:val="24"/>
              </w:rPr>
            </w:pPr>
            <w:r>
              <w:rPr>
                <w:color w:val="auto"/>
                <w:sz w:val="24"/>
              </w:rPr>
              <w:t>本项目</w:t>
            </w:r>
            <w:r>
              <w:rPr>
                <w:rFonts w:hint="eastAsia"/>
                <w:color w:val="auto"/>
                <w:sz w:val="24"/>
              </w:rPr>
              <w:t>原料</w:t>
            </w:r>
            <w:r>
              <w:rPr>
                <w:color w:val="auto"/>
                <w:sz w:val="24"/>
              </w:rPr>
              <w:t>堆场</w:t>
            </w:r>
            <w:r>
              <w:rPr>
                <w:rFonts w:hint="eastAsia"/>
                <w:color w:val="auto"/>
                <w:sz w:val="24"/>
              </w:rPr>
              <w:t>800</w:t>
            </w:r>
            <w:r>
              <w:rPr>
                <w:color w:val="auto"/>
                <w:sz w:val="24"/>
              </w:rPr>
              <w:t>m</w:t>
            </w:r>
            <w:r>
              <w:rPr>
                <w:color w:val="auto"/>
                <w:sz w:val="24"/>
                <w:vertAlign w:val="superscript"/>
              </w:rPr>
              <w:t>2</w:t>
            </w:r>
            <w:r>
              <w:rPr>
                <w:rFonts w:hint="eastAsia"/>
                <w:color w:val="auto"/>
                <w:sz w:val="24"/>
              </w:rPr>
              <w:t>，</w:t>
            </w:r>
            <w:r>
              <w:rPr>
                <w:color w:val="auto"/>
                <w:sz w:val="24"/>
              </w:rPr>
              <w:t>荒料、边角料</w:t>
            </w:r>
            <w:r>
              <w:rPr>
                <w:rFonts w:hint="eastAsia"/>
                <w:color w:val="auto"/>
                <w:sz w:val="24"/>
                <w:lang w:eastAsia="zh-CN"/>
              </w:rPr>
              <w:t>及不合格产品</w:t>
            </w:r>
            <w:r>
              <w:rPr>
                <w:color w:val="auto"/>
                <w:sz w:val="24"/>
              </w:rPr>
              <w:t>堆</w:t>
            </w:r>
            <w:r>
              <w:rPr>
                <w:rFonts w:hint="eastAsia"/>
                <w:color w:val="auto"/>
                <w:sz w:val="24"/>
              </w:rPr>
              <w:t>区400</w:t>
            </w:r>
            <w:r>
              <w:rPr>
                <w:color w:val="auto"/>
                <w:sz w:val="24"/>
              </w:rPr>
              <w:t>m</w:t>
            </w:r>
            <w:r>
              <w:rPr>
                <w:color w:val="auto"/>
                <w:sz w:val="24"/>
                <w:vertAlign w:val="superscript"/>
              </w:rPr>
              <w:t>2</w:t>
            </w:r>
            <w:r>
              <w:rPr>
                <w:rFonts w:hint="eastAsia"/>
                <w:color w:val="auto"/>
                <w:sz w:val="24"/>
              </w:rPr>
              <w:t>、</w:t>
            </w:r>
            <w:r>
              <w:rPr>
                <w:color w:val="auto"/>
                <w:sz w:val="24"/>
              </w:rPr>
              <w:t>压滤泥饼堆放区</w:t>
            </w:r>
            <w:r>
              <w:rPr>
                <w:rFonts w:hint="eastAsia"/>
                <w:color w:val="auto"/>
                <w:sz w:val="24"/>
              </w:rPr>
              <w:t>200</w:t>
            </w:r>
            <w:r>
              <w:rPr>
                <w:color w:val="auto"/>
                <w:sz w:val="24"/>
              </w:rPr>
              <w:t>m</w:t>
            </w:r>
            <w:r>
              <w:rPr>
                <w:color w:val="auto"/>
                <w:sz w:val="24"/>
                <w:vertAlign w:val="superscript"/>
              </w:rPr>
              <w:t>2</w:t>
            </w:r>
            <w:r>
              <w:rPr>
                <w:rFonts w:hint="eastAsia"/>
                <w:color w:val="auto"/>
                <w:sz w:val="24"/>
              </w:rPr>
              <w:t>及</w:t>
            </w:r>
            <w:r>
              <w:rPr>
                <w:rFonts w:hint="eastAsia" w:ascii="Times New Roman" w:hAnsi="Times New Roman" w:eastAsia="宋体" w:cs="Times New Roman"/>
                <w:kern w:val="2"/>
                <w:sz w:val="24"/>
                <w:szCs w:val="24"/>
                <w:u w:val="none"/>
                <w:lang w:val="en-US" w:eastAsia="zh-CN" w:bidi="ar-SA"/>
              </w:rPr>
              <w:t>透水砖、路面砖</w:t>
            </w:r>
            <w:r>
              <w:rPr>
                <w:rFonts w:hint="eastAsia"/>
                <w:color w:val="auto"/>
                <w:sz w:val="24"/>
              </w:rPr>
              <w:t>所用原材料区200</w:t>
            </w:r>
            <w:r>
              <w:rPr>
                <w:color w:val="auto"/>
                <w:sz w:val="24"/>
              </w:rPr>
              <w:t>m</w:t>
            </w:r>
            <w:r>
              <w:rPr>
                <w:color w:val="auto"/>
                <w:sz w:val="24"/>
                <w:vertAlign w:val="superscript"/>
              </w:rPr>
              <w:t>2</w:t>
            </w:r>
            <w:r>
              <w:rPr>
                <w:rFonts w:hint="eastAsia" w:ascii="Times New Roman" w:hAnsi="Times New Roman"/>
                <w:color w:val="auto"/>
                <w:sz w:val="24"/>
              </w:rPr>
              <w:t>。</w:t>
            </w:r>
            <w:r>
              <w:rPr>
                <w:color w:val="auto"/>
                <w:sz w:val="24"/>
              </w:rPr>
              <w:t>项</w:t>
            </w:r>
            <w:r>
              <w:rPr>
                <w:rFonts w:ascii="Times New Roman" w:hAnsi="Times New Roman"/>
                <w:bCs w:val="0"/>
                <w:snapToGrid/>
                <w:color w:val="auto"/>
                <w:kern w:val="2"/>
                <w:sz w:val="24"/>
                <w:szCs w:val="24"/>
              </w:rPr>
              <w:t>目</w:t>
            </w:r>
            <w:r>
              <w:rPr>
                <w:rFonts w:hint="eastAsia" w:ascii="Times New Roman" w:hAnsi="Times New Roman"/>
                <w:bCs w:val="0"/>
                <w:snapToGrid/>
                <w:color w:val="auto"/>
                <w:kern w:val="2"/>
                <w:sz w:val="24"/>
                <w:szCs w:val="24"/>
              </w:rPr>
              <w:t>路沿石、</w:t>
            </w:r>
            <w:r>
              <w:rPr>
                <w:rFonts w:hint="eastAsia" w:ascii="Times New Roman" w:hAnsi="Times New Roman"/>
                <w:b w:val="0"/>
                <w:bCs/>
                <w:color w:val="auto"/>
                <w:kern w:val="44"/>
                <w:sz w:val="24"/>
                <w:u w:val="none"/>
                <w:lang w:eastAsia="zh-CN" w:bidi="ar"/>
              </w:rPr>
              <w:t>墓碑</w:t>
            </w:r>
            <w:r>
              <w:rPr>
                <w:rFonts w:hint="eastAsia" w:ascii="Times New Roman" w:hAnsi="Times New Roman" w:eastAsia="宋体" w:cs="Times New Roman"/>
                <w:b w:val="0"/>
                <w:bCs/>
                <w:kern w:val="0"/>
                <w:sz w:val="24"/>
                <w:szCs w:val="24"/>
                <w:u w:val="none"/>
                <w:lang w:val="en-US" w:eastAsia="zh-CN" w:bidi="ar"/>
              </w:rPr>
              <w:t>及附属产品和其他板材</w:t>
            </w:r>
            <w:r>
              <w:rPr>
                <w:rFonts w:ascii="Times New Roman" w:hAnsi="Times New Roman"/>
                <w:bCs w:val="0"/>
                <w:snapToGrid/>
                <w:color w:val="auto"/>
                <w:kern w:val="2"/>
                <w:sz w:val="24"/>
                <w:szCs w:val="24"/>
              </w:rPr>
              <w:t>以花岗岩</w:t>
            </w:r>
            <w:r>
              <w:rPr>
                <w:rFonts w:hint="eastAsia" w:ascii="Times New Roman" w:hAnsi="Times New Roman"/>
                <w:bCs w:val="0"/>
                <w:snapToGrid/>
                <w:color w:val="auto"/>
                <w:kern w:val="2"/>
                <w:sz w:val="24"/>
                <w:szCs w:val="24"/>
              </w:rPr>
              <w:t>及青石</w:t>
            </w:r>
            <w:r>
              <w:rPr>
                <w:rFonts w:ascii="Times New Roman" w:hAnsi="Times New Roman"/>
                <w:bCs w:val="0"/>
                <w:snapToGrid/>
                <w:color w:val="auto"/>
                <w:kern w:val="2"/>
                <w:sz w:val="24"/>
                <w:szCs w:val="24"/>
              </w:rPr>
              <w:t>荒料为原料，</w:t>
            </w:r>
            <w:r>
              <w:rPr>
                <w:color w:val="auto"/>
                <w:sz w:val="24"/>
              </w:rPr>
              <w:t>其中毛坯荒料</w:t>
            </w:r>
            <w:r>
              <w:rPr>
                <w:rFonts w:hint="eastAsia"/>
                <w:color w:val="auto"/>
                <w:sz w:val="24"/>
              </w:rPr>
              <w:t>均</w:t>
            </w:r>
            <w:r>
              <w:rPr>
                <w:color w:val="auto"/>
                <w:sz w:val="24"/>
              </w:rPr>
              <w:t>为干料，在堆存过程会产生少量扬尘；</w:t>
            </w:r>
            <w:r>
              <w:rPr>
                <w:rFonts w:hint="eastAsia" w:ascii="Times New Roman" w:hAnsi="Times New Roman" w:eastAsia="宋体" w:cs="Times New Roman"/>
                <w:kern w:val="2"/>
                <w:sz w:val="24"/>
                <w:szCs w:val="24"/>
                <w:u w:val="none"/>
                <w:lang w:val="en-US" w:eastAsia="zh-CN" w:bidi="ar-SA"/>
              </w:rPr>
              <w:t>透水砖、路面砖</w:t>
            </w:r>
            <w:r>
              <w:rPr>
                <w:rFonts w:hint="eastAsia"/>
                <w:color w:val="auto"/>
                <w:sz w:val="24"/>
              </w:rPr>
              <w:t>原料为青石及花岗岩边角料、袋装石粉和袋装</w:t>
            </w:r>
            <w:r>
              <w:rPr>
                <w:rFonts w:hint="eastAsia" w:ascii="Times New Roman" w:hAnsi="Times New Roman" w:eastAsia="宋体" w:cs="Times New Roman"/>
                <w:b w:val="0"/>
                <w:bCs/>
                <w:sz w:val="24"/>
                <w:szCs w:val="24"/>
                <w:lang w:eastAsia="zh-CN"/>
              </w:rPr>
              <w:t>无机颜料</w:t>
            </w:r>
            <w:r>
              <w:rPr>
                <w:rFonts w:hint="eastAsia"/>
                <w:color w:val="auto"/>
                <w:sz w:val="24"/>
              </w:rPr>
              <w:t>，其中袋装原料在堆存过程中会产生少量扬尘；</w:t>
            </w:r>
            <w:r>
              <w:rPr>
                <w:color w:val="auto"/>
                <w:sz w:val="24"/>
              </w:rPr>
              <w:t>沉淀池底泥经压滤机压滤后的泥饼含水率较高，一般不易产生扬尘。边角料堆</w:t>
            </w:r>
            <w:r>
              <w:rPr>
                <w:rFonts w:hint="eastAsia"/>
                <w:color w:val="auto"/>
                <w:sz w:val="24"/>
              </w:rPr>
              <w:t>放区</w:t>
            </w:r>
            <w:r>
              <w:rPr>
                <w:color w:val="auto"/>
                <w:sz w:val="24"/>
              </w:rPr>
              <w:t>、压滤泥饼堆放区长期贮存时表面风干后会产生扬尘</w:t>
            </w:r>
            <w:r>
              <w:rPr>
                <w:rFonts w:hint="eastAsia"/>
                <w:color w:val="auto"/>
                <w:sz w:val="24"/>
              </w:rPr>
              <w:t>。</w:t>
            </w:r>
          </w:p>
          <w:p w14:paraId="49158CCF">
            <w:pPr>
              <w:widowControl/>
              <w:ind w:firstLine="480"/>
            </w:pPr>
            <w:r>
              <w:t>综上所述，本项目</w:t>
            </w:r>
            <w:r>
              <w:rPr>
                <w:rFonts w:hint="eastAsia"/>
              </w:rPr>
              <w:t>原料</w:t>
            </w:r>
            <w:r>
              <w:t>堆场</w:t>
            </w:r>
            <w:r>
              <w:rPr>
                <w:rFonts w:hint="eastAsia"/>
              </w:rPr>
              <w:t>占地面积800</w:t>
            </w:r>
            <w:r>
              <w:t>m</w:t>
            </w:r>
            <w:r>
              <w:rPr>
                <w:vertAlign w:val="superscript"/>
              </w:rPr>
              <w:t>2</w:t>
            </w:r>
            <w:r>
              <w:t>。扬尘产生量参考西安冶金建筑学院的干堆扬尘计算公式：</w:t>
            </w:r>
          </w:p>
          <w:p w14:paraId="0686C2BF">
            <w:pPr>
              <w:widowControl/>
              <w:ind w:firstLine="480"/>
              <w:jc w:val="center"/>
            </w:pPr>
            <w:r>
              <w:t>Q=4.23×10</w:t>
            </w:r>
            <w:r>
              <w:rPr>
                <w:vertAlign w:val="superscript"/>
              </w:rPr>
              <w:t>-4</w:t>
            </w:r>
            <w:r>
              <w:t>×V×4.9×S</w:t>
            </w:r>
          </w:p>
          <w:p w14:paraId="4EE2CE1C">
            <w:pPr>
              <w:widowControl/>
              <w:ind w:firstLine="480"/>
            </w:pPr>
            <w:r>
              <w:t xml:space="preserve">式中：Q—表示扬尘产生量（单位kg/d）； </w:t>
            </w:r>
          </w:p>
          <w:p w14:paraId="4758DB91">
            <w:pPr>
              <w:widowControl/>
              <w:ind w:firstLine="1200" w:firstLineChars="500"/>
            </w:pPr>
            <w:r>
              <w:t>S—表示面积（单位m</w:t>
            </w:r>
            <w:r>
              <w:rPr>
                <w:vertAlign w:val="superscript"/>
              </w:rPr>
              <w:t>2</w:t>
            </w:r>
            <w:r>
              <w:t xml:space="preserve">）； </w:t>
            </w:r>
          </w:p>
          <w:p w14:paraId="280CB133">
            <w:pPr>
              <w:widowControl/>
              <w:ind w:firstLine="1200" w:firstLineChars="500"/>
              <w:rPr>
                <w:color w:val="0000C7"/>
              </w:rPr>
            </w:pPr>
            <w:r>
              <w:t>V—表示风速，V取当地年平均风速V=2m/s。</w:t>
            </w:r>
          </w:p>
          <w:p w14:paraId="6E1966F1">
            <w:pPr>
              <w:ind w:firstLine="480" w:firstLineChars="200"/>
            </w:pPr>
            <w:r>
              <w:t>根据上式计算得出扬尘的产生量为</w:t>
            </w:r>
            <w:r>
              <w:rPr>
                <w:rFonts w:hint="eastAsia"/>
              </w:rPr>
              <w:t>3.316</w:t>
            </w:r>
            <w:r>
              <w:t>kg/d（</w:t>
            </w:r>
            <w:r>
              <w:rPr>
                <w:rFonts w:hint="eastAsia"/>
              </w:rPr>
              <w:t>0.996</w:t>
            </w:r>
            <w:r>
              <w:t>t/a）。堆场采取洒水喷淋抑尘、定期清扫地面保持整洁、尽量减少物料在厂区暂存周期等防尘措施后，</w:t>
            </w:r>
            <w:r>
              <w:rPr>
                <w:rFonts w:hint="eastAsia"/>
              </w:rPr>
              <w:t>根据《排放源统计调查产排污核算方法和系数手册》中的“固体物料堆存颗粒物产排污核算系数手册”，洒水喷淋</w:t>
            </w:r>
            <w:r>
              <w:t>可减少</w:t>
            </w:r>
            <w:r>
              <w:rPr>
                <w:rFonts w:hint="eastAsia"/>
              </w:rPr>
              <w:t>74</w:t>
            </w:r>
            <w:r>
              <w:t>%的粉尘排放</w:t>
            </w:r>
            <w:r>
              <w:rPr>
                <w:rFonts w:hint="eastAsia"/>
              </w:rPr>
              <w:t>，则</w:t>
            </w:r>
            <w:r>
              <w:t>无组织扬尘排放量为</w:t>
            </w:r>
            <w:r>
              <w:rPr>
                <w:rFonts w:hint="eastAsia"/>
              </w:rPr>
              <w:t>0.259</w:t>
            </w:r>
            <w:r>
              <w:t>t/a，主要污染物为颗粒物。</w:t>
            </w:r>
          </w:p>
          <w:p w14:paraId="40087AE3">
            <w:pPr>
              <w:adjustRightInd w:val="0"/>
              <w:ind w:firstLine="456" w:firstLineChars="200"/>
              <w:rPr>
                <w:spacing w:val="-6"/>
                <w:u w:val="single"/>
              </w:rPr>
            </w:pPr>
            <w:r>
              <w:rPr>
                <w:rFonts w:hint="eastAsia"/>
                <w:spacing w:val="-6"/>
                <w:u w:val="single"/>
              </w:rPr>
              <w:t>（3）路沿石加工粉尘</w:t>
            </w:r>
          </w:p>
          <w:p w14:paraId="227A2DC7">
            <w:pPr>
              <w:ind w:firstLine="480"/>
              <w:rPr>
                <w:u w:val="single"/>
              </w:rPr>
            </w:pPr>
            <w:r>
              <w:rPr>
                <w:u w:val="single"/>
              </w:rPr>
              <w:t>本工程</w:t>
            </w:r>
            <w:r>
              <w:rPr>
                <w:rFonts w:hint="eastAsia"/>
                <w:u w:val="single"/>
              </w:rPr>
              <w:t>路沿石</w:t>
            </w:r>
            <w:r>
              <w:rPr>
                <w:u w:val="single"/>
              </w:rPr>
              <w:t>加工中主要</w:t>
            </w:r>
            <w:r>
              <w:rPr>
                <w:rFonts w:hint="eastAsia"/>
                <w:u w:val="single"/>
              </w:rPr>
              <w:t>是</w:t>
            </w:r>
            <w:r>
              <w:rPr>
                <w:u w:val="single"/>
              </w:rPr>
              <w:t>由石料切割工序产生的粉尘。项目石材加工工艺采用湿法作业，即在生产加工过程中采用边喷水、边加工的方式，通过水流将切割产生的细小石粉或者石粒冲走，避免石粉散发到空气中，从而避免因切割导致的大气粉尘污染环境的问题，同时对切割起冷却的作用。因项目采取湿法工艺，生产过程中产生的外排粉尘量较少。</w:t>
            </w:r>
          </w:p>
          <w:p w14:paraId="1E9256C1">
            <w:pPr>
              <w:ind w:firstLine="480"/>
            </w:pPr>
            <w:r>
              <w:rPr>
                <w:u w:val="single"/>
              </w:rPr>
              <w:t>根据《排放源统计调查产排污核算方法和系数手册》中3032建筑用石加工行业产排污系数表，石材加工生产粉尘颗粒物产污系数为0.0325kg/</w:t>
            </w:r>
            <w:r>
              <w:rPr>
                <w:rFonts w:hint="eastAsia"/>
                <w:u w:val="single"/>
              </w:rPr>
              <w:t>m</w:t>
            </w:r>
            <w:r>
              <w:rPr>
                <w:rFonts w:hint="eastAsia"/>
                <w:u w:val="single"/>
                <w:vertAlign w:val="superscript"/>
              </w:rPr>
              <w:t>2</w:t>
            </w:r>
            <w:r>
              <w:rPr>
                <w:u w:val="single"/>
              </w:rPr>
              <w:t>-产品，本项目年产</w:t>
            </w:r>
            <w:r>
              <w:rPr>
                <w:rFonts w:hint="eastAsia"/>
                <w:u w:val="single"/>
              </w:rPr>
              <w:t>500m</w:t>
            </w:r>
            <w:r>
              <w:rPr>
                <w:rFonts w:hint="eastAsia"/>
                <w:u w:val="single"/>
                <w:vertAlign w:val="superscript"/>
              </w:rPr>
              <w:t>2</w:t>
            </w:r>
            <w:r>
              <w:rPr>
                <w:rFonts w:hint="eastAsia"/>
                <w:u w:val="single"/>
              </w:rPr>
              <w:t>路沿石</w:t>
            </w:r>
            <w:r>
              <w:rPr>
                <w:u w:val="single"/>
              </w:rPr>
              <w:t>，粉尘产生量为</w:t>
            </w:r>
            <w:r>
              <w:rPr>
                <w:rFonts w:hint="eastAsia"/>
                <w:u w:val="single"/>
              </w:rPr>
              <w:t>0.02</w:t>
            </w:r>
            <w:r>
              <w:rPr>
                <w:u w:val="single"/>
              </w:rPr>
              <w:t>t/a，加工工艺采用湿法作业，可减少约90%的粉尘排放</w:t>
            </w:r>
            <w:r>
              <w:rPr>
                <w:rFonts w:hint="eastAsia"/>
                <w:u w:val="single"/>
              </w:rPr>
              <w:t>，则</w:t>
            </w:r>
            <w:r>
              <w:rPr>
                <w:u w:val="single"/>
              </w:rPr>
              <w:t>粉尘排放量为</w:t>
            </w:r>
            <w:r>
              <w:rPr>
                <w:rFonts w:hint="eastAsia"/>
                <w:u w:val="single"/>
              </w:rPr>
              <w:t>0.00</w:t>
            </w:r>
            <w:r>
              <w:rPr>
                <w:rFonts w:hint="eastAsia"/>
                <w:u w:val="single"/>
                <w:lang w:val="en-US" w:eastAsia="zh-CN"/>
              </w:rPr>
              <w:t>2</w:t>
            </w:r>
            <w:r>
              <w:rPr>
                <w:u w:val="single"/>
              </w:rPr>
              <w:t>t/a</w:t>
            </w:r>
            <w:r>
              <w:rPr>
                <w:rFonts w:hint="eastAsia"/>
                <w:u w:val="single"/>
              </w:rPr>
              <w:t>(0.000</w:t>
            </w:r>
            <w:r>
              <w:rPr>
                <w:rFonts w:hint="eastAsia"/>
                <w:u w:val="single"/>
                <w:lang w:val="en-US" w:eastAsia="zh-CN"/>
              </w:rPr>
              <w:t>8</w:t>
            </w:r>
            <w:r>
              <w:rPr>
                <w:rFonts w:hint="eastAsia"/>
                <w:u w:val="single"/>
                <w:lang w:val="de-DE"/>
              </w:rPr>
              <w:t>kg/h</w:t>
            </w:r>
            <w:r>
              <w:rPr>
                <w:rFonts w:hint="eastAsia"/>
                <w:u w:val="single"/>
              </w:rPr>
              <w:t>)，排放量极小，为无组</w:t>
            </w:r>
            <w:r>
              <w:rPr>
                <w:u w:val="single"/>
              </w:rPr>
              <w:t>织排放。</w:t>
            </w:r>
          </w:p>
          <w:p w14:paraId="7C110BEC">
            <w:pPr>
              <w:adjustRightInd w:val="0"/>
              <w:ind w:firstLine="480" w:firstLineChars="200"/>
              <w:rPr>
                <w:color w:val="0000C7"/>
                <w:spacing w:val="-6"/>
                <w:u w:val="single"/>
              </w:rPr>
            </w:pPr>
            <w:r>
              <w:rPr>
                <w:rFonts w:hint="eastAsia"/>
                <w:kern w:val="0"/>
                <w:u w:val="single"/>
              </w:rPr>
              <w:t>（4）</w:t>
            </w:r>
            <w:r>
              <w:rPr>
                <w:rFonts w:hint="eastAsia"/>
                <w:b w:val="0"/>
                <w:bCs/>
                <w:kern w:val="0"/>
                <w:u w:val="single"/>
                <w:lang w:eastAsia="zh-CN" w:bidi="ar"/>
              </w:rPr>
              <w:t>墓碑</w:t>
            </w:r>
            <w:r>
              <w:rPr>
                <w:rFonts w:hint="eastAsia" w:ascii="Times New Roman" w:hAnsi="Times New Roman" w:eastAsia="宋体" w:cs="Times New Roman"/>
                <w:b w:val="0"/>
                <w:bCs/>
                <w:kern w:val="0"/>
                <w:sz w:val="24"/>
                <w:szCs w:val="24"/>
                <w:u w:val="single"/>
                <w:lang w:val="en-US" w:eastAsia="zh-CN" w:bidi="ar"/>
              </w:rPr>
              <w:t>及附属产品和其他板材</w:t>
            </w:r>
            <w:r>
              <w:rPr>
                <w:rFonts w:hint="eastAsia"/>
                <w:kern w:val="0"/>
                <w:u w:val="single"/>
              </w:rPr>
              <w:t>加工粉尘</w:t>
            </w:r>
          </w:p>
          <w:p w14:paraId="12CA5201">
            <w:pPr>
              <w:ind w:firstLine="480" w:firstLineChars="200"/>
              <w:rPr>
                <w:u w:val="single"/>
              </w:rPr>
            </w:pPr>
            <w:r>
              <w:rPr>
                <w:rFonts w:hint="eastAsia"/>
                <w:u w:val="single"/>
              </w:rPr>
              <w:t>本</w:t>
            </w:r>
            <w:r>
              <w:rPr>
                <w:u w:val="single"/>
              </w:rPr>
              <w:t>项目</w:t>
            </w:r>
            <w:r>
              <w:rPr>
                <w:rFonts w:hint="eastAsia"/>
                <w:b w:val="0"/>
                <w:bCs/>
                <w:kern w:val="0"/>
                <w:u w:val="single"/>
                <w:lang w:eastAsia="zh-CN" w:bidi="ar"/>
              </w:rPr>
              <w:t>墓碑</w:t>
            </w:r>
            <w:r>
              <w:rPr>
                <w:rFonts w:hint="eastAsia" w:ascii="Times New Roman" w:hAnsi="Times New Roman" w:eastAsia="宋体" w:cs="Times New Roman"/>
                <w:b w:val="0"/>
                <w:bCs/>
                <w:kern w:val="0"/>
                <w:sz w:val="24"/>
                <w:szCs w:val="24"/>
                <w:u w:val="single"/>
                <w:lang w:val="en-US" w:eastAsia="zh-CN" w:bidi="ar"/>
              </w:rPr>
              <w:t>及附属产品和其他板材</w:t>
            </w:r>
            <w:r>
              <w:rPr>
                <w:rFonts w:hint="eastAsia"/>
                <w:kern w:val="0"/>
                <w:u w:val="single"/>
              </w:rPr>
              <w:t>加工</w:t>
            </w:r>
            <w:r>
              <w:rPr>
                <w:rFonts w:hint="eastAsia"/>
                <w:u w:val="single"/>
              </w:rPr>
              <w:t>切割、磨光、雕刻等工序采用湿式作业，</w:t>
            </w:r>
            <w:r>
              <w:rPr>
                <w:u w:val="single"/>
              </w:rPr>
              <w:t>生产过程中产生的外排粉尘量较少。</w:t>
            </w:r>
          </w:p>
          <w:p w14:paraId="712FDF2E">
            <w:pPr>
              <w:ind w:firstLine="480" w:firstLineChars="200"/>
              <w:rPr>
                <w:u w:val="single"/>
              </w:rPr>
            </w:pPr>
            <w:r>
              <w:rPr>
                <w:u w:val="single"/>
              </w:rPr>
              <w:t>根据《排放源统计调查产排污核算方法和系数手册》中3032建筑用石加工行业产排污系数表，</w:t>
            </w:r>
            <w:r>
              <w:rPr>
                <w:rFonts w:hint="eastAsia"/>
                <w:u w:val="single"/>
              </w:rPr>
              <w:t>生产规模&lt;2000立方米/年的异型石材产品（含墓碑石）加工生产粉尘颗粒物产污系数为2.64</w:t>
            </w:r>
            <w:r>
              <w:rPr>
                <w:u w:val="single"/>
              </w:rPr>
              <w:t>kg/</w:t>
            </w:r>
            <w:r>
              <w:rPr>
                <w:rFonts w:hint="eastAsia"/>
                <w:u w:val="single"/>
              </w:rPr>
              <w:t>m</w:t>
            </w:r>
            <w:r>
              <w:rPr>
                <w:rFonts w:hint="eastAsia"/>
                <w:u w:val="single"/>
                <w:vertAlign w:val="superscript"/>
              </w:rPr>
              <w:t>3</w:t>
            </w:r>
            <w:r>
              <w:rPr>
                <w:u w:val="single"/>
              </w:rPr>
              <w:t>-产品</w:t>
            </w:r>
            <w:r>
              <w:rPr>
                <w:rFonts w:hint="eastAsia"/>
                <w:u w:val="single"/>
              </w:rPr>
              <w:t>，本项目年产300m³</w:t>
            </w:r>
            <w:r>
              <w:rPr>
                <w:rFonts w:hint="eastAsia"/>
                <w:b w:val="0"/>
                <w:bCs/>
                <w:kern w:val="0"/>
                <w:u w:val="single"/>
                <w:lang w:eastAsia="zh-CN" w:bidi="ar"/>
              </w:rPr>
              <w:t>墓碑</w:t>
            </w:r>
            <w:r>
              <w:rPr>
                <w:rFonts w:hint="eastAsia" w:ascii="Times New Roman" w:hAnsi="Times New Roman" w:eastAsia="宋体" w:cs="Times New Roman"/>
                <w:b w:val="0"/>
                <w:bCs/>
                <w:kern w:val="0"/>
                <w:sz w:val="24"/>
                <w:szCs w:val="24"/>
                <w:u w:val="single"/>
                <w:lang w:val="en-US" w:eastAsia="zh-CN" w:bidi="ar"/>
              </w:rPr>
              <w:t>及附属产品和其他板材</w:t>
            </w:r>
            <w:r>
              <w:rPr>
                <w:rFonts w:hint="eastAsia"/>
                <w:kern w:val="0"/>
                <w:u w:val="single"/>
              </w:rPr>
              <w:t>，则粉尘产生量为0.792</w:t>
            </w:r>
            <w:r>
              <w:rPr>
                <w:u w:val="single"/>
              </w:rPr>
              <w:t>t/a</w:t>
            </w:r>
            <w:r>
              <w:rPr>
                <w:rFonts w:hint="eastAsia"/>
                <w:kern w:val="0"/>
                <w:u w:val="single"/>
              </w:rPr>
              <w:t>，</w:t>
            </w:r>
            <w:r>
              <w:rPr>
                <w:u w:val="single"/>
              </w:rPr>
              <w:t>加工工艺采用湿法作业，可减少约90%的粉尘排放，</w:t>
            </w:r>
            <w:r>
              <w:rPr>
                <w:rFonts w:hint="eastAsia"/>
                <w:u w:val="single"/>
              </w:rPr>
              <w:t>则</w:t>
            </w:r>
            <w:r>
              <w:rPr>
                <w:u w:val="single"/>
              </w:rPr>
              <w:t>粉尘排放量为</w:t>
            </w:r>
            <w:r>
              <w:rPr>
                <w:rFonts w:hint="eastAsia"/>
                <w:u w:val="single"/>
              </w:rPr>
              <w:t>0.0</w:t>
            </w:r>
            <w:r>
              <w:rPr>
                <w:rFonts w:hint="eastAsia"/>
                <w:u w:val="single"/>
                <w:lang w:val="en-US" w:eastAsia="zh-CN"/>
              </w:rPr>
              <w:t>79</w:t>
            </w:r>
            <w:r>
              <w:rPr>
                <w:u w:val="single"/>
              </w:rPr>
              <w:t>t/a</w:t>
            </w:r>
            <w:r>
              <w:rPr>
                <w:rFonts w:hint="eastAsia"/>
                <w:u w:val="single"/>
              </w:rPr>
              <w:t>(0.0</w:t>
            </w:r>
            <w:r>
              <w:rPr>
                <w:rFonts w:hint="eastAsia"/>
                <w:u w:val="single"/>
                <w:lang w:val="en-US" w:eastAsia="zh-CN"/>
              </w:rPr>
              <w:t>33</w:t>
            </w:r>
            <w:r>
              <w:rPr>
                <w:rFonts w:hint="eastAsia"/>
                <w:u w:val="single"/>
                <w:lang w:val="de-DE"/>
              </w:rPr>
              <w:t>kg/h</w:t>
            </w:r>
            <w:r>
              <w:rPr>
                <w:rFonts w:hint="eastAsia"/>
                <w:u w:val="single"/>
              </w:rPr>
              <w:t>)，排放量极小，为无组</w:t>
            </w:r>
            <w:r>
              <w:rPr>
                <w:u w:val="single"/>
              </w:rPr>
              <w:t>织排放。</w:t>
            </w:r>
          </w:p>
          <w:p w14:paraId="44EF9F32">
            <w:pPr>
              <w:adjustRightInd w:val="0"/>
              <w:ind w:firstLine="480" w:firstLineChars="200"/>
              <w:rPr>
                <w:rFonts w:hint="eastAsia"/>
                <w:kern w:val="0"/>
                <w:u w:val="single"/>
              </w:rPr>
            </w:pPr>
            <w:r>
              <w:rPr>
                <w:rFonts w:hint="eastAsia"/>
                <w:kern w:val="0"/>
                <w:u w:val="single"/>
              </w:rPr>
              <w:t>（5）</w:t>
            </w:r>
            <w:r>
              <w:rPr>
                <w:rFonts w:hint="eastAsia"/>
                <w:kern w:val="0"/>
                <w:u w:val="single"/>
                <w:lang w:eastAsia="zh-CN"/>
              </w:rPr>
              <w:t>墓碑加工有机废气</w:t>
            </w:r>
          </w:p>
          <w:p w14:paraId="534D66E9">
            <w:pPr>
              <w:adjustRightInd w:val="0"/>
              <w:ind w:firstLine="480" w:firstLineChars="200"/>
              <w:rPr>
                <w:rFonts w:hint="default" w:eastAsia="宋体"/>
                <w:kern w:val="0"/>
                <w:u w:val="single"/>
                <w:lang w:val="en-US" w:eastAsia="zh-CN"/>
              </w:rPr>
            </w:pPr>
            <w:r>
              <w:rPr>
                <w:rFonts w:hint="eastAsia"/>
                <w:kern w:val="0"/>
                <w:u w:val="single"/>
                <w:lang w:eastAsia="zh-CN"/>
              </w:rPr>
              <w:t>本项目根据市场需求，部分墓碑生产时打蜡及风干工序会产生有机废气，根据下表可知，墓碑生产所用石材蜡成分均为固体分，且石材蜡的包装罐日常密闭，打蜡及风干工序产生的有机废气量极少，生产区加强通风，本环评不做定量分析。</w:t>
            </w:r>
          </w:p>
          <w:p w14:paraId="1C2D8D94">
            <w:pPr>
              <w:autoSpaceDE w:val="0"/>
              <w:autoSpaceDN w:val="0"/>
              <w:adjustRightInd w:val="0"/>
              <w:snapToGrid w:val="0"/>
              <w:spacing w:line="240" w:lineRule="auto"/>
              <w:ind w:firstLine="488"/>
              <w:jc w:val="center"/>
              <w:rPr>
                <w:sz w:val="21"/>
                <w:szCs w:val="21"/>
                <w:u w:val="single"/>
              </w:rPr>
            </w:pPr>
            <w:r>
              <w:rPr>
                <w:rFonts w:hint="eastAsia" w:ascii="Times New Roman" w:hAnsi="Times New Roman" w:eastAsia="宋体" w:cs="Times New Roman"/>
                <w:b/>
                <w:bCs/>
                <w:sz w:val="21"/>
                <w:szCs w:val="21"/>
                <w:u w:val="single"/>
                <w:lang w:val="zh-CN"/>
              </w:rPr>
              <w:t>表4-</w:t>
            </w:r>
            <w:r>
              <w:rPr>
                <w:rFonts w:hint="eastAsia" w:ascii="Times New Roman" w:hAnsi="Times New Roman" w:eastAsia="宋体" w:cs="Times New Roman"/>
                <w:b/>
                <w:bCs/>
                <w:sz w:val="21"/>
                <w:szCs w:val="21"/>
                <w:u w:val="single"/>
                <w:lang w:val="en-US" w:eastAsia="zh-CN"/>
              </w:rPr>
              <w:t>2</w:t>
            </w:r>
            <w:r>
              <w:rPr>
                <w:rFonts w:hint="eastAsia" w:ascii="Times New Roman" w:hAnsi="Times New Roman" w:eastAsia="宋体" w:cs="Times New Roman"/>
                <w:b/>
                <w:bCs/>
                <w:sz w:val="21"/>
                <w:szCs w:val="21"/>
                <w:u w:val="single"/>
                <w:lang w:val="zh-CN"/>
              </w:rPr>
              <w:t xml:space="preserve">  </w:t>
            </w:r>
            <w:r>
              <w:rPr>
                <w:rFonts w:hint="eastAsia"/>
                <w:b/>
                <w:bCs/>
                <w:sz w:val="21"/>
                <w:szCs w:val="21"/>
                <w:u w:val="single"/>
                <w:lang w:val="zh-CN"/>
              </w:rPr>
              <w:t>打蜡工艺污染物含量</w:t>
            </w:r>
            <w:r>
              <w:rPr>
                <w:rFonts w:hint="eastAsia"/>
                <w:b/>
                <w:bCs/>
                <w:sz w:val="21"/>
                <w:szCs w:val="21"/>
                <w:u w:val="single"/>
              </w:rPr>
              <w:t>计算表</w:t>
            </w:r>
          </w:p>
          <w:tbl>
            <w:tblPr>
              <w:tblStyle w:val="24"/>
              <w:tblW w:w="850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1084"/>
              <w:gridCol w:w="747"/>
              <w:gridCol w:w="1033"/>
              <w:gridCol w:w="1781"/>
              <w:gridCol w:w="1329"/>
              <w:gridCol w:w="1499"/>
            </w:tblGrid>
            <w:tr w14:paraId="47A9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033" w:type="dxa"/>
                  <w:noWrap w:val="0"/>
                  <w:vAlign w:val="center"/>
                </w:tcPr>
                <w:p w14:paraId="0F122204">
                  <w:pPr>
                    <w:widowControl/>
                    <w:spacing w:line="240" w:lineRule="auto"/>
                    <w:jc w:val="center"/>
                    <w:rPr>
                      <w:rFonts w:hint="eastAsia"/>
                      <w:b/>
                      <w:bCs/>
                      <w:sz w:val="21"/>
                      <w:szCs w:val="21"/>
                      <w:u w:val="single"/>
                    </w:rPr>
                  </w:pPr>
                  <w:r>
                    <w:rPr>
                      <w:rFonts w:hint="eastAsia"/>
                      <w:b/>
                      <w:bCs/>
                      <w:sz w:val="21"/>
                      <w:szCs w:val="21"/>
                      <w:u w:val="single"/>
                      <w:lang w:eastAsia="zh-CN"/>
                    </w:rPr>
                    <w:t>石材蜡</w:t>
                  </w:r>
                  <w:r>
                    <w:rPr>
                      <w:rFonts w:hint="eastAsia"/>
                      <w:b/>
                      <w:bCs/>
                      <w:sz w:val="21"/>
                      <w:szCs w:val="21"/>
                      <w:u w:val="single"/>
                    </w:rPr>
                    <w:t>用量</w:t>
                  </w:r>
                </w:p>
              </w:tc>
              <w:tc>
                <w:tcPr>
                  <w:tcW w:w="1084" w:type="dxa"/>
                  <w:noWrap w:val="0"/>
                  <w:vAlign w:val="center"/>
                </w:tcPr>
                <w:p w14:paraId="2E8DD461">
                  <w:pPr>
                    <w:widowControl/>
                    <w:spacing w:line="240" w:lineRule="auto"/>
                    <w:jc w:val="center"/>
                    <w:rPr>
                      <w:rFonts w:hint="eastAsia"/>
                      <w:b/>
                      <w:bCs/>
                      <w:sz w:val="21"/>
                      <w:szCs w:val="21"/>
                      <w:u w:val="single"/>
                    </w:rPr>
                  </w:pPr>
                  <w:r>
                    <w:rPr>
                      <w:rFonts w:hint="eastAsia"/>
                      <w:b/>
                      <w:bCs/>
                      <w:sz w:val="21"/>
                      <w:szCs w:val="21"/>
                      <w:u w:val="single"/>
                    </w:rPr>
                    <w:t>油漆成分</w:t>
                  </w:r>
                </w:p>
              </w:tc>
              <w:tc>
                <w:tcPr>
                  <w:tcW w:w="747" w:type="dxa"/>
                  <w:noWrap w:val="0"/>
                  <w:vAlign w:val="center"/>
                </w:tcPr>
                <w:p w14:paraId="50F5251F">
                  <w:pPr>
                    <w:widowControl/>
                    <w:spacing w:line="240" w:lineRule="auto"/>
                    <w:ind w:left="0" w:firstLine="0"/>
                    <w:jc w:val="center"/>
                    <w:rPr>
                      <w:rFonts w:hint="eastAsia"/>
                      <w:b/>
                      <w:bCs/>
                      <w:sz w:val="21"/>
                      <w:szCs w:val="21"/>
                      <w:u w:val="single"/>
                    </w:rPr>
                  </w:pPr>
                  <w:r>
                    <w:rPr>
                      <w:rFonts w:hint="eastAsia"/>
                      <w:b/>
                      <w:bCs/>
                      <w:sz w:val="21"/>
                      <w:szCs w:val="21"/>
                      <w:u w:val="single"/>
                    </w:rPr>
                    <w:t>成分</w:t>
                  </w:r>
                </w:p>
                <w:p w14:paraId="4EB0202F">
                  <w:pPr>
                    <w:widowControl/>
                    <w:spacing w:line="240" w:lineRule="auto"/>
                    <w:ind w:left="0" w:firstLine="0"/>
                    <w:jc w:val="center"/>
                    <w:rPr>
                      <w:rFonts w:hint="eastAsia"/>
                      <w:b/>
                      <w:bCs/>
                      <w:sz w:val="21"/>
                      <w:szCs w:val="21"/>
                      <w:u w:val="single"/>
                    </w:rPr>
                  </w:pPr>
                  <w:r>
                    <w:rPr>
                      <w:rFonts w:hint="eastAsia"/>
                      <w:b/>
                      <w:bCs/>
                      <w:sz w:val="21"/>
                      <w:szCs w:val="21"/>
                      <w:u w:val="single"/>
                    </w:rPr>
                    <w:t>占比</w:t>
                  </w:r>
                </w:p>
              </w:tc>
              <w:tc>
                <w:tcPr>
                  <w:tcW w:w="1033" w:type="dxa"/>
                  <w:noWrap w:val="0"/>
                  <w:vAlign w:val="center"/>
                </w:tcPr>
                <w:p w14:paraId="7CB7FA41">
                  <w:pPr>
                    <w:widowControl/>
                    <w:spacing w:line="240" w:lineRule="auto"/>
                    <w:jc w:val="center"/>
                    <w:rPr>
                      <w:rFonts w:hint="eastAsia"/>
                      <w:b/>
                      <w:bCs/>
                      <w:sz w:val="21"/>
                      <w:szCs w:val="21"/>
                      <w:u w:val="single"/>
                    </w:rPr>
                  </w:pPr>
                  <w:r>
                    <w:rPr>
                      <w:rFonts w:hint="eastAsia"/>
                      <w:b/>
                      <w:bCs/>
                      <w:sz w:val="21"/>
                      <w:szCs w:val="21"/>
                      <w:u w:val="single"/>
                    </w:rPr>
                    <w:t>成分含量t/a</w:t>
                  </w:r>
                </w:p>
              </w:tc>
              <w:tc>
                <w:tcPr>
                  <w:tcW w:w="1781" w:type="dxa"/>
                  <w:noWrap w:val="0"/>
                  <w:vAlign w:val="center"/>
                </w:tcPr>
                <w:p w14:paraId="358C70E9">
                  <w:pPr>
                    <w:widowControl/>
                    <w:spacing w:before="0" w:beforeLines="-2147483648" w:line="240" w:lineRule="auto"/>
                    <w:ind w:left="0" w:firstLine="0"/>
                    <w:jc w:val="center"/>
                    <w:textAlignment w:val="auto"/>
                    <w:rPr>
                      <w:rFonts w:hint="eastAsia"/>
                      <w:b/>
                      <w:bCs/>
                      <w:sz w:val="21"/>
                      <w:szCs w:val="21"/>
                      <w:u w:val="single"/>
                    </w:rPr>
                  </w:pPr>
                  <w:r>
                    <w:rPr>
                      <w:rFonts w:hint="eastAsia"/>
                      <w:b/>
                      <w:bCs/>
                      <w:kern w:val="2"/>
                      <w:sz w:val="21"/>
                      <w:szCs w:val="21"/>
                      <w:u w:val="single"/>
                      <w:lang w:bidi="ar"/>
                    </w:rPr>
                    <w:t>备注</w:t>
                  </w:r>
                </w:p>
              </w:tc>
              <w:tc>
                <w:tcPr>
                  <w:tcW w:w="1329" w:type="dxa"/>
                  <w:noWrap w:val="0"/>
                  <w:vAlign w:val="center"/>
                </w:tcPr>
                <w:p w14:paraId="731BCD6E">
                  <w:pPr>
                    <w:widowControl/>
                    <w:spacing w:line="240" w:lineRule="auto"/>
                    <w:jc w:val="center"/>
                    <w:textAlignment w:val="auto"/>
                    <w:rPr>
                      <w:rFonts w:hint="eastAsia"/>
                      <w:b/>
                      <w:bCs/>
                      <w:kern w:val="2"/>
                      <w:sz w:val="21"/>
                      <w:szCs w:val="21"/>
                      <w:u w:val="single"/>
                      <w:lang w:bidi="ar"/>
                    </w:rPr>
                  </w:pPr>
                  <w:r>
                    <w:rPr>
                      <w:rFonts w:hint="eastAsia"/>
                      <w:b/>
                      <w:bCs/>
                      <w:sz w:val="21"/>
                      <w:szCs w:val="21"/>
                      <w:u w:val="single"/>
                    </w:rPr>
                    <w:t>固体成分含量t/a</w:t>
                  </w:r>
                </w:p>
              </w:tc>
              <w:tc>
                <w:tcPr>
                  <w:tcW w:w="1499" w:type="dxa"/>
                  <w:noWrap w:val="0"/>
                  <w:vAlign w:val="center"/>
                </w:tcPr>
                <w:p w14:paraId="511CFAC0">
                  <w:pPr>
                    <w:widowControl/>
                    <w:spacing w:line="240" w:lineRule="auto"/>
                    <w:jc w:val="center"/>
                    <w:textAlignment w:val="auto"/>
                    <w:rPr>
                      <w:rFonts w:hint="eastAsia"/>
                      <w:b/>
                      <w:bCs/>
                      <w:kern w:val="2"/>
                      <w:sz w:val="21"/>
                      <w:szCs w:val="21"/>
                      <w:u w:val="single"/>
                      <w:lang w:bidi="ar"/>
                    </w:rPr>
                  </w:pPr>
                  <w:r>
                    <w:rPr>
                      <w:rFonts w:hint="eastAsia"/>
                      <w:b/>
                      <w:bCs/>
                      <w:sz w:val="21"/>
                      <w:szCs w:val="21"/>
                      <w:u w:val="single"/>
                    </w:rPr>
                    <w:t>挥发性成分含量t/a</w:t>
                  </w:r>
                </w:p>
              </w:tc>
            </w:tr>
            <w:tr w14:paraId="6D0D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Merge w:val="restart"/>
                  <w:noWrap w:val="0"/>
                  <w:vAlign w:val="center"/>
                </w:tcPr>
                <w:p w14:paraId="2CEFFD38">
                  <w:pPr>
                    <w:widowControl/>
                    <w:spacing w:line="240" w:lineRule="auto"/>
                    <w:jc w:val="center"/>
                    <w:rPr>
                      <w:rFonts w:hint="eastAsia"/>
                      <w:sz w:val="21"/>
                      <w:szCs w:val="21"/>
                      <w:u w:val="single"/>
                    </w:rPr>
                  </w:pPr>
                  <w:r>
                    <w:rPr>
                      <w:rFonts w:hint="eastAsia"/>
                      <w:sz w:val="21"/>
                      <w:szCs w:val="21"/>
                      <w:u w:val="single"/>
                      <w:lang w:val="en-US" w:eastAsia="zh-CN"/>
                    </w:rPr>
                    <w:t>0.009</w:t>
                  </w:r>
                  <w:r>
                    <w:rPr>
                      <w:rFonts w:hint="eastAsia"/>
                      <w:sz w:val="21"/>
                      <w:szCs w:val="21"/>
                      <w:u w:val="single"/>
                    </w:rPr>
                    <w:t>t/a</w:t>
                  </w:r>
                </w:p>
              </w:tc>
              <w:tc>
                <w:tcPr>
                  <w:tcW w:w="1084" w:type="dxa"/>
                  <w:noWrap w:val="0"/>
                  <w:vAlign w:val="center"/>
                </w:tcPr>
                <w:p w14:paraId="6E6919E4">
                  <w:pPr>
                    <w:widowControl/>
                    <w:spacing w:line="240" w:lineRule="auto"/>
                    <w:jc w:val="center"/>
                    <w:rPr>
                      <w:rFonts w:hint="eastAsia"/>
                      <w:sz w:val="21"/>
                      <w:szCs w:val="21"/>
                      <w:u w:val="single"/>
                    </w:rPr>
                  </w:pPr>
                  <w:r>
                    <w:rPr>
                      <w:rFonts w:hint="eastAsia" w:ascii="Times New Roman" w:hAnsi="Times New Roman" w:eastAsia="宋体" w:cs="Times New Roman"/>
                      <w:kern w:val="2"/>
                      <w:sz w:val="21"/>
                      <w:szCs w:val="21"/>
                      <w:u w:val="single"/>
                      <w:lang w:val="en-US" w:eastAsia="zh-CN" w:bidi="ar"/>
                    </w:rPr>
                    <w:t>正链烷烃</w:t>
                  </w:r>
                </w:p>
              </w:tc>
              <w:tc>
                <w:tcPr>
                  <w:tcW w:w="747" w:type="dxa"/>
                  <w:noWrap w:val="0"/>
                  <w:vAlign w:val="center"/>
                </w:tcPr>
                <w:p w14:paraId="24EC876A">
                  <w:pPr>
                    <w:widowControl/>
                    <w:spacing w:line="240" w:lineRule="auto"/>
                    <w:jc w:val="center"/>
                    <w:rPr>
                      <w:rFonts w:hint="eastAsia"/>
                      <w:sz w:val="21"/>
                      <w:szCs w:val="21"/>
                      <w:u w:val="single"/>
                    </w:rPr>
                  </w:pPr>
                  <w:r>
                    <w:rPr>
                      <w:rFonts w:hint="eastAsia"/>
                      <w:sz w:val="21"/>
                      <w:szCs w:val="21"/>
                      <w:u w:val="single"/>
                      <w:lang w:val="en-US" w:eastAsia="zh-CN"/>
                    </w:rPr>
                    <w:t>85</w:t>
                  </w:r>
                  <w:r>
                    <w:rPr>
                      <w:rFonts w:hint="eastAsia"/>
                      <w:sz w:val="21"/>
                      <w:szCs w:val="21"/>
                      <w:u w:val="single"/>
                    </w:rPr>
                    <w:t>%</w:t>
                  </w:r>
                </w:p>
              </w:tc>
              <w:tc>
                <w:tcPr>
                  <w:tcW w:w="1033" w:type="dxa"/>
                  <w:noWrap w:val="0"/>
                  <w:vAlign w:val="center"/>
                </w:tcPr>
                <w:p w14:paraId="5D83D2F2">
                  <w:pPr>
                    <w:keepNext w:val="0"/>
                    <w:keepLines w:val="0"/>
                    <w:widowControl/>
                    <w:suppressLineNumbers w:val="0"/>
                    <w:spacing w:line="240" w:lineRule="auto"/>
                    <w:jc w:val="center"/>
                    <w:textAlignment w:val="auto"/>
                    <w:rPr>
                      <w:rFonts w:hint="eastAsia"/>
                      <w:sz w:val="21"/>
                      <w:szCs w:val="21"/>
                      <w:u w:val="single"/>
                    </w:rPr>
                  </w:pPr>
                  <w:r>
                    <w:rPr>
                      <w:rFonts w:hint="eastAsia" w:ascii="Times New Roman" w:hAnsi="Times New Roman" w:eastAsia="宋体" w:cs="Times New Roman"/>
                      <w:i w:val="0"/>
                      <w:iCs w:val="0"/>
                      <w:kern w:val="2"/>
                      <w:sz w:val="21"/>
                      <w:szCs w:val="21"/>
                      <w:u w:val="single"/>
                      <w:lang w:val="en-US" w:eastAsia="zh-CN" w:bidi="ar"/>
                    </w:rPr>
                    <w:t>0.00765</w:t>
                  </w:r>
                </w:p>
              </w:tc>
              <w:tc>
                <w:tcPr>
                  <w:tcW w:w="1781" w:type="dxa"/>
                  <w:noWrap w:val="0"/>
                  <w:vAlign w:val="center"/>
                </w:tcPr>
                <w:p w14:paraId="21C58C4B">
                  <w:pPr>
                    <w:widowControl/>
                    <w:spacing w:line="240" w:lineRule="auto"/>
                    <w:jc w:val="center"/>
                    <w:rPr>
                      <w:rFonts w:hint="eastAsia"/>
                      <w:sz w:val="21"/>
                      <w:szCs w:val="21"/>
                      <w:u w:val="single"/>
                    </w:rPr>
                  </w:pPr>
                  <w:r>
                    <w:rPr>
                      <w:rFonts w:hint="eastAsia"/>
                      <w:sz w:val="21"/>
                      <w:szCs w:val="21"/>
                      <w:u w:val="single"/>
                    </w:rPr>
                    <w:t>固体</w:t>
                  </w:r>
                </w:p>
              </w:tc>
              <w:tc>
                <w:tcPr>
                  <w:tcW w:w="1329" w:type="dxa"/>
                  <w:noWrap w:val="0"/>
                  <w:vAlign w:val="center"/>
                </w:tcPr>
                <w:p w14:paraId="50622147">
                  <w:pPr>
                    <w:keepNext w:val="0"/>
                    <w:keepLines w:val="0"/>
                    <w:widowControl/>
                    <w:suppressLineNumbers w:val="0"/>
                    <w:spacing w:line="240" w:lineRule="auto"/>
                    <w:jc w:val="center"/>
                    <w:textAlignment w:val="auto"/>
                    <w:rPr>
                      <w:rFonts w:hint="eastAsia"/>
                      <w:sz w:val="21"/>
                      <w:szCs w:val="21"/>
                      <w:u w:val="single"/>
                    </w:rPr>
                  </w:pPr>
                  <w:r>
                    <w:rPr>
                      <w:rFonts w:hint="eastAsia" w:ascii="Times New Roman" w:hAnsi="Times New Roman" w:eastAsia="宋体" w:cs="Times New Roman"/>
                      <w:i w:val="0"/>
                      <w:iCs w:val="0"/>
                      <w:kern w:val="2"/>
                      <w:sz w:val="21"/>
                      <w:szCs w:val="21"/>
                      <w:u w:val="single"/>
                      <w:lang w:val="en-US" w:eastAsia="zh-CN" w:bidi="ar"/>
                    </w:rPr>
                    <w:t>0.00765</w:t>
                  </w:r>
                </w:p>
              </w:tc>
              <w:tc>
                <w:tcPr>
                  <w:tcW w:w="1499" w:type="dxa"/>
                  <w:noWrap w:val="0"/>
                  <w:vAlign w:val="center"/>
                </w:tcPr>
                <w:p w14:paraId="73A54349">
                  <w:pPr>
                    <w:widowControl/>
                    <w:spacing w:line="240" w:lineRule="auto"/>
                    <w:jc w:val="center"/>
                    <w:rPr>
                      <w:rFonts w:hint="eastAsia" w:eastAsia="宋体"/>
                      <w:sz w:val="21"/>
                      <w:szCs w:val="21"/>
                      <w:u w:val="single"/>
                      <w:lang w:eastAsia="zh-CN"/>
                    </w:rPr>
                  </w:pPr>
                  <w:r>
                    <w:rPr>
                      <w:rFonts w:hint="eastAsia"/>
                      <w:sz w:val="21"/>
                      <w:szCs w:val="21"/>
                      <w:u w:val="single"/>
                      <w:lang w:val="en-US" w:eastAsia="zh-CN"/>
                    </w:rPr>
                    <w:t>0</w:t>
                  </w:r>
                </w:p>
              </w:tc>
            </w:tr>
            <w:tr w14:paraId="11C2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3" w:type="dxa"/>
                  <w:vMerge w:val="continue"/>
                  <w:noWrap w:val="0"/>
                  <w:vAlign w:val="center"/>
                </w:tcPr>
                <w:p w14:paraId="73C65C32">
                  <w:pPr>
                    <w:widowControl/>
                    <w:spacing w:line="240" w:lineRule="auto"/>
                    <w:jc w:val="center"/>
                    <w:rPr>
                      <w:rFonts w:hint="eastAsia"/>
                      <w:sz w:val="21"/>
                      <w:szCs w:val="21"/>
                      <w:u w:val="single"/>
                      <w:lang w:val="en-US" w:eastAsia="zh-CN"/>
                    </w:rPr>
                  </w:pPr>
                </w:p>
              </w:tc>
              <w:tc>
                <w:tcPr>
                  <w:tcW w:w="1084" w:type="dxa"/>
                  <w:noWrap w:val="0"/>
                  <w:vAlign w:val="center"/>
                </w:tcPr>
                <w:p w14:paraId="5BFEE44B">
                  <w:pPr>
                    <w:widowControl/>
                    <w:spacing w:line="240" w:lineRule="auto"/>
                    <w:jc w:val="center"/>
                    <w:rPr>
                      <w:rFonts w:hint="eastAsia" w:ascii="Times New Roman" w:hAnsi="Times New Roman" w:eastAsia="宋体" w:cs="Times New Roman"/>
                      <w:kern w:val="2"/>
                      <w:sz w:val="21"/>
                      <w:szCs w:val="21"/>
                      <w:u w:val="single"/>
                      <w:lang w:val="en-US" w:eastAsia="zh-CN" w:bidi="ar"/>
                    </w:rPr>
                  </w:pPr>
                  <w:r>
                    <w:rPr>
                      <w:rFonts w:hint="eastAsia" w:ascii="Times New Roman" w:hAnsi="Times New Roman" w:eastAsia="宋体" w:cs="Times New Roman"/>
                      <w:kern w:val="2"/>
                      <w:sz w:val="21"/>
                      <w:szCs w:val="21"/>
                      <w:u w:val="single"/>
                      <w:lang w:val="en-US" w:eastAsia="zh-CN" w:bidi="ar"/>
                    </w:rPr>
                    <w:t>石蜡</w:t>
                  </w:r>
                </w:p>
              </w:tc>
              <w:tc>
                <w:tcPr>
                  <w:tcW w:w="747" w:type="dxa"/>
                  <w:noWrap w:val="0"/>
                  <w:vAlign w:val="center"/>
                </w:tcPr>
                <w:p w14:paraId="408FA92B">
                  <w:pPr>
                    <w:widowControl/>
                    <w:spacing w:line="240" w:lineRule="auto"/>
                    <w:ind w:left="0" w:leftChars="0" w:firstLine="0" w:firstLineChars="0"/>
                    <w:jc w:val="center"/>
                    <w:rPr>
                      <w:rFonts w:hint="eastAsia"/>
                      <w:sz w:val="21"/>
                      <w:szCs w:val="21"/>
                      <w:u w:val="single"/>
                      <w:lang w:val="en-US" w:eastAsia="zh-CN"/>
                    </w:rPr>
                  </w:pPr>
                  <w:r>
                    <w:rPr>
                      <w:rFonts w:hint="eastAsia"/>
                      <w:sz w:val="21"/>
                      <w:szCs w:val="21"/>
                      <w:u w:val="single"/>
                    </w:rPr>
                    <w:t>5%</w:t>
                  </w:r>
                </w:p>
              </w:tc>
              <w:tc>
                <w:tcPr>
                  <w:tcW w:w="1033" w:type="dxa"/>
                  <w:noWrap w:val="0"/>
                  <w:vAlign w:val="center"/>
                </w:tcPr>
                <w:p w14:paraId="7CEE0AFF">
                  <w:pPr>
                    <w:keepNext w:val="0"/>
                    <w:keepLines w:val="0"/>
                    <w:widowControl/>
                    <w:suppressLineNumbers w:val="0"/>
                    <w:spacing w:line="240" w:lineRule="auto"/>
                    <w:jc w:val="center"/>
                    <w:textAlignment w:val="auto"/>
                    <w:rPr>
                      <w:rFonts w:hint="eastAsia"/>
                      <w:sz w:val="21"/>
                      <w:szCs w:val="21"/>
                      <w:u w:val="single"/>
                    </w:rPr>
                  </w:pPr>
                  <w:r>
                    <w:rPr>
                      <w:rFonts w:hint="eastAsia" w:ascii="Times New Roman" w:hAnsi="Times New Roman" w:eastAsia="宋体" w:cs="Times New Roman"/>
                      <w:i w:val="0"/>
                      <w:iCs w:val="0"/>
                      <w:kern w:val="2"/>
                      <w:sz w:val="21"/>
                      <w:szCs w:val="21"/>
                      <w:u w:val="single"/>
                      <w:lang w:val="en-US" w:eastAsia="zh-CN" w:bidi="ar"/>
                    </w:rPr>
                    <w:t>0.00045</w:t>
                  </w:r>
                </w:p>
              </w:tc>
              <w:tc>
                <w:tcPr>
                  <w:tcW w:w="1781" w:type="dxa"/>
                  <w:noWrap w:val="0"/>
                  <w:vAlign w:val="center"/>
                </w:tcPr>
                <w:p w14:paraId="120161D3">
                  <w:pPr>
                    <w:widowControl/>
                    <w:spacing w:line="240" w:lineRule="auto"/>
                    <w:jc w:val="center"/>
                    <w:rPr>
                      <w:rFonts w:hint="eastAsia"/>
                      <w:sz w:val="21"/>
                      <w:szCs w:val="21"/>
                      <w:u w:val="single"/>
                    </w:rPr>
                  </w:pPr>
                  <w:r>
                    <w:rPr>
                      <w:rFonts w:hint="eastAsia"/>
                      <w:sz w:val="21"/>
                      <w:szCs w:val="21"/>
                      <w:u w:val="single"/>
                    </w:rPr>
                    <w:t>固体</w:t>
                  </w:r>
                </w:p>
              </w:tc>
              <w:tc>
                <w:tcPr>
                  <w:tcW w:w="1329" w:type="dxa"/>
                  <w:noWrap w:val="0"/>
                  <w:vAlign w:val="center"/>
                </w:tcPr>
                <w:p w14:paraId="700C74A2">
                  <w:pPr>
                    <w:keepNext w:val="0"/>
                    <w:keepLines w:val="0"/>
                    <w:widowControl/>
                    <w:suppressLineNumbers w:val="0"/>
                    <w:spacing w:line="240" w:lineRule="auto"/>
                    <w:jc w:val="center"/>
                    <w:textAlignment w:val="auto"/>
                    <w:rPr>
                      <w:rFonts w:hint="eastAsia"/>
                      <w:sz w:val="21"/>
                      <w:szCs w:val="21"/>
                      <w:u w:val="single"/>
                    </w:rPr>
                  </w:pPr>
                  <w:r>
                    <w:rPr>
                      <w:rFonts w:hint="eastAsia" w:ascii="Times New Roman" w:hAnsi="Times New Roman" w:eastAsia="宋体" w:cs="Times New Roman"/>
                      <w:i w:val="0"/>
                      <w:iCs w:val="0"/>
                      <w:kern w:val="2"/>
                      <w:sz w:val="21"/>
                      <w:szCs w:val="21"/>
                      <w:u w:val="single"/>
                      <w:lang w:val="en-US" w:eastAsia="zh-CN" w:bidi="ar"/>
                    </w:rPr>
                    <w:t>0.00045</w:t>
                  </w:r>
                </w:p>
              </w:tc>
              <w:tc>
                <w:tcPr>
                  <w:tcW w:w="1499" w:type="dxa"/>
                  <w:noWrap w:val="0"/>
                  <w:vAlign w:val="center"/>
                </w:tcPr>
                <w:p w14:paraId="04E2184F">
                  <w:pPr>
                    <w:widowControl/>
                    <w:spacing w:line="240" w:lineRule="auto"/>
                    <w:jc w:val="center"/>
                    <w:rPr>
                      <w:rFonts w:hint="eastAsia" w:eastAsia="宋体"/>
                      <w:sz w:val="21"/>
                      <w:szCs w:val="21"/>
                      <w:u w:val="single"/>
                      <w:lang w:val="en-US" w:eastAsia="zh-CN"/>
                    </w:rPr>
                  </w:pPr>
                  <w:r>
                    <w:rPr>
                      <w:rFonts w:hint="eastAsia"/>
                      <w:sz w:val="21"/>
                      <w:szCs w:val="21"/>
                      <w:u w:val="single"/>
                      <w:lang w:val="en-US" w:eastAsia="zh-CN"/>
                    </w:rPr>
                    <w:t>0</w:t>
                  </w:r>
                </w:p>
              </w:tc>
            </w:tr>
            <w:tr w14:paraId="78FD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033" w:type="dxa"/>
                  <w:vMerge w:val="continue"/>
                  <w:noWrap w:val="0"/>
                  <w:vAlign w:val="center"/>
                </w:tcPr>
                <w:p w14:paraId="3B633889">
                  <w:pPr>
                    <w:widowControl/>
                    <w:spacing w:line="240" w:lineRule="auto"/>
                    <w:jc w:val="center"/>
                    <w:rPr>
                      <w:rFonts w:hint="eastAsia"/>
                      <w:sz w:val="21"/>
                      <w:szCs w:val="21"/>
                      <w:u w:val="single"/>
                    </w:rPr>
                  </w:pPr>
                </w:p>
              </w:tc>
              <w:tc>
                <w:tcPr>
                  <w:tcW w:w="1084" w:type="dxa"/>
                  <w:noWrap w:val="0"/>
                  <w:vAlign w:val="center"/>
                </w:tcPr>
                <w:p w14:paraId="6635FC51">
                  <w:pPr>
                    <w:widowControl/>
                    <w:spacing w:line="240" w:lineRule="auto"/>
                    <w:jc w:val="center"/>
                    <w:rPr>
                      <w:rFonts w:hint="eastAsia"/>
                      <w:sz w:val="21"/>
                      <w:szCs w:val="21"/>
                      <w:u w:val="single"/>
                    </w:rPr>
                  </w:pPr>
                  <w:r>
                    <w:rPr>
                      <w:rFonts w:hint="eastAsia" w:ascii="Times New Roman" w:hAnsi="Times New Roman" w:eastAsia="宋体" w:cs="Times New Roman"/>
                      <w:kern w:val="2"/>
                      <w:sz w:val="21"/>
                      <w:szCs w:val="21"/>
                      <w:u w:val="single"/>
                      <w:lang w:val="en-US" w:eastAsia="zh-CN" w:bidi="ar"/>
                    </w:rPr>
                    <w:t>聚乙烯蜡</w:t>
                  </w:r>
                </w:p>
              </w:tc>
              <w:tc>
                <w:tcPr>
                  <w:tcW w:w="747" w:type="dxa"/>
                  <w:noWrap w:val="0"/>
                  <w:vAlign w:val="center"/>
                </w:tcPr>
                <w:p w14:paraId="1BD507C5">
                  <w:pPr>
                    <w:widowControl/>
                    <w:spacing w:line="240" w:lineRule="auto"/>
                    <w:ind w:left="0" w:leftChars="0" w:firstLine="0" w:firstLineChars="0"/>
                    <w:jc w:val="center"/>
                    <w:rPr>
                      <w:rFonts w:hint="eastAsia"/>
                      <w:sz w:val="21"/>
                      <w:szCs w:val="21"/>
                      <w:u w:val="single"/>
                    </w:rPr>
                  </w:pPr>
                  <w:r>
                    <w:rPr>
                      <w:rFonts w:hint="eastAsia"/>
                      <w:sz w:val="21"/>
                      <w:szCs w:val="21"/>
                      <w:u w:val="single"/>
                      <w:lang w:val="en-US" w:eastAsia="zh-CN"/>
                    </w:rPr>
                    <w:t>10</w:t>
                  </w:r>
                  <w:r>
                    <w:rPr>
                      <w:rFonts w:hint="eastAsia"/>
                      <w:sz w:val="21"/>
                      <w:szCs w:val="21"/>
                      <w:u w:val="single"/>
                    </w:rPr>
                    <w:t>%</w:t>
                  </w:r>
                </w:p>
              </w:tc>
              <w:tc>
                <w:tcPr>
                  <w:tcW w:w="1033" w:type="dxa"/>
                  <w:noWrap w:val="0"/>
                  <w:vAlign w:val="center"/>
                </w:tcPr>
                <w:p w14:paraId="56B7C130">
                  <w:pPr>
                    <w:keepNext w:val="0"/>
                    <w:keepLines w:val="0"/>
                    <w:widowControl/>
                    <w:suppressLineNumbers w:val="0"/>
                    <w:spacing w:line="240" w:lineRule="auto"/>
                    <w:jc w:val="center"/>
                    <w:textAlignment w:val="auto"/>
                    <w:rPr>
                      <w:rFonts w:hint="eastAsia"/>
                      <w:sz w:val="21"/>
                      <w:szCs w:val="21"/>
                      <w:u w:val="single"/>
                    </w:rPr>
                  </w:pPr>
                  <w:r>
                    <w:rPr>
                      <w:rFonts w:hint="eastAsia" w:ascii="Times New Roman" w:hAnsi="Times New Roman" w:eastAsia="宋体" w:cs="Times New Roman"/>
                      <w:i w:val="0"/>
                      <w:iCs w:val="0"/>
                      <w:kern w:val="2"/>
                      <w:sz w:val="21"/>
                      <w:szCs w:val="21"/>
                      <w:u w:val="single"/>
                      <w:lang w:val="en-US" w:eastAsia="zh-CN" w:bidi="ar"/>
                    </w:rPr>
                    <w:t>0.0009</w:t>
                  </w:r>
                </w:p>
              </w:tc>
              <w:tc>
                <w:tcPr>
                  <w:tcW w:w="1781" w:type="dxa"/>
                  <w:noWrap w:val="0"/>
                  <w:vAlign w:val="center"/>
                </w:tcPr>
                <w:p w14:paraId="2E7DBE3A">
                  <w:pPr>
                    <w:widowControl/>
                    <w:spacing w:line="240" w:lineRule="auto"/>
                    <w:jc w:val="center"/>
                    <w:rPr>
                      <w:rFonts w:hint="eastAsia"/>
                      <w:sz w:val="21"/>
                      <w:szCs w:val="21"/>
                      <w:u w:val="single"/>
                    </w:rPr>
                  </w:pPr>
                  <w:r>
                    <w:rPr>
                      <w:rFonts w:hint="eastAsia"/>
                      <w:sz w:val="21"/>
                      <w:szCs w:val="21"/>
                      <w:u w:val="single"/>
                    </w:rPr>
                    <w:t>固体</w:t>
                  </w:r>
                </w:p>
              </w:tc>
              <w:tc>
                <w:tcPr>
                  <w:tcW w:w="1329" w:type="dxa"/>
                  <w:noWrap w:val="0"/>
                  <w:vAlign w:val="center"/>
                </w:tcPr>
                <w:p w14:paraId="3A0C913F">
                  <w:pPr>
                    <w:keepNext w:val="0"/>
                    <w:keepLines w:val="0"/>
                    <w:widowControl/>
                    <w:suppressLineNumbers w:val="0"/>
                    <w:spacing w:line="240" w:lineRule="auto"/>
                    <w:jc w:val="center"/>
                    <w:textAlignment w:val="auto"/>
                    <w:rPr>
                      <w:rFonts w:hint="eastAsia"/>
                      <w:sz w:val="21"/>
                      <w:szCs w:val="21"/>
                      <w:u w:val="single"/>
                    </w:rPr>
                  </w:pPr>
                  <w:r>
                    <w:rPr>
                      <w:rFonts w:hint="eastAsia" w:ascii="Times New Roman" w:hAnsi="Times New Roman" w:eastAsia="宋体" w:cs="Times New Roman"/>
                      <w:i w:val="0"/>
                      <w:iCs w:val="0"/>
                      <w:kern w:val="2"/>
                      <w:sz w:val="21"/>
                      <w:szCs w:val="21"/>
                      <w:u w:val="single"/>
                      <w:lang w:val="en-US" w:eastAsia="zh-CN" w:bidi="ar"/>
                    </w:rPr>
                    <w:t>0.0009</w:t>
                  </w:r>
                </w:p>
              </w:tc>
              <w:tc>
                <w:tcPr>
                  <w:tcW w:w="1499" w:type="dxa"/>
                  <w:noWrap w:val="0"/>
                  <w:vAlign w:val="center"/>
                </w:tcPr>
                <w:p w14:paraId="4C6C7F45">
                  <w:pPr>
                    <w:widowControl/>
                    <w:spacing w:line="240" w:lineRule="auto"/>
                    <w:jc w:val="center"/>
                    <w:rPr>
                      <w:rFonts w:hint="eastAsia" w:eastAsia="宋体"/>
                      <w:sz w:val="21"/>
                      <w:szCs w:val="21"/>
                      <w:u w:val="single"/>
                      <w:lang w:eastAsia="zh-CN"/>
                    </w:rPr>
                  </w:pPr>
                  <w:r>
                    <w:rPr>
                      <w:rFonts w:hint="eastAsia"/>
                      <w:sz w:val="21"/>
                      <w:szCs w:val="21"/>
                      <w:u w:val="single"/>
                      <w:lang w:val="en-US" w:eastAsia="zh-CN"/>
                    </w:rPr>
                    <w:t>0</w:t>
                  </w:r>
                </w:p>
              </w:tc>
            </w:tr>
          </w:tbl>
          <w:p w14:paraId="0E28B5BF">
            <w:pPr>
              <w:adjustRightInd w:val="0"/>
              <w:ind w:firstLine="480" w:firstLineChars="200"/>
              <w:rPr>
                <w:color w:val="0000C7"/>
                <w:spacing w:val="-6"/>
              </w:rPr>
            </w:pPr>
            <w:r>
              <w:rPr>
                <w:rFonts w:hint="eastAsia"/>
                <w:kern w:val="0"/>
                <w:u w:val="single"/>
              </w:rPr>
              <w:t>（</w:t>
            </w:r>
            <w:r>
              <w:rPr>
                <w:rFonts w:hint="eastAsia"/>
                <w:kern w:val="0"/>
                <w:u w:val="single"/>
                <w:lang w:val="en-US" w:eastAsia="zh-CN"/>
              </w:rPr>
              <w:t>6</w:t>
            </w:r>
            <w:r>
              <w:rPr>
                <w:rFonts w:hint="eastAsia"/>
                <w:kern w:val="0"/>
                <w:u w:val="single"/>
              </w:rPr>
              <w:t>）</w:t>
            </w:r>
            <w:r>
              <w:rPr>
                <w:rFonts w:hint="eastAsia" w:ascii="Times New Roman" w:hAnsi="Times New Roman" w:eastAsia="宋体" w:cs="Times New Roman"/>
                <w:kern w:val="2"/>
                <w:sz w:val="24"/>
                <w:szCs w:val="24"/>
                <w:u w:val="none"/>
                <w:lang w:val="en-US" w:eastAsia="zh-CN" w:bidi="ar-SA"/>
              </w:rPr>
              <w:t>透水砖、路面砖</w:t>
            </w:r>
            <w:r>
              <w:rPr>
                <w:kern w:val="0"/>
              </w:rPr>
              <w:t>生产过程中产生的破碎筛分</w:t>
            </w:r>
            <w:r>
              <w:rPr>
                <w:rFonts w:hint="eastAsia"/>
                <w:kern w:val="0"/>
              </w:rPr>
              <w:t>制砂</w:t>
            </w:r>
            <w:r>
              <w:rPr>
                <w:kern w:val="0"/>
              </w:rPr>
              <w:t>粉尘</w:t>
            </w:r>
          </w:p>
          <w:p w14:paraId="35CEEAC3">
            <w:pPr>
              <w:adjustRightInd w:val="0"/>
              <w:ind w:firstLine="476" w:firstLineChars="200"/>
              <w:rPr>
                <w:color w:val="0000C7"/>
                <w:spacing w:val="-6"/>
              </w:rPr>
            </w:pPr>
            <w:r>
              <w:rPr>
                <w:spacing w:val="-1"/>
              </w:rPr>
              <w:t>根据《逸散性工业粉尘控制技术》中“粒料加工厂逸散尘的排放因子”：碎石破碎和筛选排放因子0.25kg/t（破碎料），本项目原料加工量为</w:t>
            </w:r>
            <w:r>
              <w:rPr>
                <w:rFonts w:hint="eastAsia"/>
              </w:rPr>
              <w:t>806</w:t>
            </w:r>
            <w:r>
              <w:t>t/a。经计算破碎和筛选工序粉尘产生量</w:t>
            </w:r>
            <w:r>
              <w:rPr>
                <w:rFonts w:hint="eastAsia"/>
              </w:rPr>
              <w:t>0.2</w:t>
            </w:r>
            <w:r>
              <w:t>t/a</w:t>
            </w:r>
            <w:r>
              <w:rPr>
                <w:rFonts w:hint="eastAsia"/>
              </w:rPr>
              <w:t>，粉尘产生量</w:t>
            </w:r>
            <w:r>
              <w:rPr>
                <w:rFonts w:hint="eastAsia"/>
                <w:lang w:val="en-US" w:eastAsia="zh-CN"/>
              </w:rPr>
              <w:t>较</w:t>
            </w:r>
            <w:r>
              <w:rPr>
                <w:rFonts w:hint="eastAsia"/>
              </w:rPr>
              <w:t>小，</w:t>
            </w:r>
            <w:r>
              <w:rPr>
                <w:rFonts w:hint="eastAsia"/>
                <w:spacing w:val="-1"/>
                <w:kern w:val="2"/>
                <w:sz w:val="24"/>
                <w:szCs w:val="24"/>
                <w:lang w:eastAsia="zh-CN"/>
              </w:rPr>
              <w:t>采取喷淋降尘</w:t>
            </w:r>
            <w:r>
              <w:rPr>
                <w:rFonts w:hint="eastAsia"/>
                <w:spacing w:val="-1"/>
                <w:kern w:val="2"/>
                <w:sz w:val="24"/>
                <w:szCs w:val="24"/>
              </w:rPr>
              <w:t>，</w:t>
            </w:r>
            <w:r>
              <w:rPr>
                <w:rFonts w:hint="eastAsia"/>
                <w:spacing w:val="-1"/>
              </w:rPr>
              <w:t>可减少粉尘排放量约</w:t>
            </w:r>
            <w:r>
              <w:rPr>
                <w:rFonts w:hint="eastAsia"/>
                <w:spacing w:val="-1"/>
                <w:lang w:val="en-US" w:eastAsia="zh-CN"/>
              </w:rPr>
              <w:t>74</w:t>
            </w:r>
            <w:r>
              <w:rPr>
                <w:rFonts w:hint="eastAsia"/>
                <w:spacing w:val="-1"/>
              </w:rPr>
              <w:t>%，同时</w:t>
            </w:r>
            <w:r>
              <w:rPr>
                <w:rFonts w:hint="eastAsia"/>
                <w:spacing w:val="-1"/>
                <w:lang w:eastAsia="zh-CN"/>
              </w:rPr>
              <w:t>本项目破碎、筛分和制砂工序为密闭生产工序</w:t>
            </w:r>
            <w:r>
              <w:rPr>
                <w:rFonts w:hint="eastAsia"/>
                <w:spacing w:val="-1"/>
              </w:rPr>
              <w:t>，控制效率取</w:t>
            </w:r>
            <w:r>
              <w:rPr>
                <w:rFonts w:hint="eastAsia"/>
                <w:spacing w:val="-1"/>
                <w:lang w:val="en-US" w:eastAsia="zh-CN"/>
              </w:rPr>
              <w:t>9</w:t>
            </w:r>
            <w:r>
              <w:rPr>
                <w:rFonts w:hint="eastAsia"/>
                <w:spacing w:val="-1"/>
              </w:rPr>
              <w:t>0%，则</w:t>
            </w:r>
            <w:r>
              <w:rPr>
                <w:spacing w:val="-1"/>
              </w:rPr>
              <w:t>粉</w:t>
            </w:r>
            <w:r>
              <w:t>尘排放量</w:t>
            </w:r>
            <w:r>
              <w:rPr>
                <w:rFonts w:hint="eastAsia"/>
              </w:rPr>
              <w:t>0.00</w:t>
            </w:r>
            <w:r>
              <w:rPr>
                <w:rFonts w:hint="eastAsia"/>
                <w:lang w:val="en-US" w:eastAsia="zh-CN"/>
              </w:rPr>
              <w:t>5</w:t>
            </w:r>
            <w:r>
              <w:t>t/a</w:t>
            </w:r>
            <w:r>
              <w:rPr>
                <w:rFonts w:hint="eastAsia"/>
              </w:rPr>
              <w:t>(0.00</w:t>
            </w:r>
            <w:r>
              <w:rPr>
                <w:rFonts w:hint="eastAsia"/>
                <w:lang w:val="en-US" w:eastAsia="zh-CN"/>
              </w:rPr>
              <w:t>2</w:t>
            </w:r>
            <w:r>
              <w:rPr>
                <w:rFonts w:hint="eastAsia"/>
                <w:lang w:val="de-DE"/>
              </w:rPr>
              <w:t>kg/h</w:t>
            </w:r>
            <w:r>
              <w:rPr>
                <w:rFonts w:hint="eastAsia"/>
              </w:rPr>
              <w:t>)，为无组织排放</w:t>
            </w:r>
            <w:r>
              <w:t>。</w:t>
            </w:r>
          </w:p>
          <w:p w14:paraId="04D67310">
            <w:pPr>
              <w:adjustRightInd w:val="0"/>
              <w:ind w:firstLine="456" w:firstLineChars="200"/>
              <w:rPr>
                <w:rFonts w:hint="eastAsia" w:eastAsia="宋体"/>
                <w:color w:val="0000C7"/>
                <w:spacing w:val="-6"/>
                <w:lang w:val="en-US" w:eastAsia="zh-CN"/>
              </w:rPr>
            </w:pPr>
            <w:r>
              <w:rPr>
                <w:rFonts w:hint="eastAsia"/>
                <w:spacing w:val="-6"/>
              </w:rPr>
              <w:t>（</w:t>
            </w:r>
            <w:r>
              <w:rPr>
                <w:rFonts w:hint="eastAsia"/>
                <w:spacing w:val="-6"/>
                <w:lang w:val="en-US" w:eastAsia="zh-CN"/>
              </w:rPr>
              <w:t>7</w:t>
            </w:r>
            <w:r>
              <w:rPr>
                <w:rFonts w:hint="eastAsia"/>
                <w:spacing w:val="-6"/>
              </w:rPr>
              <w:t>）</w:t>
            </w:r>
            <w:r>
              <w:rPr>
                <w:rFonts w:hint="eastAsia" w:ascii="Times New Roman" w:hAnsi="Times New Roman" w:eastAsia="宋体" w:cs="Times New Roman"/>
                <w:kern w:val="2"/>
                <w:sz w:val="24"/>
                <w:szCs w:val="24"/>
                <w:u w:val="none"/>
                <w:lang w:val="en-US" w:eastAsia="zh-CN" w:bidi="ar-SA"/>
              </w:rPr>
              <w:t>透水砖、路面砖</w:t>
            </w:r>
            <w:r>
              <w:rPr>
                <w:kern w:val="0"/>
              </w:rPr>
              <w:t>生产</w:t>
            </w:r>
            <w:r>
              <w:rPr>
                <w:rFonts w:hint="eastAsia"/>
                <w:kern w:val="0"/>
              </w:rPr>
              <w:t>线投料、输送及搅拌</w:t>
            </w:r>
            <w:r>
              <w:rPr>
                <w:kern w:val="0"/>
              </w:rPr>
              <w:t>粉尘</w:t>
            </w:r>
            <w:r>
              <w:rPr>
                <w:rFonts w:hint="eastAsia"/>
                <w:kern w:val="0"/>
                <w:lang w:val="en-US" w:eastAsia="zh-CN"/>
              </w:rPr>
              <w:t xml:space="preserve"> </w:t>
            </w:r>
          </w:p>
          <w:p w14:paraId="539ED501">
            <w:pPr>
              <w:adjustRightInd w:val="0"/>
              <w:ind w:firstLine="480" w:firstLineChars="200"/>
              <w:rPr>
                <w:spacing w:val="-1"/>
              </w:rPr>
            </w:pPr>
            <w:r>
              <w:rPr>
                <w:rFonts w:hint="eastAsia" w:ascii="Times New Roman" w:hAnsi="Times New Roman" w:eastAsia="宋体" w:cs="Times New Roman"/>
                <w:kern w:val="2"/>
                <w:sz w:val="24"/>
                <w:szCs w:val="24"/>
                <w:u w:val="none"/>
                <w:lang w:val="en-US" w:eastAsia="zh-CN" w:bidi="ar-SA"/>
              </w:rPr>
              <w:t>透水砖、路面砖</w:t>
            </w:r>
            <w:r>
              <w:rPr>
                <w:rFonts w:hint="eastAsia"/>
                <w:spacing w:val="-1"/>
              </w:rPr>
              <w:t>原料为青石及花岗岩边角料制成的砂料、水泥、石粉和</w:t>
            </w:r>
            <w:r>
              <w:rPr>
                <w:rFonts w:hint="eastAsia" w:ascii="Times New Roman" w:hAnsi="Times New Roman" w:eastAsia="宋体" w:cs="Times New Roman"/>
                <w:b w:val="0"/>
                <w:bCs/>
                <w:sz w:val="24"/>
                <w:szCs w:val="24"/>
                <w:lang w:eastAsia="zh-CN"/>
              </w:rPr>
              <w:t>无机颜料</w:t>
            </w:r>
            <w:r>
              <w:rPr>
                <w:spacing w:val="-1"/>
              </w:rPr>
              <w:t>，项目</w:t>
            </w:r>
            <w:r>
              <w:rPr>
                <w:rFonts w:hint="eastAsia"/>
                <w:bCs/>
                <w:kern w:val="0"/>
                <w:lang w:bidi="ar"/>
              </w:rPr>
              <w:t>砂通过密闭皮带输送至搅拌机，同时加入水泥和水，制作成为底料。面料配置过程需加入外购石粉（粒径极小）、颜料、水泥和水，</w:t>
            </w:r>
            <w:r>
              <w:rPr>
                <w:spacing w:val="-1"/>
              </w:rPr>
              <w:t>项目</w:t>
            </w:r>
            <w:r>
              <w:rPr>
                <w:rFonts w:hint="eastAsia"/>
                <w:spacing w:val="-1"/>
              </w:rPr>
              <w:t>水泥</w:t>
            </w:r>
            <w:r>
              <w:rPr>
                <w:spacing w:val="-1"/>
              </w:rPr>
              <w:t>经密闭气泵输送到</w:t>
            </w:r>
            <w:r>
              <w:rPr>
                <w:rFonts w:hint="eastAsia"/>
                <w:kern w:val="2"/>
                <w:szCs w:val="21"/>
                <w:lang w:val="en-US" w:eastAsia="zh-CN"/>
              </w:rPr>
              <w:t>水泥筒仓</w:t>
            </w:r>
            <w:r>
              <w:rPr>
                <w:spacing w:val="-1"/>
              </w:rPr>
              <w:t>中，再以螺旋输送机输送至搅拌机，</w:t>
            </w:r>
            <w:r>
              <w:rPr>
                <w:rFonts w:hint="eastAsia"/>
                <w:spacing w:val="-1"/>
              </w:rPr>
              <w:t>石粉及颜料也均</w:t>
            </w:r>
            <w:r>
              <w:rPr>
                <w:spacing w:val="-1"/>
              </w:rPr>
              <w:t>以螺旋输送机输送至搅拌机，全程处于密闭状态，产生粉尘主要落入搅拌机时产生，纳入搅拌机组粉尘产生量中计算。投料、输送过程粉尘产生量参考《空气污染物排放和控制手册》(美国环境保护局) “第八章混凝土配料”章节推荐的混凝土配料工艺潜在的逸散排放因子，称料斗装载粉尘的产生量按0.01kg/t- 原料计，项目粒料主要为</w:t>
            </w:r>
            <w:r>
              <w:rPr>
                <w:rFonts w:hint="eastAsia"/>
                <w:spacing w:val="-1"/>
              </w:rPr>
              <w:t>砂料</w:t>
            </w:r>
            <w:r>
              <w:rPr>
                <w:spacing w:val="-1"/>
              </w:rPr>
              <w:t>，</w:t>
            </w:r>
            <w:r>
              <w:rPr>
                <w:rFonts w:hint="eastAsia"/>
                <w:spacing w:val="-1"/>
              </w:rPr>
              <w:t>砂料</w:t>
            </w:r>
            <w:r>
              <w:rPr>
                <w:spacing w:val="-1"/>
              </w:rPr>
              <w:t>用量为</w:t>
            </w:r>
            <w:r>
              <w:rPr>
                <w:rFonts w:hint="eastAsia"/>
                <w:spacing w:val="-1"/>
              </w:rPr>
              <w:t>806</w:t>
            </w:r>
            <w:r>
              <w:rPr>
                <w:spacing w:val="-1"/>
              </w:rPr>
              <w:t>t/a，则投料、输送粉尘产生量为</w:t>
            </w:r>
            <w:r>
              <w:rPr>
                <w:rFonts w:hint="eastAsia"/>
                <w:spacing w:val="-1"/>
              </w:rPr>
              <w:t>0.008</w:t>
            </w:r>
            <w:r>
              <w:rPr>
                <w:spacing w:val="-1"/>
              </w:rPr>
              <w:t>t/a</w:t>
            </w:r>
            <w:r>
              <w:rPr>
                <w:rFonts w:hint="eastAsia"/>
                <w:spacing w:val="-1"/>
              </w:rPr>
              <w:t>，</w:t>
            </w:r>
            <w:r>
              <w:rPr>
                <w:spacing w:val="-1"/>
              </w:rPr>
              <w:t>物料输送过程进行喷淋降尘，物料湿度较高</w:t>
            </w:r>
            <w:r>
              <w:rPr>
                <w:rFonts w:hint="eastAsia"/>
                <w:spacing w:val="-1"/>
              </w:rPr>
              <w:t>。</w:t>
            </w:r>
          </w:p>
          <w:p w14:paraId="062CC794">
            <w:pPr>
              <w:adjustRightInd w:val="0"/>
              <w:ind w:firstLine="476" w:firstLineChars="200"/>
              <w:rPr>
                <w:spacing w:val="-1"/>
              </w:rPr>
            </w:pPr>
            <w:r>
              <w:rPr>
                <w:spacing w:val="-1"/>
                <w:u w:val="single"/>
              </w:rPr>
              <w:t> 项目搅拌工艺粉尘产生量参考《空气污染物排放和控制手册》( 美国环境保护局)“第八章混凝土配料”章节推荐的混凝土配料工艺潜在的逸散排放因子，混料机粉尘的产生量按0.02kg/t-原料计，项目产尘物料为</w:t>
            </w:r>
            <w:r>
              <w:rPr>
                <w:rFonts w:hint="eastAsia"/>
                <w:spacing w:val="-1"/>
                <w:u w:val="single"/>
              </w:rPr>
              <w:t>砂料、水泥、石粉和</w:t>
            </w:r>
            <w:r>
              <w:rPr>
                <w:rFonts w:hint="eastAsia" w:ascii="Times New Roman" w:hAnsi="Times New Roman" w:eastAsia="宋体" w:cs="Times New Roman"/>
                <w:b w:val="0"/>
                <w:bCs/>
                <w:sz w:val="24"/>
                <w:szCs w:val="24"/>
                <w:lang w:eastAsia="zh-CN"/>
              </w:rPr>
              <w:t>无机颜料</w:t>
            </w:r>
            <w:r>
              <w:rPr>
                <w:spacing w:val="-1"/>
                <w:u w:val="single"/>
              </w:rPr>
              <w:t>，用量共为</w:t>
            </w:r>
            <w:r>
              <w:rPr>
                <w:rFonts w:hint="eastAsia"/>
                <w:spacing w:val="-1"/>
                <w:u w:val="single"/>
              </w:rPr>
              <w:t>41</w:t>
            </w:r>
            <w:r>
              <w:rPr>
                <w:rFonts w:hint="eastAsia"/>
                <w:spacing w:val="-1"/>
                <w:highlight w:val="none"/>
                <w:u w:val="single"/>
                <w:lang w:eastAsia="zh-CN"/>
              </w:rPr>
              <w:t>69</w:t>
            </w:r>
            <w:r>
              <w:rPr>
                <w:spacing w:val="-1"/>
                <w:u w:val="single"/>
              </w:rPr>
              <w:t>t</w:t>
            </w:r>
            <w:r>
              <w:rPr>
                <w:rFonts w:hint="eastAsia"/>
                <w:spacing w:val="-1"/>
                <w:u w:val="single"/>
              </w:rPr>
              <w:t>/</w:t>
            </w:r>
            <w:r>
              <w:rPr>
                <w:spacing w:val="-1"/>
                <w:u w:val="single"/>
              </w:rPr>
              <w:t>a，则项目搅拌粉尘产生量约为</w:t>
            </w:r>
            <w:r>
              <w:rPr>
                <w:rFonts w:hint="eastAsia"/>
                <w:spacing w:val="-1"/>
                <w:u w:val="single"/>
              </w:rPr>
              <w:t>0.08</w:t>
            </w:r>
            <w:r>
              <w:rPr>
                <w:spacing w:val="-1"/>
                <w:u w:val="single"/>
              </w:rPr>
              <w:t>t/a</w:t>
            </w:r>
            <w:r>
              <w:rPr>
                <w:rFonts w:hint="eastAsia"/>
                <w:spacing w:val="-1"/>
                <w:u w:val="single"/>
              </w:rPr>
              <w:t>，</w:t>
            </w:r>
            <w:r>
              <w:rPr>
                <w:spacing w:val="-1"/>
                <w:u w:val="single"/>
              </w:rPr>
              <w:t>配拌料时需加水，物料湿度较高。</w:t>
            </w:r>
          </w:p>
          <w:p w14:paraId="41A2BE08">
            <w:pPr>
              <w:adjustRightInd w:val="0"/>
              <w:ind w:firstLine="476" w:firstLineChars="200"/>
              <w:rPr>
                <w:spacing w:val="-6"/>
              </w:rPr>
            </w:pPr>
            <w:r>
              <w:rPr>
                <w:spacing w:val="-1"/>
                <w:u w:val="single"/>
              </w:rPr>
              <w:t>项目粉尘</w:t>
            </w:r>
            <w:r>
              <w:rPr>
                <w:rFonts w:hint="eastAsia"/>
                <w:spacing w:val="-1"/>
                <w:u w:val="single"/>
              </w:rPr>
              <w:t>产生量极小</w:t>
            </w:r>
            <w:r>
              <w:rPr>
                <w:spacing w:val="-1"/>
                <w:u w:val="single"/>
              </w:rPr>
              <w:t>，</w:t>
            </w:r>
            <w:r>
              <w:rPr>
                <w:rFonts w:hint="eastAsia"/>
                <w:spacing w:val="-1"/>
                <w:u w:val="single"/>
              </w:rPr>
              <w:t>为无组织排放</w:t>
            </w:r>
            <w:r>
              <w:rPr>
                <w:spacing w:val="-1"/>
                <w:u w:val="single"/>
              </w:rPr>
              <w:t>。无组织颗粒物</w:t>
            </w:r>
            <w:r>
              <w:rPr>
                <w:rFonts w:hint="eastAsia"/>
                <w:spacing w:val="-1"/>
                <w:u w:val="single"/>
              </w:rPr>
              <w:t>总</w:t>
            </w:r>
            <w:r>
              <w:rPr>
                <w:spacing w:val="-1"/>
                <w:u w:val="single"/>
              </w:rPr>
              <w:t>产生量为0.</w:t>
            </w:r>
            <w:r>
              <w:rPr>
                <w:rFonts w:hint="eastAsia"/>
                <w:spacing w:val="-1"/>
                <w:u w:val="single"/>
              </w:rPr>
              <w:t>088</w:t>
            </w:r>
            <w:r>
              <w:rPr>
                <w:spacing w:val="-1"/>
                <w:u w:val="single"/>
              </w:rPr>
              <w:t>t/a，每次投配料、搅拌工序工作时，启动喷淋装置进行洒水抑尘，抑尘效率可达</w:t>
            </w:r>
            <w:r>
              <w:rPr>
                <w:rFonts w:hint="eastAsia"/>
                <w:spacing w:val="-1"/>
                <w:u w:val="single"/>
              </w:rPr>
              <w:t>7</w:t>
            </w:r>
            <w:r>
              <w:rPr>
                <w:rFonts w:hint="eastAsia"/>
                <w:spacing w:val="-1"/>
                <w:u w:val="single"/>
                <w:lang w:val="en-US" w:eastAsia="zh-CN"/>
              </w:rPr>
              <w:t>4</w:t>
            </w:r>
            <w:r>
              <w:rPr>
                <w:spacing w:val="-1"/>
                <w:u w:val="single"/>
              </w:rPr>
              <w:t>%，排放量为0.0</w:t>
            </w:r>
            <w:r>
              <w:rPr>
                <w:rFonts w:hint="eastAsia"/>
                <w:spacing w:val="-1"/>
                <w:u w:val="single"/>
              </w:rPr>
              <w:t>2</w:t>
            </w:r>
            <w:r>
              <w:rPr>
                <w:rFonts w:hint="eastAsia"/>
                <w:spacing w:val="-1"/>
                <w:u w:val="single"/>
                <w:lang w:val="en-US" w:eastAsia="zh-CN"/>
              </w:rPr>
              <w:t>3</w:t>
            </w:r>
            <w:r>
              <w:rPr>
                <w:spacing w:val="-1"/>
                <w:u w:val="single"/>
              </w:rPr>
              <w:t>t/a</w:t>
            </w:r>
            <w:r>
              <w:rPr>
                <w:rFonts w:hint="eastAsia"/>
                <w:spacing w:val="-1"/>
                <w:u w:val="single"/>
              </w:rPr>
              <w:t>，排放速率为0.01kg/h</w:t>
            </w:r>
            <w:r>
              <w:rPr>
                <w:spacing w:val="-1"/>
                <w:u w:val="single"/>
              </w:rPr>
              <w:t>。</w:t>
            </w:r>
          </w:p>
          <w:p w14:paraId="7CCCDA9C">
            <w:pPr>
              <w:adjustRightInd w:val="0"/>
              <w:ind w:firstLine="456" w:firstLineChars="200"/>
              <w:rPr>
                <w:spacing w:val="-6"/>
              </w:rPr>
            </w:pPr>
            <w:r>
              <w:rPr>
                <w:spacing w:val="-6"/>
              </w:rPr>
              <w:t>（</w:t>
            </w:r>
            <w:r>
              <w:rPr>
                <w:rFonts w:hint="eastAsia"/>
                <w:spacing w:val="-6"/>
                <w:lang w:val="en-US" w:eastAsia="zh-CN"/>
              </w:rPr>
              <w:t>8</w:t>
            </w:r>
            <w:r>
              <w:rPr>
                <w:spacing w:val="-6"/>
              </w:rPr>
              <w:t>）</w:t>
            </w:r>
            <w:r>
              <w:rPr>
                <w:rFonts w:hint="eastAsia"/>
                <w:spacing w:val="-6"/>
                <w:lang w:val="en-US" w:eastAsia="zh-CN"/>
              </w:rPr>
              <w:t>水泥筒仓呼吸孔</w:t>
            </w:r>
            <w:r>
              <w:rPr>
                <w:rFonts w:hint="eastAsia"/>
                <w:spacing w:val="-6"/>
              </w:rPr>
              <w:t>粉尘</w:t>
            </w:r>
          </w:p>
          <w:p w14:paraId="6A3DC505">
            <w:pPr>
              <w:adjustRightInd w:val="0"/>
              <w:ind w:firstLine="456" w:firstLineChars="200"/>
              <w:rPr>
                <w:color w:val="0000FF"/>
                <w:spacing w:val="-6"/>
              </w:rPr>
            </w:pPr>
            <w:r>
              <w:rPr>
                <w:spacing w:val="-6"/>
              </w:rPr>
              <w:t>项目水泥由运输车通过气力输送至</w:t>
            </w:r>
            <w:r>
              <w:rPr>
                <w:rFonts w:hint="eastAsia"/>
                <w:spacing w:val="-6"/>
                <w:lang w:val="en-US" w:eastAsia="zh-CN"/>
              </w:rPr>
              <w:t>水泥筒仓</w:t>
            </w:r>
            <w:r>
              <w:rPr>
                <w:spacing w:val="-6"/>
              </w:rPr>
              <w:t>储存，在仓顶呼吸孔会有进料排空物料粉尘产生，在物料自料仓底出料时，由于落差物料在料仓内跌落时产生排空物料粉尘。</w:t>
            </w:r>
          </w:p>
          <w:p w14:paraId="1A6B3DD2">
            <w:pPr>
              <w:adjustRightInd w:val="0"/>
              <w:ind w:firstLine="456" w:firstLineChars="200"/>
              <w:rPr>
                <w:color w:val="0000FF"/>
                <w:spacing w:val="-6"/>
              </w:rPr>
            </w:pPr>
            <w:r>
              <w:rPr>
                <w:spacing w:val="-6"/>
              </w:rPr>
              <w:t>本项目设置</w:t>
            </w:r>
            <w:r>
              <w:rPr>
                <w:rFonts w:hint="eastAsia"/>
                <w:spacing w:val="-6"/>
              </w:rPr>
              <w:t>1</w:t>
            </w:r>
            <w:r>
              <w:rPr>
                <w:spacing w:val="-6"/>
              </w:rPr>
              <w:t>个</w:t>
            </w:r>
            <w:r>
              <w:rPr>
                <w:rFonts w:hint="eastAsia"/>
                <w:spacing w:val="-6"/>
                <w:lang w:val="en-US" w:eastAsia="zh-CN"/>
              </w:rPr>
              <w:t>12m高的</w:t>
            </w:r>
            <w:r>
              <w:rPr>
                <w:rFonts w:hint="eastAsia"/>
                <w:kern w:val="2"/>
                <w:szCs w:val="21"/>
                <w:lang w:val="en-US" w:eastAsia="zh-CN"/>
              </w:rPr>
              <w:t>水泥筒仓</w:t>
            </w:r>
            <w:r>
              <w:rPr>
                <w:spacing w:val="-6"/>
              </w:rPr>
              <w:t>，参照《空气污染物排放和控制手册》( 美国环境保护局)“第八章混凝土配料”章节推荐的混凝土配料工艺潜在的逸散排放因子，</w:t>
            </w:r>
            <w:r>
              <w:rPr>
                <w:rFonts w:hint="eastAsia"/>
                <w:spacing w:val="-6"/>
              </w:rPr>
              <w:t>水泥</w:t>
            </w:r>
            <w:r>
              <w:rPr>
                <w:spacing w:val="-6"/>
              </w:rPr>
              <w:t>入</w:t>
            </w:r>
            <w:r>
              <w:rPr>
                <w:rFonts w:hint="eastAsia"/>
                <w:kern w:val="2"/>
                <w:szCs w:val="21"/>
                <w:lang w:val="en-US" w:eastAsia="zh-CN"/>
              </w:rPr>
              <w:t>水泥筒仓</w:t>
            </w:r>
            <w:r>
              <w:rPr>
                <w:spacing w:val="-6"/>
              </w:rPr>
              <w:t>时的产尘系数以0.12kg/t粉料计。项目水泥使用量为</w:t>
            </w:r>
            <w:r>
              <w:rPr>
                <w:rFonts w:hint="eastAsia"/>
                <w:spacing w:val="-6"/>
              </w:rPr>
              <w:t>1464</w:t>
            </w:r>
            <w:r>
              <w:rPr>
                <w:spacing w:val="-6"/>
              </w:rPr>
              <w:t>t/a,则产尘量为</w:t>
            </w:r>
            <w:r>
              <w:rPr>
                <w:rFonts w:hint="eastAsia"/>
                <w:spacing w:val="-6"/>
              </w:rPr>
              <w:t>0.18</w:t>
            </w:r>
            <w:r>
              <w:rPr>
                <w:spacing w:val="-6"/>
              </w:rPr>
              <w:t>t/a。项目</w:t>
            </w:r>
            <w:r>
              <w:rPr>
                <w:rFonts w:hint="eastAsia"/>
                <w:kern w:val="2"/>
                <w:szCs w:val="21"/>
                <w:lang w:val="en-US" w:eastAsia="zh-CN"/>
              </w:rPr>
              <w:t>筒仓</w:t>
            </w:r>
            <w:r>
              <w:rPr>
                <w:spacing w:val="-6"/>
              </w:rPr>
              <w:t>顶部配套仓顶除尘器，除尘效率可达</w:t>
            </w:r>
            <w:r>
              <w:rPr>
                <w:rFonts w:hint="eastAsia"/>
                <w:spacing w:val="-6"/>
                <w:lang w:val="en-US" w:eastAsia="zh-CN"/>
              </w:rPr>
              <w:t>95</w:t>
            </w:r>
            <w:r>
              <w:rPr>
                <w:spacing w:val="-6"/>
              </w:rPr>
              <w:t>%计，呼吸孔粉尘以无组织形式排放。经过仓项除尘器处理后，无组织颗粒物排放量约0.0</w:t>
            </w:r>
            <w:r>
              <w:rPr>
                <w:rFonts w:hint="eastAsia"/>
                <w:spacing w:val="-6"/>
              </w:rPr>
              <w:t>09</w:t>
            </w:r>
            <w:r>
              <w:rPr>
                <w:spacing w:val="-6"/>
              </w:rPr>
              <w:t>t/a</w:t>
            </w:r>
            <w:r>
              <w:rPr>
                <w:rFonts w:hint="eastAsia"/>
                <w:spacing w:val="-6"/>
              </w:rPr>
              <w:t>，排放速率为0.00</w:t>
            </w:r>
            <w:r>
              <w:rPr>
                <w:rFonts w:hint="eastAsia"/>
                <w:spacing w:val="-6"/>
                <w:lang w:val="en-US" w:eastAsia="zh-CN"/>
              </w:rPr>
              <w:t>4</w:t>
            </w:r>
            <w:r>
              <w:rPr>
                <w:rFonts w:hint="eastAsia"/>
                <w:spacing w:val="-6"/>
              </w:rPr>
              <w:t>kg/h</w:t>
            </w:r>
            <w:r>
              <w:rPr>
                <w:spacing w:val="-6"/>
              </w:rPr>
              <w:t>。</w:t>
            </w:r>
          </w:p>
          <w:p w14:paraId="2ABAD03B">
            <w:pPr>
              <w:adjustRightInd w:val="0"/>
              <w:ind w:firstLine="456" w:firstLineChars="200"/>
              <w:rPr>
                <w:spacing w:val="-6"/>
                <w:u w:val="single"/>
              </w:rPr>
            </w:pPr>
            <w:r>
              <w:rPr>
                <w:rFonts w:hint="eastAsia"/>
                <w:spacing w:val="-6"/>
                <w:u w:val="single"/>
              </w:rPr>
              <w:t>（</w:t>
            </w:r>
            <w:r>
              <w:rPr>
                <w:rFonts w:hint="eastAsia"/>
                <w:spacing w:val="-6"/>
                <w:u w:val="single"/>
                <w:lang w:val="en-US" w:eastAsia="zh-CN"/>
              </w:rPr>
              <w:t>9</w:t>
            </w:r>
            <w:r>
              <w:rPr>
                <w:rFonts w:hint="eastAsia"/>
                <w:spacing w:val="-6"/>
                <w:u w:val="single"/>
              </w:rPr>
              <w:t>）</w:t>
            </w:r>
            <w:r>
              <w:rPr>
                <w:spacing w:val="-6"/>
                <w:u w:val="single"/>
              </w:rPr>
              <w:t>运输车辆扬尘</w:t>
            </w:r>
          </w:p>
          <w:p w14:paraId="44BB75CC">
            <w:pPr>
              <w:autoSpaceDE w:val="0"/>
              <w:autoSpaceDN w:val="0"/>
              <w:adjustRightInd w:val="0"/>
              <w:ind w:firstLine="480" w:firstLineChars="200"/>
              <w:jc w:val="left"/>
              <w:rPr>
                <w:color w:val="0000C7"/>
                <w:szCs w:val="28"/>
                <w:highlight w:val="green"/>
              </w:rPr>
            </w:pPr>
            <w:bookmarkStart w:id="79" w:name="_Toc3220"/>
            <w:r>
              <w:rPr>
                <w:rFonts w:hint="eastAsia"/>
                <w:u w:val="single"/>
                <w:lang w:eastAsia="zh-CN"/>
              </w:rPr>
              <w:t>本项目原料及产品运输过程中均不易起尘，</w:t>
            </w:r>
            <w:r>
              <w:rPr>
                <w:u w:val="single"/>
              </w:rPr>
              <w:t>原料和产品均采用汽车运输</w:t>
            </w:r>
            <w:r>
              <w:rPr>
                <w:rFonts w:hint="eastAsia"/>
                <w:u w:val="single"/>
              </w:rPr>
              <w:t>，地面硬化，</w:t>
            </w:r>
            <w:r>
              <w:rPr>
                <w:u w:val="single"/>
              </w:rPr>
              <w:t>运输扬尘产生量较小。</w:t>
            </w:r>
            <w:bookmarkEnd w:id="79"/>
          </w:p>
          <w:p w14:paraId="0D0DA58C">
            <w:pPr>
              <w:ind w:firstLine="480" w:firstLineChars="200"/>
            </w:pPr>
            <w:r>
              <w:t>（</w:t>
            </w:r>
            <w:r>
              <w:rPr>
                <w:rFonts w:hint="eastAsia"/>
                <w:lang w:val="en-US" w:eastAsia="zh-CN"/>
              </w:rPr>
              <w:t>10</w:t>
            </w:r>
            <w:r>
              <w:t>）食堂油烟</w:t>
            </w:r>
          </w:p>
          <w:p w14:paraId="2E5F3CFF">
            <w:pPr>
              <w:ind w:firstLine="480" w:firstLineChars="200"/>
            </w:pPr>
            <w:r>
              <w:t>根据建设方提供的资料，本项目食堂每天用餐人次</w:t>
            </w:r>
            <w:r>
              <w:rPr>
                <w:rFonts w:hint="eastAsia"/>
              </w:rPr>
              <w:t>20</w:t>
            </w:r>
            <w:r>
              <w:t>人，每天使用2小时，以</w:t>
            </w:r>
            <w:r>
              <w:rPr>
                <w:rFonts w:hint="eastAsia" w:eastAsiaTheme="minorEastAsia"/>
              </w:rPr>
              <w:t>液化气</w:t>
            </w:r>
            <w:r>
              <w:t>为燃料。</w:t>
            </w:r>
            <w:r>
              <w:rPr>
                <w:rFonts w:hint="eastAsia"/>
              </w:rPr>
              <w:t>液化气</w:t>
            </w:r>
            <w:r>
              <w:t>属于清洁能源，产生的废气污染物很少。本项目产生的废气主要是厨房油烟废气，其主要成分是动植物油烟。据统计，目前居民人均食用油日用量约30g/人·d，则食堂食用油总用量为</w:t>
            </w:r>
            <w:r>
              <w:rPr>
                <w:rFonts w:hint="eastAsia"/>
              </w:rPr>
              <w:t>0.6</w:t>
            </w:r>
            <w:r>
              <w:t>kg/d（</w:t>
            </w:r>
            <w:r>
              <w:rPr>
                <w:rFonts w:hint="eastAsia"/>
              </w:rPr>
              <w:t>180</w:t>
            </w:r>
            <w:r>
              <w:t>kg/a）。一般油烟挥发量占总耗油量的2-4%，平均为2.83%，则食堂油烟产生量为</w:t>
            </w:r>
            <w:r>
              <w:rPr>
                <w:rFonts w:hint="eastAsia"/>
              </w:rPr>
              <w:t>5.094</w:t>
            </w:r>
            <w:r>
              <w:t>kg/a，项目依托现有项目</w:t>
            </w:r>
            <w:r>
              <w:rPr>
                <w:rFonts w:hint="eastAsia"/>
              </w:rPr>
              <w:t>1</w:t>
            </w:r>
            <w:r>
              <w:t>个基准灶头，属小型规模，一个基准灶头的风量为3000m</w:t>
            </w:r>
            <w:r>
              <w:rPr>
                <w:vertAlign w:val="superscript"/>
              </w:rPr>
              <w:t>3</w:t>
            </w:r>
            <w:r>
              <w:t>/h，产生速率为</w:t>
            </w:r>
            <w:r>
              <w:rPr>
                <w:rFonts w:hint="eastAsia"/>
              </w:rPr>
              <w:t>0.008</w:t>
            </w:r>
            <w:r>
              <w:t>kg/h，产生浓度为</w:t>
            </w:r>
            <w:r>
              <w:rPr>
                <w:rFonts w:hint="eastAsia"/>
              </w:rPr>
              <w:t>2.67</w:t>
            </w:r>
            <w:r>
              <w:t>mg/m</w:t>
            </w:r>
            <w:r>
              <w:rPr>
                <w:vertAlign w:val="superscript"/>
              </w:rPr>
              <w:t>3</w:t>
            </w:r>
            <w:r>
              <w:t>。油烟废气收集后经油烟净化器处理达标后引至楼顶排放，油烟净化器处理效率不得低于85%（按85%计），则油烟排放量可降低至</w:t>
            </w:r>
            <w:r>
              <w:rPr>
                <w:rFonts w:hint="eastAsia"/>
              </w:rPr>
              <w:t>0.76</w:t>
            </w:r>
            <w:r>
              <w:t>kg/a，</w:t>
            </w:r>
            <w:r>
              <w:rPr>
                <w:rFonts w:hint="eastAsia"/>
              </w:rPr>
              <w:t>排放速率为0.001</w:t>
            </w:r>
            <w:r>
              <w:t>kg/h</w:t>
            </w:r>
            <w:r>
              <w:rPr>
                <w:rFonts w:hint="eastAsia"/>
              </w:rPr>
              <w:t>，</w:t>
            </w:r>
            <w:r>
              <w:t>排放浓度0.</w:t>
            </w:r>
            <w:r>
              <w:rPr>
                <w:rFonts w:hint="eastAsia"/>
              </w:rPr>
              <w:t>33</w:t>
            </w:r>
            <w:r>
              <w:t>mg/m</w:t>
            </w:r>
            <w:r>
              <w:rPr>
                <w:vertAlign w:val="superscript"/>
              </w:rPr>
              <w:t>3</w:t>
            </w:r>
            <w:r>
              <w:rPr>
                <w:u w:val="single"/>
              </w:rPr>
              <w:t>，排放限值为2mg/m</w:t>
            </w:r>
            <w:r>
              <w:rPr>
                <w:u w:val="single"/>
                <w:vertAlign w:val="superscript"/>
              </w:rPr>
              <w:t>3</w:t>
            </w:r>
            <w:r>
              <w:rPr>
                <w:u w:val="single"/>
              </w:rPr>
              <w:t>，达到《饮食业油烟排放标准》（试行）（GB18483-2001）的要求。</w:t>
            </w:r>
          </w:p>
          <w:p w14:paraId="30D7504D">
            <w:pPr>
              <w:pStyle w:val="20"/>
              <w:tabs>
                <w:tab w:val="right" w:leader="dot" w:pos="8949"/>
              </w:tabs>
              <w:spacing w:after="0" w:line="360" w:lineRule="auto"/>
              <w:ind w:left="482"/>
              <w:rPr>
                <w:rFonts w:ascii="Times New Roman" w:hAnsi="Times New Roman"/>
                <w:color w:val="0000C7"/>
                <w:kern w:val="2"/>
                <w:sz w:val="24"/>
                <w:szCs w:val="24"/>
              </w:rPr>
            </w:pPr>
            <w:bookmarkStart w:id="80" w:name="_Toc68160388"/>
            <w:bookmarkStart w:id="81" w:name="_Toc13357"/>
            <w:r>
              <w:rPr>
                <w:rFonts w:ascii="Times New Roman" w:hAnsi="Times New Roman"/>
                <w:kern w:val="2"/>
                <w:sz w:val="24"/>
                <w:szCs w:val="24"/>
              </w:rPr>
              <w:t>项目废气排放口基本情况一览表如下：</w:t>
            </w:r>
          </w:p>
          <w:p w14:paraId="4798C7B6">
            <w:pPr>
              <w:pStyle w:val="42"/>
              <w:spacing w:line="240" w:lineRule="auto"/>
              <w:ind w:firstLine="422" w:firstLineChars="200"/>
              <w:jc w:val="center"/>
              <w:rPr>
                <w:b/>
                <w:sz w:val="21"/>
                <w:szCs w:val="18"/>
              </w:rPr>
            </w:pPr>
            <w:r>
              <w:rPr>
                <w:b/>
                <w:sz w:val="21"/>
                <w:szCs w:val="18"/>
              </w:rPr>
              <w:t>表4-</w:t>
            </w:r>
            <w:r>
              <w:rPr>
                <w:rFonts w:hint="eastAsia"/>
                <w:b/>
                <w:sz w:val="21"/>
                <w:szCs w:val="18"/>
                <w:lang w:val="en-US" w:eastAsia="zh-CN"/>
              </w:rPr>
              <w:t>3</w:t>
            </w:r>
            <w:r>
              <w:rPr>
                <w:b/>
                <w:sz w:val="21"/>
                <w:szCs w:val="18"/>
              </w:rPr>
              <w:t xml:space="preserve"> </w:t>
            </w:r>
            <w:r>
              <w:rPr>
                <w:b/>
                <w:color w:val="0000C7"/>
                <w:sz w:val="21"/>
                <w:szCs w:val="18"/>
              </w:rPr>
              <w:t xml:space="preserve"> </w:t>
            </w:r>
            <w:r>
              <w:rPr>
                <w:b/>
                <w:bCs/>
                <w:color w:val="0000C7"/>
                <w:spacing w:val="-10"/>
                <w:sz w:val="21"/>
                <w:szCs w:val="18"/>
              </w:rPr>
              <w:t xml:space="preserve"> </w:t>
            </w:r>
            <w:r>
              <w:rPr>
                <w:b/>
                <w:bCs/>
                <w:spacing w:val="-10"/>
                <w:sz w:val="21"/>
                <w:szCs w:val="18"/>
              </w:rPr>
              <w:t>废气污染源排放源排放</w:t>
            </w:r>
            <w:r>
              <w:rPr>
                <w:b/>
                <w:sz w:val="21"/>
                <w:szCs w:val="18"/>
              </w:rPr>
              <w:t>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
              <w:gridCol w:w="737"/>
              <w:gridCol w:w="427"/>
              <w:gridCol w:w="473"/>
              <w:gridCol w:w="478"/>
              <w:gridCol w:w="893"/>
              <w:gridCol w:w="660"/>
              <w:gridCol w:w="982"/>
              <w:gridCol w:w="716"/>
              <w:gridCol w:w="538"/>
              <w:gridCol w:w="626"/>
              <w:gridCol w:w="612"/>
              <w:gridCol w:w="675"/>
              <w:gridCol w:w="357"/>
            </w:tblGrid>
            <w:tr w14:paraId="3841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92" w:type="pct"/>
                  <w:vMerge w:val="restart"/>
                  <w:tcBorders>
                    <w:top w:val="single" w:color="auto" w:sz="4" w:space="0"/>
                    <w:left w:val="single" w:color="auto" w:sz="4" w:space="0"/>
                    <w:right w:val="single" w:color="auto" w:sz="4" w:space="0"/>
                  </w:tcBorders>
                  <w:vAlign w:val="center"/>
                </w:tcPr>
                <w:p w14:paraId="2EB6F05C">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排气筒</w:t>
                  </w:r>
                </w:p>
              </w:tc>
              <w:tc>
                <w:tcPr>
                  <w:tcW w:w="433" w:type="pct"/>
                  <w:vMerge w:val="restart"/>
                  <w:tcBorders>
                    <w:top w:val="single" w:color="auto" w:sz="4" w:space="0"/>
                    <w:left w:val="single" w:color="auto" w:sz="4" w:space="0"/>
                    <w:right w:val="single" w:color="auto" w:sz="4" w:space="0"/>
                  </w:tcBorders>
                  <w:vAlign w:val="center"/>
                </w:tcPr>
                <w:p w14:paraId="2098B59B">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产排</w:t>
                  </w:r>
                </w:p>
                <w:p w14:paraId="2BE56E09">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污</w:t>
                  </w:r>
                </w:p>
                <w:p w14:paraId="50EB5829">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环</w:t>
                  </w:r>
                </w:p>
                <w:p w14:paraId="4C389336">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节</w:t>
                  </w:r>
                </w:p>
              </w:tc>
              <w:tc>
                <w:tcPr>
                  <w:tcW w:w="251" w:type="pct"/>
                  <w:vMerge w:val="restart"/>
                  <w:tcBorders>
                    <w:top w:val="single" w:color="auto" w:sz="4" w:space="0"/>
                    <w:left w:val="single" w:color="auto" w:sz="4" w:space="0"/>
                    <w:right w:val="single" w:color="auto" w:sz="4" w:space="0"/>
                  </w:tcBorders>
                  <w:vAlign w:val="center"/>
                </w:tcPr>
                <w:p w14:paraId="60BB8AAB">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污</w:t>
                  </w:r>
                </w:p>
                <w:p w14:paraId="3C83E3FD">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染</w:t>
                  </w:r>
                </w:p>
                <w:p w14:paraId="5B47CEAC">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物</w:t>
                  </w:r>
                </w:p>
              </w:tc>
              <w:tc>
                <w:tcPr>
                  <w:tcW w:w="278" w:type="pct"/>
                  <w:vMerge w:val="restart"/>
                  <w:tcBorders>
                    <w:top w:val="single" w:color="auto" w:sz="4" w:space="0"/>
                    <w:left w:val="single" w:color="auto" w:sz="4" w:space="0"/>
                    <w:right w:val="single" w:color="auto" w:sz="4" w:space="0"/>
                  </w:tcBorders>
                  <w:vAlign w:val="center"/>
                </w:tcPr>
                <w:p w14:paraId="3C39EE1F">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排</w:t>
                  </w:r>
                </w:p>
                <w:p w14:paraId="4A5263AF">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放</w:t>
                  </w:r>
                </w:p>
                <w:p w14:paraId="140C2592">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方</w:t>
                  </w:r>
                </w:p>
                <w:p w14:paraId="12ECA29A">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式</w:t>
                  </w:r>
                </w:p>
              </w:tc>
              <w:tc>
                <w:tcPr>
                  <w:tcW w:w="1771" w:type="pct"/>
                  <w:gridSpan w:val="4"/>
                  <w:tcBorders>
                    <w:top w:val="single" w:color="auto" w:sz="4" w:space="0"/>
                    <w:left w:val="single" w:color="auto" w:sz="4" w:space="0"/>
                    <w:bottom w:val="single" w:color="auto" w:sz="4" w:space="0"/>
                    <w:right w:val="single" w:color="auto" w:sz="4" w:space="0"/>
                  </w:tcBorders>
                  <w:vAlign w:val="center"/>
                </w:tcPr>
                <w:p w14:paraId="0ACA31C3">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污染物产生情况</w:t>
                  </w:r>
                </w:p>
              </w:tc>
              <w:tc>
                <w:tcPr>
                  <w:tcW w:w="737" w:type="pct"/>
                  <w:gridSpan w:val="2"/>
                  <w:tcBorders>
                    <w:top w:val="single" w:color="auto" w:sz="4" w:space="0"/>
                    <w:left w:val="single" w:color="auto" w:sz="4" w:space="0"/>
                    <w:bottom w:val="single" w:color="auto" w:sz="4" w:space="0"/>
                    <w:right w:val="single" w:color="auto" w:sz="4" w:space="0"/>
                  </w:tcBorders>
                  <w:vAlign w:val="center"/>
                </w:tcPr>
                <w:p w14:paraId="7E4AF88A">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治理设施</w:t>
                  </w:r>
                </w:p>
              </w:tc>
              <w:tc>
                <w:tcPr>
                  <w:tcW w:w="1125" w:type="pct"/>
                  <w:gridSpan w:val="3"/>
                  <w:tcBorders>
                    <w:top w:val="single" w:color="auto" w:sz="4" w:space="0"/>
                    <w:left w:val="single" w:color="auto" w:sz="4" w:space="0"/>
                    <w:bottom w:val="single" w:color="auto" w:sz="4" w:space="0"/>
                    <w:right w:val="single" w:color="auto" w:sz="4" w:space="0"/>
                  </w:tcBorders>
                  <w:vAlign w:val="center"/>
                </w:tcPr>
                <w:p w14:paraId="543180E2">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污染物排放情况</w:t>
                  </w:r>
                </w:p>
              </w:tc>
              <w:tc>
                <w:tcPr>
                  <w:tcW w:w="210" w:type="pct"/>
                  <w:vMerge w:val="restart"/>
                  <w:tcBorders>
                    <w:top w:val="single" w:color="auto" w:sz="4" w:space="0"/>
                    <w:left w:val="single" w:color="auto" w:sz="4" w:space="0"/>
                    <w:right w:val="single" w:color="auto" w:sz="4" w:space="0"/>
                  </w:tcBorders>
                  <w:vAlign w:val="center"/>
                </w:tcPr>
                <w:p w14:paraId="3BE33FB1">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排放时间h</w:t>
                  </w:r>
                </w:p>
              </w:tc>
            </w:tr>
            <w:tr w14:paraId="10DB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2" w:type="pct"/>
                  <w:vMerge w:val="continue"/>
                  <w:tcBorders>
                    <w:left w:val="single" w:color="auto" w:sz="4" w:space="0"/>
                    <w:right w:val="single" w:color="auto" w:sz="4" w:space="0"/>
                  </w:tcBorders>
                  <w:vAlign w:val="center"/>
                </w:tcPr>
                <w:p w14:paraId="38B885DB">
                  <w:pPr>
                    <w:wordWrap w:val="0"/>
                    <w:topLinePunct/>
                    <w:adjustRightInd w:val="0"/>
                    <w:snapToGrid w:val="0"/>
                    <w:spacing w:line="240" w:lineRule="auto"/>
                    <w:ind w:left="-120" w:leftChars="-50" w:right="-120" w:rightChars="-50"/>
                    <w:jc w:val="center"/>
                    <w:rPr>
                      <w:snapToGrid w:val="0"/>
                      <w:spacing w:val="4"/>
                      <w:sz w:val="21"/>
                      <w:szCs w:val="21"/>
                    </w:rPr>
                  </w:pPr>
                </w:p>
              </w:tc>
              <w:tc>
                <w:tcPr>
                  <w:tcW w:w="433" w:type="pct"/>
                  <w:vMerge w:val="continue"/>
                  <w:tcBorders>
                    <w:left w:val="single" w:color="auto" w:sz="4" w:space="0"/>
                    <w:right w:val="single" w:color="auto" w:sz="4" w:space="0"/>
                  </w:tcBorders>
                  <w:vAlign w:val="center"/>
                </w:tcPr>
                <w:p w14:paraId="52FF9F04">
                  <w:pPr>
                    <w:wordWrap w:val="0"/>
                    <w:topLinePunct/>
                    <w:adjustRightInd w:val="0"/>
                    <w:snapToGrid w:val="0"/>
                    <w:spacing w:line="240" w:lineRule="auto"/>
                    <w:ind w:left="-120" w:leftChars="-50" w:right="-120" w:rightChars="-50"/>
                    <w:jc w:val="center"/>
                    <w:rPr>
                      <w:snapToGrid w:val="0"/>
                      <w:spacing w:val="4"/>
                      <w:sz w:val="21"/>
                      <w:szCs w:val="21"/>
                    </w:rPr>
                  </w:pPr>
                </w:p>
              </w:tc>
              <w:tc>
                <w:tcPr>
                  <w:tcW w:w="251" w:type="pct"/>
                  <w:vMerge w:val="continue"/>
                  <w:tcBorders>
                    <w:left w:val="single" w:color="auto" w:sz="4" w:space="0"/>
                    <w:right w:val="single" w:color="auto" w:sz="4" w:space="0"/>
                  </w:tcBorders>
                  <w:vAlign w:val="center"/>
                </w:tcPr>
                <w:p w14:paraId="4F53DB1E">
                  <w:pPr>
                    <w:wordWrap w:val="0"/>
                    <w:topLinePunct/>
                    <w:adjustRightInd w:val="0"/>
                    <w:snapToGrid w:val="0"/>
                    <w:spacing w:line="240" w:lineRule="auto"/>
                    <w:ind w:left="-120" w:leftChars="-50" w:right="-120" w:rightChars="-50"/>
                    <w:jc w:val="center"/>
                    <w:rPr>
                      <w:snapToGrid w:val="0"/>
                      <w:spacing w:val="4"/>
                      <w:sz w:val="21"/>
                      <w:szCs w:val="21"/>
                    </w:rPr>
                  </w:pPr>
                </w:p>
              </w:tc>
              <w:tc>
                <w:tcPr>
                  <w:tcW w:w="278" w:type="pct"/>
                  <w:vMerge w:val="continue"/>
                  <w:tcBorders>
                    <w:left w:val="single" w:color="auto" w:sz="4" w:space="0"/>
                    <w:right w:val="single" w:color="auto" w:sz="4" w:space="0"/>
                  </w:tcBorders>
                  <w:vAlign w:val="center"/>
                </w:tcPr>
                <w:p w14:paraId="760CD15F">
                  <w:pPr>
                    <w:wordWrap w:val="0"/>
                    <w:topLinePunct/>
                    <w:adjustRightInd w:val="0"/>
                    <w:snapToGrid w:val="0"/>
                    <w:spacing w:line="240" w:lineRule="auto"/>
                    <w:ind w:left="-120" w:leftChars="-50" w:right="-120" w:rightChars="-50"/>
                    <w:jc w:val="center"/>
                    <w:rPr>
                      <w:snapToGrid w:val="0"/>
                      <w:spacing w:val="4"/>
                      <w:sz w:val="21"/>
                      <w:szCs w:val="21"/>
                    </w:rPr>
                  </w:pPr>
                </w:p>
              </w:tc>
              <w:tc>
                <w:tcPr>
                  <w:tcW w:w="281" w:type="pct"/>
                  <w:tcBorders>
                    <w:top w:val="single" w:color="auto" w:sz="4" w:space="0"/>
                    <w:left w:val="single" w:color="auto" w:sz="4" w:space="0"/>
                    <w:bottom w:val="single" w:color="auto" w:sz="4" w:space="0"/>
                    <w:right w:val="single" w:color="auto" w:sz="4" w:space="0"/>
                  </w:tcBorders>
                  <w:vAlign w:val="center"/>
                </w:tcPr>
                <w:p w14:paraId="1132F2E9">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核</w:t>
                  </w:r>
                </w:p>
                <w:p w14:paraId="70718F41">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算</w:t>
                  </w:r>
                </w:p>
                <w:p w14:paraId="5F75541C">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方</w:t>
                  </w:r>
                </w:p>
                <w:p w14:paraId="53735DF1">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法</w:t>
                  </w:r>
                </w:p>
              </w:tc>
              <w:tc>
                <w:tcPr>
                  <w:tcW w:w="525" w:type="pct"/>
                  <w:tcBorders>
                    <w:top w:val="single" w:color="auto" w:sz="4" w:space="0"/>
                    <w:left w:val="single" w:color="auto" w:sz="4" w:space="0"/>
                    <w:bottom w:val="single" w:color="auto" w:sz="4" w:space="0"/>
                    <w:right w:val="single" w:color="auto" w:sz="4" w:space="0"/>
                  </w:tcBorders>
                  <w:vAlign w:val="center"/>
                </w:tcPr>
                <w:p w14:paraId="1310142D">
                  <w:pPr>
                    <w:wordWrap w:val="0"/>
                    <w:topLinePunct/>
                    <w:adjustRightInd w:val="0"/>
                    <w:snapToGrid w:val="0"/>
                    <w:spacing w:line="240" w:lineRule="auto"/>
                    <w:ind w:left="-120" w:leftChars="-50" w:right="-120" w:rightChars="-50"/>
                    <w:jc w:val="center"/>
                    <w:rPr>
                      <w:b/>
                      <w:snapToGrid w:val="0"/>
                      <w:spacing w:val="4"/>
                      <w:sz w:val="21"/>
                      <w:szCs w:val="21"/>
                    </w:rPr>
                  </w:pPr>
                  <w:r>
                    <w:rPr>
                      <w:rFonts w:hint="eastAsia"/>
                      <w:b/>
                      <w:snapToGrid w:val="0"/>
                      <w:spacing w:val="4"/>
                      <w:sz w:val="21"/>
                      <w:szCs w:val="21"/>
                    </w:rPr>
                    <w:t>产生</w:t>
                  </w:r>
                  <w:r>
                    <w:rPr>
                      <w:b/>
                      <w:snapToGrid w:val="0"/>
                      <w:spacing w:val="4"/>
                      <w:sz w:val="21"/>
                      <w:szCs w:val="21"/>
                    </w:rPr>
                    <w:t>量t/a</w:t>
                  </w:r>
                </w:p>
              </w:tc>
              <w:tc>
                <w:tcPr>
                  <w:tcW w:w="388" w:type="pct"/>
                  <w:tcBorders>
                    <w:top w:val="single" w:color="auto" w:sz="4" w:space="0"/>
                    <w:left w:val="single" w:color="auto" w:sz="4" w:space="0"/>
                    <w:bottom w:val="single" w:color="auto" w:sz="4" w:space="0"/>
                    <w:right w:val="single" w:color="auto" w:sz="4" w:space="0"/>
                  </w:tcBorders>
                  <w:vAlign w:val="center"/>
                </w:tcPr>
                <w:p w14:paraId="5EB233A0">
                  <w:pPr>
                    <w:wordWrap w:val="0"/>
                    <w:topLinePunct/>
                    <w:adjustRightInd w:val="0"/>
                    <w:snapToGrid w:val="0"/>
                    <w:spacing w:line="240" w:lineRule="auto"/>
                    <w:ind w:left="-120" w:leftChars="-50" w:right="-120" w:rightChars="-50"/>
                    <w:jc w:val="center"/>
                    <w:rPr>
                      <w:b/>
                      <w:snapToGrid w:val="0"/>
                      <w:spacing w:val="4"/>
                      <w:sz w:val="21"/>
                      <w:szCs w:val="21"/>
                    </w:rPr>
                  </w:pPr>
                  <w:r>
                    <w:rPr>
                      <w:rFonts w:hint="eastAsia"/>
                      <w:b/>
                      <w:snapToGrid w:val="0"/>
                      <w:spacing w:val="4"/>
                      <w:sz w:val="21"/>
                      <w:szCs w:val="21"/>
                    </w:rPr>
                    <w:t>产生</w:t>
                  </w:r>
                  <w:r>
                    <w:rPr>
                      <w:b/>
                      <w:snapToGrid w:val="0"/>
                      <w:spacing w:val="4"/>
                      <w:sz w:val="21"/>
                      <w:szCs w:val="21"/>
                    </w:rPr>
                    <w:t>浓度</w:t>
                  </w:r>
                </w:p>
                <w:p w14:paraId="0FF35E4D">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mg/m³</w:t>
                  </w:r>
                </w:p>
              </w:tc>
              <w:tc>
                <w:tcPr>
                  <w:tcW w:w="575" w:type="pct"/>
                  <w:tcBorders>
                    <w:top w:val="single" w:color="auto" w:sz="4" w:space="0"/>
                    <w:left w:val="single" w:color="auto" w:sz="4" w:space="0"/>
                    <w:bottom w:val="single" w:color="auto" w:sz="4" w:space="0"/>
                    <w:right w:val="single" w:color="auto" w:sz="4" w:space="0"/>
                  </w:tcBorders>
                  <w:vAlign w:val="center"/>
                </w:tcPr>
                <w:p w14:paraId="74E1EA96">
                  <w:pPr>
                    <w:wordWrap w:val="0"/>
                    <w:topLinePunct/>
                    <w:adjustRightInd w:val="0"/>
                    <w:snapToGrid w:val="0"/>
                    <w:spacing w:line="240" w:lineRule="auto"/>
                    <w:ind w:left="-120" w:leftChars="-50" w:right="-120" w:rightChars="-50"/>
                    <w:jc w:val="center"/>
                    <w:rPr>
                      <w:b/>
                      <w:snapToGrid w:val="0"/>
                      <w:spacing w:val="4"/>
                      <w:sz w:val="21"/>
                      <w:szCs w:val="21"/>
                    </w:rPr>
                  </w:pPr>
                  <w:r>
                    <w:rPr>
                      <w:rFonts w:hint="eastAsia"/>
                      <w:b/>
                      <w:snapToGrid w:val="0"/>
                      <w:spacing w:val="4"/>
                      <w:sz w:val="21"/>
                      <w:szCs w:val="21"/>
                    </w:rPr>
                    <w:t>产生</w:t>
                  </w:r>
                  <w:r>
                    <w:rPr>
                      <w:b/>
                      <w:snapToGrid w:val="0"/>
                      <w:spacing w:val="4"/>
                      <w:sz w:val="21"/>
                      <w:szCs w:val="21"/>
                    </w:rPr>
                    <w:t>速率</w:t>
                  </w:r>
                </w:p>
                <w:p w14:paraId="33C77218">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kg/h</w:t>
                  </w:r>
                </w:p>
              </w:tc>
              <w:tc>
                <w:tcPr>
                  <w:tcW w:w="421" w:type="pct"/>
                  <w:tcBorders>
                    <w:top w:val="single" w:color="auto" w:sz="4" w:space="0"/>
                    <w:left w:val="single" w:color="auto" w:sz="4" w:space="0"/>
                    <w:bottom w:val="single" w:color="auto" w:sz="4" w:space="0"/>
                    <w:right w:val="single" w:color="auto" w:sz="4" w:space="0"/>
                  </w:tcBorders>
                  <w:vAlign w:val="center"/>
                </w:tcPr>
                <w:p w14:paraId="05B00B33">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工艺</w:t>
                  </w:r>
                </w:p>
              </w:tc>
              <w:tc>
                <w:tcPr>
                  <w:tcW w:w="315" w:type="pct"/>
                  <w:tcBorders>
                    <w:top w:val="single" w:color="auto" w:sz="4" w:space="0"/>
                    <w:left w:val="single" w:color="auto" w:sz="4" w:space="0"/>
                    <w:bottom w:val="single" w:color="auto" w:sz="4" w:space="0"/>
                    <w:right w:val="single" w:color="auto" w:sz="4" w:space="0"/>
                  </w:tcBorders>
                  <w:vAlign w:val="center"/>
                </w:tcPr>
                <w:p w14:paraId="6577B29E">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效率</w:t>
                  </w:r>
                </w:p>
                <w:p w14:paraId="546C9475">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w:t>
                  </w:r>
                </w:p>
              </w:tc>
              <w:tc>
                <w:tcPr>
                  <w:tcW w:w="368" w:type="pct"/>
                  <w:tcBorders>
                    <w:top w:val="single" w:color="auto" w:sz="4" w:space="0"/>
                    <w:left w:val="single" w:color="auto" w:sz="4" w:space="0"/>
                    <w:bottom w:val="single" w:color="auto" w:sz="4" w:space="0"/>
                    <w:right w:val="single" w:color="auto" w:sz="4" w:space="0"/>
                  </w:tcBorders>
                  <w:vAlign w:val="center"/>
                </w:tcPr>
                <w:p w14:paraId="1CB30D02">
                  <w:pPr>
                    <w:wordWrap w:val="0"/>
                    <w:topLinePunct/>
                    <w:adjustRightInd w:val="0"/>
                    <w:snapToGrid w:val="0"/>
                    <w:spacing w:line="240" w:lineRule="auto"/>
                    <w:ind w:left="-120" w:leftChars="-50" w:right="-120" w:rightChars="-50"/>
                    <w:jc w:val="center"/>
                    <w:rPr>
                      <w:b/>
                      <w:snapToGrid w:val="0"/>
                      <w:spacing w:val="4"/>
                      <w:sz w:val="21"/>
                      <w:szCs w:val="21"/>
                    </w:rPr>
                  </w:pPr>
                  <w:r>
                    <w:rPr>
                      <w:rFonts w:hint="eastAsia"/>
                      <w:b/>
                      <w:snapToGrid w:val="0"/>
                      <w:spacing w:val="4"/>
                      <w:sz w:val="21"/>
                      <w:szCs w:val="21"/>
                    </w:rPr>
                    <w:t>排放</w:t>
                  </w:r>
                  <w:r>
                    <w:rPr>
                      <w:b/>
                      <w:snapToGrid w:val="0"/>
                      <w:spacing w:val="4"/>
                      <w:sz w:val="21"/>
                      <w:szCs w:val="21"/>
                    </w:rPr>
                    <w:t>量t/a</w:t>
                  </w:r>
                </w:p>
              </w:tc>
              <w:tc>
                <w:tcPr>
                  <w:tcW w:w="360" w:type="pct"/>
                  <w:tcBorders>
                    <w:top w:val="single" w:color="auto" w:sz="4" w:space="0"/>
                    <w:left w:val="single" w:color="auto" w:sz="4" w:space="0"/>
                    <w:bottom w:val="single" w:color="auto" w:sz="4" w:space="0"/>
                    <w:right w:val="single" w:color="auto" w:sz="4" w:space="0"/>
                  </w:tcBorders>
                  <w:vAlign w:val="center"/>
                </w:tcPr>
                <w:p w14:paraId="31D4D496">
                  <w:pPr>
                    <w:wordWrap w:val="0"/>
                    <w:topLinePunct/>
                    <w:adjustRightInd w:val="0"/>
                    <w:snapToGrid w:val="0"/>
                    <w:spacing w:line="240" w:lineRule="auto"/>
                    <w:ind w:left="-120" w:leftChars="-50" w:right="-120" w:rightChars="-50"/>
                    <w:jc w:val="center"/>
                    <w:rPr>
                      <w:b/>
                      <w:snapToGrid w:val="0"/>
                      <w:spacing w:val="4"/>
                      <w:sz w:val="21"/>
                      <w:szCs w:val="21"/>
                    </w:rPr>
                  </w:pPr>
                  <w:r>
                    <w:rPr>
                      <w:rFonts w:hint="eastAsia"/>
                      <w:b/>
                      <w:snapToGrid w:val="0"/>
                      <w:spacing w:val="4"/>
                      <w:sz w:val="21"/>
                      <w:szCs w:val="21"/>
                    </w:rPr>
                    <w:t>排放</w:t>
                  </w:r>
                  <w:r>
                    <w:rPr>
                      <w:b/>
                      <w:snapToGrid w:val="0"/>
                      <w:spacing w:val="4"/>
                      <w:sz w:val="21"/>
                      <w:szCs w:val="21"/>
                    </w:rPr>
                    <w:t>浓度</w:t>
                  </w:r>
                </w:p>
                <w:p w14:paraId="1223B7B2">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mg/m³</w:t>
                  </w:r>
                </w:p>
              </w:tc>
              <w:tc>
                <w:tcPr>
                  <w:tcW w:w="397" w:type="pct"/>
                  <w:tcBorders>
                    <w:top w:val="single" w:color="auto" w:sz="4" w:space="0"/>
                    <w:left w:val="single" w:color="auto" w:sz="4" w:space="0"/>
                    <w:bottom w:val="single" w:color="auto" w:sz="4" w:space="0"/>
                    <w:right w:val="single" w:color="auto" w:sz="4" w:space="0"/>
                  </w:tcBorders>
                  <w:vAlign w:val="center"/>
                </w:tcPr>
                <w:p w14:paraId="0CCE7CFC">
                  <w:pPr>
                    <w:wordWrap w:val="0"/>
                    <w:topLinePunct/>
                    <w:adjustRightInd w:val="0"/>
                    <w:snapToGrid w:val="0"/>
                    <w:spacing w:line="240" w:lineRule="auto"/>
                    <w:ind w:left="-120" w:leftChars="-50" w:right="-120" w:rightChars="-50"/>
                    <w:jc w:val="center"/>
                    <w:rPr>
                      <w:b/>
                      <w:snapToGrid w:val="0"/>
                      <w:spacing w:val="4"/>
                      <w:sz w:val="21"/>
                      <w:szCs w:val="21"/>
                    </w:rPr>
                  </w:pPr>
                  <w:r>
                    <w:rPr>
                      <w:rFonts w:hint="eastAsia"/>
                      <w:b/>
                      <w:snapToGrid w:val="0"/>
                      <w:spacing w:val="4"/>
                      <w:sz w:val="21"/>
                      <w:szCs w:val="21"/>
                    </w:rPr>
                    <w:t>排放</w:t>
                  </w:r>
                  <w:r>
                    <w:rPr>
                      <w:b/>
                      <w:snapToGrid w:val="0"/>
                      <w:spacing w:val="4"/>
                      <w:sz w:val="21"/>
                      <w:szCs w:val="21"/>
                    </w:rPr>
                    <w:t>速率</w:t>
                  </w:r>
                </w:p>
                <w:p w14:paraId="09633EB8">
                  <w:pPr>
                    <w:wordWrap w:val="0"/>
                    <w:topLinePunct/>
                    <w:adjustRightInd w:val="0"/>
                    <w:snapToGrid w:val="0"/>
                    <w:spacing w:line="240" w:lineRule="auto"/>
                    <w:ind w:left="-120" w:leftChars="-50" w:right="-120" w:rightChars="-50"/>
                    <w:jc w:val="center"/>
                    <w:rPr>
                      <w:b/>
                      <w:snapToGrid w:val="0"/>
                      <w:spacing w:val="4"/>
                      <w:sz w:val="21"/>
                      <w:szCs w:val="21"/>
                    </w:rPr>
                  </w:pPr>
                  <w:r>
                    <w:rPr>
                      <w:b/>
                      <w:snapToGrid w:val="0"/>
                      <w:spacing w:val="4"/>
                      <w:sz w:val="21"/>
                      <w:szCs w:val="21"/>
                    </w:rPr>
                    <w:t>kg/h</w:t>
                  </w:r>
                </w:p>
              </w:tc>
              <w:tc>
                <w:tcPr>
                  <w:tcW w:w="210" w:type="pct"/>
                  <w:vMerge w:val="continue"/>
                  <w:tcBorders>
                    <w:left w:val="single" w:color="auto" w:sz="4" w:space="0"/>
                    <w:right w:val="single" w:color="auto" w:sz="4" w:space="0"/>
                  </w:tcBorders>
                  <w:vAlign w:val="center"/>
                </w:tcPr>
                <w:p w14:paraId="46DE874E">
                  <w:pPr>
                    <w:wordWrap w:val="0"/>
                    <w:topLinePunct/>
                    <w:adjustRightInd w:val="0"/>
                    <w:snapToGrid w:val="0"/>
                    <w:spacing w:line="240" w:lineRule="auto"/>
                    <w:ind w:left="-120" w:leftChars="-50" w:right="-120" w:rightChars="-50"/>
                    <w:jc w:val="center"/>
                    <w:rPr>
                      <w:snapToGrid w:val="0"/>
                      <w:spacing w:val="4"/>
                      <w:sz w:val="21"/>
                      <w:szCs w:val="21"/>
                    </w:rPr>
                  </w:pPr>
                </w:p>
              </w:tc>
            </w:tr>
            <w:tr w14:paraId="341C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2" w:type="pct"/>
                  <w:tcBorders>
                    <w:left w:val="single" w:color="auto" w:sz="4" w:space="0"/>
                    <w:right w:val="single" w:color="auto" w:sz="4" w:space="0"/>
                  </w:tcBorders>
                  <w:vAlign w:val="center"/>
                </w:tcPr>
                <w:p w14:paraId="5823CE5A">
                  <w:pPr>
                    <w:wordWrap w:val="0"/>
                    <w:topLinePunct/>
                    <w:adjustRightInd w:val="0"/>
                    <w:snapToGrid w:val="0"/>
                    <w:spacing w:line="240" w:lineRule="auto"/>
                    <w:ind w:left="-120" w:leftChars="-50" w:right="-120" w:rightChars="-50"/>
                    <w:jc w:val="center"/>
                    <w:rPr>
                      <w:sz w:val="21"/>
                      <w:szCs w:val="21"/>
                    </w:rPr>
                  </w:pPr>
                  <w:r>
                    <w:rPr>
                      <w:sz w:val="21"/>
                      <w:szCs w:val="21"/>
                    </w:rPr>
                    <w:t>/</w:t>
                  </w:r>
                </w:p>
              </w:tc>
              <w:tc>
                <w:tcPr>
                  <w:tcW w:w="433" w:type="pct"/>
                  <w:tcBorders>
                    <w:left w:val="single" w:color="auto" w:sz="4" w:space="0"/>
                    <w:right w:val="single" w:color="auto" w:sz="4" w:space="0"/>
                  </w:tcBorders>
                  <w:vAlign w:val="center"/>
                </w:tcPr>
                <w:p w14:paraId="634ACA4A">
                  <w:pPr>
                    <w:wordWrap w:val="0"/>
                    <w:topLinePunct/>
                    <w:adjustRightInd w:val="0"/>
                    <w:snapToGrid w:val="0"/>
                    <w:spacing w:line="240" w:lineRule="auto"/>
                    <w:ind w:left="-120" w:leftChars="-50" w:right="-120" w:rightChars="-50"/>
                    <w:jc w:val="center"/>
                    <w:rPr>
                      <w:sz w:val="21"/>
                      <w:szCs w:val="21"/>
                    </w:rPr>
                  </w:pPr>
                  <w:r>
                    <w:rPr>
                      <w:sz w:val="21"/>
                      <w:szCs w:val="21"/>
                    </w:rPr>
                    <w:t>烹饪</w:t>
                  </w:r>
                </w:p>
              </w:tc>
              <w:tc>
                <w:tcPr>
                  <w:tcW w:w="251" w:type="pct"/>
                  <w:tcBorders>
                    <w:left w:val="single" w:color="auto" w:sz="4" w:space="0"/>
                    <w:right w:val="single" w:color="auto" w:sz="4" w:space="0"/>
                  </w:tcBorders>
                  <w:vAlign w:val="center"/>
                </w:tcPr>
                <w:p w14:paraId="04887956">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油烟</w:t>
                  </w:r>
                </w:p>
              </w:tc>
              <w:tc>
                <w:tcPr>
                  <w:tcW w:w="278" w:type="pct"/>
                  <w:tcBorders>
                    <w:left w:val="single" w:color="auto" w:sz="4" w:space="0"/>
                    <w:right w:val="single" w:color="auto" w:sz="4" w:space="0"/>
                  </w:tcBorders>
                  <w:vAlign w:val="center"/>
                </w:tcPr>
                <w:p w14:paraId="7BFF7FAD">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有组织</w:t>
                  </w:r>
                </w:p>
              </w:tc>
              <w:tc>
                <w:tcPr>
                  <w:tcW w:w="281" w:type="pct"/>
                  <w:tcBorders>
                    <w:top w:val="single" w:color="auto" w:sz="4" w:space="0"/>
                    <w:left w:val="single" w:color="auto" w:sz="4" w:space="0"/>
                    <w:bottom w:val="single" w:color="auto" w:sz="4" w:space="0"/>
                    <w:right w:val="single" w:color="auto" w:sz="4" w:space="0"/>
                  </w:tcBorders>
                  <w:vAlign w:val="center"/>
                </w:tcPr>
                <w:p w14:paraId="7315FDC3">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类比法</w:t>
                  </w:r>
                </w:p>
              </w:tc>
              <w:tc>
                <w:tcPr>
                  <w:tcW w:w="525" w:type="pct"/>
                  <w:tcBorders>
                    <w:top w:val="single" w:color="auto" w:sz="4" w:space="0"/>
                    <w:left w:val="single" w:color="auto" w:sz="4" w:space="0"/>
                    <w:bottom w:val="single" w:color="auto" w:sz="4" w:space="0"/>
                    <w:right w:val="single" w:color="auto" w:sz="4" w:space="0"/>
                  </w:tcBorders>
                  <w:vAlign w:val="center"/>
                </w:tcPr>
                <w:p w14:paraId="70D3C5C0">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5.094</w:t>
                  </w:r>
                  <w:r>
                    <w:rPr>
                      <w:snapToGrid w:val="0"/>
                      <w:spacing w:val="4"/>
                      <w:sz w:val="21"/>
                      <w:szCs w:val="21"/>
                    </w:rPr>
                    <w:t>kg/a</w:t>
                  </w:r>
                </w:p>
              </w:tc>
              <w:tc>
                <w:tcPr>
                  <w:tcW w:w="388" w:type="pct"/>
                  <w:tcBorders>
                    <w:top w:val="single" w:color="auto" w:sz="4" w:space="0"/>
                    <w:left w:val="single" w:color="auto" w:sz="4" w:space="0"/>
                    <w:bottom w:val="single" w:color="auto" w:sz="4" w:space="0"/>
                    <w:right w:val="single" w:color="auto" w:sz="4" w:space="0"/>
                  </w:tcBorders>
                  <w:vAlign w:val="center"/>
                </w:tcPr>
                <w:p w14:paraId="63DBE5AB">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2.67</w:t>
                  </w:r>
                </w:p>
              </w:tc>
              <w:tc>
                <w:tcPr>
                  <w:tcW w:w="575" w:type="pct"/>
                  <w:tcBorders>
                    <w:top w:val="single" w:color="auto" w:sz="4" w:space="0"/>
                    <w:left w:val="single" w:color="auto" w:sz="4" w:space="0"/>
                    <w:bottom w:val="single" w:color="auto" w:sz="4" w:space="0"/>
                    <w:right w:val="single" w:color="auto" w:sz="4" w:space="0"/>
                  </w:tcBorders>
                  <w:vAlign w:val="center"/>
                </w:tcPr>
                <w:p w14:paraId="5611E52C">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0.0</w:t>
                  </w:r>
                  <w:r>
                    <w:rPr>
                      <w:rFonts w:hint="eastAsia"/>
                      <w:snapToGrid w:val="0"/>
                      <w:spacing w:val="4"/>
                      <w:sz w:val="21"/>
                      <w:szCs w:val="21"/>
                    </w:rPr>
                    <w:t>08</w:t>
                  </w:r>
                </w:p>
              </w:tc>
              <w:tc>
                <w:tcPr>
                  <w:tcW w:w="421" w:type="pct"/>
                  <w:tcBorders>
                    <w:top w:val="single" w:color="auto" w:sz="4" w:space="0"/>
                    <w:left w:val="single" w:color="auto" w:sz="4" w:space="0"/>
                    <w:bottom w:val="single" w:color="auto" w:sz="4" w:space="0"/>
                    <w:right w:val="single" w:color="auto" w:sz="4" w:space="0"/>
                  </w:tcBorders>
                  <w:vAlign w:val="center"/>
                </w:tcPr>
                <w:p w14:paraId="6DC10A23">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油烟净化器</w:t>
                  </w:r>
                </w:p>
              </w:tc>
              <w:tc>
                <w:tcPr>
                  <w:tcW w:w="315" w:type="pct"/>
                  <w:tcBorders>
                    <w:top w:val="single" w:color="auto" w:sz="4" w:space="0"/>
                    <w:left w:val="single" w:color="auto" w:sz="4" w:space="0"/>
                    <w:bottom w:val="single" w:color="auto" w:sz="4" w:space="0"/>
                    <w:right w:val="single" w:color="auto" w:sz="4" w:space="0"/>
                  </w:tcBorders>
                  <w:vAlign w:val="center"/>
                </w:tcPr>
                <w:p w14:paraId="667134C0">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85</w:t>
                  </w:r>
                </w:p>
              </w:tc>
              <w:tc>
                <w:tcPr>
                  <w:tcW w:w="368" w:type="pct"/>
                  <w:tcBorders>
                    <w:top w:val="single" w:color="auto" w:sz="4" w:space="0"/>
                    <w:left w:val="single" w:color="auto" w:sz="4" w:space="0"/>
                    <w:bottom w:val="single" w:color="auto" w:sz="4" w:space="0"/>
                    <w:right w:val="single" w:color="auto" w:sz="4" w:space="0"/>
                  </w:tcBorders>
                  <w:vAlign w:val="center"/>
                </w:tcPr>
                <w:p w14:paraId="03EA4856">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0.76</w:t>
                  </w:r>
                  <w:r>
                    <w:rPr>
                      <w:snapToGrid w:val="0"/>
                      <w:spacing w:val="4"/>
                      <w:sz w:val="21"/>
                      <w:szCs w:val="21"/>
                    </w:rPr>
                    <w:t>kg/a</w:t>
                  </w:r>
                </w:p>
              </w:tc>
              <w:tc>
                <w:tcPr>
                  <w:tcW w:w="360" w:type="pct"/>
                  <w:tcBorders>
                    <w:top w:val="single" w:color="auto" w:sz="4" w:space="0"/>
                    <w:left w:val="single" w:color="auto" w:sz="4" w:space="0"/>
                    <w:bottom w:val="single" w:color="auto" w:sz="4" w:space="0"/>
                    <w:right w:val="single" w:color="auto" w:sz="4" w:space="0"/>
                  </w:tcBorders>
                  <w:vAlign w:val="center"/>
                </w:tcPr>
                <w:p w14:paraId="4AC78251">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0.</w:t>
                  </w:r>
                  <w:r>
                    <w:rPr>
                      <w:rFonts w:hint="eastAsia"/>
                      <w:snapToGrid w:val="0"/>
                      <w:spacing w:val="4"/>
                      <w:sz w:val="21"/>
                      <w:szCs w:val="21"/>
                    </w:rPr>
                    <w:t>33</w:t>
                  </w:r>
                </w:p>
              </w:tc>
              <w:tc>
                <w:tcPr>
                  <w:tcW w:w="397" w:type="pct"/>
                  <w:tcBorders>
                    <w:top w:val="single" w:color="auto" w:sz="4" w:space="0"/>
                    <w:left w:val="single" w:color="auto" w:sz="4" w:space="0"/>
                    <w:bottom w:val="single" w:color="auto" w:sz="4" w:space="0"/>
                    <w:right w:val="single" w:color="auto" w:sz="4" w:space="0"/>
                  </w:tcBorders>
                  <w:vAlign w:val="center"/>
                </w:tcPr>
                <w:p w14:paraId="1B219C98">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0.00</w:t>
                  </w:r>
                  <w:r>
                    <w:rPr>
                      <w:rFonts w:hint="eastAsia"/>
                      <w:snapToGrid w:val="0"/>
                      <w:spacing w:val="4"/>
                      <w:sz w:val="21"/>
                      <w:szCs w:val="21"/>
                    </w:rPr>
                    <w:t>1</w:t>
                  </w:r>
                </w:p>
              </w:tc>
              <w:tc>
                <w:tcPr>
                  <w:tcW w:w="210" w:type="pct"/>
                  <w:tcBorders>
                    <w:left w:val="single" w:color="auto" w:sz="4" w:space="0"/>
                    <w:right w:val="single" w:color="auto" w:sz="4" w:space="0"/>
                  </w:tcBorders>
                  <w:vAlign w:val="center"/>
                </w:tcPr>
                <w:p w14:paraId="17625A3E">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6</w:t>
                  </w:r>
                  <w:r>
                    <w:rPr>
                      <w:rFonts w:hint="eastAsia"/>
                      <w:snapToGrid w:val="0"/>
                      <w:spacing w:val="4"/>
                      <w:sz w:val="21"/>
                      <w:szCs w:val="21"/>
                    </w:rPr>
                    <w:t>0</w:t>
                  </w:r>
                  <w:r>
                    <w:rPr>
                      <w:snapToGrid w:val="0"/>
                      <w:spacing w:val="4"/>
                      <w:sz w:val="21"/>
                      <w:szCs w:val="21"/>
                    </w:rPr>
                    <w:t>0</w:t>
                  </w:r>
                </w:p>
              </w:tc>
            </w:tr>
            <w:tr w14:paraId="3E01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2" w:type="pct"/>
                  <w:tcBorders>
                    <w:left w:val="single" w:color="auto" w:sz="4" w:space="0"/>
                    <w:right w:val="single" w:color="auto" w:sz="4" w:space="0"/>
                  </w:tcBorders>
                  <w:vAlign w:val="center"/>
                </w:tcPr>
                <w:p w14:paraId="56FEDBF2">
                  <w:pPr>
                    <w:wordWrap w:val="0"/>
                    <w:topLinePunct/>
                    <w:adjustRightInd w:val="0"/>
                    <w:snapToGrid w:val="0"/>
                    <w:spacing w:line="240" w:lineRule="auto"/>
                    <w:ind w:left="-120" w:leftChars="-50" w:right="-120" w:rightChars="-50"/>
                    <w:jc w:val="center"/>
                    <w:rPr>
                      <w:sz w:val="21"/>
                      <w:szCs w:val="21"/>
                    </w:rPr>
                  </w:pPr>
                  <w:r>
                    <w:rPr>
                      <w:sz w:val="21"/>
                      <w:szCs w:val="21"/>
                    </w:rPr>
                    <w:t>/</w:t>
                  </w:r>
                </w:p>
              </w:tc>
              <w:tc>
                <w:tcPr>
                  <w:tcW w:w="433" w:type="pct"/>
                  <w:tcBorders>
                    <w:left w:val="single" w:color="auto" w:sz="4" w:space="0"/>
                    <w:right w:val="single" w:color="auto" w:sz="4" w:space="0"/>
                  </w:tcBorders>
                  <w:vAlign w:val="center"/>
                </w:tcPr>
                <w:p w14:paraId="66BBB6DC">
                  <w:pPr>
                    <w:wordWrap w:val="0"/>
                    <w:topLinePunct/>
                    <w:adjustRightInd w:val="0"/>
                    <w:snapToGrid w:val="0"/>
                    <w:spacing w:line="240" w:lineRule="auto"/>
                    <w:ind w:left="-120" w:leftChars="-50" w:right="-120" w:rightChars="-50"/>
                    <w:jc w:val="center"/>
                    <w:rPr>
                      <w:sz w:val="21"/>
                      <w:szCs w:val="21"/>
                    </w:rPr>
                  </w:pPr>
                  <w:r>
                    <w:rPr>
                      <w:rFonts w:hint="eastAsia"/>
                      <w:sz w:val="21"/>
                      <w:szCs w:val="21"/>
                    </w:rPr>
                    <w:t>原料堆场扬尘</w:t>
                  </w:r>
                </w:p>
              </w:tc>
              <w:tc>
                <w:tcPr>
                  <w:tcW w:w="251" w:type="pct"/>
                  <w:tcBorders>
                    <w:left w:val="single" w:color="auto" w:sz="4" w:space="0"/>
                    <w:right w:val="single" w:color="auto" w:sz="4" w:space="0"/>
                  </w:tcBorders>
                  <w:vAlign w:val="center"/>
                </w:tcPr>
                <w:p w14:paraId="31EDCA9C">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颗粒物</w:t>
                  </w:r>
                </w:p>
              </w:tc>
              <w:tc>
                <w:tcPr>
                  <w:tcW w:w="278" w:type="pct"/>
                  <w:tcBorders>
                    <w:left w:val="single" w:color="auto" w:sz="4" w:space="0"/>
                    <w:right w:val="single" w:color="auto" w:sz="4" w:space="0"/>
                  </w:tcBorders>
                  <w:vAlign w:val="center"/>
                </w:tcPr>
                <w:p w14:paraId="37D60951">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无组织</w:t>
                  </w:r>
                </w:p>
              </w:tc>
              <w:tc>
                <w:tcPr>
                  <w:tcW w:w="281" w:type="pct"/>
                  <w:tcBorders>
                    <w:top w:val="single" w:color="auto" w:sz="4" w:space="0"/>
                    <w:left w:val="single" w:color="auto" w:sz="4" w:space="0"/>
                    <w:bottom w:val="single" w:color="auto" w:sz="4" w:space="0"/>
                    <w:right w:val="single" w:color="auto" w:sz="4" w:space="0"/>
                  </w:tcBorders>
                  <w:vAlign w:val="center"/>
                </w:tcPr>
                <w:p w14:paraId="1C28F476">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物料衡算法</w:t>
                  </w:r>
                </w:p>
              </w:tc>
              <w:tc>
                <w:tcPr>
                  <w:tcW w:w="525" w:type="pct"/>
                  <w:tcBorders>
                    <w:top w:val="single" w:color="auto" w:sz="4" w:space="0"/>
                    <w:left w:val="single" w:color="auto" w:sz="4" w:space="0"/>
                    <w:bottom w:val="single" w:color="auto" w:sz="4" w:space="0"/>
                    <w:right w:val="single" w:color="auto" w:sz="4" w:space="0"/>
                  </w:tcBorders>
                  <w:vAlign w:val="center"/>
                </w:tcPr>
                <w:p w14:paraId="03B0180B">
                  <w:pPr>
                    <w:wordWrap w:val="0"/>
                    <w:topLinePunct/>
                    <w:adjustRightInd w:val="0"/>
                    <w:snapToGrid w:val="0"/>
                    <w:spacing w:line="240" w:lineRule="auto"/>
                    <w:ind w:left="-120" w:leftChars="-50" w:right="-120" w:rightChars="-50"/>
                    <w:jc w:val="center"/>
                    <w:rPr>
                      <w:snapToGrid w:val="0"/>
                      <w:color w:val="0000C7"/>
                      <w:spacing w:val="4"/>
                      <w:sz w:val="21"/>
                      <w:szCs w:val="21"/>
                    </w:rPr>
                  </w:pPr>
                  <w:r>
                    <w:rPr>
                      <w:rFonts w:hint="eastAsia"/>
                      <w:snapToGrid w:val="0"/>
                      <w:spacing w:val="4"/>
                      <w:sz w:val="21"/>
                      <w:szCs w:val="21"/>
                    </w:rPr>
                    <w:t>0.996</w:t>
                  </w:r>
                </w:p>
              </w:tc>
              <w:tc>
                <w:tcPr>
                  <w:tcW w:w="388" w:type="pct"/>
                  <w:tcBorders>
                    <w:top w:val="single" w:color="auto" w:sz="4" w:space="0"/>
                    <w:left w:val="single" w:color="auto" w:sz="4" w:space="0"/>
                    <w:bottom w:val="single" w:color="auto" w:sz="4" w:space="0"/>
                    <w:right w:val="single" w:color="auto" w:sz="4" w:space="0"/>
                  </w:tcBorders>
                  <w:vAlign w:val="center"/>
                </w:tcPr>
                <w:p w14:paraId="00BC0307">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w:t>
                  </w:r>
                </w:p>
              </w:tc>
              <w:tc>
                <w:tcPr>
                  <w:tcW w:w="575" w:type="pct"/>
                  <w:tcBorders>
                    <w:top w:val="single" w:color="auto" w:sz="4" w:space="0"/>
                    <w:left w:val="single" w:color="auto" w:sz="4" w:space="0"/>
                    <w:bottom w:val="single" w:color="auto" w:sz="4" w:space="0"/>
                    <w:right w:val="single" w:color="auto" w:sz="4" w:space="0"/>
                  </w:tcBorders>
                  <w:vAlign w:val="center"/>
                </w:tcPr>
                <w:p w14:paraId="1C76D255">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0.415</w:t>
                  </w:r>
                </w:p>
              </w:tc>
              <w:tc>
                <w:tcPr>
                  <w:tcW w:w="421" w:type="pct"/>
                  <w:tcBorders>
                    <w:top w:val="single" w:color="auto" w:sz="4" w:space="0"/>
                    <w:left w:val="single" w:color="auto" w:sz="4" w:space="0"/>
                    <w:bottom w:val="single" w:color="auto" w:sz="4" w:space="0"/>
                    <w:right w:val="single" w:color="auto" w:sz="4" w:space="0"/>
                  </w:tcBorders>
                  <w:vAlign w:val="center"/>
                </w:tcPr>
                <w:p w14:paraId="7C929BA8">
                  <w:pPr>
                    <w:wordWrap w:val="0"/>
                    <w:topLinePunct/>
                    <w:adjustRightInd w:val="0"/>
                    <w:snapToGrid w:val="0"/>
                    <w:spacing w:line="240" w:lineRule="auto"/>
                    <w:ind w:left="-120" w:leftChars="-50" w:right="-120" w:rightChars="-50"/>
                    <w:jc w:val="center"/>
                    <w:rPr>
                      <w:rFonts w:hint="eastAsia" w:eastAsia="宋体"/>
                      <w:snapToGrid w:val="0"/>
                      <w:spacing w:val="4"/>
                      <w:sz w:val="21"/>
                      <w:szCs w:val="21"/>
                      <w:lang w:eastAsia="zh-CN"/>
                    </w:rPr>
                  </w:pPr>
                  <w:r>
                    <w:rPr>
                      <w:rFonts w:hint="eastAsia"/>
                      <w:snapToGrid w:val="0"/>
                      <w:spacing w:val="4"/>
                      <w:sz w:val="21"/>
                      <w:szCs w:val="21"/>
                    </w:rPr>
                    <w:t>洒水喷淋</w:t>
                  </w:r>
                  <w:r>
                    <w:rPr>
                      <w:rFonts w:hint="eastAsia"/>
                      <w:snapToGrid w:val="0"/>
                      <w:spacing w:val="4"/>
                      <w:sz w:val="21"/>
                      <w:szCs w:val="21"/>
                      <w:lang w:eastAsia="zh-CN"/>
                    </w:rPr>
                    <w:t>抑尘</w:t>
                  </w:r>
                </w:p>
              </w:tc>
              <w:tc>
                <w:tcPr>
                  <w:tcW w:w="315" w:type="pct"/>
                  <w:tcBorders>
                    <w:top w:val="single" w:color="auto" w:sz="4" w:space="0"/>
                    <w:left w:val="single" w:color="auto" w:sz="4" w:space="0"/>
                    <w:bottom w:val="single" w:color="auto" w:sz="4" w:space="0"/>
                    <w:right w:val="single" w:color="auto" w:sz="4" w:space="0"/>
                  </w:tcBorders>
                  <w:vAlign w:val="center"/>
                </w:tcPr>
                <w:p w14:paraId="7E3CD764">
                  <w:pPr>
                    <w:wordWrap w:val="0"/>
                    <w:topLinePunct/>
                    <w:adjustRightInd w:val="0"/>
                    <w:snapToGrid w:val="0"/>
                    <w:spacing w:line="240" w:lineRule="auto"/>
                    <w:ind w:left="-120" w:leftChars="-50" w:right="-120" w:rightChars="-50"/>
                    <w:jc w:val="center"/>
                    <w:rPr>
                      <w:rFonts w:hint="eastAsia" w:eastAsia="宋体"/>
                      <w:snapToGrid w:val="0"/>
                      <w:color w:val="0000C7"/>
                      <w:spacing w:val="4"/>
                      <w:sz w:val="21"/>
                      <w:szCs w:val="21"/>
                      <w:lang w:eastAsia="zh-CN"/>
                    </w:rPr>
                  </w:pPr>
                  <w:r>
                    <w:rPr>
                      <w:rFonts w:hint="eastAsia"/>
                      <w:snapToGrid w:val="0"/>
                      <w:spacing w:val="4"/>
                      <w:sz w:val="21"/>
                      <w:szCs w:val="21"/>
                    </w:rPr>
                    <w:t>7</w:t>
                  </w:r>
                  <w:r>
                    <w:rPr>
                      <w:rFonts w:hint="eastAsia"/>
                      <w:snapToGrid w:val="0"/>
                      <w:spacing w:val="4"/>
                      <w:sz w:val="21"/>
                      <w:szCs w:val="21"/>
                      <w:lang w:val="en-US" w:eastAsia="zh-CN"/>
                    </w:rPr>
                    <w:t>4</w:t>
                  </w:r>
                </w:p>
              </w:tc>
              <w:tc>
                <w:tcPr>
                  <w:tcW w:w="368" w:type="pct"/>
                  <w:tcBorders>
                    <w:top w:val="single" w:color="auto" w:sz="4" w:space="0"/>
                    <w:left w:val="single" w:color="auto" w:sz="4" w:space="0"/>
                    <w:bottom w:val="single" w:color="auto" w:sz="4" w:space="0"/>
                    <w:right w:val="single" w:color="auto" w:sz="4" w:space="0"/>
                  </w:tcBorders>
                  <w:vAlign w:val="center"/>
                </w:tcPr>
                <w:p w14:paraId="0918A005">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0.259</w:t>
                  </w:r>
                </w:p>
              </w:tc>
              <w:tc>
                <w:tcPr>
                  <w:tcW w:w="360" w:type="pct"/>
                  <w:tcBorders>
                    <w:top w:val="single" w:color="auto" w:sz="4" w:space="0"/>
                    <w:left w:val="single" w:color="auto" w:sz="4" w:space="0"/>
                    <w:bottom w:val="single" w:color="auto" w:sz="4" w:space="0"/>
                    <w:right w:val="single" w:color="auto" w:sz="4" w:space="0"/>
                  </w:tcBorders>
                  <w:vAlign w:val="center"/>
                </w:tcPr>
                <w:p w14:paraId="6968A18A">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w:t>
                  </w:r>
                </w:p>
              </w:tc>
              <w:tc>
                <w:tcPr>
                  <w:tcW w:w="397" w:type="pct"/>
                  <w:tcBorders>
                    <w:top w:val="single" w:color="auto" w:sz="4" w:space="0"/>
                    <w:left w:val="single" w:color="auto" w:sz="4" w:space="0"/>
                    <w:bottom w:val="single" w:color="auto" w:sz="4" w:space="0"/>
                    <w:right w:val="single" w:color="auto" w:sz="4" w:space="0"/>
                  </w:tcBorders>
                  <w:vAlign w:val="center"/>
                </w:tcPr>
                <w:p w14:paraId="5436ACD5">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0.108</w:t>
                  </w:r>
                </w:p>
              </w:tc>
              <w:tc>
                <w:tcPr>
                  <w:tcW w:w="210" w:type="pct"/>
                  <w:vMerge w:val="restart"/>
                  <w:tcBorders>
                    <w:left w:val="single" w:color="auto" w:sz="4" w:space="0"/>
                    <w:right w:val="single" w:color="auto" w:sz="4" w:space="0"/>
                  </w:tcBorders>
                  <w:vAlign w:val="center"/>
                </w:tcPr>
                <w:p w14:paraId="38FA468A">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2400</w:t>
                  </w:r>
                </w:p>
              </w:tc>
            </w:tr>
            <w:tr w14:paraId="0356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2" w:type="pct"/>
                  <w:tcBorders>
                    <w:left w:val="single" w:color="auto" w:sz="4" w:space="0"/>
                    <w:right w:val="single" w:color="auto" w:sz="4" w:space="0"/>
                  </w:tcBorders>
                  <w:vAlign w:val="center"/>
                </w:tcPr>
                <w:p w14:paraId="6D53C8E4">
                  <w:pPr>
                    <w:wordWrap w:val="0"/>
                    <w:topLinePunct/>
                    <w:adjustRightInd w:val="0"/>
                    <w:snapToGrid w:val="0"/>
                    <w:spacing w:line="240" w:lineRule="auto"/>
                    <w:ind w:left="-120" w:leftChars="-50" w:right="-120" w:rightChars="-50"/>
                    <w:jc w:val="center"/>
                    <w:rPr>
                      <w:sz w:val="21"/>
                      <w:szCs w:val="21"/>
                    </w:rPr>
                  </w:pPr>
                  <w:r>
                    <w:rPr>
                      <w:sz w:val="21"/>
                      <w:szCs w:val="21"/>
                    </w:rPr>
                    <w:t>/</w:t>
                  </w:r>
                </w:p>
              </w:tc>
              <w:tc>
                <w:tcPr>
                  <w:tcW w:w="433" w:type="pct"/>
                  <w:tcBorders>
                    <w:left w:val="single" w:color="auto" w:sz="4" w:space="0"/>
                    <w:right w:val="single" w:color="auto" w:sz="4" w:space="0"/>
                  </w:tcBorders>
                  <w:vAlign w:val="center"/>
                </w:tcPr>
                <w:p w14:paraId="0A9EC10B">
                  <w:pPr>
                    <w:wordWrap w:val="0"/>
                    <w:topLinePunct/>
                    <w:adjustRightInd w:val="0"/>
                    <w:snapToGrid w:val="0"/>
                    <w:spacing w:line="240" w:lineRule="auto"/>
                    <w:ind w:left="-120" w:leftChars="-50" w:right="-120" w:rightChars="-50"/>
                    <w:jc w:val="center"/>
                    <w:rPr>
                      <w:sz w:val="21"/>
                      <w:szCs w:val="21"/>
                    </w:rPr>
                  </w:pPr>
                  <w:r>
                    <w:rPr>
                      <w:rFonts w:hint="eastAsia"/>
                      <w:sz w:val="21"/>
                      <w:szCs w:val="21"/>
                    </w:rPr>
                    <w:t>路沿石加工粉尘</w:t>
                  </w:r>
                </w:p>
              </w:tc>
              <w:tc>
                <w:tcPr>
                  <w:tcW w:w="251" w:type="pct"/>
                  <w:tcBorders>
                    <w:left w:val="single" w:color="auto" w:sz="4" w:space="0"/>
                    <w:right w:val="single" w:color="auto" w:sz="4" w:space="0"/>
                  </w:tcBorders>
                  <w:vAlign w:val="center"/>
                </w:tcPr>
                <w:p w14:paraId="774E67C9">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颗粒物</w:t>
                  </w:r>
                </w:p>
              </w:tc>
              <w:tc>
                <w:tcPr>
                  <w:tcW w:w="278" w:type="pct"/>
                  <w:tcBorders>
                    <w:left w:val="single" w:color="auto" w:sz="4" w:space="0"/>
                    <w:right w:val="single" w:color="auto" w:sz="4" w:space="0"/>
                  </w:tcBorders>
                  <w:vAlign w:val="center"/>
                </w:tcPr>
                <w:p w14:paraId="7EEBACBF">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无组织</w:t>
                  </w:r>
                </w:p>
              </w:tc>
              <w:tc>
                <w:tcPr>
                  <w:tcW w:w="281" w:type="pct"/>
                  <w:tcBorders>
                    <w:top w:val="single" w:color="auto" w:sz="4" w:space="0"/>
                    <w:left w:val="single" w:color="auto" w:sz="4" w:space="0"/>
                    <w:bottom w:val="single" w:color="auto" w:sz="4" w:space="0"/>
                    <w:right w:val="single" w:color="auto" w:sz="4" w:space="0"/>
                  </w:tcBorders>
                  <w:vAlign w:val="center"/>
                </w:tcPr>
                <w:p w14:paraId="181332DF">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物料衡算法</w:t>
                  </w:r>
                </w:p>
              </w:tc>
              <w:tc>
                <w:tcPr>
                  <w:tcW w:w="525" w:type="pct"/>
                  <w:tcBorders>
                    <w:top w:val="single" w:color="auto" w:sz="4" w:space="0"/>
                    <w:left w:val="single" w:color="auto" w:sz="4" w:space="0"/>
                    <w:bottom w:val="single" w:color="auto" w:sz="4" w:space="0"/>
                    <w:right w:val="single" w:color="auto" w:sz="4" w:space="0"/>
                  </w:tcBorders>
                  <w:vAlign w:val="center"/>
                </w:tcPr>
                <w:p w14:paraId="41239FFD">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0.02</w:t>
                  </w:r>
                </w:p>
              </w:tc>
              <w:tc>
                <w:tcPr>
                  <w:tcW w:w="388" w:type="pct"/>
                  <w:tcBorders>
                    <w:top w:val="single" w:color="auto" w:sz="4" w:space="0"/>
                    <w:left w:val="single" w:color="auto" w:sz="4" w:space="0"/>
                    <w:bottom w:val="single" w:color="auto" w:sz="4" w:space="0"/>
                    <w:right w:val="single" w:color="auto" w:sz="4" w:space="0"/>
                  </w:tcBorders>
                  <w:vAlign w:val="center"/>
                </w:tcPr>
                <w:p w14:paraId="427AD13D">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w:t>
                  </w:r>
                </w:p>
              </w:tc>
              <w:tc>
                <w:tcPr>
                  <w:tcW w:w="575" w:type="pct"/>
                  <w:tcBorders>
                    <w:top w:val="single" w:color="auto" w:sz="4" w:space="0"/>
                    <w:left w:val="single" w:color="auto" w:sz="4" w:space="0"/>
                    <w:bottom w:val="single" w:color="auto" w:sz="4" w:space="0"/>
                    <w:right w:val="single" w:color="auto" w:sz="4" w:space="0"/>
                  </w:tcBorders>
                  <w:vAlign w:val="center"/>
                </w:tcPr>
                <w:p w14:paraId="3353A77E">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0.008</w:t>
                  </w:r>
                </w:p>
              </w:tc>
              <w:tc>
                <w:tcPr>
                  <w:tcW w:w="421" w:type="pct"/>
                  <w:tcBorders>
                    <w:top w:val="single" w:color="auto" w:sz="4" w:space="0"/>
                    <w:left w:val="single" w:color="auto" w:sz="4" w:space="0"/>
                    <w:bottom w:val="single" w:color="auto" w:sz="4" w:space="0"/>
                    <w:right w:val="single" w:color="auto" w:sz="4" w:space="0"/>
                  </w:tcBorders>
                  <w:vAlign w:val="center"/>
                </w:tcPr>
                <w:p w14:paraId="47EFAC80">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湿法作业</w:t>
                  </w:r>
                </w:p>
              </w:tc>
              <w:tc>
                <w:tcPr>
                  <w:tcW w:w="315" w:type="pct"/>
                  <w:tcBorders>
                    <w:top w:val="single" w:color="auto" w:sz="4" w:space="0"/>
                    <w:left w:val="single" w:color="auto" w:sz="4" w:space="0"/>
                    <w:bottom w:val="single" w:color="auto" w:sz="4" w:space="0"/>
                    <w:right w:val="single" w:color="auto" w:sz="4" w:space="0"/>
                  </w:tcBorders>
                  <w:vAlign w:val="center"/>
                </w:tcPr>
                <w:p w14:paraId="078AB7A1">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90</w:t>
                  </w:r>
                </w:p>
              </w:tc>
              <w:tc>
                <w:tcPr>
                  <w:tcW w:w="368" w:type="pct"/>
                  <w:tcBorders>
                    <w:top w:val="single" w:color="auto" w:sz="4" w:space="0"/>
                    <w:left w:val="single" w:color="auto" w:sz="4" w:space="0"/>
                    <w:bottom w:val="single" w:color="auto" w:sz="4" w:space="0"/>
                    <w:right w:val="single" w:color="auto" w:sz="4" w:space="0"/>
                  </w:tcBorders>
                  <w:vAlign w:val="center"/>
                </w:tcPr>
                <w:p w14:paraId="0B34F7A2">
                  <w:pPr>
                    <w:wordWrap w:val="0"/>
                    <w:topLinePunct/>
                    <w:adjustRightInd w:val="0"/>
                    <w:snapToGrid w:val="0"/>
                    <w:spacing w:line="240" w:lineRule="auto"/>
                    <w:ind w:left="-120" w:leftChars="-50" w:right="-120" w:rightChars="-50"/>
                    <w:jc w:val="center"/>
                    <w:rPr>
                      <w:rFonts w:hint="eastAsia" w:eastAsia="宋体"/>
                      <w:snapToGrid w:val="0"/>
                      <w:spacing w:val="4"/>
                      <w:sz w:val="21"/>
                      <w:szCs w:val="21"/>
                      <w:lang w:eastAsia="zh-CN"/>
                    </w:rPr>
                  </w:pPr>
                  <w:r>
                    <w:rPr>
                      <w:rFonts w:hint="eastAsia"/>
                      <w:snapToGrid w:val="0"/>
                      <w:spacing w:val="4"/>
                      <w:sz w:val="21"/>
                      <w:szCs w:val="21"/>
                    </w:rPr>
                    <w:t>0.00</w:t>
                  </w:r>
                  <w:r>
                    <w:rPr>
                      <w:rFonts w:hint="eastAsia"/>
                      <w:snapToGrid w:val="0"/>
                      <w:spacing w:val="4"/>
                      <w:sz w:val="21"/>
                      <w:szCs w:val="21"/>
                      <w:lang w:val="en-US" w:eastAsia="zh-CN"/>
                    </w:rPr>
                    <w:t>2</w:t>
                  </w:r>
                </w:p>
              </w:tc>
              <w:tc>
                <w:tcPr>
                  <w:tcW w:w="360" w:type="pct"/>
                  <w:tcBorders>
                    <w:top w:val="single" w:color="auto" w:sz="4" w:space="0"/>
                    <w:left w:val="single" w:color="auto" w:sz="4" w:space="0"/>
                    <w:bottom w:val="single" w:color="auto" w:sz="4" w:space="0"/>
                    <w:right w:val="single" w:color="auto" w:sz="4" w:space="0"/>
                  </w:tcBorders>
                  <w:vAlign w:val="center"/>
                </w:tcPr>
                <w:p w14:paraId="2297E67A">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w:t>
                  </w:r>
                </w:p>
              </w:tc>
              <w:tc>
                <w:tcPr>
                  <w:tcW w:w="397" w:type="pct"/>
                  <w:tcBorders>
                    <w:top w:val="single" w:color="auto" w:sz="4" w:space="0"/>
                    <w:left w:val="single" w:color="auto" w:sz="4" w:space="0"/>
                    <w:bottom w:val="single" w:color="auto" w:sz="4" w:space="0"/>
                    <w:right w:val="single" w:color="auto" w:sz="4" w:space="0"/>
                  </w:tcBorders>
                  <w:vAlign w:val="center"/>
                </w:tcPr>
                <w:p w14:paraId="568E490D">
                  <w:pPr>
                    <w:wordWrap w:val="0"/>
                    <w:topLinePunct/>
                    <w:adjustRightInd w:val="0"/>
                    <w:snapToGrid w:val="0"/>
                    <w:spacing w:line="240" w:lineRule="auto"/>
                    <w:ind w:left="-120" w:leftChars="-50" w:right="-120" w:rightChars="-50"/>
                    <w:jc w:val="center"/>
                    <w:rPr>
                      <w:rFonts w:hint="eastAsia" w:eastAsia="宋体"/>
                      <w:snapToGrid w:val="0"/>
                      <w:spacing w:val="4"/>
                      <w:sz w:val="21"/>
                      <w:szCs w:val="21"/>
                      <w:lang w:eastAsia="zh-CN"/>
                    </w:rPr>
                  </w:pPr>
                  <w:r>
                    <w:rPr>
                      <w:rFonts w:hint="eastAsia"/>
                      <w:snapToGrid w:val="0"/>
                      <w:spacing w:val="4"/>
                      <w:sz w:val="21"/>
                      <w:szCs w:val="21"/>
                    </w:rPr>
                    <w:t>0.000</w:t>
                  </w:r>
                  <w:r>
                    <w:rPr>
                      <w:rFonts w:hint="eastAsia"/>
                      <w:snapToGrid w:val="0"/>
                      <w:spacing w:val="4"/>
                      <w:sz w:val="21"/>
                      <w:szCs w:val="21"/>
                      <w:lang w:val="en-US" w:eastAsia="zh-CN"/>
                    </w:rPr>
                    <w:t>8</w:t>
                  </w:r>
                </w:p>
              </w:tc>
              <w:tc>
                <w:tcPr>
                  <w:tcW w:w="210" w:type="pct"/>
                  <w:vMerge w:val="continue"/>
                  <w:tcBorders>
                    <w:left w:val="single" w:color="auto" w:sz="4" w:space="0"/>
                    <w:right w:val="single" w:color="auto" w:sz="4" w:space="0"/>
                  </w:tcBorders>
                  <w:vAlign w:val="center"/>
                </w:tcPr>
                <w:p w14:paraId="542ACC4F">
                  <w:pPr>
                    <w:wordWrap w:val="0"/>
                    <w:topLinePunct/>
                    <w:adjustRightInd w:val="0"/>
                    <w:snapToGrid w:val="0"/>
                    <w:spacing w:line="240" w:lineRule="auto"/>
                    <w:ind w:left="-120" w:leftChars="-50" w:right="-120" w:rightChars="-50"/>
                    <w:jc w:val="center"/>
                    <w:rPr>
                      <w:snapToGrid w:val="0"/>
                      <w:spacing w:val="4"/>
                      <w:sz w:val="21"/>
                      <w:szCs w:val="21"/>
                    </w:rPr>
                  </w:pPr>
                </w:p>
              </w:tc>
            </w:tr>
            <w:tr w14:paraId="4CBA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2" w:type="pct"/>
                  <w:tcBorders>
                    <w:left w:val="single" w:color="auto" w:sz="4" w:space="0"/>
                    <w:right w:val="single" w:color="auto" w:sz="4" w:space="0"/>
                  </w:tcBorders>
                  <w:vAlign w:val="center"/>
                </w:tcPr>
                <w:p w14:paraId="0BEC417D">
                  <w:pPr>
                    <w:wordWrap w:val="0"/>
                    <w:topLinePunct/>
                    <w:adjustRightInd w:val="0"/>
                    <w:snapToGrid w:val="0"/>
                    <w:spacing w:line="240" w:lineRule="auto"/>
                    <w:ind w:left="-120" w:leftChars="-50" w:right="-120" w:rightChars="-50"/>
                    <w:jc w:val="center"/>
                    <w:rPr>
                      <w:sz w:val="21"/>
                      <w:szCs w:val="21"/>
                    </w:rPr>
                  </w:pPr>
                  <w:r>
                    <w:rPr>
                      <w:rFonts w:hint="eastAsia"/>
                      <w:sz w:val="21"/>
                      <w:szCs w:val="21"/>
                    </w:rPr>
                    <w:t>/</w:t>
                  </w:r>
                </w:p>
              </w:tc>
              <w:tc>
                <w:tcPr>
                  <w:tcW w:w="433" w:type="pct"/>
                  <w:tcBorders>
                    <w:left w:val="single" w:color="auto" w:sz="4" w:space="0"/>
                    <w:right w:val="single" w:color="auto" w:sz="4" w:space="0"/>
                  </w:tcBorders>
                  <w:vAlign w:val="center"/>
                </w:tcPr>
                <w:p w14:paraId="0501D6E7">
                  <w:pPr>
                    <w:wordWrap w:val="0"/>
                    <w:topLinePunct/>
                    <w:adjustRightInd w:val="0"/>
                    <w:snapToGrid w:val="0"/>
                    <w:spacing w:line="240" w:lineRule="auto"/>
                    <w:ind w:left="-120" w:leftChars="-50" w:right="-120" w:rightChars="-50"/>
                    <w:jc w:val="center"/>
                    <w:rPr>
                      <w:snapToGrid w:val="0"/>
                      <w:spacing w:val="4"/>
                      <w:sz w:val="21"/>
                      <w:szCs w:val="21"/>
                    </w:rPr>
                  </w:pPr>
                  <w:r>
                    <w:rPr>
                      <w:rFonts w:hint="default"/>
                      <w:b w:val="0"/>
                      <w:bCs w:val="0"/>
                      <w:snapToGrid w:val="0"/>
                      <w:spacing w:val="4"/>
                      <w:kern w:val="2"/>
                      <w:sz w:val="21"/>
                      <w:szCs w:val="21"/>
                      <w:u w:val="none"/>
                      <w:lang w:eastAsia="zh-CN" w:bidi="ar"/>
                    </w:rPr>
                    <w:t>墓碑</w:t>
                  </w:r>
                  <w:r>
                    <w:rPr>
                      <w:rFonts w:hint="default" w:ascii="Times New Roman" w:hAnsi="Times New Roman" w:eastAsia="宋体" w:cs="Times New Roman"/>
                      <w:b w:val="0"/>
                      <w:bCs w:val="0"/>
                      <w:snapToGrid w:val="0"/>
                      <w:spacing w:val="4"/>
                      <w:kern w:val="2"/>
                      <w:sz w:val="21"/>
                      <w:szCs w:val="21"/>
                      <w:u w:val="none"/>
                      <w:lang w:val="en-US" w:eastAsia="zh-CN" w:bidi="ar"/>
                    </w:rPr>
                    <w:t>及附属产品和其他板材</w:t>
                  </w:r>
                  <w:r>
                    <w:rPr>
                      <w:rFonts w:hint="default"/>
                      <w:snapToGrid w:val="0"/>
                      <w:spacing w:val="4"/>
                      <w:sz w:val="21"/>
                      <w:szCs w:val="21"/>
                    </w:rPr>
                    <w:t>加工粉尘</w:t>
                  </w:r>
                </w:p>
              </w:tc>
              <w:tc>
                <w:tcPr>
                  <w:tcW w:w="251" w:type="pct"/>
                  <w:tcBorders>
                    <w:left w:val="single" w:color="auto" w:sz="4" w:space="0"/>
                    <w:right w:val="single" w:color="auto" w:sz="4" w:space="0"/>
                  </w:tcBorders>
                  <w:vAlign w:val="center"/>
                </w:tcPr>
                <w:p w14:paraId="4472F2E0">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颗粒物</w:t>
                  </w:r>
                </w:p>
              </w:tc>
              <w:tc>
                <w:tcPr>
                  <w:tcW w:w="278" w:type="pct"/>
                  <w:tcBorders>
                    <w:left w:val="single" w:color="auto" w:sz="4" w:space="0"/>
                    <w:right w:val="single" w:color="auto" w:sz="4" w:space="0"/>
                  </w:tcBorders>
                  <w:vAlign w:val="center"/>
                </w:tcPr>
                <w:p w14:paraId="09825F81">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无组织</w:t>
                  </w:r>
                </w:p>
              </w:tc>
              <w:tc>
                <w:tcPr>
                  <w:tcW w:w="281" w:type="pct"/>
                  <w:tcBorders>
                    <w:top w:val="single" w:color="auto" w:sz="4" w:space="0"/>
                    <w:left w:val="single" w:color="auto" w:sz="4" w:space="0"/>
                    <w:bottom w:val="single" w:color="auto" w:sz="4" w:space="0"/>
                    <w:right w:val="single" w:color="auto" w:sz="4" w:space="0"/>
                  </w:tcBorders>
                  <w:vAlign w:val="center"/>
                </w:tcPr>
                <w:p w14:paraId="55205512">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物料衡算法</w:t>
                  </w:r>
                </w:p>
              </w:tc>
              <w:tc>
                <w:tcPr>
                  <w:tcW w:w="525" w:type="pct"/>
                  <w:tcBorders>
                    <w:top w:val="single" w:color="auto" w:sz="4" w:space="0"/>
                    <w:left w:val="single" w:color="auto" w:sz="4" w:space="0"/>
                    <w:bottom w:val="single" w:color="auto" w:sz="4" w:space="0"/>
                    <w:right w:val="single" w:color="auto" w:sz="4" w:space="0"/>
                  </w:tcBorders>
                  <w:vAlign w:val="center"/>
                </w:tcPr>
                <w:p w14:paraId="0C5F27C1">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0.792</w:t>
                  </w:r>
                </w:p>
              </w:tc>
              <w:tc>
                <w:tcPr>
                  <w:tcW w:w="388" w:type="pct"/>
                  <w:tcBorders>
                    <w:top w:val="single" w:color="auto" w:sz="4" w:space="0"/>
                    <w:left w:val="single" w:color="auto" w:sz="4" w:space="0"/>
                    <w:bottom w:val="single" w:color="auto" w:sz="4" w:space="0"/>
                    <w:right w:val="single" w:color="auto" w:sz="4" w:space="0"/>
                  </w:tcBorders>
                  <w:vAlign w:val="center"/>
                </w:tcPr>
                <w:p w14:paraId="65F75004">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w:t>
                  </w:r>
                </w:p>
              </w:tc>
              <w:tc>
                <w:tcPr>
                  <w:tcW w:w="575" w:type="pct"/>
                  <w:tcBorders>
                    <w:top w:val="single" w:color="auto" w:sz="4" w:space="0"/>
                    <w:left w:val="single" w:color="auto" w:sz="4" w:space="0"/>
                    <w:bottom w:val="single" w:color="auto" w:sz="4" w:space="0"/>
                    <w:right w:val="single" w:color="auto" w:sz="4" w:space="0"/>
                  </w:tcBorders>
                  <w:vAlign w:val="center"/>
                </w:tcPr>
                <w:p w14:paraId="651F7C4C">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0.33</w:t>
                  </w:r>
                </w:p>
              </w:tc>
              <w:tc>
                <w:tcPr>
                  <w:tcW w:w="421" w:type="pct"/>
                  <w:tcBorders>
                    <w:top w:val="single" w:color="auto" w:sz="4" w:space="0"/>
                    <w:left w:val="single" w:color="auto" w:sz="4" w:space="0"/>
                    <w:bottom w:val="single" w:color="auto" w:sz="4" w:space="0"/>
                    <w:right w:val="single" w:color="auto" w:sz="4" w:space="0"/>
                  </w:tcBorders>
                  <w:vAlign w:val="center"/>
                </w:tcPr>
                <w:p w14:paraId="23D9FD9E">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湿法作业</w:t>
                  </w:r>
                </w:p>
              </w:tc>
              <w:tc>
                <w:tcPr>
                  <w:tcW w:w="315" w:type="pct"/>
                  <w:tcBorders>
                    <w:top w:val="single" w:color="auto" w:sz="4" w:space="0"/>
                    <w:left w:val="single" w:color="auto" w:sz="4" w:space="0"/>
                    <w:bottom w:val="single" w:color="auto" w:sz="4" w:space="0"/>
                    <w:right w:val="single" w:color="auto" w:sz="4" w:space="0"/>
                  </w:tcBorders>
                  <w:vAlign w:val="center"/>
                </w:tcPr>
                <w:p w14:paraId="171D69E1">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90</w:t>
                  </w:r>
                </w:p>
              </w:tc>
              <w:tc>
                <w:tcPr>
                  <w:tcW w:w="368" w:type="pct"/>
                  <w:tcBorders>
                    <w:top w:val="single" w:color="auto" w:sz="4" w:space="0"/>
                    <w:left w:val="single" w:color="auto" w:sz="4" w:space="0"/>
                    <w:bottom w:val="single" w:color="auto" w:sz="4" w:space="0"/>
                    <w:right w:val="single" w:color="auto" w:sz="4" w:space="0"/>
                  </w:tcBorders>
                  <w:vAlign w:val="center"/>
                </w:tcPr>
                <w:p w14:paraId="2D017731">
                  <w:pPr>
                    <w:wordWrap w:val="0"/>
                    <w:topLinePunct/>
                    <w:adjustRightInd w:val="0"/>
                    <w:snapToGrid w:val="0"/>
                    <w:spacing w:line="240" w:lineRule="auto"/>
                    <w:ind w:left="-120" w:leftChars="-50" w:right="-120" w:rightChars="-50"/>
                    <w:jc w:val="center"/>
                    <w:rPr>
                      <w:rFonts w:hint="default" w:eastAsia="宋体"/>
                      <w:snapToGrid w:val="0"/>
                      <w:spacing w:val="4"/>
                      <w:sz w:val="21"/>
                      <w:szCs w:val="21"/>
                      <w:lang w:val="en-US" w:eastAsia="zh-CN"/>
                    </w:rPr>
                  </w:pPr>
                  <w:r>
                    <w:rPr>
                      <w:rFonts w:hint="eastAsia"/>
                      <w:snapToGrid w:val="0"/>
                      <w:spacing w:val="4"/>
                      <w:sz w:val="21"/>
                      <w:szCs w:val="21"/>
                    </w:rPr>
                    <w:t>0.0</w:t>
                  </w:r>
                  <w:r>
                    <w:rPr>
                      <w:rFonts w:hint="eastAsia"/>
                      <w:snapToGrid w:val="0"/>
                      <w:spacing w:val="4"/>
                      <w:sz w:val="21"/>
                      <w:szCs w:val="21"/>
                      <w:lang w:val="en-US" w:eastAsia="zh-CN"/>
                    </w:rPr>
                    <w:t>79</w:t>
                  </w:r>
                </w:p>
              </w:tc>
              <w:tc>
                <w:tcPr>
                  <w:tcW w:w="360" w:type="pct"/>
                  <w:tcBorders>
                    <w:top w:val="single" w:color="auto" w:sz="4" w:space="0"/>
                    <w:left w:val="single" w:color="auto" w:sz="4" w:space="0"/>
                    <w:bottom w:val="single" w:color="auto" w:sz="4" w:space="0"/>
                    <w:right w:val="single" w:color="auto" w:sz="4" w:space="0"/>
                  </w:tcBorders>
                  <w:vAlign w:val="center"/>
                </w:tcPr>
                <w:p w14:paraId="27AAC16A">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w:t>
                  </w:r>
                </w:p>
              </w:tc>
              <w:tc>
                <w:tcPr>
                  <w:tcW w:w="397" w:type="pct"/>
                  <w:tcBorders>
                    <w:top w:val="single" w:color="auto" w:sz="4" w:space="0"/>
                    <w:left w:val="single" w:color="auto" w:sz="4" w:space="0"/>
                    <w:bottom w:val="single" w:color="auto" w:sz="4" w:space="0"/>
                    <w:right w:val="single" w:color="auto" w:sz="4" w:space="0"/>
                  </w:tcBorders>
                  <w:vAlign w:val="center"/>
                </w:tcPr>
                <w:p w14:paraId="15832331">
                  <w:pPr>
                    <w:wordWrap w:val="0"/>
                    <w:topLinePunct/>
                    <w:adjustRightInd w:val="0"/>
                    <w:snapToGrid w:val="0"/>
                    <w:spacing w:line="240" w:lineRule="auto"/>
                    <w:ind w:left="-120" w:leftChars="-50" w:right="-120" w:rightChars="-50"/>
                    <w:jc w:val="center"/>
                    <w:rPr>
                      <w:rFonts w:hint="default" w:eastAsia="宋体"/>
                      <w:snapToGrid w:val="0"/>
                      <w:spacing w:val="4"/>
                      <w:sz w:val="21"/>
                      <w:szCs w:val="21"/>
                      <w:lang w:val="en-US" w:eastAsia="zh-CN"/>
                    </w:rPr>
                  </w:pPr>
                  <w:r>
                    <w:rPr>
                      <w:rFonts w:hint="eastAsia"/>
                      <w:snapToGrid w:val="0"/>
                      <w:spacing w:val="4"/>
                      <w:sz w:val="21"/>
                      <w:szCs w:val="21"/>
                    </w:rPr>
                    <w:t>0.0</w:t>
                  </w:r>
                  <w:r>
                    <w:rPr>
                      <w:rFonts w:hint="eastAsia"/>
                      <w:snapToGrid w:val="0"/>
                      <w:spacing w:val="4"/>
                      <w:sz w:val="21"/>
                      <w:szCs w:val="21"/>
                      <w:lang w:val="en-US" w:eastAsia="zh-CN"/>
                    </w:rPr>
                    <w:t>33</w:t>
                  </w:r>
                </w:p>
              </w:tc>
              <w:tc>
                <w:tcPr>
                  <w:tcW w:w="210" w:type="pct"/>
                  <w:vMerge w:val="continue"/>
                  <w:tcBorders>
                    <w:left w:val="single" w:color="auto" w:sz="4" w:space="0"/>
                    <w:right w:val="single" w:color="auto" w:sz="4" w:space="0"/>
                  </w:tcBorders>
                  <w:vAlign w:val="center"/>
                </w:tcPr>
                <w:p w14:paraId="3AC7A1E2">
                  <w:pPr>
                    <w:wordWrap w:val="0"/>
                    <w:topLinePunct/>
                    <w:adjustRightInd w:val="0"/>
                    <w:snapToGrid w:val="0"/>
                    <w:spacing w:line="240" w:lineRule="auto"/>
                    <w:ind w:left="-120" w:leftChars="-50" w:right="-120" w:rightChars="-50"/>
                    <w:jc w:val="center"/>
                    <w:rPr>
                      <w:snapToGrid w:val="0"/>
                      <w:spacing w:val="4"/>
                      <w:sz w:val="21"/>
                      <w:szCs w:val="21"/>
                    </w:rPr>
                  </w:pPr>
                </w:p>
              </w:tc>
            </w:tr>
            <w:tr w14:paraId="76DA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2" w:type="pct"/>
                  <w:tcBorders>
                    <w:left w:val="single" w:color="auto" w:sz="4" w:space="0"/>
                    <w:right w:val="single" w:color="auto" w:sz="4" w:space="0"/>
                  </w:tcBorders>
                  <w:vAlign w:val="center"/>
                </w:tcPr>
                <w:p w14:paraId="1E8E04F3">
                  <w:pPr>
                    <w:wordWrap w:val="0"/>
                    <w:topLinePunct/>
                    <w:adjustRightInd w:val="0"/>
                    <w:snapToGrid w:val="0"/>
                    <w:spacing w:line="240" w:lineRule="auto"/>
                    <w:ind w:left="-120" w:leftChars="-50" w:right="-120" w:rightChars="-50"/>
                    <w:jc w:val="center"/>
                    <w:rPr>
                      <w:sz w:val="21"/>
                      <w:szCs w:val="21"/>
                    </w:rPr>
                  </w:pPr>
                  <w:r>
                    <w:rPr>
                      <w:sz w:val="21"/>
                      <w:szCs w:val="21"/>
                    </w:rPr>
                    <w:t>/</w:t>
                  </w:r>
                </w:p>
              </w:tc>
              <w:tc>
                <w:tcPr>
                  <w:tcW w:w="433" w:type="pct"/>
                  <w:tcBorders>
                    <w:left w:val="single" w:color="auto" w:sz="4" w:space="0"/>
                    <w:right w:val="single" w:color="auto" w:sz="4" w:space="0"/>
                  </w:tcBorders>
                  <w:vAlign w:val="center"/>
                </w:tcPr>
                <w:p w14:paraId="63624581">
                  <w:pPr>
                    <w:wordWrap w:val="0"/>
                    <w:topLinePunct/>
                    <w:adjustRightInd w:val="0"/>
                    <w:snapToGrid w:val="0"/>
                    <w:spacing w:line="240" w:lineRule="auto"/>
                    <w:ind w:left="-120" w:leftChars="-50" w:right="-120" w:rightChars="-50"/>
                    <w:jc w:val="center"/>
                    <w:rPr>
                      <w:snapToGrid w:val="0"/>
                      <w:spacing w:val="4"/>
                      <w:sz w:val="21"/>
                      <w:szCs w:val="21"/>
                    </w:rPr>
                  </w:pPr>
                  <w:r>
                    <w:rPr>
                      <w:rFonts w:hint="default" w:ascii="Times New Roman" w:hAnsi="Times New Roman" w:eastAsia="宋体" w:cs="Times New Roman"/>
                      <w:snapToGrid w:val="0"/>
                      <w:spacing w:val="4"/>
                      <w:kern w:val="2"/>
                      <w:sz w:val="21"/>
                      <w:szCs w:val="21"/>
                      <w:u w:val="none"/>
                      <w:lang w:val="en-US" w:eastAsia="zh-CN" w:bidi="ar-SA"/>
                    </w:rPr>
                    <w:t>透水砖、路面砖</w:t>
                  </w:r>
                  <w:r>
                    <w:rPr>
                      <w:snapToGrid w:val="0"/>
                      <w:spacing w:val="4"/>
                      <w:sz w:val="21"/>
                      <w:szCs w:val="21"/>
                    </w:rPr>
                    <w:t>生产过程中产生的破碎筛分</w:t>
                  </w:r>
                  <w:r>
                    <w:rPr>
                      <w:rFonts w:hint="default"/>
                      <w:snapToGrid w:val="0"/>
                      <w:spacing w:val="4"/>
                      <w:sz w:val="21"/>
                      <w:szCs w:val="21"/>
                    </w:rPr>
                    <w:t>制砂</w:t>
                  </w:r>
                  <w:r>
                    <w:rPr>
                      <w:snapToGrid w:val="0"/>
                      <w:spacing w:val="4"/>
                      <w:sz w:val="21"/>
                      <w:szCs w:val="21"/>
                    </w:rPr>
                    <w:t>粉尘</w:t>
                  </w:r>
                </w:p>
              </w:tc>
              <w:tc>
                <w:tcPr>
                  <w:tcW w:w="251" w:type="pct"/>
                  <w:tcBorders>
                    <w:left w:val="single" w:color="auto" w:sz="4" w:space="0"/>
                    <w:right w:val="single" w:color="auto" w:sz="4" w:space="0"/>
                  </w:tcBorders>
                  <w:vAlign w:val="center"/>
                </w:tcPr>
                <w:p w14:paraId="5CD95E78">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颗粒物</w:t>
                  </w:r>
                </w:p>
              </w:tc>
              <w:tc>
                <w:tcPr>
                  <w:tcW w:w="278" w:type="pct"/>
                  <w:tcBorders>
                    <w:left w:val="single" w:color="auto" w:sz="4" w:space="0"/>
                    <w:right w:val="single" w:color="auto" w:sz="4" w:space="0"/>
                  </w:tcBorders>
                  <w:vAlign w:val="center"/>
                </w:tcPr>
                <w:p w14:paraId="2E0AA2FE">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无组织</w:t>
                  </w:r>
                </w:p>
              </w:tc>
              <w:tc>
                <w:tcPr>
                  <w:tcW w:w="281" w:type="pct"/>
                  <w:tcBorders>
                    <w:top w:val="single" w:color="auto" w:sz="4" w:space="0"/>
                    <w:left w:val="single" w:color="auto" w:sz="4" w:space="0"/>
                    <w:bottom w:val="single" w:color="auto" w:sz="4" w:space="0"/>
                    <w:right w:val="single" w:color="auto" w:sz="4" w:space="0"/>
                  </w:tcBorders>
                  <w:vAlign w:val="center"/>
                </w:tcPr>
                <w:p w14:paraId="19F1F874">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物料衡算法</w:t>
                  </w:r>
                </w:p>
              </w:tc>
              <w:tc>
                <w:tcPr>
                  <w:tcW w:w="525" w:type="pct"/>
                  <w:tcBorders>
                    <w:top w:val="single" w:color="auto" w:sz="4" w:space="0"/>
                    <w:left w:val="single" w:color="auto" w:sz="4" w:space="0"/>
                    <w:bottom w:val="single" w:color="auto" w:sz="4" w:space="0"/>
                    <w:right w:val="single" w:color="auto" w:sz="4" w:space="0"/>
                  </w:tcBorders>
                  <w:vAlign w:val="center"/>
                </w:tcPr>
                <w:p w14:paraId="086512EE">
                  <w:pPr>
                    <w:wordWrap w:val="0"/>
                    <w:topLinePunct/>
                    <w:adjustRightInd w:val="0"/>
                    <w:snapToGrid w:val="0"/>
                    <w:spacing w:line="240" w:lineRule="auto"/>
                    <w:ind w:left="-120" w:leftChars="-50" w:right="-120" w:rightChars="-50"/>
                    <w:jc w:val="center"/>
                    <w:rPr>
                      <w:snapToGrid w:val="0"/>
                      <w:color w:val="0000C7"/>
                      <w:spacing w:val="4"/>
                      <w:sz w:val="21"/>
                      <w:szCs w:val="21"/>
                    </w:rPr>
                  </w:pPr>
                  <w:r>
                    <w:rPr>
                      <w:snapToGrid w:val="0"/>
                      <w:spacing w:val="4"/>
                      <w:sz w:val="21"/>
                      <w:szCs w:val="21"/>
                    </w:rPr>
                    <w:t>0.</w:t>
                  </w:r>
                  <w:r>
                    <w:rPr>
                      <w:rFonts w:hint="eastAsia"/>
                      <w:snapToGrid w:val="0"/>
                      <w:spacing w:val="4"/>
                      <w:sz w:val="21"/>
                      <w:szCs w:val="21"/>
                    </w:rPr>
                    <w:t>2</w:t>
                  </w:r>
                </w:p>
              </w:tc>
              <w:tc>
                <w:tcPr>
                  <w:tcW w:w="388" w:type="pct"/>
                  <w:tcBorders>
                    <w:top w:val="single" w:color="auto" w:sz="4" w:space="0"/>
                    <w:left w:val="single" w:color="auto" w:sz="4" w:space="0"/>
                    <w:bottom w:val="single" w:color="auto" w:sz="4" w:space="0"/>
                    <w:right w:val="single" w:color="auto" w:sz="4" w:space="0"/>
                  </w:tcBorders>
                  <w:vAlign w:val="center"/>
                </w:tcPr>
                <w:p w14:paraId="00F79E68">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w:t>
                  </w:r>
                </w:p>
              </w:tc>
              <w:tc>
                <w:tcPr>
                  <w:tcW w:w="575" w:type="pct"/>
                  <w:tcBorders>
                    <w:top w:val="single" w:color="auto" w:sz="4" w:space="0"/>
                    <w:left w:val="single" w:color="auto" w:sz="4" w:space="0"/>
                    <w:bottom w:val="single" w:color="auto" w:sz="4" w:space="0"/>
                    <w:right w:val="single" w:color="auto" w:sz="4" w:space="0"/>
                  </w:tcBorders>
                  <w:vAlign w:val="center"/>
                </w:tcPr>
                <w:p w14:paraId="0D0FCF8E">
                  <w:pPr>
                    <w:wordWrap w:val="0"/>
                    <w:topLinePunct/>
                    <w:adjustRightInd w:val="0"/>
                    <w:snapToGrid w:val="0"/>
                    <w:spacing w:line="240" w:lineRule="auto"/>
                    <w:ind w:left="-120" w:leftChars="-50" w:right="-120" w:rightChars="-50"/>
                    <w:jc w:val="center"/>
                    <w:rPr>
                      <w:snapToGrid w:val="0"/>
                      <w:color w:val="0000C7"/>
                      <w:spacing w:val="4"/>
                      <w:sz w:val="21"/>
                      <w:szCs w:val="21"/>
                    </w:rPr>
                  </w:pPr>
                  <w:r>
                    <w:rPr>
                      <w:rFonts w:hint="eastAsia"/>
                      <w:snapToGrid w:val="0"/>
                      <w:spacing w:val="4"/>
                      <w:sz w:val="21"/>
                      <w:szCs w:val="21"/>
                    </w:rPr>
                    <w:t>0.083</w:t>
                  </w:r>
                </w:p>
              </w:tc>
              <w:tc>
                <w:tcPr>
                  <w:tcW w:w="421" w:type="pct"/>
                  <w:tcBorders>
                    <w:top w:val="single" w:color="auto" w:sz="4" w:space="0"/>
                    <w:left w:val="single" w:color="auto" w:sz="4" w:space="0"/>
                    <w:bottom w:val="single" w:color="auto" w:sz="4" w:space="0"/>
                    <w:right w:val="single" w:color="auto" w:sz="4" w:space="0"/>
                  </w:tcBorders>
                  <w:vAlign w:val="center"/>
                </w:tcPr>
                <w:p w14:paraId="296918EE">
                  <w:pPr>
                    <w:wordWrap w:val="0"/>
                    <w:topLinePunct/>
                    <w:adjustRightInd w:val="0"/>
                    <w:snapToGrid w:val="0"/>
                    <w:spacing w:line="240" w:lineRule="auto"/>
                    <w:ind w:left="-120" w:leftChars="-50" w:right="-120" w:rightChars="-50"/>
                    <w:jc w:val="center"/>
                    <w:rPr>
                      <w:rFonts w:hint="eastAsia" w:eastAsia="宋体"/>
                      <w:snapToGrid w:val="0"/>
                      <w:spacing w:val="4"/>
                      <w:sz w:val="21"/>
                      <w:szCs w:val="21"/>
                      <w:lang w:eastAsia="zh-CN"/>
                    </w:rPr>
                  </w:pPr>
                  <w:r>
                    <w:rPr>
                      <w:rFonts w:hint="eastAsia"/>
                      <w:snapToGrid w:val="0"/>
                      <w:spacing w:val="4"/>
                      <w:sz w:val="21"/>
                      <w:szCs w:val="21"/>
                      <w:lang w:eastAsia="zh-CN"/>
                    </w:rPr>
                    <w:t>干法作业</w:t>
                  </w:r>
                  <w:r>
                    <w:rPr>
                      <w:rFonts w:hint="eastAsia"/>
                      <w:snapToGrid w:val="0"/>
                      <w:spacing w:val="4"/>
                      <w:sz w:val="21"/>
                      <w:szCs w:val="21"/>
                    </w:rPr>
                    <w:t>+洒水抑尘+</w:t>
                  </w:r>
                  <w:r>
                    <w:rPr>
                      <w:rFonts w:hint="eastAsia"/>
                      <w:snapToGrid w:val="0"/>
                      <w:spacing w:val="4"/>
                      <w:sz w:val="21"/>
                      <w:szCs w:val="21"/>
                      <w:lang w:eastAsia="zh-CN"/>
                    </w:rPr>
                    <w:t>密闭生产工序</w:t>
                  </w:r>
                </w:p>
              </w:tc>
              <w:tc>
                <w:tcPr>
                  <w:tcW w:w="315" w:type="pct"/>
                  <w:tcBorders>
                    <w:top w:val="single" w:color="auto" w:sz="4" w:space="0"/>
                    <w:left w:val="single" w:color="auto" w:sz="4" w:space="0"/>
                    <w:bottom w:val="single" w:color="auto" w:sz="4" w:space="0"/>
                    <w:right w:val="single" w:color="auto" w:sz="4" w:space="0"/>
                  </w:tcBorders>
                  <w:vAlign w:val="center"/>
                </w:tcPr>
                <w:p w14:paraId="0152640F">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lang w:val="en-US" w:eastAsia="zh-CN"/>
                    </w:rPr>
                    <w:t>74</w:t>
                  </w:r>
                  <w:r>
                    <w:rPr>
                      <w:rFonts w:hint="eastAsia"/>
                      <w:snapToGrid w:val="0"/>
                      <w:spacing w:val="4"/>
                      <w:sz w:val="21"/>
                      <w:szCs w:val="21"/>
                    </w:rPr>
                    <w:t>+</w:t>
                  </w:r>
                  <w:r>
                    <w:rPr>
                      <w:rFonts w:hint="eastAsia"/>
                      <w:snapToGrid w:val="0"/>
                      <w:spacing w:val="4"/>
                      <w:sz w:val="21"/>
                      <w:szCs w:val="21"/>
                      <w:lang w:val="en-US" w:eastAsia="zh-CN"/>
                    </w:rPr>
                    <w:t>9</w:t>
                  </w:r>
                  <w:r>
                    <w:rPr>
                      <w:rFonts w:hint="eastAsia"/>
                      <w:snapToGrid w:val="0"/>
                      <w:spacing w:val="4"/>
                      <w:sz w:val="21"/>
                      <w:szCs w:val="21"/>
                    </w:rPr>
                    <w:t>0</w:t>
                  </w:r>
                </w:p>
              </w:tc>
              <w:tc>
                <w:tcPr>
                  <w:tcW w:w="368" w:type="pct"/>
                  <w:tcBorders>
                    <w:top w:val="single" w:color="auto" w:sz="4" w:space="0"/>
                    <w:left w:val="single" w:color="auto" w:sz="4" w:space="0"/>
                    <w:bottom w:val="single" w:color="auto" w:sz="4" w:space="0"/>
                    <w:right w:val="single" w:color="auto" w:sz="4" w:space="0"/>
                  </w:tcBorders>
                  <w:vAlign w:val="center"/>
                </w:tcPr>
                <w:p w14:paraId="2EEE3144">
                  <w:pPr>
                    <w:wordWrap w:val="0"/>
                    <w:topLinePunct/>
                    <w:adjustRightInd w:val="0"/>
                    <w:snapToGrid w:val="0"/>
                    <w:spacing w:line="240" w:lineRule="auto"/>
                    <w:ind w:left="-120" w:leftChars="-50" w:right="-120" w:rightChars="-50"/>
                    <w:jc w:val="center"/>
                    <w:rPr>
                      <w:rFonts w:hint="eastAsia" w:eastAsia="宋体"/>
                      <w:snapToGrid w:val="0"/>
                      <w:spacing w:val="4"/>
                      <w:sz w:val="21"/>
                      <w:szCs w:val="21"/>
                      <w:lang w:eastAsia="zh-CN"/>
                    </w:rPr>
                  </w:pPr>
                  <w:r>
                    <w:rPr>
                      <w:snapToGrid w:val="0"/>
                      <w:spacing w:val="4"/>
                      <w:sz w:val="21"/>
                      <w:szCs w:val="21"/>
                    </w:rPr>
                    <w:t>0.</w:t>
                  </w:r>
                  <w:r>
                    <w:rPr>
                      <w:rFonts w:hint="eastAsia"/>
                      <w:snapToGrid w:val="0"/>
                      <w:spacing w:val="4"/>
                      <w:sz w:val="21"/>
                      <w:szCs w:val="21"/>
                    </w:rPr>
                    <w:t>00</w:t>
                  </w:r>
                  <w:r>
                    <w:rPr>
                      <w:rFonts w:hint="eastAsia"/>
                      <w:snapToGrid w:val="0"/>
                      <w:spacing w:val="4"/>
                      <w:sz w:val="21"/>
                      <w:szCs w:val="21"/>
                      <w:lang w:val="en-US" w:eastAsia="zh-CN"/>
                    </w:rPr>
                    <w:t>5</w:t>
                  </w:r>
                </w:p>
              </w:tc>
              <w:tc>
                <w:tcPr>
                  <w:tcW w:w="360" w:type="pct"/>
                  <w:tcBorders>
                    <w:top w:val="single" w:color="auto" w:sz="4" w:space="0"/>
                    <w:left w:val="single" w:color="auto" w:sz="4" w:space="0"/>
                    <w:bottom w:val="single" w:color="auto" w:sz="4" w:space="0"/>
                    <w:right w:val="single" w:color="auto" w:sz="4" w:space="0"/>
                  </w:tcBorders>
                  <w:vAlign w:val="center"/>
                </w:tcPr>
                <w:p w14:paraId="0B9148F9">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w:t>
                  </w:r>
                </w:p>
              </w:tc>
              <w:tc>
                <w:tcPr>
                  <w:tcW w:w="397" w:type="pct"/>
                  <w:tcBorders>
                    <w:top w:val="single" w:color="auto" w:sz="4" w:space="0"/>
                    <w:left w:val="single" w:color="auto" w:sz="4" w:space="0"/>
                    <w:bottom w:val="single" w:color="auto" w:sz="4" w:space="0"/>
                    <w:right w:val="single" w:color="auto" w:sz="4" w:space="0"/>
                  </w:tcBorders>
                  <w:vAlign w:val="center"/>
                </w:tcPr>
                <w:p w14:paraId="2977BB42">
                  <w:pPr>
                    <w:wordWrap w:val="0"/>
                    <w:topLinePunct/>
                    <w:adjustRightInd w:val="0"/>
                    <w:snapToGrid w:val="0"/>
                    <w:spacing w:line="240" w:lineRule="auto"/>
                    <w:ind w:left="-120" w:leftChars="-50" w:right="-120" w:rightChars="-50"/>
                    <w:jc w:val="center"/>
                    <w:rPr>
                      <w:rFonts w:hint="eastAsia" w:eastAsia="宋体"/>
                      <w:snapToGrid w:val="0"/>
                      <w:spacing w:val="4"/>
                      <w:sz w:val="21"/>
                      <w:szCs w:val="21"/>
                      <w:lang w:eastAsia="zh-CN"/>
                    </w:rPr>
                  </w:pPr>
                  <w:r>
                    <w:rPr>
                      <w:snapToGrid w:val="0"/>
                      <w:spacing w:val="4"/>
                      <w:sz w:val="21"/>
                      <w:szCs w:val="21"/>
                    </w:rPr>
                    <w:t>0.</w:t>
                  </w:r>
                  <w:r>
                    <w:rPr>
                      <w:rFonts w:hint="eastAsia"/>
                      <w:snapToGrid w:val="0"/>
                      <w:spacing w:val="4"/>
                      <w:sz w:val="21"/>
                      <w:szCs w:val="21"/>
                    </w:rPr>
                    <w:t>00</w:t>
                  </w:r>
                  <w:r>
                    <w:rPr>
                      <w:rFonts w:hint="eastAsia"/>
                      <w:snapToGrid w:val="0"/>
                      <w:spacing w:val="4"/>
                      <w:sz w:val="21"/>
                      <w:szCs w:val="21"/>
                      <w:lang w:val="en-US" w:eastAsia="zh-CN"/>
                    </w:rPr>
                    <w:t>2</w:t>
                  </w:r>
                </w:p>
              </w:tc>
              <w:tc>
                <w:tcPr>
                  <w:tcW w:w="210" w:type="pct"/>
                  <w:vMerge w:val="continue"/>
                  <w:tcBorders>
                    <w:left w:val="single" w:color="auto" w:sz="4" w:space="0"/>
                    <w:right w:val="single" w:color="auto" w:sz="4" w:space="0"/>
                  </w:tcBorders>
                  <w:vAlign w:val="center"/>
                </w:tcPr>
                <w:p w14:paraId="12EF6C57">
                  <w:pPr>
                    <w:wordWrap w:val="0"/>
                    <w:topLinePunct/>
                    <w:adjustRightInd w:val="0"/>
                    <w:snapToGrid w:val="0"/>
                    <w:spacing w:line="240" w:lineRule="auto"/>
                    <w:ind w:left="-120" w:leftChars="-50" w:right="-120" w:rightChars="-50"/>
                    <w:jc w:val="center"/>
                    <w:rPr>
                      <w:snapToGrid w:val="0"/>
                      <w:color w:val="0000C7"/>
                      <w:spacing w:val="4"/>
                      <w:sz w:val="21"/>
                      <w:szCs w:val="21"/>
                    </w:rPr>
                  </w:pPr>
                </w:p>
              </w:tc>
            </w:tr>
            <w:tr w14:paraId="3F51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2" w:type="pct"/>
                  <w:tcBorders>
                    <w:left w:val="single" w:color="auto" w:sz="4" w:space="0"/>
                    <w:right w:val="single" w:color="auto" w:sz="4" w:space="0"/>
                  </w:tcBorders>
                  <w:vAlign w:val="center"/>
                </w:tcPr>
                <w:p w14:paraId="12F97BC8">
                  <w:pPr>
                    <w:wordWrap w:val="0"/>
                    <w:topLinePunct/>
                    <w:adjustRightInd w:val="0"/>
                    <w:snapToGrid w:val="0"/>
                    <w:spacing w:line="240" w:lineRule="auto"/>
                    <w:ind w:left="-120" w:leftChars="-50" w:right="-120" w:rightChars="-50"/>
                    <w:jc w:val="center"/>
                    <w:rPr>
                      <w:sz w:val="21"/>
                      <w:szCs w:val="21"/>
                      <w:u w:val="single"/>
                    </w:rPr>
                  </w:pPr>
                  <w:r>
                    <w:rPr>
                      <w:sz w:val="21"/>
                      <w:szCs w:val="21"/>
                      <w:u w:val="single"/>
                    </w:rPr>
                    <w:t>/</w:t>
                  </w:r>
                </w:p>
              </w:tc>
              <w:tc>
                <w:tcPr>
                  <w:tcW w:w="433" w:type="pct"/>
                  <w:tcBorders>
                    <w:left w:val="single" w:color="auto" w:sz="4" w:space="0"/>
                    <w:right w:val="single" w:color="auto" w:sz="4" w:space="0"/>
                  </w:tcBorders>
                  <w:vAlign w:val="center"/>
                </w:tcPr>
                <w:p w14:paraId="5B9CDA3F">
                  <w:pPr>
                    <w:wordWrap w:val="0"/>
                    <w:topLinePunct/>
                    <w:adjustRightInd w:val="0"/>
                    <w:snapToGrid w:val="0"/>
                    <w:spacing w:line="240" w:lineRule="auto"/>
                    <w:ind w:left="-120" w:leftChars="-50" w:right="-120" w:rightChars="-50"/>
                    <w:jc w:val="center"/>
                    <w:rPr>
                      <w:sz w:val="21"/>
                      <w:szCs w:val="21"/>
                      <w:u w:val="single"/>
                    </w:rPr>
                  </w:pPr>
                  <w:r>
                    <w:rPr>
                      <w:rFonts w:hint="eastAsia" w:ascii="Times New Roman" w:hAnsi="Times New Roman" w:eastAsia="宋体" w:cs="Times New Roman"/>
                      <w:kern w:val="2"/>
                      <w:sz w:val="21"/>
                      <w:szCs w:val="21"/>
                      <w:u w:val="single"/>
                      <w:lang w:val="en-US" w:eastAsia="zh-CN" w:bidi="ar-SA"/>
                    </w:rPr>
                    <w:t>透水砖、路面砖</w:t>
                  </w:r>
                  <w:r>
                    <w:rPr>
                      <w:sz w:val="21"/>
                      <w:szCs w:val="21"/>
                      <w:u w:val="single"/>
                    </w:rPr>
                    <w:t>生产</w:t>
                  </w:r>
                  <w:r>
                    <w:rPr>
                      <w:rFonts w:hint="eastAsia"/>
                      <w:sz w:val="21"/>
                      <w:szCs w:val="21"/>
                      <w:u w:val="single"/>
                    </w:rPr>
                    <w:t>线投料、输送及搅拌</w:t>
                  </w:r>
                  <w:r>
                    <w:rPr>
                      <w:sz w:val="21"/>
                      <w:szCs w:val="21"/>
                      <w:u w:val="single"/>
                    </w:rPr>
                    <w:t>粉尘</w:t>
                  </w:r>
                </w:p>
              </w:tc>
              <w:tc>
                <w:tcPr>
                  <w:tcW w:w="251" w:type="pct"/>
                  <w:tcBorders>
                    <w:left w:val="single" w:color="auto" w:sz="4" w:space="0"/>
                    <w:right w:val="single" w:color="auto" w:sz="4" w:space="0"/>
                  </w:tcBorders>
                  <w:vAlign w:val="center"/>
                </w:tcPr>
                <w:p w14:paraId="77B8DF20">
                  <w:pPr>
                    <w:wordWrap w:val="0"/>
                    <w:topLinePunct/>
                    <w:adjustRightInd w:val="0"/>
                    <w:snapToGrid w:val="0"/>
                    <w:spacing w:line="240" w:lineRule="auto"/>
                    <w:ind w:left="-120" w:leftChars="-50" w:right="-120" w:rightChars="-50"/>
                    <w:jc w:val="center"/>
                    <w:rPr>
                      <w:snapToGrid w:val="0"/>
                      <w:spacing w:val="4"/>
                      <w:sz w:val="21"/>
                      <w:szCs w:val="21"/>
                      <w:u w:val="single"/>
                    </w:rPr>
                  </w:pPr>
                  <w:r>
                    <w:rPr>
                      <w:snapToGrid w:val="0"/>
                      <w:spacing w:val="4"/>
                      <w:sz w:val="21"/>
                      <w:szCs w:val="21"/>
                      <w:u w:val="single"/>
                    </w:rPr>
                    <w:t>颗粒物</w:t>
                  </w:r>
                </w:p>
              </w:tc>
              <w:tc>
                <w:tcPr>
                  <w:tcW w:w="278" w:type="pct"/>
                  <w:tcBorders>
                    <w:left w:val="single" w:color="auto" w:sz="4" w:space="0"/>
                    <w:right w:val="single" w:color="auto" w:sz="4" w:space="0"/>
                  </w:tcBorders>
                  <w:vAlign w:val="center"/>
                </w:tcPr>
                <w:p w14:paraId="37C65F38">
                  <w:pPr>
                    <w:wordWrap w:val="0"/>
                    <w:topLinePunct/>
                    <w:adjustRightInd w:val="0"/>
                    <w:snapToGrid w:val="0"/>
                    <w:spacing w:line="240" w:lineRule="auto"/>
                    <w:ind w:left="-120" w:leftChars="-50" w:right="-120" w:rightChars="-50"/>
                    <w:jc w:val="center"/>
                    <w:rPr>
                      <w:snapToGrid w:val="0"/>
                      <w:spacing w:val="4"/>
                      <w:sz w:val="21"/>
                      <w:szCs w:val="21"/>
                      <w:u w:val="single"/>
                    </w:rPr>
                  </w:pPr>
                  <w:r>
                    <w:rPr>
                      <w:snapToGrid w:val="0"/>
                      <w:spacing w:val="4"/>
                      <w:sz w:val="21"/>
                      <w:szCs w:val="21"/>
                      <w:u w:val="single"/>
                    </w:rPr>
                    <w:t>无组织</w:t>
                  </w:r>
                </w:p>
              </w:tc>
              <w:tc>
                <w:tcPr>
                  <w:tcW w:w="281" w:type="pct"/>
                  <w:tcBorders>
                    <w:top w:val="single" w:color="auto" w:sz="4" w:space="0"/>
                    <w:left w:val="single" w:color="auto" w:sz="4" w:space="0"/>
                    <w:bottom w:val="single" w:color="auto" w:sz="4" w:space="0"/>
                    <w:right w:val="single" w:color="auto" w:sz="4" w:space="0"/>
                  </w:tcBorders>
                  <w:vAlign w:val="center"/>
                </w:tcPr>
                <w:p w14:paraId="472683E5">
                  <w:pPr>
                    <w:wordWrap w:val="0"/>
                    <w:topLinePunct/>
                    <w:adjustRightInd w:val="0"/>
                    <w:snapToGrid w:val="0"/>
                    <w:spacing w:line="240" w:lineRule="auto"/>
                    <w:ind w:left="-120" w:leftChars="-50" w:right="-120" w:rightChars="-50"/>
                    <w:jc w:val="center"/>
                    <w:rPr>
                      <w:snapToGrid w:val="0"/>
                      <w:spacing w:val="4"/>
                      <w:sz w:val="21"/>
                      <w:szCs w:val="21"/>
                      <w:u w:val="single"/>
                    </w:rPr>
                  </w:pPr>
                  <w:r>
                    <w:rPr>
                      <w:snapToGrid w:val="0"/>
                      <w:spacing w:val="4"/>
                      <w:sz w:val="21"/>
                      <w:szCs w:val="21"/>
                      <w:u w:val="single"/>
                    </w:rPr>
                    <w:t>物料衡算法</w:t>
                  </w:r>
                </w:p>
              </w:tc>
              <w:tc>
                <w:tcPr>
                  <w:tcW w:w="525" w:type="pct"/>
                  <w:tcBorders>
                    <w:top w:val="single" w:color="auto" w:sz="4" w:space="0"/>
                    <w:left w:val="single" w:color="auto" w:sz="4" w:space="0"/>
                    <w:bottom w:val="single" w:color="auto" w:sz="4" w:space="0"/>
                    <w:right w:val="single" w:color="auto" w:sz="4" w:space="0"/>
                  </w:tcBorders>
                  <w:vAlign w:val="center"/>
                </w:tcPr>
                <w:p w14:paraId="18E6E531">
                  <w:pPr>
                    <w:wordWrap w:val="0"/>
                    <w:topLinePunct/>
                    <w:adjustRightInd w:val="0"/>
                    <w:snapToGrid w:val="0"/>
                    <w:spacing w:line="240" w:lineRule="auto"/>
                    <w:ind w:left="-120" w:leftChars="-50" w:right="-120" w:rightChars="-50"/>
                    <w:jc w:val="center"/>
                    <w:rPr>
                      <w:snapToGrid w:val="0"/>
                      <w:spacing w:val="4"/>
                      <w:sz w:val="21"/>
                      <w:szCs w:val="21"/>
                      <w:u w:val="single"/>
                    </w:rPr>
                  </w:pPr>
                  <w:r>
                    <w:rPr>
                      <w:rFonts w:hint="eastAsia"/>
                      <w:snapToGrid w:val="0"/>
                      <w:spacing w:val="4"/>
                      <w:sz w:val="21"/>
                      <w:szCs w:val="21"/>
                      <w:u w:val="single"/>
                    </w:rPr>
                    <w:t>0.088</w:t>
                  </w:r>
                </w:p>
              </w:tc>
              <w:tc>
                <w:tcPr>
                  <w:tcW w:w="388" w:type="pct"/>
                  <w:tcBorders>
                    <w:top w:val="single" w:color="auto" w:sz="4" w:space="0"/>
                    <w:left w:val="single" w:color="auto" w:sz="4" w:space="0"/>
                    <w:bottom w:val="single" w:color="auto" w:sz="4" w:space="0"/>
                    <w:right w:val="single" w:color="auto" w:sz="4" w:space="0"/>
                  </w:tcBorders>
                  <w:vAlign w:val="center"/>
                </w:tcPr>
                <w:p w14:paraId="6CE6FC23">
                  <w:pPr>
                    <w:wordWrap w:val="0"/>
                    <w:topLinePunct/>
                    <w:adjustRightInd w:val="0"/>
                    <w:snapToGrid w:val="0"/>
                    <w:spacing w:line="240" w:lineRule="auto"/>
                    <w:ind w:left="-120" w:leftChars="-50" w:right="-120" w:rightChars="-50"/>
                    <w:jc w:val="center"/>
                    <w:rPr>
                      <w:snapToGrid w:val="0"/>
                      <w:spacing w:val="4"/>
                      <w:sz w:val="21"/>
                      <w:szCs w:val="21"/>
                      <w:u w:val="single"/>
                    </w:rPr>
                  </w:pPr>
                  <w:r>
                    <w:rPr>
                      <w:rFonts w:hint="eastAsia"/>
                      <w:snapToGrid w:val="0"/>
                      <w:spacing w:val="4"/>
                      <w:sz w:val="21"/>
                      <w:szCs w:val="21"/>
                      <w:u w:val="single"/>
                    </w:rPr>
                    <w:t>/</w:t>
                  </w:r>
                </w:p>
              </w:tc>
              <w:tc>
                <w:tcPr>
                  <w:tcW w:w="575" w:type="pct"/>
                  <w:tcBorders>
                    <w:top w:val="single" w:color="auto" w:sz="4" w:space="0"/>
                    <w:left w:val="single" w:color="auto" w:sz="4" w:space="0"/>
                    <w:bottom w:val="single" w:color="auto" w:sz="4" w:space="0"/>
                    <w:right w:val="single" w:color="auto" w:sz="4" w:space="0"/>
                  </w:tcBorders>
                  <w:vAlign w:val="center"/>
                </w:tcPr>
                <w:p w14:paraId="45E456F1">
                  <w:pPr>
                    <w:wordWrap w:val="0"/>
                    <w:topLinePunct/>
                    <w:adjustRightInd w:val="0"/>
                    <w:snapToGrid w:val="0"/>
                    <w:spacing w:line="240" w:lineRule="auto"/>
                    <w:ind w:left="-120" w:leftChars="-50" w:right="-120" w:rightChars="-50"/>
                    <w:jc w:val="center"/>
                    <w:rPr>
                      <w:snapToGrid w:val="0"/>
                      <w:spacing w:val="4"/>
                      <w:sz w:val="21"/>
                      <w:szCs w:val="21"/>
                      <w:u w:val="single"/>
                    </w:rPr>
                  </w:pPr>
                  <w:r>
                    <w:rPr>
                      <w:rFonts w:hint="eastAsia"/>
                      <w:snapToGrid w:val="0"/>
                      <w:spacing w:val="4"/>
                      <w:sz w:val="21"/>
                      <w:szCs w:val="21"/>
                      <w:u w:val="single"/>
                    </w:rPr>
                    <w:t>0.037</w:t>
                  </w:r>
                </w:p>
              </w:tc>
              <w:tc>
                <w:tcPr>
                  <w:tcW w:w="421" w:type="pct"/>
                  <w:tcBorders>
                    <w:top w:val="single" w:color="auto" w:sz="4" w:space="0"/>
                    <w:left w:val="single" w:color="auto" w:sz="4" w:space="0"/>
                    <w:bottom w:val="single" w:color="auto" w:sz="4" w:space="0"/>
                    <w:right w:val="single" w:color="auto" w:sz="4" w:space="0"/>
                  </w:tcBorders>
                  <w:vAlign w:val="center"/>
                </w:tcPr>
                <w:p w14:paraId="7CE44612">
                  <w:pPr>
                    <w:wordWrap w:val="0"/>
                    <w:topLinePunct/>
                    <w:adjustRightInd w:val="0"/>
                    <w:snapToGrid w:val="0"/>
                    <w:spacing w:line="240" w:lineRule="auto"/>
                    <w:ind w:left="-120" w:leftChars="-50" w:right="-120" w:rightChars="-50"/>
                    <w:jc w:val="center"/>
                    <w:rPr>
                      <w:snapToGrid w:val="0"/>
                      <w:spacing w:val="4"/>
                      <w:sz w:val="21"/>
                      <w:szCs w:val="21"/>
                      <w:u w:val="single"/>
                    </w:rPr>
                  </w:pPr>
                  <w:r>
                    <w:rPr>
                      <w:rFonts w:hint="eastAsia"/>
                      <w:snapToGrid w:val="0"/>
                      <w:spacing w:val="4"/>
                      <w:sz w:val="21"/>
                      <w:szCs w:val="21"/>
                      <w:u w:val="single"/>
                    </w:rPr>
                    <w:t>洒水喷淋</w:t>
                  </w:r>
                  <w:r>
                    <w:rPr>
                      <w:rFonts w:hint="eastAsia"/>
                      <w:snapToGrid w:val="0"/>
                      <w:spacing w:val="4"/>
                      <w:sz w:val="21"/>
                      <w:szCs w:val="21"/>
                      <w:u w:val="single"/>
                      <w:lang w:eastAsia="zh-CN"/>
                    </w:rPr>
                    <w:t>抑尘</w:t>
                  </w:r>
                </w:p>
              </w:tc>
              <w:tc>
                <w:tcPr>
                  <w:tcW w:w="315" w:type="pct"/>
                  <w:tcBorders>
                    <w:top w:val="single" w:color="auto" w:sz="4" w:space="0"/>
                    <w:left w:val="single" w:color="auto" w:sz="4" w:space="0"/>
                    <w:bottom w:val="single" w:color="auto" w:sz="4" w:space="0"/>
                    <w:right w:val="single" w:color="auto" w:sz="4" w:space="0"/>
                  </w:tcBorders>
                  <w:vAlign w:val="center"/>
                </w:tcPr>
                <w:p w14:paraId="49EC3028">
                  <w:pPr>
                    <w:wordWrap w:val="0"/>
                    <w:topLinePunct/>
                    <w:adjustRightInd w:val="0"/>
                    <w:snapToGrid w:val="0"/>
                    <w:spacing w:line="240" w:lineRule="auto"/>
                    <w:ind w:left="-120" w:leftChars="-50" w:right="-120" w:rightChars="-50"/>
                    <w:jc w:val="center"/>
                    <w:rPr>
                      <w:rFonts w:hint="eastAsia" w:eastAsia="宋体"/>
                      <w:snapToGrid w:val="0"/>
                      <w:spacing w:val="4"/>
                      <w:sz w:val="21"/>
                      <w:szCs w:val="21"/>
                      <w:u w:val="single"/>
                      <w:lang w:eastAsia="zh-CN"/>
                    </w:rPr>
                  </w:pPr>
                  <w:r>
                    <w:rPr>
                      <w:rFonts w:hint="eastAsia"/>
                      <w:snapToGrid w:val="0"/>
                      <w:spacing w:val="4"/>
                      <w:sz w:val="21"/>
                      <w:szCs w:val="21"/>
                      <w:u w:val="single"/>
                    </w:rPr>
                    <w:t>7</w:t>
                  </w:r>
                  <w:r>
                    <w:rPr>
                      <w:rFonts w:hint="eastAsia"/>
                      <w:snapToGrid w:val="0"/>
                      <w:spacing w:val="4"/>
                      <w:sz w:val="21"/>
                      <w:szCs w:val="21"/>
                      <w:u w:val="single"/>
                      <w:lang w:val="en-US" w:eastAsia="zh-CN"/>
                    </w:rPr>
                    <w:t>4</w:t>
                  </w:r>
                </w:p>
              </w:tc>
              <w:tc>
                <w:tcPr>
                  <w:tcW w:w="368" w:type="pct"/>
                  <w:tcBorders>
                    <w:top w:val="single" w:color="auto" w:sz="4" w:space="0"/>
                    <w:left w:val="single" w:color="auto" w:sz="4" w:space="0"/>
                    <w:bottom w:val="single" w:color="auto" w:sz="4" w:space="0"/>
                    <w:right w:val="single" w:color="auto" w:sz="4" w:space="0"/>
                  </w:tcBorders>
                  <w:vAlign w:val="center"/>
                </w:tcPr>
                <w:p w14:paraId="09DD420D">
                  <w:pPr>
                    <w:wordWrap w:val="0"/>
                    <w:topLinePunct/>
                    <w:adjustRightInd w:val="0"/>
                    <w:snapToGrid w:val="0"/>
                    <w:spacing w:line="240" w:lineRule="auto"/>
                    <w:ind w:left="-120" w:leftChars="-50" w:right="-120" w:rightChars="-50"/>
                    <w:jc w:val="center"/>
                    <w:rPr>
                      <w:rFonts w:hint="eastAsia" w:eastAsia="宋体"/>
                      <w:snapToGrid w:val="0"/>
                      <w:spacing w:val="4"/>
                      <w:sz w:val="21"/>
                      <w:szCs w:val="21"/>
                      <w:u w:val="single"/>
                      <w:lang w:eastAsia="zh-CN"/>
                    </w:rPr>
                  </w:pPr>
                  <w:r>
                    <w:rPr>
                      <w:rFonts w:hint="eastAsia"/>
                      <w:snapToGrid w:val="0"/>
                      <w:spacing w:val="4"/>
                      <w:sz w:val="21"/>
                      <w:szCs w:val="21"/>
                      <w:u w:val="single"/>
                    </w:rPr>
                    <w:t>0.02</w:t>
                  </w:r>
                  <w:r>
                    <w:rPr>
                      <w:rFonts w:hint="eastAsia"/>
                      <w:snapToGrid w:val="0"/>
                      <w:spacing w:val="4"/>
                      <w:sz w:val="21"/>
                      <w:szCs w:val="21"/>
                      <w:u w:val="single"/>
                      <w:lang w:val="en-US" w:eastAsia="zh-CN"/>
                    </w:rPr>
                    <w:t>3</w:t>
                  </w:r>
                </w:p>
              </w:tc>
              <w:tc>
                <w:tcPr>
                  <w:tcW w:w="360" w:type="pct"/>
                  <w:tcBorders>
                    <w:top w:val="single" w:color="auto" w:sz="4" w:space="0"/>
                    <w:left w:val="single" w:color="auto" w:sz="4" w:space="0"/>
                    <w:bottom w:val="single" w:color="auto" w:sz="4" w:space="0"/>
                    <w:right w:val="single" w:color="auto" w:sz="4" w:space="0"/>
                  </w:tcBorders>
                  <w:vAlign w:val="center"/>
                </w:tcPr>
                <w:p w14:paraId="15764B83">
                  <w:pPr>
                    <w:wordWrap w:val="0"/>
                    <w:topLinePunct/>
                    <w:adjustRightInd w:val="0"/>
                    <w:snapToGrid w:val="0"/>
                    <w:spacing w:line="240" w:lineRule="auto"/>
                    <w:ind w:left="-120" w:leftChars="-50" w:right="-120" w:rightChars="-50"/>
                    <w:jc w:val="center"/>
                    <w:rPr>
                      <w:snapToGrid w:val="0"/>
                      <w:spacing w:val="4"/>
                      <w:sz w:val="21"/>
                      <w:szCs w:val="21"/>
                      <w:u w:val="single"/>
                    </w:rPr>
                  </w:pPr>
                  <w:r>
                    <w:rPr>
                      <w:rFonts w:hint="eastAsia"/>
                      <w:snapToGrid w:val="0"/>
                      <w:spacing w:val="4"/>
                      <w:sz w:val="21"/>
                      <w:szCs w:val="21"/>
                      <w:u w:val="single"/>
                    </w:rPr>
                    <w:t>/</w:t>
                  </w:r>
                </w:p>
              </w:tc>
              <w:tc>
                <w:tcPr>
                  <w:tcW w:w="397" w:type="pct"/>
                  <w:tcBorders>
                    <w:top w:val="single" w:color="auto" w:sz="4" w:space="0"/>
                    <w:left w:val="single" w:color="auto" w:sz="4" w:space="0"/>
                    <w:bottom w:val="single" w:color="auto" w:sz="4" w:space="0"/>
                    <w:right w:val="single" w:color="auto" w:sz="4" w:space="0"/>
                  </w:tcBorders>
                  <w:vAlign w:val="center"/>
                </w:tcPr>
                <w:p w14:paraId="30BD01FA">
                  <w:pPr>
                    <w:wordWrap w:val="0"/>
                    <w:topLinePunct/>
                    <w:adjustRightInd w:val="0"/>
                    <w:snapToGrid w:val="0"/>
                    <w:spacing w:line="240" w:lineRule="auto"/>
                    <w:ind w:left="-120" w:leftChars="-50" w:right="-120" w:rightChars="-50"/>
                    <w:jc w:val="center"/>
                    <w:rPr>
                      <w:snapToGrid w:val="0"/>
                      <w:spacing w:val="4"/>
                      <w:sz w:val="21"/>
                      <w:szCs w:val="21"/>
                      <w:u w:val="single"/>
                    </w:rPr>
                  </w:pPr>
                  <w:r>
                    <w:rPr>
                      <w:rFonts w:hint="eastAsia"/>
                      <w:snapToGrid w:val="0"/>
                      <w:spacing w:val="4"/>
                      <w:sz w:val="21"/>
                      <w:szCs w:val="21"/>
                      <w:u w:val="single"/>
                    </w:rPr>
                    <w:t>0.01</w:t>
                  </w:r>
                </w:p>
              </w:tc>
              <w:tc>
                <w:tcPr>
                  <w:tcW w:w="210" w:type="pct"/>
                  <w:vMerge w:val="continue"/>
                  <w:tcBorders>
                    <w:left w:val="single" w:color="auto" w:sz="4" w:space="0"/>
                    <w:right w:val="single" w:color="auto" w:sz="4" w:space="0"/>
                  </w:tcBorders>
                  <w:vAlign w:val="center"/>
                </w:tcPr>
                <w:p w14:paraId="60DA9F94">
                  <w:pPr>
                    <w:wordWrap w:val="0"/>
                    <w:topLinePunct/>
                    <w:adjustRightInd w:val="0"/>
                    <w:snapToGrid w:val="0"/>
                    <w:spacing w:line="240" w:lineRule="auto"/>
                    <w:ind w:left="-120" w:leftChars="-50" w:right="-120" w:rightChars="-50"/>
                    <w:jc w:val="center"/>
                    <w:rPr>
                      <w:snapToGrid w:val="0"/>
                      <w:color w:val="0000C7"/>
                      <w:spacing w:val="4"/>
                      <w:sz w:val="21"/>
                      <w:szCs w:val="21"/>
                    </w:rPr>
                  </w:pPr>
                </w:p>
              </w:tc>
            </w:tr>
            <w:tr w14:paraId="0D1F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2" w:type="pct"/>
                  <w:tcBorders>
                    <w:left w:val="single" w:color="auto" w:sz="4" w:space="0"/>
                    <w:right w:val="single" w:color="auto" w:sz="4" w:space="0"/>
                  </w:tcBorders>
                  <w:vAlign w:val="center"/>
                </w:tcPr>
                <w:p w14:paraId="2D0C7C4B">
                  <w:pPr>
                    <w:wordWrap w:val="0"/>
                    <w:topLinePunct/>
                    <w:adjustRightInd w:val="0"/>
                    <w:snapToGrid w:val="0"/>
                    <w:spacing w:line="240" w:lineRule="auto"/>
                    <w:ind w:left="-120" w:leftChars="-50" w:right="-120" w:rightChars="-50"/>
                    <w:jc w:val="center"/>
                    <w:rPr>
                      <w:sz w:val="21"/>
                      <w:szCs w:val="21"/>
                    </w:rPr>
                  </w:pPr>
                  <w:r>
                    <w:rPr>
                      <w:sz w:val="21"/>
                      <w:szCs w:val="21"/>
                    </w:rPr>
                    <w:t>/</w:t>
                  </w:r>
                </w:p>
              </w:tc>
              <w:tc>
                <w:tcPr>
                  <w:tcW w:w="433" w:type="pct"/>
                  <w:tcBorders>
                    <w:left w:val="single" w:color="auto" w:sz="4" w:space="0"/>
                    <w:right w:val="single" w:color="auto" w:sz="4" w:space="0"/>
                  </w:tcBorders>
                  <w:vAlign w:val="center"/>
                </w:tcPr>
                <w:p w14:paraId="63BFE266">
                  <w:pPr>
                    <w:wordWrap w:val="0"/>
                    <w:topLinePunct/>
                    <w:adjustRightInd w:val="0"/>
                    <w:snapToGrid w:val="0"/>
                    <w:spacing w:line="240" w:lineRule="auto"/>
                    <w:ind w:left="-120" w:leftChars="-50" w:right="-120" w:rightChars="-50"/>
                    <w:jc w:val="center"/>
                    <w:rPr>
                      <w:sz w:val="21"/>
                      <w:szCs w:val="21"/>
                    </w:rPr>
                  </w:pPr>
                  <w:r>
                    <w:rPr>
                      <w:rFonts w:hint="default"/>
                      <w:snapToGrid w:val="0"/>
                      <w:spacing w:val="4"/>
                      <w:kern w:val="2"/>
                      <w:sz w:val="21"/>
                      <w:szCs w:val="21"/>
                      <w:lang w:val="en-US" w:eastAsia="zh-CN"/>
                    </w:rPr>
                    <w:t>水泥筒仓</w:t>
                  </w:r>
                  <w:r>
                    <w:rPr>
                      <w:rFonts w:hint="eastAsia"/>
                      <w:sz w:val="21"/>
                      <w:szCs w:val="21"/>
                    </w:rPr>
                    <w:t>呼吸孔粉尘</w:t>
                  </w:r>
                </w:p>
              </w:tc>
              <w:tc>
                <w:tcPr>
                  <w:tcW w:w="251" w:type="pct"/>
                  <w:tcBorders>
                    <w:left w:val="single" w:color="auto" w:sz="4" w:space="0"/>
                    <w:right w:val="single" w:color="auto" w:sz="4" w:space="0"/>
                  </w:tcBorders>
                  <w:vAlign w:val="center"/>
                </w:tcPr>
                <w:p w14:paraId="74CF9067">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颗粒物</w:t>
                  </w:r>
                </w:p>
              </w:tc>
              <w:tc>
                <w:tcPr>
                  <w:tcW w:w="278" w:type="pct"/>
                  <w:tcBorders>
                    <w:left w:val="single" w:color="auto" w:sz="4" w:space="0"/>
                    <w:right w:val="single" w:color="auto" w:sz="4" w:space="0"/>
                  </w:tcBorders>
                  <w:vAlign w:val="center"/>
                </w:tcPr>
                <w:p w14:paraId="43050BED">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无组织</w:t>
                  </w:r>
                </w:p>
              </w:tc>
              <w:tc>
                <w:tcPr>
                  <w:tcW w:w="281" w:type="pct"/>
                  <w:tcBorders>
                    <w:top w:val="single" w:color="auto" w:sz="4" w:space="0"/>
                    <w:left w:val="single" w:color="auto" w:sz="4" w:space="0"/>
                    <w:bottom w:val="single" w:color="auto" w:sz="4" w:space="0"/>
                    <w:right w:val="single" w:color="auto" w:sz="4" w:space="0"/>
                  </w:tcBorders>
                  <w:vAlign w:val="center"/>
                </w:tcPr>
                <w:p w14:paraId="747311AA">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物料衡算法</w:t>
                  </w:r>
                </w:p>
              </w:tc>
              <w:tc>
                <w:tcPr>
                  <w:tcW w:w="525" w:type="pct"/>
                  <w:tcBorders>
                    <w:top w:val="single" w:color="auto" w:sz="4" w:space="0"/>
                    <w:left w:val="single" w:color="auto" w:sz="4" w:space="0"/>
                    <w:bottom w:val="single" w:color="auto" w:sz="4" w:space="0"/>
                    <w:right w:val="single" w:color="auto" w:sz="4" w:space="0"/>
                  </w:tcBorders>
                  <w:vAlign w:val="center"/>
                </w:tcPr>
                <w:p w14:paraId="47471FE3">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0.18</w:t>
                  </w:r>
                </w:p>
              </w:tc>
              <w:tc>
                <w:tcPr>
                  <w:tcW w:w="388" w:type="pct"/>
                  <w:tcBorders>
                    <w:top w:val="single" w:color="auto" w:sz="4" w:space="0"/>
                    <w:left w:val="single" w:color="auto" w:sz="4" w:space="0"/>
                    <w:bottom w:val="single" w:color="auto" w:sz="4" w:space="0"/>
                    <w:right w:val="single" w:color="auto" w:sz="4" w:space="0"/>
                  </w:tcBorders>
                  <w:vAlign w:val="center"/>
                </w:tcPr>
                <w:p w14:paraId="3F19E973">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w:t>
                  </w:r>
                </w:p>
              </w:tc>
              <w:tc>
                <w:tcPr>
                  <w:tcW w:w="575" w:type="pct"/>
                  <w:tcBorders>
                    <w:top w:val="single" w:color="auto" w:sz="4" w:space="0"/>
                    <w:left w:val="single" w:color="auto" w:sz="4" w:space="0"/>
                    <w:bottom w:val="single" w:color="auto" w:sz="4" w:space="0"/>
                    <w:right w:val="single" w:color="auto" w:sz="4" w:space="0"/>
                  </w:tcBorders>
                  <w:vAlign w:val="center"/>
                </w:tcPr>
                <w:p w14:paraId="3F8290D6">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0.075</w:t>
                  </w:r>
                </w:p>
              </w:tc>
              <w:tc>
                <w:tcPr>
                  <w:tcW w:w="421" w:type="pct"/>
                  <w:tcBorders>
                    <w:top w:val="single" w:color="auto" w:sz="4" w:space="0"/>
                    <w:left w:val="single" w:color="auto" w:sz="4" w:space="0"/>
                    <w:bottom w:val="single" w:color="auto" w:sz="4" w:space="0"/>
                    <w:right w:val="single" w:color="auto" w:sz="4" w:space="0"/>
                  </w:tcBorders>
                  <w:vAlign w:val="center"/>
                </w:tcPr>
                <w:p w14:paraId="059FF736">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高效仓顶除尘器</w:t>
                  </w:r>
                  <w:r>
                    <w:rPr>
                      <w:rFonts w:hint="eastAsia"/>
                      <w:snapToGrid w:val="0"/>
                      <w:spacing w:val="4"/>
                      <w:sz w:val="21"/>
                      <w:szCs w:val="21"/>
                    </w:rPr>
                    <w:t>+</w:t>
                  </w:r>
                  <w:r>
                    <w:rPr>
                      <w:snapToGrid w:val="0"/>
                      <w:spacing w:val="4"/>
                      <w:sz w:val="21"/>
                      <w:szCs w:val="21"/>
                    </w:rPr>
                    <w:t>全封闭钢棚结构</w:t>
                  </w:r>
                </w:p>
              </w:tc>
              <w:tc>
                <w:tcPr>
                  <w:tcW w:w="315" w:type="pct"/>
                  <w:tcBorders>
                    <w:top w:val="single" w:color="auto" w:sz="4" w:space="0"/>
                    <w:left w:val="single" w:color="auto" w:sz="4" w:space="0"/>
                    <w:bottom w:val="single" w:color="auto" w:sz="4" w:space="0"/>
                    <w:right w:val="single" w:color="auto" w:sz="4" w:space="0"/>
                  </w:tcBorders>
                  <w:vAlign w:val="center"/>
                </w:tcPr>
                <w:p w14:paraId="4180BFBE">
                  <w:pPr>
                    <w:wordWrap w:val="0"/>
                    <w:topLinePunct/>
                    <w:adjustRightInd w:val="0"/>
                    <w:snapToGrid w:val="0"/>
                    <w:spacing w:line="240" w:lineRule="auto"/>
                    <w:ind w:left="-120" w:leftChars="-50" w:right="-120" w:rightChars="-50"/>
                    <w:jc w:val="center"/>
                    <w:rPr>
                      <w:rFonts w:hint="eastAsia" w:eastAsia="宋体"/>
                      <w:snapToGrid w:val="0"/>
                      <w:spacing w:val="4"/>
                      <w:sz w:val="21"/>
                      <w:szCs w:val="21"/>
                      <w:lang w:eastAsia="zh-CN"/>
                    </w:rPr>
                  </w:pPr>
                  <w:r>
                    <w:rPr>
                      <w:rFonts w:hint="eastAsia"/>
                      <w:snapToGrid w:val="0"/>
                      <w:spacing w:val="4"/>
                      <w:sz w:val="21"/>
                      <w:szCs w:val="21"/>
                    </w:rPr>
                    <w:t>9</w:t>
                  </w:r>
                  <w:r>
                    <w:rPr>
                      <w:rFonts w:hint="eastAsia"/>
                      <w:snapToGrid w:val="0"/>
                      <w:spacing w:val="4"/>
                      <w:sz w:val="21"/>
                      <w:szCs w:val="21"/>
                      <w:lang w:val="en-US" w:eastAsia="zh-CN"/>
                    </w:rPr>
                    <w:t>5</w:t>
                  </w:r>
                </w:p>
              </w:tc>
              <w:tc>
                <w:tcPr>
                  <w:tcW w:w="368" w:type="pct"/>
                  <w:tcBorders>
                    <w:top w:val="single" w:color="auto" w:sz="4" w:space="0"/>
                    <w:left w:val="single" w:color="auto" w:sz="4" w:space="0"/>
                    <w:bottom w:val="single" w:color="auto" w:sz="4" w:space="0"/>
                    <w:right w:val="single" w:color="auto" w:sz="4" w:space="0"/>
                  </w:tcBorders>
                  <w:vAlign w:val="center"/>
                </w:tcPr>
                <w:p w14:paraId="6ADBAF79">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0.009</w:t>
                  </w:r>
                </w:p>
              </w:tc>
              <w:tc>
                <w:tcPr>
                  <w:tcW w:w="360" w:type="pct"/>
                  <w:tcBorders>
                    <w:top w:val="single" w:color="auto" w:sz="4" w:space="0"/>
                    <w:left w:val="single" w:color="auto" w:sz="4" w:space="0"/>
                    <w:bottom w:val="single" w:color="auto" w:sz="4" w:space="0"/>
                    <w:right w:val="single" w:color="auto" w:sz="4" w:space="0"/>
                  </w:tcBorders>
                  <w:vAlign w:val="center"/>
                </w:tcPr>
                <w:p w14:paraId="7ED943B7">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w:t>
                  </w:r>
                </w:p>
              </w:tc>
              <w:tc>
                <w:tcPr>
                  <w:tcW w:w="397" w:type="pct"/>
                  <w:tcBorders>
                    <w:top w:val="single" w:color="auto" w:sz="4" w:space="0"/>
                    <w:left w:val="single" w:color="auto" w:sz="4" w:space="0"/>
                    <w:bottom w:val="single" w:color="auto" w:sz="4" w:space="0"/>
                    <w:right w:val="single" w:color="auto" w:sz="4" w:space="0"/>
                  </w:tcBorders>
                  <w:vAlign w:val="center"/>
                </w:tcPr>
                <w:p w14:paraId="294C0480">
                  <w:pPr>
                    <w:wordWrap w:val="0"/>
                    <w:topLinePunct/>
                    <w:adjustRightInd w:val="0"/>
                    <w:snapToGrid w:val="0"/>
                    <w:spacing w:line="240" w:lineRule="auto"/>
                    <w:ind w:left="-120" w:leftChars="-50" w:right="-120" w:rightChars="-50"/>
                    <w:jc w:val="center"/>
                    <w:rPr>
                      <w:snapToGrid w:val="0"/>
                      <w:spacing w:val="4"/>
                      <w:sz w:val="21"/>
                      <w:szCs w:val="21"/>
                    </w:rPr>
                  </w:pPr>
                  <w:r>
                    <w:rPr>
                      <w:rFonts w:hint="eastAsia"/>
                      <w:snapToGrid w:val="0"/>
                      <w:spacing w:val="4"/>
                      <w:sz w:val="21"/>
                      <w:szCs w:val="21"/>
                    </w:rPr>
                    <w:t>0.004</w:t>
                  </w:r>
                </w:p>
              </w:tc>
              <w:tc>
                <w:tcPr>
                  <w:tcW w:w="210" w:type="pct"/>
                  <w:vMerge w:val="continue"/>
                  <w:tcBorders>
                    <w:left w:val="single" w:color="auto" w:sz="4" w:space="0"/>
                    <w:right w:val="single" w:color="auto" w:sz="4" w:space="0"/>
                  </w:tcBorders>
                  <w:vAlign w:val="center"/>
                </w:tcPr>
                <w:p w14:paraId="4B125932">
                  <w:pPr>
                    <w:wordWrap w:val="0"/>
                    <w:topLinePunct/>
                    <w:adjustRightInd w:val="0"/>
                    <w:snapToGrid w:val="0"/>
                    <w:spacing w:line="240" w:lineRule="auto"/>
                    <w:ind w:left="-120" w:leftChars="-50" w:right="-120" w:rightChars="-50"/>
                    <w:jc w:val="center"/>
                    <w:rPr>
                      <w:snapToGrid w:val="0"/>
                      <w:color w:val="0000C7"/>
                      <w:spacing w:val="4"/>
                      <w:sz w:val="21"/>
                      <w:szCs w:val="21"/>
                    </w:rPr>
                  </w:pPr>
                </w:p>
              </w:tc>
            </w:tr>
          </w:tbl>
          <w:p w14:paraId="7C78D24E">
            <w:pPr>
              <w:pStyle w:val="42"/>
              <w:tabs>
                <w:tab w:val="center" w:pos="3973"/>
              </w:tabs>
              <w:spacing w:line="240" w:lineRule="auto"/>
              <w:rPr>
                <w:b/>
                <w:bCs/>
                <w:sz w:val="21"/>
                <w:szCs w:val="21"/>
              </w:rPr>
            </w:pPr>
            <w:r>
              <w:rPr>
                <w:b/>
                <w:bCs/>
                <w:sz w:val="21"/>
                <w:szCs w:val="21"/>
              </w:rPr>
              <w:t>表4-</w:t>
            </w:r>
            <w:r>
              <w:rPr>
                <w:rFonts w:hint="eastAsia"/>
                <w:b/>
                <w:bCs/>
                <w:sz w:val="21"/>
                <w:szCs w:val="21"/>
                <w:lang w:val="en-US" w:eastAsia="zh-CN"/>
              </w:rPr>
              <w:t>4</w:t>
            </w:r>
            <w:r>
              <w:rPr>
                <w:b/>
                <w:bCs/>
                <w:sz w:val="21"/>
                <w:szCs w:val="21"/>
              </w:rPr>
              <w:t xml:space="preserve">  有组织废气产污环节、污染物种类、排放方式及污染防治设施一览表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648"/>
              <w:gridCol w:w="640"/>
              <w:gridCol w:w="917"/>
              <w:gridCol w:w="1006"/>
              <w:gridCol w:w="1006"/>
              <w:gridCol w:w="909"/>
              <w:gridCol w:w="1327"/>
              <w:gridCol w:w="776"/>
              <w:gridCol w:w="807"/>
            </w:tblGrid>
            <w:tr w14:paraId="2941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74" w:type="pct"/>
                  <w:vMerge w:val="restart"/>
                  <w:vAlign w:val="center"/>
                </w:tcPr>
                <w:p w14:paraId="0B13EC9B">
                  <w:pPr>
                    <w:wordWrap w:val="0"/>
                    <w:topLinePunct/>
                    <w:adjustRightInd w:val="0"/>
                    <w:snapToGrid w:val="0"/>
                    <w:spacing w:line="240" w:lineRule="auto"/>
                    <w:ind w:left="-48" w:leftChars="-20" w:right="-48" w:rightChars="-20"/>
                    <w:jc w:val="center"/>
                    <w:rPr>
                      <w:b/>
                      <w:bCs/>
                      <w:sz w:val="21"/>
                      <w:szCs w:val="21"/>
                    </w:rPr>
                  </w:pPr>
                  <w:r>
                    <w:rPr>
                      <w:b/>
                      <w:bCs/>
                      <w:sz w:val="21"/>
                      <w:szCs w:val="21"/>
                    </w:rPr>
                    <w:t>产污</w:t>
                  </w:r>
                </w:p>
                <w:p w14:paraId="7FAB33A5">
                  <w:pPr>
                    <w:wordWrap w:val="0"/>
                    <w:topLinePunct/>
                    <w:adjustRightInd w:val="0"/>
                    <w:snapToGrid w:val="0"/>
                    <w:spacing w:line="240" w:lineRule="auto"/>
                    <w:ind w:left="-48" w:leftChars="-20" w:right="-48" w:rightChars="-20"/>
                    <w:jc w:val="center"/>
                    <w:rPr>
                      <w:b/>
                      <w:bCs/>
                      <w:sz w:val="21"/>
                      <w:szCs w:val="21"/>
                    </w:rPr>
                  </w:pPr>
                  <w:r>
                    <w:rPr>
                      <w:b/>
                      <w:bCs/>
                      <w:sz w:val="21"/>
                      <w:szCs w:val="21"/>
                    </w:rPr>
                    <w:t>环节</w:t>
                  </w:r>
                </w:p>
              </w:tc>
              <w:tc>
                <w:tcPr>
                  <w:tcW w:w="381" w:type="pct"/>
                  <w:vMerge w:val="restart"/>
                  <w:vAlign w:val="center"/>
                </w:tcPr>
                <w:p w14:paraId="549BDC6E">
                  <w:pPr>
                    <w:wordWrap w:val="0"/>
                    <w:topLinePunct/>
                    <w:adjustRightInd w:val="0"/>
                    <w:snapToGrid w:val="0"/>
                    <w:spacing w:line="240" w:lineRule="auto"/>
                    <w:ind w:left="-48" w:leftChars="-20" w:right="-48" w:rightChars="-20"/>
                    <w:jc w:val="center"/>
                    <w:rPr>
                      <w:b/>
                      <w:bCs/>
                      <w:sz w:val="21"/>
                      <w:szCs w:val="21"/>
                    </w:rPr>
                  </w:pPr>
                  <w:r>
                    <w:rPr>
                      <w:b/>
                      <w:bCs/>
                      <w:sz w:val="21"/>
                      <w:szCs w:val="21"/>
                    </w:rPr>
                    <w:t>生产</w:t>
                  </w:r>
                </w:p>
                <w:p w14:paraId="38A19BAC">
                  <w:pPr>
                    <w:wordWrap w:val="0"/>
                    <w:topLinePunct/>
                    <w:adjustRightInd w:val="0"/>
                    <w:snapToGrid w:val="0"/>
                    <w:spacing w:line="240" w:lineRule="auto"/>
                    <w:ind w:left="-48" w:leftChars="-20" w:right="-48" w:rightChars="-20"/>
                    <w:jc w:val="center"/>
                    <w:rPr>
                      <w:b/>
                      <w:bCs/>
                      <w:sz w:val="21"/>
                      <w:szCs w:val="21"/>
                    </w:rPr>
                  </w:pPr>
                  <w:r>
                    <w:rPr>
                      <w:b/>
                      <w:bCs/>
                      <w:sz w:val="21"/>
                      <w:szCs w:val="21"/>
                    </w:rPr>
                    <w:t>设施</w:t>
                  </w:r>
                </w:p>
              </w:tc>
              <w:tc>
                <w:tcPr>
                  <w:tcW w:w="376" w:type="pct"/>
                  <w:vMerge w:val="restart"/>
                  <w:vAlign w:val="center"/>
                </w:tcPr>
                <w:p w14:paraId="66A09946">
                  <w:pPr>
                    <w:wordWrap w:val="0"/>
                    <w:topLinePunct/>
                    <w:adjustRightInd w:val="0"/>
                    <w:snapToGrid w:val="0"/>
                    <w:spacing w:line="240" w:lineRule="auto"/>
                    <w:ind w:left="-48" w:leftChars="-20" w:right="-48" w:rightChars="-20"/>
                    <w:jc w:val="center"/>
                    <w:rPr>
                      <w:b/>
                      <w:bCs/>
                      <w:sz w:val="21"/>
                      <w:szCs w:val="21"/>
                    </w:rPr>
                  </w:pPr>
                  <w:r>
                    <w:rPr>
                      <w:b/>
                      <w:bCs/>
                      <w:sz w:val="21"/>
                      <w:szCs w:val="21"/>
                    </w:rPr>
                    <w:t>污染物</w:t>
                  </w:r>
                </w:p>
                <w:p w14:paraId="43CCA81E">
                  <w:pPr>
                    <w:wordWrap w:val="0"/>
                    <w:topLinePunct/>
                    <w:adjustRightInd w:val="0"/>
                    <w:snapToGrid w:val="0"/>
                    <w:spacing w:line="240" w:lineRule="auto"/>
                    <w:ind w:left="-48" w:leftChars="-20" w:right="-48" w:rightChars="-20"/>
                    <w:jc w:val="center"/>
                    <w:rPr>
                      <w:b/>
                      <w:bCs/>
                      <w:sz w:val="21"/>
                      <w:szCs w:val="21"/>
                    </w:rPr>
                  </w:pPr>
                  <w:r>
                    <w:rPr>
                      <w:b/>
                      <w:bCs/>
                      <w:sz w:val="21"/>
                      <w:szCs w:val="21"/>
                    </w:rPr>
                    <w:t>种类</w:t>
                  </w:r>
                </w:p>
              </w:tc>
              <w:tc>
                <w:tcPr>
                  <w:tcW w:w="539" w:type="pct"/>
                  <w:vMerge w:val="restart"/>
                  <w:vAlign w:val="center"/>
                </w:tcPr>
                <w:p w14:paraId="42010193">
                  <w:pPr>
                    <w:wordWrap w:val="0"/>
                    <w:topLinePunct/>
                    <w:adjustRightInd w:val="0"/>
                    <w:snapToGrid w:val="0"/>
                    <w:spacing w:line="240" w:lineRule="auto"/>
                    <w:ind w:left="-48" w:leftChars="-20" w:right="-48" w:rightChars="-20"/>
                    <w:jc w:val="center"/>
                    <w:rPr>
                      <w:b/>
                      <w:bCs/>
                      <w:sz w:val="21"/>
                      <w:szCs w:val="21"/>
                    </w:rPr>
                  </w:pPr>
                  <w:r>
                    <w:rPr>
                      <w:b/>
                      <w:bCs/>
                      <w:sz w:val="21"/>
                      <w:szCs w:val="21"/>
                    </w:rPr>
                    <w:t>排放</w:t>
                  </w:r>
                </w:p>
                <w:p w14:paraId="283198D7">
                  <w:pPr>
                    <w:wordWrap w:val="0"/>
                    <w:topLinePunct/>
                    <w:adjustRightInd w:val="0"/>
                    <w:snapToGrid w:val="0"/>
                    <w:spacing w:line="240" w:lineRule="auto"/>
                    <w:ind w:left="-48" w:leftChars="-20" w:right="-48" w:rightChars="-20"/>
                    <w:jc w:val="center"/>
                    <w:rPr>
                      <w:b/>
                      <w:bCs/>
                      <w:sz w:val="21"/>
                      <w:szCs w:val="21"/>
                    </w:rPr>
                  </w:pPr>
                  <w:r>
                    <w:rPr>
                      <w:b/>
                      <w:bCs/>
                      <w:sz w:val="21"/>
                      <w:szCs w:val="21"/>
                    </w:rPr>
                    <w:t>方式</w:t>
                  </w:r>
                </w:p>
              </w:tc>
              <w:tc>
                <w:tcPr>
                  <w:tcW w:w="591" w:type="pct"/>
                  <w:vMerge w:val="restart"/>
                  <w:vAlign w:val="center"/>
                </w:tcPr>
                <w:p w14:paraId="6DB7DFB4">
                  <w:pPr>
                    <w:wordWrap w:val="0"/>
                    <w:topLinePunct/>
                    <w:adjustRightInd w:val="0"/>
                    <w:snapToGrid w:val="0"/>
                    <w:spacing w:line="240" w:lineRule="auto"/>
                    <w:ind w:left="-48" w:leftChars="-20" w:right="-48" w:rightChars="-20"/>
                    <w:jc w:val="center"/>
                    <w:rPr>
                      <w:b/>
                      <w:bCs/>
                      <w:sz w:val="21"/>
                      <w:szCs w:val="21"/>
                    </w:rPr>
                  </w:pPr>
                  <w:r>
                    <w:rPr>
                      <w:b/>
                      <w:bCs/>
                      <w:sz w:val="21"/>
                      <w:szCs w:val="21"/>
                    </w:rPr>
                    <w:t>执行</w:t>
                  </w:r>
                </w:p>
                <w:p w14:paraId="53DF0BEE">
                  <w:pPr>
                    <w:wordWrap w:val="0"/>
                    <w:topLinePunct/>
                    <w:adjustRightInd w:val="0"/>
                    <w:snapToGrid w:val="0"/>
                    <w:spacing w:line="240" w:lineRule="auto"/>
                    <w:ind w:left="-48" w:leftChars="-20" w:right="-48" w:rightChars="-20"/>
                    <w:jc w:val="center"/>
                    <w:rPr>
                      <w:b/>
                      <w:bCs/>
                      <w:sz w:val="21"/>
                      <w:szCs w:val="21"/>
                    </w:rPr>
                  </w:pPr>
                  <w:r>
                    <w:rPr>
                      <w:b/>
                      <w:bCs/>
                      <w:sz w:val="21"/>
                      <w:szCs w:val="21"/>
                    </w:rPr>
                    <w:t>标准</w:t>
                  </w:r>
                </w:p>
              </w:tc>
              <w:tc>
                <w:tcPr>
                  <w:tcW w:w="591" w:type="pct"/>
                  <w:vMerge w:val="restart"/>
                  <w:vAlign w:val="center"/>
                </w:tcPr>
                <w:p w14:paraId="792C54E4">
                  <w:pPr>
                    <w:wordWrap w:val="0"/>
                    <w:topLinePunct/>
                    <w:adjustRightInd w:val="0"/>
                    <w:snapToGrid w:val="0"/>
                    <w:spacing w:line="240" w:lineRule="auto"/>
                    <w:ind w:left="-48" w:leftChars="-20" w:right="-48" w:rightChars="-20"/>
                    <w:jc w:val="center"/>
                    <w:rPr>
                      <w:b/>
                      <w:bCs/>
                      <w:sz w:val="21"/>
                      <w:szCs w:val="21"/>
                      <w:highlight w:val="green"/>
                    </w:rPr>
                  </w:pPr>
                  <w:r>
                    <w:rPr>
                      <w:b/>
                      <w:bCs/>
                      <w:sz w:val="21"/>
                      <w:szCs w:val="21"/>
                    </w:rPr>
                    <w:t>浓度限值（mg/m</w:t>
                  </w:r>
                  <w:r>
                    <w:rPr>
                      <w:b/>
                      <w:bCs/>
                      <w:sz w:val="21"/>
                      <w:szCs w:val="21"/>
                      <w:vertAlign w:val="superscript"/>
                    </w:rPr>
                    <w:t>3</w:t>
                  </w:r>
                  <w:r>
                    <w:rPr>
                      <w:b/>
                      <w:bCs/>
                      <w:sz w:val="21"/>
                      <w:szCs w:val="21"/>
                    </w:rPr>
                    <w:t>）</w:t>
                  </w:r>
                </w:p>
              </w:tc>
              <w:tc>
                <w:tcPr>
                  <w:tcW w:w="534" w:type="pct"/>
                  <w:vMerge w:val="restart"/>
                  <w:vAlign w:val="center"/>
                </w:tcPr>
                <w:p w14:paraId="56EC5C41">
                  <w:pPr>
                    <w:wordWrap w:val="0"/>
                    <w:topLinePunct/>
                    <w:adjustRightInd w:val="0"/>
                    <w:snapToGrid w:val="0"/>
                    <w:spacing w:line="240" w:lineRule="auto"/>
                    <w:ind w:right="-48" w:rightChars="-20"/>
                    <w:jc w:val="center"/>
                    <w:rPr>
                      <w:b/>
                      <w:bCs/>
                      <w:sz w:val="21"/>
                      <w:szCs w:val="21"/>
                    </w:rPr>
                  </w:pPr>
                  <w:r>
                    <w:rPr>
                      <w:b/>
                      <w:bCs/>
                      <w:sz w:val="21"/>
                      <w:szCs w:val="21"/>
                    </w:rPr>
                    <w:t>排放浓度</w:t>
                  </w:r>
                </w:p>
              </w:tc>
              <w:tc>
                <w:tcPr>
                  <w:tcW w:w="1236" w:type="pct"/>
                  <w:gridSpan w:val="2"/>
                  <w:vAlign w:val="center"/>
                </w:tcPr>
                <w:p w14:paraId="22F9AAB3">
                  <w:pPr>
                    <w:wordWrap w:val="0"/>
                    <w:topLinePunct/>
                    <w:adjustRightInd w:val="0"/>
                    <w:snapToGrid w:val="0"/>
                    <w:spacing w:line="240" w:lineRule="auto"/>
                    <w:ind w:left="-48" w:leftChars="-20" w:right="-48" w:rightChars="-20"/>
                    <w:jc w:val="center"/>
                    <w:rPr>
                      <w:b/>
                      <w:bCs/>
                      <w:sz w:val="21"/>
                      <w:szCs w:val="21"/>
                    </w:rPr>
                  </w:pPr>
                  <w:r>
                    <w:rPr>
                      <w:b/>
                      <w:bCs/>
                      <w:sz w:val="21"/>
                      <w:szCs w:val="21"/>
                    </w:rPr>
                    <w:t>污染防治设施</w:t>
                  </w:r>
                </w:p>
              </w:tc>
              <w:tc>
                <w:tcPr>
                  <w:tcW w:w="474" w:type="pct"/>
                  <w:vMerge w:val="restart"/>
                  <w:vAlign w:val="center"/>
                </w:tcPr>
                <w:p w14:paraId="681AB4BE">
                  <w:pPr>
                    <w:wordWrap w:val="0"/>
                    <w:topLinePunct/>
                    <w:adjustRightInd w:val="0"/>
                    <w:snapToGrid w:val="0"/>
                    <w:spacing w:line="240" w:lineRule="auto"/>
                    <w:ind w:left="-48" w:leftChars="-20" w:right="-48" w:rightChars="-20"/>
                    <w:jc w:val="center"/>
                    <w:rPr>
                      <w:b/>
                      <w:bCs/>
                      <w:sz w:val="21"/>
                      <w:szCs w:val="21"/>
                    </w:rPr>
                  </w:pPr>
                  <w:r>
                    <w:rPr>
                      <w:b/>
                      <w:bCs/>
                      <w:sz w:val="21"/>
                      <w:szCs w:val="21"/>
                    </w:rPr>
                    <w:t>排放口</w:t>
                  </w:r>
                </w:p>
                <w:p w14:paraId="10A6583E">
                  <w:pPr>
                    <w:wordWrap w:val="0"/>
                    <w:topLinePunct/>
                    <w:adjustRightInd w:val="0"/>
                    <w:snapToGrid w:val="0"/>
                    <w:spacing w:line="240" w:lineRule="auto"/>
                    <w:ind w:left="-48" w:leftChars="-20" w:right="-48" w:rightChars="-20"/>
                    <w:jc w:val="center"/>
                    <w:rPr>
                      <w:b/>
                      <w:bCs/>
                      <w:sz w:val="21"/>
                      <w:szCs w:val="21"/>
                    </w:rPr>
                  </w:pPr>
                  <w:r>
                    <w:rPr>
                      <w:b/>
                      <w:bCs/>
                      <w:sz w:val="21"/>
                      <w:szCs w:val="21"/>
                    </w:rPr>
                    <w:t>类型</w:t>
                  </w:r>
                </w:p>
              </w:tc>
            </w:tr>
            <w:tr w14:paraId="1AFE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74" w:type="pct"/>
                  <w:vMerge w:val="continue"/>
                  <w:vAlign w:val="center"/>
                </w:tcPr>
                <w:p w14:paraId="5FDC44CF">
                  <w:pPr>
                    <w:wordWrap w:val="0"/>
                    <w:topLinePunct/>
                    <w:adjustRightInd w:val="0"/>
                    <w:snapToGrid w:val="0"/>
                    <w:spacing w:line="240" w:lineRule="auto"/>
                    <w:ind w:left="-48" w:leftChars="-20" w:right="-48" w:rightChars="-20"/>
                    <w:jc w:val="center"/>
                    <w:rPr>
                      <w:b/>
                      <w:bCs/>
                      <w:sz w:val="21"/>
                      <w:szCs w:val="21"/>
                    </w:rPr>
                  </w:pPr>
                </w:p>
              </w:tc>
              <w:tc>
                <w:tcPr>
                  <w:tcW w:w="381" w:type="pct"/>
                  <w:vMerge w:val="continue"/>
                  <w:vAlign w:val="center"/>
                </w:tcPr>
                <w:p w14:paraId="06213E17">
                  <w:pPr>
                    <w:wordWrap w:val="0"/>
                    <w:topLinePunct/>
                    <w:adjustRightInd w:val="0"/>
                    <w:snapToGrid w:val="0"/>
                    <w:spacing w:line="240" w:lineRule="auto"/>
                    <w:ind w:left="-48" w:leftChars="-20" w:right="-48" w:rightChars="-20"/>
                    <w:jc w:val="center"/>
                    <w:rPr>
                      <w:b/>
                      <w:bCs/>
                      <w:sz w:val="21"/>
                      <w:szCs w:val="21"/>
                    </w:rPr>
                  </w:pPr>
                </w:p>
              </w:tc>
              <w:tc>
                <w:tcPr>
                  <w:tcW w:w="376" w:type="pct"/>
                  <w:vMerge w:val="continue"/>
                  <w:vAlign w:val="center"/>
                </w:tcPr>
                <w:p w14:paraId="6F9DBE57">
                  <w:pPr>
                    <w:wordWrap w:val="0"/>
                    <w:topLinePunct/>
                    <w:adjustRightInd w:val="0"/>
                    <w:snapToGrid w:val="0"/>
                    <w:spacing w:line="240" w:lineRule="auto"/>
                    <w:ind w:left="-48" w:leftChars="-20" w:right="-48" w:rightChars="-20"/>
                    <w:jc w:val="center"/>
                    <w:rPr>
                      <w:b/>
                      <w:bCs/>
                      <w:sz w:val="21"/>
                      <w:szCs w:val="21"/>
                    </w:rPr>
                  </w:pPr>
                </w:p>
              </w:tc>
              <w:tc>
                <w:tcPr>
                  <w:tcW w:w="539" w:type="pct"/>
                  <w:vMerge w:val="continue"/>
                  <w:vAlign w:val="center"/>
                </w:tcPr>
                <w:p w14:paraId="5D8D6812">
                  <w:pPr>
                    <w:wordWrap w:val="0"/>
                    <w:topLinePunct/>
                    <w:adjustRightInd w:val="0"/>
                    <w:snapToGrid w:val="0"/>
                    <w:spacing w:line="240" w:lineRule="auto"/>
                    <w:ind w:left="-48" w:leftChars="-20" w:right="-48" w:rightChars="-20"/>
                    <w:jc w:val="center"/>
                    <w:rPr>
                      <w:b/>
                      <w:bCs/>
                      <w:sz w:val="21"/>
                      <w:szCs w:val="21"/>
                    </w:rPr>
                  </w:pPr>
                </w:p>
              </w:tc>
              <w:tc>
                <w:tcPr>
                  <w:tcW w:w="591" w:type="pct"/>
                  <w:vMerge w:val="continue"/>
                  <w:vAlign w:val="center"/>
                </w:tcPr>
                <w:p w14:paraId="201C1FDE">
                  <w:pPr>
                    <w:wordWrap w:val="0"/>
                    <w:topLinePunct/>
                    <w:adjustRightInd w:val="0"/>
                    <w:snapToGrid w:val="0"/>
                    <w:spacing w:line="240" w:lineRule="auto"/>
                    <w:ind w:left="-48" w:leftChars="-20" w:right="-48" w:rightChars="-20"/>
                    <w:jc w:val="center"/>
                    <w:rPr>
                      <w:b/>
                      <w:bCs/>
                      <w:sz w:val="21"/>
                      <w:szCs w:val="21"/>
                    </w:rPr>
                  </w:pPr>
                </w:p>
              </w:tc>
              <w:tc>
                <w:tcPr>
                  <w:tcW w:w="591" w:type="pct"/>
                  <w:vMerge w:val="continue"/>
                  <w:vAlign w:val="center"/>
                </w:tcPr>
                <w:p w14:paraId="2C403E3E">
                  <w:pPr>
                    <w:wordWrap w:val="0"/>
                    <w:topLinePunct/>
                    <w:adjustRightInd w:val="0"/>
                    <w:snapToGrid w:val="0"/>
                    <w:spacing w:line="240" w:lineRule="auto"/>
                    <w:ind w:left="-48" w:leftChars="-20" w:right="-48" w:rightChars="-20"/>
                    <w:jc w:val="center"/>
                    <w:rPr>
                      <w:b/>
                      <w:bCs/>
                      <w:sz w:val="21"/>
                      <w:szCs w:val="21"/>
                    </w:rPr>
                  </w:pPr>
                </w:p>
              </w:tc>
              <w:tc>
                <w:tcPr>
                  <w:tcW w:w="534" w:type="pct"/>
                  <w:vMerge w:val="continue"/>
                  <w:vAlign w:val="center"/>
                </w:tcPr>
                <w:p w14:paraId="0B2BEC3C">
                  <w:pPr>
                    <w:wordWrap w:val="0"/>
                    <w:topLinePunct/>
                    <w:adjustRightInd w:val="0"/>
                    <w:snapToGrid w:val="0"/>
                    <w:spacing w:line="240" w:lineRule="auto"/>
                    <w:ind w:left="-48" w:leftChars="-20" w:right="-48" w:rightChars="-20"/>
                    <w:jc w:val="center"/>
                    <w:rPr>
                      <w:b/>
                      <w:bCs/>
                      <w:sz w:val="21"/>
                      <w:szCs w:val="21"/>
                    </w:rPr>
                  </w:pPr>
                </w:p>
              </w:tc>
              <w:tc>
                <w:tcPr>
                  <w:tcW w:w="780" w:type="pct"/>
                  <w:vAlign w:val="center"/>
                </w:tcPr>
                <w:p w14:paraId="32954695">
                  <w:pPr>
                    <w:pStyle w:val="2"/>
                    <w:wordWrap w:val="0"/>
                    <w:topLinePunct/>
                    <w:autoSpaceDE/>
                    <w:autoSpaceDN/>
                    <w:snapToGrid w:val="0"/>
                    <w:spacing w:line="240" w:lineRule="auto"/>
                    <w:ind w:right="-48" w:rightChars="-2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污染防治设施名称及工艺</w:t>
                  </w:r>
                </w:p>
              </w:tc>
              <w:tc>
                <w:tcPr>
                  <w:tcW w:w="455" w:type="pct"/>
                  <w:vAlign w:val="center"/>
                </w:tcPr>
                <w:p w14:paraId="34EF5481">
                  <w:pPr>
                    <w:wordWrap w:val="0"/>
                    <w:topLinePunct/>
                    <w:adjustRightInd w:val="0"/>
                    <w:snapToGrid w:val="0"/>
                    <w:spacing w:line="240" w:lineRule="auto"/>
                    <w:ind w:left="-48" w:leftChars="-20" w:right="-48" w:rightChars="-20"/>
                    <w:jc w:val="center"/>
                    <w:rPr>
                      <w:b/>
                      <w:bCs/>
                      <w:sz w:val="21"/>
                      <w:szCs w:val="21"/>
                    </w:rPr>
                  </w:pPr>
                  <w:r>
                    <w:rPr>
                      <w:b/>
                      <w:bCs/>
                      <w:sz w:val="21"/>
                      <w:szCs w:val="21"/>
                    </w:rPr>
                    <w:t>是否为可</w:t>
                  </w:r>
                </w:p>
                <w:p w14:paraId="3D4C124F">
                  <w:pPr>
                    <w:wordWrap w:val="0"/>
                    <w:topLinePunct/>
                    <w:adjustRightInd w:val="0"/>
                    <w:snapToGrid w:val="0"/>
                    <w:spacing w:line="240" w:lineRule="auto"/>
                    <w:ind w:left="-48" w:leftChars="-20" w:right="-48" w:rightChars="-20"/>
                    <w:jc w:val="center"/>
                    <w:rPr>
                      <w:b/>
                      <w:bCs/>
                      <w:sz w:val="21"/>
                      <w:szCs w:val="21"/>
                    </w:rPr>
                  </w:pPr>
                  <w:r>
                    <w:rPr>
                      <w:b/>
                      <w:bCs/>
                      <w:sz w:val="21"/>
                      <w:szCs w:val="21"/>
                    </w:rPr>
                    <w:t>行技术</w:t>
                  </w:r>
                </w:p>
              </w:tc>
              <w:tc>
                <w:tcPr>
                  <w:tcW w:w="474" w:type="pct"/>
                  <w:vMerge w:val="continue"/>
                  <w:vAlign w:val="center"/>
                </w:tcPr>
                <w:p w14:paraId="7C56D86F">
                  <w:pPr>
                    <w:wordWrap w:val="0"/>
                    <w:topLinePunct/>
                    <w:adjustRightInd w:val="0"/>
                    <w:snapToGrid w:val="0"/>
                    <w:spacing w:line="240" w:lineRule="auto"/>
                    <w:ind w:left="-48" w:leftChars="-20" w:right="-48" w:rightChars="-20"/>
                    <w:jc w:val="center"/>
                    <w:rPr>
                      <w:sz w:val="21"/>
                      <w:szCs w:val="21"/>
                    </w:rPr>
                  </w:pPr>
                </w:p>
              </w:tc>
            </w:tr>
            <w:tr w14:paraId="140B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74" w:type="pct"/>
                  <w:vAlign w:val="center"/>
                </w:tcPr>
                <w:p w14:paraId="7E09D695">
                  <w:pPr>
                    <w:wordWrap w:val="0"/>
                    <w:topLinePunct/>
                    <w:adjustRightInd w:val="0"/>
                    <w:snapToGrid w:val="0"/>
                    <w:spacing w:line="240" w:lineRule="auto"/>
                    <w:ind w:left="-48" w:leftChars="-20" w:right="-48" w:rightChars="-20"/>
                    <w:jc w:val="center"/>
                    <w:rPr>
                      <w:sz w:val="21"/>
                      <w:szCs w:val="21"/>
                    </w:rPr>
                  </w:pPr>
                  <w:r>
                    <w:rPr>
                      <w:sz w:val="21"/>
                      <w:szCs w:val="21"/>
                    </w:rPr>
                    <w:t>烹饪</w:t>
                  </w:r>
                </w:p>
              </w:tc>
              <w:tc>
                <w:tcPr>
                  <w:tcW w:w="381" w:type="pct"/>
                  <w:vAlign w:val="center"/>
                </w:tcPr>
                <w:p w14:paraId="19733593">
                  <w:pPr>
                    <w:wordWrap w:val="0"/>
                    <w:topLinePunct/>
                    <w:adjustRightInd w:val="0"/>
                    <w:snapToGrid w:val="0"/>
                    <w:spacing w:line="240" w:lineRule="auto"/>
                    <w:ind w:left="-48" w:leftChars="-20" w:right="-48" w:rightChars="-20"/>
                    <w:jc w:val="center"/>
                    <w:rPr>
                      <w:sz w:val="21"/>
                      <w:szCs w:val="21"/>
                    </w:rPr>
                  </w:pPr>
                  <w:r>
                    <w:rPr>
                      <w:sz w:val="21"/>
                      <w:szCs w:val="21"/>
                    </w:rPr>
                    <w:t>食堂</w:t>
                  </w:r>
                </w:p>
              </w:tc>
              <w:tc>
                <w:tcPr>
                  <w:tcW w:w="376" w:type="pct"/>
                  <w:vAlign w:val="center"/>
                </w:tcPr>
                <w:p w14:paraId="377D467C">
                  <w:pPr>
                    <w:wordWrap w:val="0"/>
                    <w:topLinePunct/>
                    <w:adjustRightInd w:val="0"/>
                    <w:snapToGrid w:val="0"/>
                    <w:spacing w:line="240" w:lineRule="auto"/>
                    <w:ind w:left="-48" w:leftChars="-20" w:right="-48" w:rightChars="-20"/>
                    <w:jc w:val="center"/>
                    <w:rPr>
                      <w:sz w:val="21"/>
                      <w:szCs w:val="21"/>
                    </w:rPr>
                  </w:pPr>
                  <w:r>
                    <w:rPr>
                      <w:sz w:val="21"/>
                      <w:szCs w:val="21"/>
                    </w:rPr>
                    <w:t>油烟</w:t>
                  </w:r>
                </w:p>
              </w:tc>
              <w:tc>
                <w:tcPr>
                  <w:tcW w:w="539" w:type="pct"/>
                  <w:vAlign w:val="center"/>
                </w:tcPr>
                <w:p w14:paraId="66E6F63F">
                  <w:pPr>
                    <w:wordWrap w:val="0"/>
                    <w:topLinePunct/>
                    <w:adjustRightInd w:val="0"/>
                    <w:snapToGrid w:val="0"/>
                    <w:spacing w:line="240" w:lineRule="auto"/>
                    <w:ind w:left="-48" w:leftChars="-20" w:right="-48" w:rightChars="-20"/>
                    <w:jc w:val="center"/>
                    <w:rPr>
                      <w:sz w:val="21"/>
                      <w:szCs w:val="21"/>
                    </w:rPr>
                  </w:pPr>
                  <w:r>
                    <w:rPr>
                      <w:sz w:val="21"/>
                      <w:szCs w:val="21"/>
                    </w:rPr>
                    <w:t>有组织</w:t>
                  </w:r>
                </w:p>
              </w:tc>
              <w:tc>
                <w:tcPr>
                  <w:tcW w:w="591" w:type="pct"/>
                  <w:vAlign w:val="center"/>
                </w:tcPr>
                <w:p w14:paraId="2C134698">
                  <w:pPr>
                    <w:wordWrap w:val="0"/>
                    <w:topLinePunct/>
                    <w:adjustRightInd w:val="0"/>
                    <w:snapToGrid w:val="0"/>
                    <w:spacing w:line="240" w:lineRule="auto"/>
                    <w:ind w:left="-48" w:leftChars="-20" w:right="-48" w:rightChars="-20"/>
                    <w:jc w:val="center"/>
                    <w:rPr>
                      <w:rFonts w:hint="default"/>
                      <w:sz w:val="21"/>
                      <w:szCs w:val="21"/>
                      <w:lang w:val="en-US"/>
                    </w:rPr>
                  </w:pPr>
                  <w:r>
                    <w:rPr>
                      <w:sz w:val="21"/>
                      <w:szCs w:val="21"/>
                    </w:rPr>
                    <w:t>《饮食业油烟排放标准排放标准》（试行）》（GB18483-2001）</w:t>
                  </w:r>
                </w:p>
              </w:tc>
              <w:tc>
                <w:tcPr>
                  <w:tcW w:w="591" w:type="pct"/>
                  <w:vAlign w:val="center"/>
                </w:tcPr>
                <w:p w14:paraId="5B84E179">
                  <w:pPr>
                    <w:wordWrap w:val="0"/>
                    <w:topLinePunct/>
                    <w:adjustRightInd w:val="0"/>
                    <w:snapToGrid w:val="0"/>
                    <w:spacing w:line="240" w:lineRule="auto"/>
                    <w:ind w:left="-48" w:leftChars="-20" w:right="-48" w:rightChars="-20"/>
                    <w:jc w:val="center"/>
                    <w:rPr>
                      <w:rFonts w:hint="default" w:eastAsia="宋体"/>
                      <w:sz w:val="21"/>
                      <w:szCs w:val="21"/>
                      <w:lang w:val="en-US" w:eastAsia="zh-CN"/>
                    </w:rPr>
                  </w:pPr>
                  <w:r>
                    <w:rPr>
                      <w:rFonts w:hint="eastAsia"/>
                      <w:sz w:val="21"/>
                      <w:szCs w:val="21"/>
                      <w:lang w:val="en-US" w:eastAsia="zh-CN"/>
                    </w:rPr>
                    <w:t>2.0</w:t>
                  </w:r>
                </w:p>
              </w:tc>
              <w:tc>
                <w:tcPr>
                  <w:tcW w:w="534" w:type="pct"/>
                  <w:vAlign w:val="center"/>
                </w:tcPr>
                <w:p w14:paraId="60A332C4">
                  <w:pPr>
                    <w:wordWrap w:val="0"/>
                    <w:topLinePunct/>
                    <w:adjustRightInd w:val="0"/>
                    <w:snapToGrid w:val="0"/>
                    <w:spacing w:line="240" w:lineRule="auto"/>
                    <w:ind w:left="-48" w:leftChars="-20" w:right="-48" w:rightChars="-20"/>
                    <w:jc w:val="center"/>
                    <w:rPr>
                      <w:sz w:val="21"/>
                      <w:szCs w:val="21"/>
                    </w:rPr>
                  </w:pPr>
                  <w:r>
                    <w:rPr>
                      <w:sz w:val="21"/>
                      <w:szCs w:val="21"/>
                    </w:rPr>
                    <w:t>0.</w:t>
                  </w:r>
                  <w:r>
                    <w:rPr>
                      <w:rFonts w:hint="eastAsia"/>
                      <w:sz w:val="21"/>
                      <w:szCs w:val="21"/>
                    </w:rPr>
                    <w:t>33</w:t>
                  </w:r>
                </w:p>
              </w:tc>
              <w:tc>
                <w:tcPr>
                  <w:tcW w:w="780" w:type="pct"/>
                  <w:vAlign w:val="center"/>
                </w:tcPr>
                <w:p w14:paraId="4BD627CE">
                  <w:pPr>
                    <w:wordWrap w:val="0"/>
                    <w:topLinePunct/>
                    <w:adjustRightInd w:val="0"/>
                    <w:snapToGrid w:val="0"/>
                    <w:spacing w:line="240" w:lineRule="auto"/>
                    <w:ind w:left="-48" w:leftChars="-20" w:right="-48" w:rightChars="-20"/>
                    <w:jc w:val="center"/>
                    <w:rPr>
                      <w:sz w:val="21"/>
                      <w:szCs w:val="21"/>
                    </w:rPr>
                  </w:pPr>
                  <w:r>
                    <w:rPr>
                      <w:sz w:val="21"/>
                      <w:szCs w:val="21"/>
                    </w:rPr>
                    <w:t>油烟净化设备</w:t>
                  </w:r>
                </w:p>
              </w:tc>
              <w:tc>
                <w:tcPr>
                  <w:tcW w:w="455" w:type="pct"/>
                  <w:vAlign w:val="center"/>
                </w:tcPr>
                <w:p w14:paraId="054D428B">
                  <w:pPr>
                    <w:wordWrap w:val="0"/>
                    <w:topLinePunct/>
                    <w:adjustRightInd w:val="0"/>
                    <w:snapToGrid w:val="0"/>
                    <w:spacing w:line="240" w:lineRule="auto"/>
                    <w:ind w:left="-48" w:leftChars="-20" w:right="-48" w:rightChars="-20"/>
                    <w:jc w:val="center"/>
                    <w:rPr>
                      <w:sz w:val="21"/>
                      <w:szCs w:val="21"/>
                    </w:rPr>
                  </w:pPr>
                  <w:r>
                    <w:rPr>
                      <w:sz w:val="21"/>
                      <w:szCs w:val="21"/>
                    </w:rPr>
                    <w:t>是</w:t>
                  </w:r>
                </w:p>
              </w:tc>
              <w:tc>
                <w:tcPr>
                  <w:tcW w:w="474" w:type="pct"/>
                  <w:vAlign w:val="center"/>
                </w:tcPr>
                <w:p w14:paraId="1335A5BD">
                  <w:pPr>
                    <w:wordWrap w:val="0"/>
                    <w:topLinePunct/>
                    <w:adjustRightInd w:val="0"/>
                    <w:snapToGrid w:val="0"/>
                    <w:spacing w:line="240" w:lineRule="auto"/>
                    <w:ind w:left="-48" w:leftChars="-20" w:right="-48" w:rightChars="-20"/>
                    <w:jc w:val="center"/>
                    <w:rPr>
                      <w:sz w:val="21"/>
                      <w:szCs w:val="21"/>
                    </w:rPr>
                  </w:pPr>
                  <w:r>
                    <w:rPr>
                      <w:sz w:val="21"/>
                      <w:szCs w:val="21"/>
                    </w:rPr>
                    <w:t>一般排放口</w:t>
                  </w:r>
                </w:p>
              </w:tc>
            </w:tr>
          </w:tbl>
          <w:p w14:paraId="1231C8D4">
            <w:pPr>
              <w:wordWrap w:val="0"/>
              <w:topLinePunct/>
              <w:adjustRightInd w:val="0"/>
              <w:snapToGrid w:val="0"/>
              <w:spacing w:line="240" w:lineRule="auto"/>
              <w:ind w:firstLine="422" w:firstLineChars="200"/>
              <w:rPr>
                <w:b/>
                <w:bCs/>
                <w:sz w:val="21"/>
                <w:szCs w:val="21"/>
              </w:rPr>
            </w:pPr>
            <w:r>
              <w:rPr>
                <w:b/>
                <w:bCs/>
                <w:sz w:val="21"/>
                <w:szCs w:val="21"/>
              </w:rPr>
              <w:t>表4-</w:t>
            </w:r>
            <w:r>
              <w:rPr>
                <w:rFonts w:hint="eastAsia"/>
                <w:b/>
                <w:bCs/>
                <w:sz w:val="21"/>
                <w:szCs w:val="21"/>
                <w:lang w:val="en-US" w:eastAsia="zh-CN"/>
              </w:rPr>
              <w:t>5</w:t>
            </w:r>
            <w:r>
              <w:rPr>
                <w:b/>
                <w:bCs/>
                <w:sz w:val="21"/>
                <w:szCs w:val="21"/>
              </w:rPr>
              <w:t xml:space="preserve">  无组织废气产污环节、污染物种类、排放形式及污染防治设施一览表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048"/>
              <w:gridCol w:w="968"/>
              <w:gridCol w:w="1550"/>
              <w:gridCol w:w="2060"/>
              <w:gridCol w:w="1288"/>
              <w:gridCol w:w="1039"/>
            </w:tblGrid>
            <w:tr w14:paraId="1854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24" w:type="pct"/>
                  <w:vMerge w:val="restart"/>
                  <w:vAlign w:val="center"/>
                </w:tcPr>
                <w:p w14:paraId="5B75D1B6">
                  <w:pPr>
                    <w:pStyle w:val="46"/>
                    <w:rPr>
                      <w:b/>
                      <w:bCs/>
                      <w:kern w:val="2"/>
                      <w:szCs w:val="21"/>
                    </w:rPr>
                  </w:pPr>
                  <w:r>
                    <w:rPr>
                      <w:b/>
                      <w:bCs/>
                      <w:kern w:val="2"/>
                      <w:szCs w:val="21"/>
                    </w:rPr>
                    <w:t>序号</w:t>
                  </w:r>
                </w:p>
              </w:tc>
              <w:tc>
                <w:tcPr>
                  <w:tcW w:w="616" w:type="pct"/>
                  <w:vMerge w:val="restart"/>
                  <w:vAlign w:val="center"/>
                </w:tcPr>
                <w:p w14:paraId="7A9D9CDA">
                  <w:pPr>
                    <w:pStyle w:val="46"/>
                    <w:rPr>
                      <w:b/>
                      <w:bCs/>
                      <w:kern w:val="2"/>
                      <w:szCs w:val="21"/>
                    </w:rPr>
                  </w:pPr>
                  <w:r>
                    <w:rPr>
                      <w:b/>
                      <w:bCs/>
                      <w:kern w:val="2"/>
                      <w:szCs w:val="21"/>
                    </w:rPr>
                    <w:t>产污</w:t>
                  </w:r>
                </w:p>
                <w:p w14:paraId="75F17C39">
                  <w:pPr>
                    <w:pStyle w:val="46"/>
                    <w:rPr>
                      <w:b/>
                      <w:bCs/>
                      <w:kern w:val="2"/>
                      <w:szCs w:val="21"/>
                    </w:rPr>
                  </w:pPr>
                  <w:r>
                    <w:rPr>
                      <w:b/>
                      <w:bCs/>
                      <w:kern w:val="2"/>
                      <w:szCs w:val="21"/>
                    </w:rPr>
                    <w:t>环节</w:t>
                  </w:r>
                </w:p>
              </w:tc>
              <w:tc>
                <w:tcPr>
                  <w:tcW w:w="569" w:type="pct"/>
                  <w:vMerge w:val="restart"/>
                  <w:vAlign w:val="center"/>
                </w:tcPr>
                <w:p w14:paraId="5B98F9F4">
                  <w:pPr>
                    <w:pStyle w:val="46"/>
                    <w:rPr>
                      <w:b/>
                      <w:bCs/>
                      <w:kern w:val="2"/>
                      <w:szCs w:val="21"/>
                    </w:rPr>
                  </w:pPr>
                  <w:r>
                    <w:rPr>
                      <w:b/>
                      <w:bCs/>
                      <w:kern w:val="2"/>
                      <w:szCs w:val="21"/>
                    </w:rPr>
                    <w:t>污染物</w:t>
                  </w:r>
                </w:p>
              </w:tc>
              <w:tc>
                <w:tcPr>
                  <w:tcW w:w="911" w:type="pct"/>
                  <w:vMerge w:val="restart"/>
                  <w:vAlign w:val="center"/>
                </w:tcPr>
                <w:p w14:paraId="44339151">
                  <w:pPr>
                    <w:pStyle w:val="46"/>
                    <w:rPr>
                      <w:b/>
                      <w:bCs/>
                      <w:kern w:val="2"/>
                      <w:szCs w:val="21"/>
                    </w:rPr>
                  </w:pPr>
                  <w:r>
                    <w:rPr>
                      <w:b/>
                      <w:bCs/>
                      <w:kern w:val="2"/>
                      <w:szCs w:val="21"/>
                    </w:rPr>
                    <w:t>主要污染防治措施</w:t>
                  </w:r>
                </w:p>
              </w:tc>
              <w:tc>
                <w:tcPr>
                  <w:tcW w:w="1966" w:type="pct"/>
                  <w:gridSpan w:val="2"/>
                  <w:vAlign w:val="center"/>
                </w:tcPr>
                <w:p w14:paraId="7C249A8F">
                  <w:pPr>
                    <w:pStyle w:val="46"/>
                    <w:rPr>
                      <w:b/>
                      <w:bCs/>
                      <w:kern w:val="2"/>
                      <w:szCs w:val="21"/>
                    </w:rPr>
                  </w:pPr>
                  <w:r>
                    <w:rPr>
                      <w:b/>
                      <w:bCs/>
                      <w:kern w:val="2"/>
                      <w:szCs w:val="21"/>
                    </w:rPr>
                    <w:t>国家或地方污染物排放标准</w:t>
                  </w:r>
                </w:p>
              </w:tc>
              <w:tc>
                <w:tcPr>
                  <w:tcW w:w="611" w:type="pct"/>
                  <w:vMerge w:val="restart"/>
                  <w:vAlign w:val="center"/>
                </w:tcPr>
                <w:p w14:paraId="0A50C372">
                  <w:pPr>
                    <w:pStyle w:val="46"/>
                    <w:rPr>
                      <w:b/>
                      <w:bCs/>
                      <w:kern w:val="2"/>
                      <w:szCs w:val="21"/>
                    </w:rPr>
                  </w:pPr>
                  <w:r>
                    <w:rPr>
                      <w:b/>
                      <w:bCs/>
                      <w:kern w:val="2"/>
                      <w:szCs w:val="21"/>
                    </w:rPr>
                    <w:t>年排放量（t/a）</w:t>
                  </w:r>
                </w:p>
              </w:tc>
            </w:tr>
            <w:tr w14:paraId="4A67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24" w:type="pct"/>
                  <w:vMerge w:val="continue"/>
                  <w:vAlign w:val="center"/>
                </w:tcPr>
                <w:p w14:paraId="38CF9A53">
                  <w:pPr>
                    <w:pStyle w:val="46"/>
                    <w:rPr>
                      <w:b/>
                      <w:bCs/>
                      <w:kern w:val="2"/>
                      <w:szCs w:val="21"/>
                    </w:rPr>
                  </w:pPr>
                </w:p>
              </w:tc>
              <w:tc>
                <w:tcPr>
                  <w:tcW w:w="616" w:type="pct"/>
                  <w:vMerge w:val="continue"/>
                  <w:vAlign w:val="center"/>
                </w:tcPr>
                <w:p w14:paraId="3D2D4057">
                  <w:pPr>
                    <w:pStyle w:val="46"/>
                    <w:rPr>
                      <w:b/>
                      <w:bCs/>
                      <w:kern w:val="2"/>
                      <w:szCs w:val="21"/>
                    </w:rPr>
                  </w:pPr>
                </w:p>
              </w:tc>
              <w:tc>
                <w:tcPr>
                  <w:tcW w:w="569" w:type="pct"/>
                  <w:vMerge w:val="continue"/>
                  <w:vAlign w:val="center"/>
                </w:tcPr>
                <w:p w14:paraId="002D01A8">
                  <w:pPr>
                    <w:pStyle w:val="46"/>
                    <w:rPr>
                      <w:b/>
                      <w:bCs/>
                      <w:kern w:val="2"/>
                      <w:szCs w:val="21"/>
                    </w:rPr>
                  </w:pPr>
                </w:p>
              </w:tc>
              <w:tc>
                <w:tcPr>
                  <w:tcW w:w="911" w:type="pct"/>
                  <w:vMerge w:val="continue"/>
                  <w:vAlign w:val="center"/>
                </w:tcPr>
                <w:p w14:paraId="26C45816">
                  <w:pPr>
                    <w:pStyle w:val="46"/>
                    <w:rPr>
                      <w:b/>
                      <w:bCs/>
                      <w:kern w:val="2"/>
                      <w:szCs w:val="21"/>
                    </w:rPr>
                  </w:pPr>
                </w:p>
              </w:tc>
              <w:tc>
                <w:tcPr>
                  <w:tcW w:w="1211" w:type="pct"/>
                  <w:vAlign w:val="center"/>
                </w:tcPr>
                <w:p w14:paraId="6209482F">
                  <w:pPr>
                    <w:pStyle w:val="46"/>
                    <w:rPr>
                      <w:b/>
                      <w:bCs/>
                      <w:kern w:val="2"/>
                      <w:szCs w:val="21"/>
                    </w:rPr>
                  </w:pPr>
                  <w:r>
                    <w:rPr>
                      <w:b/>
                      <w:bCs/>
                      <w:kern w:val="2"/>
                      <w:szCs w:val="21"/>
                    </w:rPr>
                    <w:t>标准名称</w:t>
                  </w:r>
                </w:p>
              </w:tc>
              <w:tc>
                <w:tcPr>
                  <w:tcW w:w="755" w:type="pct"/>
                  <w:vAlign w:val="center"/>
                </w:tcPr>
                <w:p w14:paraId="7CF463B9">
                  <w:pPr>
                    <w:pStyle w:val="46"/>
                    <w:rPr>
                      <w:b/>
                      <w:bCs/>
                      <w:kern w:val="2"/>
                      <w:szCs w:val="21"/>
                    </w:rPr>
                  </w:pPr>
                  <w:r>
                    <w:rPr>
                      <w:b/>
                      <w:bCs/>
                      <w:kern w:val="2"/>
                      <w:szCs w:val="21"/>
                    </w:rPr>
                    <w:t>浓度限值</w:t>
                  </w:r>
                </w:p>
                <w:p w14:paraId="743AF590">
                  <w:pPr>
                    <w:pStyle w:val="46"/>
                    <w:rPr>
                      <w:b/>
                      <w:bCs/>
                      <w:kern w:val="2"/>
                      <w:szCs w:val="21"/>
                    </w:rPr>
                  </w:pPr>
                  <w:r>
                    <w:rPr>
                      <w:b/>
                      <w:bCs/>
                      <w:kern w:val="2"/>
                      <w:szCs w:val="21"/>
                    </w:rPr>
                    <w:t>（mg/m</w:t>
                  </w:r>
                  <w:r>
                    <w:rPr>
                      <w:b/>
                      <w:bCs/>
                      <w:kern w:val="2"/>
                      <w:szCs w:val="21"/>
                      <w:vertAlign w:val="superscript"/>
                    </w:rPr>
                    <w:t>3</w:t>
                  </w:r>
                  <w:r>
                    <w:rPr>
                      <w:b/>
                      <w:bCs/>
                      <w:kern w:val="2"/>
                      <w:szCs w:val="21"/>
                    </w:rPr>
                    <w:t>）</w:t>
                  </w:r>
                </w:p>
              </w:tc>
              <w:tc>
                <w:tcPr>
                  <w:tcW w:w="611" w:type="pct"/>
                  <w:vMerge w:val="continue"/>
                  <w:vAlign w:val="center"/>
                </w:tcPr>
                <w:p w14:paraId="3BAD50C2">
                  <w:pPr>
                    <w:pStyle w:val="46"/>
                    <w:rPr>
                      <w:b/>
                      <w:bCs/>
                      <w:kern w:val="2"/>
                      <w:szCs w:val="21"/>
                    </w:rPr>
                  </w:pPr>
                </w:p>
              </w:tc>
            </w:tr>
            <w:tr w14:paraId="6580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324" w:type="pct"/>
                  <w:vAlign w:val="center"/>
                </w:tcPr>
                <w:p w14:paraId="6ACBEDA3">
                  <w:pPr>
                    <w:pStyle w:val="46"/>
                    <w:rPr>
                      <w:kern w:val="2"/>
                      <w:szCs w:val="21"/>
                    </w:rPr>
                  </w:pPr>
                  <w:r>
                    <w:rPr>
                      <w:kern w:val="2"/>
                      <w:szCs w:val="21"/>
                    </w:rPr>
                    <w:t>1</w:t>
                  </w:r>
                </w:p>
              </w:tc>
              <w:tc>
                <w:tcPr>
                  <w:tcW w:w="616" w:type="pct"/>
                  <w:vAlign w:val="center"/>
                </w:tcPr>
                <w:p w14:paraId="4EA41CB9">
                  <w:pPr>
                    <w:wordWrap w:val="0"/>
                    <w:topLinePunct/>
                    <w:adjustRightInd w:val="0"/>
                    <w:snapToGrid w:val="0"/>
                    <w:spacing w:line="240" w:lineRule="auto"/>
                    <w:ind w:left="-48" w:leftChars="-20" w:right="-48" w:rightChars="-20"/>
                    <w:jc w:val="center"/>
                    <w:rPr>
                      <w:sz w:val="21"/>
                      <w:szCs w:val="21"/>
                    </w:rPr>
                  </w:pPr>
                  <w:r>
                    <w:rPr>
                      <w:rFonts w:hint="eastAsia"/>
                      <w:sz w:val="21"/>
                      <w:szCs w:val="21"/>
                    </w:rPr>
                    <w:t>原料堆场粉尘</w:t>
                  </w:r>
                </w:p>
              </w:tc>
              <w:tc>
                <w:tcPr>
                  <w:tcW w:w="569" w:type="pct"/>
                  <w:vMerge w:val="restart"/>
                  <w:vAlign w:val="center"/>
                </w:tcPr>
                <w:p w14:paraId="3C320704">
                  <w:pPr>
                    <w:pStyle w:val="46"/>
                    <w:rPr>
                      <w:color w:val="0000C7"/>
                      <w:kern w:val="2"/>
                      <w:szCs w:val="21"/>
                    </w:rPr>
                  </w:pPr>
                  <w:r>
                    <w:rPr>
                      <w:kern w:val="2"/>
                      <w:szCs w:val="21"/>
                    </w:rPr>
                    <w:t>颗粒物</w:t>
                  </w:r>
                </w:p>
              </w:tc>
              <w:tc>
                <w:tcPr>
                  <w:tcW w:w="911" w:type="pct"/>
                  <w:vAlign w:val="center"/>
                </w:tcPr>
                <w:p w14:paraId="4EBCB416">
                  <w:pPr>
                    <w:pStyle w:val="46"/>
                    <w:rPr>
                      <w:kern w:val="2"/>
                      <w:szCs w:val="21"/>
                    </w:rPr>
                  </w:pPr>
                  <w:r>
                    <w:rPr>
                      <w:rFonts w:hint="eastAsia"/>
                      <w:kern w:val="2"/>
                      <w:szCs w:val="21"/>
                    </w:rPr>
                    <w:t>采取</w:t>
                  </w:r>
                  <w:r>
                    <w:rPr>
                      <w:rFonts w:hint="eastAsia"/>
                      <w:snapToGrid w:val="0"/>
                      <w:spacing w:val="4"/>
                      <w:sz w:val="21"/>
                      <w:szCs w:val="21"/>
                    </w:rPr>
                    <w:t>洒水喷淋</w:t>
                  </w:r>
                  <w:r>
                    <w:rPr>
                      <w:rFonts w:hint="eastAsia"/>
                      <w:snapToGrid w:val="0"/>
                      <w:spacing w:val="4"/>
                      <w:sz w:val="21"/>
                      <w:szCs w:val="21"/>
                      <w:lang w:eastAsia="zh-CN"/>
                    </w:rPr>
                    <w:t>抑尘</w:t>
                  </w:r>
                  <w:r>
                    <w:rPr>
                      <w:rFonts w:hint="eastAsia"/>
                      <w:kern w:val="2"/>
                      <w:szCs w:val="21"/>
                    </w:rPr>
                    <w:t>、定期清扫地面保持整洁、尽量减少物料在厂区暂存周期</w:t>
                  </w:r>
                </w:p>
              </w:tc>
              <w:tc>
                <w:tcPr>
                  <w:tcW w:w="1211" w:type="pct"/>
                  <w:vMerge w:val="restart"/>
                  <w:vAlign w:val="center"/>
                </w:tcPr>
                <w:p w14:paraId="7B6E11F3">
                  <w:pPr>
                    <w:pStyle w:val="46"/>
                    <w:rPr>
                      <w:kern w:val="2"/>
                      <w:szCs w:val="21"/>
                    </w:rPr>
                  </w:pPr>
                  <w:r>
                    <w:rPr>
                      <w:szCs w:val="21"/>
                    </w:rPr>
                    <w:t>（GB16297-1996）</w:t>
                  </w:r>
                </w:p>
              </w:tc>
              <w:tc>
                <w:tcPr>
                  <w:tcW w:w="755" w:type="pct"/>
                  <w:vMerge w:val="restart"/>
                  <w:vAlign w:val="center"/>
                </w:tcPr>
                <w:p w14:paraId="4FA95E81">
                  <w:pPr>
                    <w:pStyle w:val="46"/>
                    <w:rPr>
                      <w:kern w:val="2"/>
                      <w:szCs w:val="21"/>
                    </w:rPr>
                  </w:pPr>
                  <w:r>
                    <w:rPr>
                      <w:kern w:val="2"/>
                      <w:szCs w:val="21"/>
                    </w:rPr>
                    <w:t>1.0</w:t>
                  </w:r>
                </w:p>
              </w:tc>
              <w:tc>
                <w:tcPr>
                  <w:tcW w:w="611" w:type="pct"/>
                  <w:vAlign w:val="center"/>
                </w:tcPr>
                <w:p w14:paraId="4CDEF4CC">
                  <w:pPr>
                    <w:wordWrap w:val="0"/>
                    <w:topLinePunct/>
                    <w:adjustRightInd w:val="0"/>
                    <w:snapToGrid w:val="0"/>
                    <w:spacing w:line="240" w:lineRule="auto"/>
                    <w:ind w:left="-120" w:leftChars="-50" w:right="-120" w:rightChars="-50"/>
                    <w:jc w:val="center"/>
                    <w:rPr>
                      <w:sz w:val="21"/>
                      <w:szCs w:val="21"/>
                    </w:rPr>
                  </w:pPr>
                  <w:r>
                    <w:rPr>
                      <w:rFonts w:hint="eastAsia"/>
                      <w:snapToGrid w:val="0"/>
                      <w:spacing w:val="4"/>
                      <w:sz w:val="21"/>
                      <w:szCs w:val="21"/>
                    </w:rPr>
                    <w:t>0.259</w:t>
                  </w:r>
                </w:p>
              </w:tc>
            </w:tr>
            <w:tr w14:paraId="0955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324" w:type="pct"/>
                  <w:vAlign w:val="center"/>
                </w:tcPr>
                <w:p w14:paraId="792FA514">
                  <w:pPr>
                    <w:pStyle w:val="46"/>
                    <w:rPr>
                      <w:kern w:val="2"/>
                      <w:szCs w:val="21"/>
                    </w:rPr>
                  </w:pPr>
                  <w:r>
                    <w:rPr>
                      <w:kern w:val="2"/>
                      <w:szCs w:val="21"/>
                    </w:rPr>
                    <w:t>2</w:t>
                  </w:r>
                </w:p>
              </w:tc>
              <w:tc>
                <w:tcPr>
                  <w:tcW w:w="616" w:type="pct"/>
                  <w:vAlign w:val="center"/>
                </w:tcPr>
                <w:p w14:paraId="1E81884F">
                  <w:pPr>
                    <w:pStyle w:val="46"/>
                    <w:rPr>
                      <w:color w:val="0000C7"/>
                      <w:kern w:val="2"/>
                      <w:szCs w:val="21"/>
                    </w:rPr>
                  </w:pPr>
                  <w:r>
                    <w:rPr>
                      <w:rFonts w:hint="eastAsia"/>
                      <w:kern w:val="2"/>
                      <w:szCs w:val="21"/>
                    </w:rPr>
                    <w:t>路沿石加工粉尘</w:t>
                  </w:r>
                </w:p>
              </w:tc>
              <w:tc>
                <w:tcPr>
                  <w:tcW w:w="569" w:type="pct"/>
                  <w:vMerge w:val="continue"/>
                  <w:vAlign w:val="center"/>
                </w:tcPr>
                <w:p w14:paraId="6463C587">
                  <w:pPr>
                    <w:pStyle w:val="46"/>
                    <w:rPr>
                      <w:color w:val="0000C7"/>
                      <w:kern w:val="2"/>
                      <w:szCs w:val="21"/>
                    </w:rPr>
                  </w:pPr>
                </w:p>
              </w:tc>
              <w:tc>
                <w:tcPr>
                  <w:tcW w:w="911" w:type="pct"/>
                  <w:vAlign w:val="center"/>
                </w:tcPr>
                <w:p w14:paraId="68E6E3BF">
                  <w:pPr>
                    <w:pStyle w:val="46"/>
                    <w:rPr>
                      <w:kern w:val="2"/>
                      <w:szCs w:val="21"/>
                    </w:rPr>
                  </w:pPr>
                  <w:r>
                    <w:rPr>
                      <w:kern w:val="2"/>
                      <w:szCs w:val="21"/>
                    </w:rPr>
                    <w:t>湿法作业</w:t>
                  </w:r>
                </w:p>
              </w:tc>
              <w:tc>
                <w:tcPr>
                  <w:tcW w:w="1211" w:type="pct"/>
                  <w:vMerge w:val="continue"/>
                  <w:vAlign w:val="center"/>
                </w:tcPr>
                <w:p w14:paraId="6AB79977">
                  <w:pPr>
                    <w:pStyle w:val="46"/>
                    <w:rPr>
                      <w:color w:val="0000C7"/>
                      <w:szCs w:val="21"/>
                    </w:rPr>
                  </w:pPr>
                </w:p>
              </w:tc>
              <w:tc>
                <w:tcPr>
                  <w:tcW w:w="755" w:type="pct"/>
                  <w:vMerge w:val="continue"/>
                  <w:vAlign w:val="center"/>
                </w:tcPr>
                <w:p w14:paraId="314EEE0C">
                  <w:pPr>
                    <w:pStyle w:val="46"/>
                    <w:rPr>
                      <w:color w:val="0000C7"/>
                      <w:kern w:val="2"/>
                      <w:szCs w:val="21"/>
                    </w:rPr>
                  </w:pPr>
                </w:p>
              </w:tc>
              <w:tc>
                <w:tcPr>
                  <w:tcW w:w="611" w:type="pct"/>
                  <w:vAlign w:val="center"/>
                </w:tcPr>
                <w:p w14:paraId="0B98D88B">
                  <w:pPr>
                    <w:wordWrap w:val="0"/>
                    <w:topLinePunct/>
                    <w:adjustRightInd w:val="0"/>
                    <w:snapToGrid w:val="0"/>
                    <w:spacing w:line="240" w:lineRule="auto"/>
                    <w:ind w:left="-120" w:leftChars="-50" w:right="-120" w:rightChars="-50"/>
                    <w:jc w:val="center"/>
                    <w:rPr>
                      <w:rFonts w:hint="eastAsia" w:eastAsia="宋体"/>
                      <w:snapToGrid w:val="0"/>
                      <w:spacing w:val="4"/>
                      <w:sz w:val="21"/>
                      <w:szCs w:val="21"/>
                      <w:lang w:eastAsia="zh-CN"/>
                    </w:rPr>
                  </w:pPr>
                  <w:r>
                    <w:rPr>
                      <w:snapToGrid w:val="0"/>
                      <w:spacing w:val="4"/>
                      <w:sz w:val="21"/>
                      <w:szCs w:val="21"/>
                    </w:rPr>
                    <w:t>0.</w:t>
                  </w:r>
                  <w:r>
                    <w:rPr>
                      <w:rFonts w:hint="eastAsia"/>
                      <w:snapToGrid w:val="0"/>
                      <w:spacing w:val="4"/>
                      <w:sz w:val="21"/>
                      <w:szCs w:val="21"/>
                    </w:rPr>
                    <w:t>00</w:t>
                  </w:r>
                  <w:r>
                    <w:rPr>
                      <w:rFonts w:hint="eastAsia"/>
                      <w:snapToGrid w:val="0"/>
                      <w:spacing w:val="4"/>
                      <w:sz w:val="21"/>
                      <w:szCs w:val="21"/>
                      <w:lang w:val="en-US" w:eastAsia="zh-CN"/>
                    </w:rPr>
                    <w:t>2</w:t>
                  </w:r>
                </w:p>
              </w:tc>
            </w:tr>
            <w:tr w14:paraId="0750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324" w:type="pct"/>
                  <w:vAlign w:val="center"/>
                </w:tcPr>
                <w:p w14:paraId="2849F02B">
                  <w:pPr>
                    <w:pStyle w:val="46"/>
                    <w:rPr>
                      <w:kern w:val="2"/>
                      <w:szCs w:val="21"/>
                    </w:rPr>
                  </w:pPr>
                  <w:r>
                    <w:rPr>
                      <w:rFonts w:hint="eastAsia"/>
                      <w:kern w:val="2"/>
                      <w:szCs w:val="21"/>
                    </w:rPr>
                    <w:t>3</w:t>
                  </w:r>
                </w:p>
              </w:tc>
              <w:tc>
                <w:tcPr>
                  <w:tcW w:w="616" w:type="pct"/>
                  <w:vAlign w:val="center"/>
                </w:tcPr>
                <w:p w14:paraId="3B55BF5F">
                  <w:pPr>
                    <w:pStyle w:val="46"/>
                    <w:rPr>
                      <w:kern w:val="2"/>
                      <w:szCs w:val="21"/>
                    </w:rPr>
                  </w:pPr>
                  <w:r>
                    <w:rPr>
                      <w:rFonts w:hint="default"/>
                      <w:b w:val="0"/>
                      <w:bCs w:val="0"/>
                      <w:kern w:val="2"/>
                      <w:szCs w:val="21"/>
                      <w:u w:val="none"/>
                      <w:lang w:eastAsia="zh-CN" w:bidi="ar"/>
                    </w:rPr>
                    <w:t>墓碑</w:t>
                  </w:r>
                  <w:r>
                    <w:rPr>
                      <w:rFonts w:hint="default" w:ascii="Times New Roman" w:hAnsi="Times New Roman" w:eastAsia="宋体" w:cs="Times New Roman"/>
                      <w:b w:val="0"/>
                      <w:bCs w:val="0"/>
                      <w:kern w:val="2"/>
                      <w:sz w:val="21"/>
                      <w:szCs w:val="21"/>
                      <w:u w:val="none"/>
                      <w:lang w:val="en-US" w:eastAsia="zh-CN" w:bidi="ar"/>
                    </w:rPr>
                    <w:t>及附属产品和其他板材</w:t>
                  </w:r>
                  <w:r>
                    <w:rPr>
                      <w:rFonts w:hint="eastAsia"/>
                      <w:kern w:val="2"/>
                      <w:szCs w:val="21"/>
                    </w:rPr>
                    <w:t>加工粉尘</w:t>
                  </w:r>
                </w:p>
              </w:tc>
              <w:tc>
                <w:tcPr>
                  <w:tcW w:w="569" w:type="pct"/>
                  <w:vMerge w:val="continue"/>
                  <w:vAlign w:val="center"/>
                </w:tcPr>
                <w:p w14:paraId="4932DA0B">
                  <w:pPr>
                    <w:pStyle w:val="46"/>
                    <w:rPr>
                      <w:color w:val="0000C7"/>
                      <w:kern w:val="2"/>
                      <w:szCs w:val="21"/>
                    </w:rPr>
                  </w:pPr>
                </w:p>
              </w:tc>
              <w:tc>
                <w:tcPr>
                  <w:tcW w:w="911" w:type="pct"/>
                  <w:vAlign w:val="center"/>
                </w:tcPr>
                <w:p w14:paraId="1A2A6DAA">
                  <w:pPr>
                    <w:pStyle w:val="46"/>
                    <w:rPr>
                      <w:kern w:val="2"/>
                      <w:szCs w:val="21"/>
                    </w:rPr>
                  </w:pPr>
                  <w:r>
                    <w:rPr>
                      <w:kern w:val="2"/>
                      <w:szCs w:val="21"/>
                    </w:rPr>
                    <w:t>湿法作业</w:t>
                  </w:r>
                </w:p>
              </w:tc>
              <w:tc>
                <w:tcPr>
                  <w:tcW w:w="1211" w:type="pct"/>
                  <w:vMerge w:val="continue"/>
                  <w:vAlign w:val="center"/>
                </w:tcPr>
                <w:p w14:paraId="217728C0">
                  <w:pPr>
                    <w:pStyle w:val="46"/>
                    <w:rPr>
                      <w:color w:val="0000C7"/>
                      <w:szCs w:val="21"/>
                    </w:rPr>
                  </w:pPr>
                </w:p>
              </w:tc>
              <w:tc>
                <w:tcPr>
                  <w:tcW w:w="755" w:type="pct"/>
                  <w:vMerge w:val="continue"/>
                  <w:vAlign w:val="center"/>
                </w:tcPr>
                <w:p w14:paraId="3B0B45FF">
                  <w:pPr>
                    <w:pStyle w:val="46"/>
                    <w:rPr>
                      <w:color w:val="0000C7"/>
                      <w:kern w:val="2"/>
                      <w:szCs w:val="21"/>
                    </w:rPr>
                  </w:pPr>
                </w:p>
              </w:tc>
              <w:tc>
                <w:tcPr>
                  <w:tcW w:w="611" w:type="pct"/>
                  <w:vAlign w:val="center"/>
                </w:tcPr>
                <w:p w14:paraId="252349DE">
                  <w:pPr>
                    <w:wordWrap w:val="0"/>
                    <w:topLinePunct/>
                    <w:adjustRightInd w:val="0"/>
                    <w:snapToGrid w:val="0"/>
                    <w:spacing w:line="240" w:lineRule="auto"/>
                    <w:ind w:left="-120" w:leftChars="-50" w:right="-120" w:rightChars="-50"/>
                    <w:jc w:val="center"/>
                    <w:rPr>
                      <w:rFonts w:hint="default" w:eastAsia="宋体"/>
                      <w:snapToGrid w:val="0"/>
                      <w:spacing w:val="4"/>
                      <w:sz w:val="21"/>
                      <w:szCs w:val="21"/>
                      <w:lang w:val="en-US" w:eastAsia="zh-CN"/>
                    </w:rPr>
                  </w:pPr>
                  <w:r>
                    <w:rPr>
                      <w:rFonts w:hint="eastAsia"/>
                      <w:snapToGrid w:val="0"/>
                      <w:spacing w:val="4"/>
                      <w:sz w:val="21"/>
                      <w:szCs w:val="21"/>
                    </w:rPr>
                    <w:t>0.0</w:t>
                  </w:r>
                  <w:r>
                    <w:rPr>
                      <w:rFonts w:hint="eastAsia"/>
                      <w:snapToGrid w:val="0"/>
                      <w:spacing w:val="4"/>
                      <w:sz w:val="21"/>
                      <w:szCs w:val="21"/>
                      <w:lang w:val="en-US" w:eastAsia="zh-CN"/>
                    </w:rPr>
                    <w:t>79</w:t>
                  </w:r>
                </w:p>
              </w:tc>
            </w:tr>
            <w:tr w14:paraId="318B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324" w:type="pct"/>
                  <w:vAlign w:val="center"/>
                </w:tcPr>
                <w:p w14:paraId="2469C552">
                  <w:pPr>
                    <w:pStyle w:val="46"/>
                    <w:rPr>
                      <w:kern w:val="2"/>
                      <w:szCs w:val="21"/>
                    </w:rPr>
                  </w:pPr>
                  <w:r>
                    <w:rPr>
                      <w:rFonts w:hint="eastAsia"/>
                      <w:kern w:val="2"/>
                      <w:szCs w:val="21"/>
                    </w:rPr>
                    <w:t>4</w:t>
                  </w:r>
                </w:p>
              </w:tc>
              <w:tc>
                <w:tcPr>
                  <w:tcW w:w="616" w:type="pct"/>
                  <w:vAlign w:val="center"/>
                </w:tcPr>
                <w:p w14:paraId="047B74F6">
                  <w:pPr>
                    <w:pStyle w:val="46"/>
                    <w:rPr>
                      <w:kern w:val="2"/>
                      <w:szCs w:val="21"/>
                    </w:rPr>
                  </w:pPr>
                  <w:r>
                    <w:rPr>
                      <w:rFonts w:hint="default" w:ascii="Times New Roman" w:hAnsi="Times New Roman" w:eastAsia="宋体" w:cs="Times New Roman"/>
                      <w:kern w:val="2"/>
                      <w:sz w:val="21"/>
                      <w:szCs w:val="21"/>
                      <w:u w:val="none"/>
                      <w:lang w:val="en-US" w:eastAsia="zh-CN" w:bidi="ar-SA"/>
                    </w:rPr>
                    <w:t>透水砖、路面砖</w:t>
                  </w:r>
                  <w:r>
                    <w:rPr>
                      <w:kern w:val="2"/>
                      <w:szCs w:val="21"/>
                    </w:rPr>
                    <w:t>生产过程中产生的破碎筛分</w:t>
                  </w:r>
                  <w:r>
                    <w:rPr>
                      <w:rFonts w:hint="eastAsia"/>
                      <w:kern w:val="2"/>
                      <w:szCs w:val="21"/>
                    </w:rPr>
                    <w:t>制砂</w:t>
                  </w:r>
                  <w:r>
                    <w:rPr>
                      <w:kern w:val="2"/>
                      <w:szCs w:val="21"/>
                    </w:rPr>
                    <w:t>粉尘</w:t>
                  </w:r>
                </w:p>
              </w:tc>
              <w:tc>
                <w:tcPr>
                  <w:tcW w:w="569" w:type="pct"/>
                  <w:vMerge w:val="continue"/>
                  <w:vAlign w:val="center"/>
                </w:tcPr>
                <w:p w14:paraId="2C06229F">
                  <w:pPr>
                    <w:pStyle w:val="46"/>
                    <w:rPr>
                      <w:color w:val="0000C7"/>
                      <w:kern w:val="2"/>
                      <w:szCs w:val="21"/>
                    </w:rPr>
                  </w:pPr>
                </w:p>
              </w:tc>
              <w:tc>
                <w:tcPr>
                  <w:tcW w:w="911" w:type="pct"/>
                  <w:vAlign w:val="center"/>
                </w:tcPr>
                <w:p w14:paraId="6F636F10">
                  <w:pPr>
                    <w:pStyle w:val="46"/>
                    <w:rPr>
                      <w:rFonts w:hint="eastAsia" w:eastAsia="宋体"/>
                      <w:kern w:val="2"/>
                      <w:szCs w:val="21"/>
                      <w:lang w:eastAsia="zh-CN"/>
                    </w:rPr>
                  </w:pPr>
                  <w:r>
                    <w:rPr>
                      <w:rFonts w:hint="eastAsia"/>
                      <w:kern w:val="2"/>
                      <w:szCs w:val="21"/>
                    </w:rPr>
                    <w:t>采用</w:t>
                  </w:r>
                  <w:r>
                    <w:rPr>
                      <w:rFonts w:hint="eastAsia"/>
                      <w:snapToGrid w:val="0"/>
                      <w:spacing w:val="4"/>
                      <w:sz w:val="21"/>
                      <w:szCs w:val="21"/>
                      <w:lang w:eastAsia="zh-CN"/>
                    </w:rPr>
                    <w:t>干法作业</w:t>
                  </w:r>
                  <w:r>
                    <w:rPr>
                      <w:rFonts w:hint="eastAsia"/>
                      <w:kern w:val="2"/>
                      <w:szCs w:val="21"/>
                    </w:rPr>
                    <w:t>的生产工艺，</w:t>
                  </w:r>
                  <w:r>
                    <w:rPr>
                      <w:rFonts w:hint="eastAsia"/>
                      <w:kern w:val="2"/>
                      <w:szCs w:val="21"/>
                      <w:lang w:eastAsia="zh-CN"/>
                    </w:rPr>
                    <w:t>采取喷淋降尘</w:t>
                  </w:r>
                  <w:r>
                    <w:rPr>
                      <w:rFonts w:hint="eastAsia"/>
                      <w:kern w:val="2"/>
                      <w:szCs w:val="21"/>
                    </w:rPr>
                    <w:t>，同时</w:t>
                  </w:r>
                  <w:r>
                    <w:rPr>
                      <w:rFonts w:hint="eastAsia"/>
                      <w:kern w:val="2"/>
                      <w:szCs w:val="21"/>
                      <w:lang w:eastAsia="zh-CN"/>
                    </w:rPr>
                    <w:t>采用密闭生产工序</w:t>
                  </w:r>
                </w:p>
              </w:tc>
              <w:tc>
                <w:tcPr>
                  <w:tcW w:w="1211" w:type="pct"/>
                  <w:vMerge w:val="continue"/>
                  <w:vAlign w:val="center"/>
                </w:tcPr>
                <w:p w14:paraId="68446EE7">
                  <w:pPr>
                    <w:pStyle w:val="46"/>
                    <w:rPr>
                      <w:color w:val="0000C7"/>
                      <w:szCs w:val="21"/>
                    </w:rPr>
                  </w:pPr>
                </w:p>
              </w:tc>
              <w:tc>
                <w:tcPr>
                  <w:tcW w:w="755" w:type="pct"/>
                  <w:vMerge w:val="continue"/>
                  <w:vAlign w:val="center"/>
                </w:tcPr>
                <w:p w14:paraId="3D2809D2">
                  <w:pPr>
                    <w:pStyle w:val="46"/>
                    <w:rPr>
                      <w:color w:val="0000C7"/>
                      <w:kern w:val="2"/>
                      <w:szCs w:val="21"/>
                    </w:rPr>
                  </w:pPr>
                </w:p>
              </w:tc>
              <w:tc>
                <w:tcPr>
                  <w:tcW w:w="611" w:type="pct"/>
                  <w:vAlign w:val="center"/>
                </w:tcPr>
                <w:p w14:paraId="7CFEF3DE">
                  <w:pPr>
                    <w:wordWrap w:val="0"/>
                    <w:topLinePunct/>
                    <w:adjustRightInd w:val="0"/>
                    <w:snapToGrid w:val="0"/>
                    <w:spacing w:line="240" w:lineRule="auto"/>
                    <w:ind w:left="-120" w:leftChars="-50" w:right="-120" w:rightChars="-50"/>
                    <w:jc w:val="center"/>
                    <w:rPr>
                      <w:rFonts w:hint="eastAsia" w:eastAsia="宋体"/>
                      <w:snapToGrid w:val="0"/>
                      <w:spacing w:val="4"/>
                      <w:sz w:val="21"/>
                      <w:szCs w:val="21"/>
                      <w:lang w:eastAsia="zh-CN"/>
                    </w:rPr>
                  </w:pPr>
                  <w:r>
                    <w:rPr>
                      <w:rFonts w:hint="eastAsia"/>
                      <w:snapToGrid w:val="0"/>
                      <w:spacing w:val="4"/>
                      <w:sz w:val="21"/>
                      <w:szCs w:val="21"/>
                    </w:rPr>
                    <w:t>0.00</w:t>
                  </w:r>
                  <w:r>
                    <w:rPr>
                      <w:rFonts w:hint="eastAsia"/>
                      <w:snapToGrid w:val="0"/>
                      <w:spacing w:val="4"/>
                      <w:sz w:val="21"/>
                      <w:szCs w:val="21"/>
                      <w:lang w:val="en-US" w:eastAsia="zh-CN"/>
                    </w:rPr>
                    <w:t>5</w:t>
                  </w:r>
                </w:p>
              </w:tc>
            </w:tr>
            <w:tr w14:paraId="2FB9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324" w:type="pct"/>
                  <w:vAlign w:val="center"/>
                </w:tcPr>
                <w:p w14:paraId="523C5878">
                  <w:pPr>
                    <w:pStyle w:val="46"/>
                    <w:rPr>
                      <w:kern w:val="2"/>
                      <w:szCs w:val="21"/>
                    </w:rPr>
                  </w:pPr>
                  <w:r>
                    <w:rPr>
                      <w:rFonts w:hint="eastAsia"/>
                      <w:kern w:val="2"/>
                      <w:szCs w:val="21"/>
                    </w:rPr>
                    <w:t>5</w:t>
                  </w:r>
                </w:p>
              </w:tc>
              <w:tc>
                <w:tcPr>
                  <w:tcW w:w="616" w:type="pct"/>
                  <w:vAlign w:val="center"/>
                </w:tcPr>
                <w:p w14:paraId="2A254C23">
                  <w:pPr>
                    <w:pStyle w:val="46"/>
                    <w:rPr>
                      <w:kern w:val="2"/>
                      <w:szCs w:val="21"/>
                    </w:rPr>
                  </w:pPr>
                  <w:r>
                    <w:rPr>
                      <w:rFonts w:hint="eastAsia" w:ascii="Times New Roman" w:hAnsi="Times New Roman" w:eastAsia="宋体" w:cs="Times New Roman"/>
                      <w:kern w:val="2"/>
                      <w:sz w:val="21"/>
                      <w:szCs w:val="21"/>
                      <w:u w:val="none"/>
                      <w:lang w:val="en-US" w:eastAsia="zh-CN" w:bidi="ar-SA"/>
                    </w:rPr>
                    <w:t>透水砖、路面砖</w:t>
                  </w:r>
                  <w:r>
                    <w:rPr>
                      <w:kern w:val="2"/>
                      <w:szCs w:val="21"/>
                    </w:rPr>
                    <w:t>生产</w:t>
                  </w:r>
                  <w:r>
                    <w:rPr>
                      <w:rFonts w:hint="eastAsia"/>
                      <w:kern w:val="2"/>
                      <w:szCs w:val="21"/>
                    </w:rPr>
                    <w:t>线投料、输送及搅拌</w:t>
                  </w:r>
                  <w:r>
                    <w:rPr>
                      <w:kern w:val="2"/>
                      <w:szCs w:val="21"/>
                    </w:rPr>
                    <w:t>粉尘</w:t>
                  </w:r>
                </w:p>
              </w:tc>
              <w:tc>
                <w:tcPr>
                  <w:tcW w:w="569" w:type="pct"/>
                  <w:vMerge w:val="continue"/>
                  <w:vAlign w:val="center"/>
                </w:tcPr>
                <w:p w14:paraId="17E8181C">
                  <w:pPr>
                    <w:pStyle w:val="46"/>
                    <w:rPr>
                      <w:color w:val="0000C7"/>
                      <w:kern w:val="2"/>
                      <w:szCs w:val="21"/>
                    </w:rPr>
                  </w:pPr>
                </w:p>
              </w:tc>
              <w:tc>
                <w:tcPr>
                  <w:tcW w:w="911" w:type="pct"/>
                  <w:vAlign w:val="center"/>
                </w:tcPr>
                <w:p w14:paraId="6F9E4BC2">
                  <w:pPr>
                    <w:pStyle w:val="46"/>
                    <w:rPr>
                      <w:kern w:val="2"/>
                      <w:szCs w:val="21"/>
                    </w:rPr>
                  </w:pPr>
                  <w:r>
                    <w:rPr>
                      <w:rFonts w:hint="eastAsia"/>
                      <w:kern w:val="2"/>
                      <w:szCs w:val="21"/>
                    </w:rPr>
                    <w:t>使用喷淋装置进行洒水抑尘</w:t>
                  </w:r>
                </w:p>
              </w:tc>
              <w:tc>
                <w:tcPr>
                  <w:tcW w:w="1211" w:type="pct"/>
                  <w:vMerge w:val="restart"/>
                  <w:vAlign w:val="center"/>
                </w:tcPr>
                <w:p w14:paraId="415CA74D">
                  <w:pPr>
                    <w:pStyle w:val="46"/>
                    <w:rPr>
                      <w:color w:val="0000C7"/>
                      <w:szCs w:val="21"/>
                    </w:rPr>
                  </w:pPr>
                  <w:r>
                    <w:rPr>
                      <w:szCs w:val="21"/>
                    </w:rPr>
                    <w:t>（GB4915-2013）</w:t>
                  </w:r>
                </w:p>
              </w:tc>
              <w:tc>
                <w:tcPr>
                  <w:tcW w:w="755" w:type="pct"/>
                  <w:vMerge w:val="restart"/>
                  <w:vAlign w:val="center"/>
                </w:tcPr>
                <w:p w14:paraId="2D242DC7">
                  <w:pPr>
                    <w:pStyle w:val="46"/>
                    <w:rPr>
                      <w:kern w:val="2"/>
                      <w:szCs w:val="21"/>
                    </w:rPr>
                  </w:pPr>
                  <w:r>
                    <w:rPr>
                      <w:rFonts w:hint="eastAsia"/>
                      <w:kern w:val="2"/>
                      <w:szCs w:val="21"/>
                    </w:rPr>
                    <w:t>0.5</w:t>
                  </w:r>
                </w:p>
              </w:tc>
              <w:tc>
                <w:tcPr>
                  <w:tcW w:w="611" w:type="pct"/>
                  <w:vAlign w:val="center"/>
                </w:tcPr>
                <w:p w14:paraId="4AE4456A">
                  <w:pPr>
                    <w:wordWrap w:val="0"/>
                    <w:topLinePunct/>
                    <w:adjustRightInd w:val="0"/>
                    <w:snapToGrid w:val="0"/>
                    <w:spacing w:line="240" w:lineRule="auto"/>
                    <w:ind w:left="-120" w:leftChars="-50" w:right="-120" w:rightChars="-50"/>
                    <w:jc w:val="center"/>
                    <w:rPr>
                      <w:rFonts w:hint="eastAsia" w:eastAsia="宋体"/>
                      <w:snapToGrid w:val="0"/>
                      <w:spacing w:val="4"/>
                      <w:sz w:val="21"/>
                      <w:szCs w:val="21"/>
                      <w:lang w:eastAsia="zh-CN"/>
                    </w:rPr>
                  </w:pPr>
                  <w:r>
                    <w:rPr>
                      <w:snapToGrid w:val="0"/>
                      <w:spacing w:val="4"/>
                      <w:sz w:val="21"/>
                      <w:szCs w:val="21"/>
                    </w:rPr>
                    <w:t>0.</w:t>
                  </w:r>
                  <w:r>
                    <w:rPr>
                      <w:rFonts w:hint="eastAsia"/>
                      <w:snapToGrid w:val="0"/>
                      <w:spacing w:val="4"/>
                      <w:sz w:val="21"/>
                      <w:szCs w:val="21"/>
                    </w:rPr>
                    <w:t>02</w:t>
                  </w:r>
                  <w:r>
                    <w:rPr>
                      <w:rFonts w:hint="eastAsia"/>
                      <w:snapToGrid w:val="0"/>
                      <w:spacing w:val="4"/>
                      <w:sz w:val="21"/>
                      <w:szCs w:val="21"/>
                      <w:lang w:val="en-US" w:eastAsia="zh-CN"/>
                    </w:rPr>
                    <w:t>3</w:t>
                  </w:r>
                </w:p>
              </w:tc>
            </w:tr>
            <w:tr w14:paraId="01AF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324" w:type="pct"/>
                  <w:vAlign w:val="center"/>
                </w:tcPr>
                <w:p w14:paraId="6875C152">
                  <w:pPr>
                    <w:pStyle w:val="46"/>
                    <w:rPr>
                      <w:kern w:val="2"/>
                      <w:szCs w:val="21"/>
                    </w:rPr>
                  </w:pPr>
                  <w:r>
                    <w:rPr>
                      <w:rFonts w:hint="eastAsia"/>
                      <w:kern w:val="2"/>
                      <w:szCs w:val="21"/>
                    </w:rPr>
                    <w:t>6</w:t>
                  </w:r>
                </w:p>
              </w:tc>
              <w:tc>
                <w:tcPr>
                  <w:tcW w:w="616" w:type="pct"/>
                  <w:vAlign w:val="center"/>
                </w:tcPr>
                <w:p w14:paraId="244302D4">
                  <w:pPr>
                    <w:pStyle w:val="46"/>
                    <w:rPr>
                      <w:kern w:val="2"/>
                      <w:szCs w:val="21"/>
                    </w:rPr>
                  </w:pPr>
                  <w:r>
                    <w:rPr>
                      <w:rFonts w:hint="eastAsia"/>
                      <w:kern w:val="2"/>
                      <w:szCs w:val="21"/>
                      <w:lang w:val="en-US" w:eastAsia="zh-CN"/>
                    </w:rPr>
                    <w:t>水泥筒仓</w:t>
                  </w:r>
                  <w:r>
                    <w:rPr>
                      <w:rFonts w:hint="eastAsia"/>
                      <w:kern w:val="2"/>
                      <w:szCs w:val="21"/>
                    </w:rPr>
                    <w:t>呼吸孔粉尘</w:t>
                  </w:r>
                </w:p>
              </w:tc>
              <w:tc>
                <w:tcPr>
                  <w:tcW w:w="569" w:type="pct"/>
                  <w:vMerge w:val="continue"/>
                  <w:vAlign w:val="center"/>
                </w:tcPr>
                <w:p w14:paraId="11B05A44">
                  <w:pPr>
                    <w:pStyle w:val="46"/>
                    <w:rPr>
                      <w:color w:val="0000C7"/>
                      <w:kern w:val="2"/>
                      <w:szCs w:val="21"/>
                    </w:rPr>
                  </w:pPr>
                </w:p>
              </w:tc>
              <w:tc>
                <w:tcPr>
                  <w:tcW w:w="911" w:type="pct"/>
                  <w:vAlign w:val="center"/>
                </w:tcPr>
                <w:p w14:paraId="7C4618B4">
                  <w:pPr>
                    <w:pStyle w:val="46"/>
                    <w:rPr>
                      <w:kern w:val="2"/>
                      <w:szCs w:val="21"/>
                    </w:rPr>
                  </w:pPr>
                  <w:r>
                    <w:rPr>
                      <w:rFonts w:hint="eastAsia"/>
                      <w:kern w:val="2"/>
                      <w:szCs w:val="21"/>
                      <w:lang w:val="en-US" w:eastAsia="zh-CN"/>
                    </w:rPr>
                    <w:t>筒仓</w:t>
                  </w:r>
                  <w:r>
                    <w:rPr>
                      <w:kern w:val="2"/>
                      <w:szCs w:val="21"/>
                    </w:rPr>
                    <w:t>顶部配套高效仓顶除尘器</w:t>
                  </w:r>
                </w:p>
              </w:tc>
              <w:tc>
                <w:tcPr>
                  <w:tcW w:w="1211" w:type="pct"/>
                  <w:vMerge w:val="continue"/>
                  <w:vAlign w:val="center"/>
                </w:tcPr>
                <w:p w14:paraId="6CF8A562">
                  <w:pPr>
                    <w:pStyle w:val="46"/>
                    <w:rPr>
                      <w:color w:val="0000C7"/>
                      <w:szCs w:val="21"/>
                    </w:rPr>
                  </w:pPr>
                </w:p>
              </w:tc>
              <w:tc>
                <w:tcPr>
                  <w:tcW w:w="755" w:type="pct"/>
                  <w:vMerge w:val="continue"/>
                  <w:vAlign w:val="center"/>
                </w:tcPr>
                <w:p w14:paraId="71635330">
                  <w:pPr>
                    <w:pStyle w:val="46"/>
                    <w:rPr>
                      <w:kern w:val="2"/>
                      <w:szCs w:val="21"/>
                    </w:rPr>
                  </w:pPr>
                </w:p>
              </w:tc>
              <w:tc>
                <w:tcPr>
                  <w:tcW w:w="611" w:type="pct"/>
                  <w:vAlign w:val="center"/>
                </w:tcPr>
                <w:p w14:paraId="0ABA6B50">
                  <w:pPr>
                    <w:wordWrap w:val="0"/>
                    <w:topLinePunct/>
                    <w:adjustRightInd w:val="0"/>
                    <w:snapToGrid w:val="0"/>
                    <w:spacing w:line="240" w:lineRule="auto"/>
                    <w:ind w:left="-120" w:leftChars="-50" w:right="-120" w:rightChars="-50"/>
                    <w:jc w:val="center"/>
                    <w:rPr>
                      <w:snapToGrid w:val="0"/>
                      <w:spacing w:val="4"/>
                      <w:sz w:val="21"/>
                      <w:szCs w:val="21"/>
                    </w:rPr>
                  </w:pPr>
                  <w:r>
                    <w:rPr>
                      <w:snapToGrid w:val="0"/>
                      <w:spacing w:val="4"/>
                      <w:sz w:val="21"/>
                      <w:szCs w:val="21"/>
                    </w:rPr>
                    <w:t>0.</w:t>
                  </w:r>
                  <w:r>
                    <w:rPr>
                      <w:rFonts w:hint="eastAsia"/>
                      <w:snapToGrid w:val="0"/>
                      <w:spacing w:val="4"/>
                      <w:sz w:val="21"/>
                      <w:szCs w:val="21"/>
                    </w:rPr>
                    <w:t>009</w:t>
                  </w:r>
                </w:p>
              </w:tc>
            </w:tr>
            <w:tr w14:paraId="308E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388" w:type="pct"/>
                  <w:gridSpan w:val="6"/>
                  <w:vAlign w:val="center"/>
                </w:tcPr>
                <w:p w14:paraId="0ADB52C4">
                  <w:pPr>
                    <w:pStyle w:val="46"/>
                    <w:rPr>
                      <w:kern w:val="2"/>
                      <w:szCs w:val="21"/>
                    </w:rPr>
                  </w:pPr>
                  <w:r>
                    <w:rPr>
                      <w:rFonts w:hint="eastAsia"/>
                      <w:szCs w:val="21"/>
                    </w:rPr>
                    <w:t>总计</w:t>
                  </w:r>
                </w:p>
              </w:tc>
              <w:tc>
                <w:tcPr>
                  <w:tcW w:w="611" w:type="pct"/>
                  <w:vAlign w:val="center"/>
                </w:tcPr>
                <w:p w14:paraId="7A46E0CC">
                  <w:pPr>
                    <w:wordWrap w:val="0"/>
                    <w:topLinePunct/>
                    <w:adjustRightInd w:val="0"/>
                    <w:snapToGrid w:val="0"/>
                    <w:spacing w:line="240" w:lineRule="auto"/>
                    <w:ind w:left="-120" w:leftChars="-50" w:right="-120" w:rightChars="-50"/>
                    <w:jc w:val="center"/>
                    <w:rPr>
                      <w:rFonts w:hint="default" w:eastAsia="宋体"/>
                      <w:snapToGrid w:val="0"/>
                      <w:spacing w:val="4"/>
                      <w:sz w:val="21"/>
                      <w:szCs w:val="21"/>
                      <w:lang w:val="en-US" w:eastAsia="zh-CN"/>
                    </w:rPr>
                  </w:pPr>
                  <w:r>
                    <w:rPr>
                      <w:rFonts w:hint="eastAsia"/>
                      <w:snapToGrid w:val="0"/>
                      <w:spacing w:val="4"/>
                      <w:sz w:val="21"/>
                      <w:szCs w:val="21"/>
                      <w:lang w:val="en-US" w:eastAsia="zh-CN"/>
                    </w:rPr>
                    <w:t>0.377</w:t>
                  </w:r>
                </w:p>
              </w:tc>
            </w:tr>
          </w:tbl>
          <w:p w14:paraId="07DA5D9F">
            <w:pPr>
              <w:pStyle w:val="40"/>
              <w:numPr>
                <w:ilvl w:val="3"/>
                <w:numId w:val="0"/>
              </w:numPr>
              <w:ind w:firstLine="482" w:firstLineChars="200"/>
            </w:pPr>
            <w:r>
              <w:t>2、废气治理设施可行性分析</w:t>
            </w:r>
            <w:bookmarkEnd w:id="80"/>
            <w:bookmarkEnd w:id="81"/>
          </w:p>
          <w:p w14:paraId="14060445">
            <w:pPr>
              <w:ind w:firstLine="480" w:firstLineChars="200"/>
            </w:pPr>
            <w:r>
              <w:t>根据工程分析，项目运营期产生的废气主要为</w:t>
            </w:r>
            <w:r>
              <w:rPr>
                <w:rFonts w:hint="eastAsia"/>
                <w:kern w:val="0"/>
              </w:rPr>
              <w:t>原料堆场扬尘、成品</w:t>
            </w:r>
            <w:r>
              <w:rPr>
                <w:kern w:val="0"/>
              </w:rPr>
              <w:t>堆场扬尘、</w:t>
            </w:r>
            <w:r>
              <w:rPr>
                <w:rFonts w:hint="eastAsia"/>
                <w:kern w:val="0"/>
              </w:rPr>
              <w:t>路沿石加工粉尘、</w:t>
            </w:r>
            <w:r>
              <w:rPr>
                <w:rFonts w:hint="eastAsia"/>
                <w:b w:val="0"/>
                <w:bCs/>
                <w:kern w:val="0"/>
                <w:u w:val="none"/>
                <w:lang w:eastAsia="zh-CN" w:bidi="ar"/>
              </w:rPr>
              <w:t>墓碑</w:t>
            </w:r>
            <w:r>
              <w:rPr>
                <w:rFonts w:hint="eastAsia" w:ascii="Times New Roman" w:hAnsi="Times New Roman" w:eastAsia="宋体" w:cs="Times New Roman"/>
                <w:b w:val="0"/>
                <w:bCs/>
                <w:kern w:val="0"/>
                <w:sz w:val="24"/>
                <w:szCs w:val="24"/>
                <w:u w:val="none"/>
                <w:lang w:val="en-US" w:eastAsia="zh-CN" w:bidi="ar"/>
              </w:rPr>
              <w:t>及附属产品和其他板材</w:t>
            </w:r>
            <w:r>
              <w:rPr>
                <w:rFonts w:hint="eastAsia"/>
                <w:kern w:val="0"/>
              </w:rPr>
              <w:t>加工粉尘、</w:t>
            </w:r>
            <w:r>
              <w:rPr>
                <w:rFonts w:hint="eastAsia"/>
                <w:kern w:val="0"/>
                <w:lang w:eastAsia="zh-CN"/>
              </w:rPr>
              <w:t>墓碑加工有机废气、</w:t>
            </w:r>
            <w:r>
              <w:rPr>
                <w:rFonts w:hint="eastAsia" w:ascii="Times New Roman" w:hAnsi="Times New Roman" w:eastAsia="宋体" w:cs="Times New Roman"/>
                <w:kern w:val="2"/>
                <w:sz w:val="24"/>
                <w:szCs w:val="24"/>
                <w:u w:val="none"/>
                <w:lang w:val="en-US" w:eastAsia="zh-CN" w:bidi="ar-SA"/>
              </w:rPr>
              <w:t>透水砖、路面砖</w:t>
            </w:r>
            <w:r>
              <w:rPr>
                <w:kern w:val="0"/>
              </w:rPr>
              <w:t>生产过程中产生的破碎筛分</w:t>
            </w:r>
            <w:r>
              <w:rPr>
                <w:rFonts w:hint="eastAsia"/>
                <w:kern w:val="0"/>
              </w:rPr>
              <w:t>制砂</w:t>
            </w:r>
            <w:r>
              <w:rPr>
                <w:kern w:val="0"/>
              </w:rPr>
              <w:t>粉尘、</w:t>
            </w:r>
            <w:r>
              <w:rPr>
                <w:rFonts w:hint="eastAsia" w:ascii="Times New Roman" w:hAnsi="Times New Roman" w:eastAsia="宋体" w:cs="Times New Roman"/>
                <w:kern w:val="2"/>
                <w:sz w:val="24"/>
                <w:szCs w:val="24"/>
                <w:u w:val="none"/>
                <w:lang w:val="en-US" w:eastAsia="zh-CN" w:bidi="ar-SA"/>
              </w:rPr>
              <w:t>透水砖、路面砖</w:t>
            </w:r>
            <w:r>
              <w:rPr>
                <w:kern w:val="0"/>
              </w:rPr>
              <w:t>生产</w:t>
            </w:r>
            <w:r>
              <w:rPr>
                <w:rFonts w:hint="eastAsia"/>
                <w:kern w:val="0"/>
              </w:rPr>
              <w:t>线投料输送及搅拌</w:t>
            </w:r>
            <w:r>
              <w:rPr>
                <w:kern w:val="0"/>
              </w:rPr>
              <w:t>粉尘、</w:t>
            </w:r>
            <w:r>
              <w:rPr>
                <w:rFonts w:hint="eastAsia"/>
                <w:kern w:val="2"/>
                <w:szCs w:val="21"/>
                <w:lang w:val="en-US" w:eastAsia="zh-CN"/>
              </w:rPr>
              <w:t>水泥筒仓</w:t>
            </w:r>
            <w:r>
              <w:rPr>
                <w:rFonts w:hint="eastAsia"/>
                <w:kern w:val="0"/>
              </w:rPr>
              <w:t>呼吸孔粉尘、</w:t>
            </w:r>
            <w:r>
              <w:rPr>
                <w:kern w:val="0"/>
              </w:rPr>
              <w:t>运输车辆扬尘及</w:t>
            </w:r>
            <w:r>
              <w:t xml:space="preserve">食堂油烟。参照《排污许可证申请与核发技术规范 </w:t>
            </w:r>
            <w:r>
              <w:rPr>
                <w:rFonts w:hint="eastAsia"/>
              </w:rPr>
              <w:t>总则</w:t>
            </w:r>
            <w:r>
              <w:t>》（HJ9</w:t>
            </w:r>
            <w:r>
              <w:rPr>
                <w:rFonts w:hint="eastAsia"/>
              </w:rPr>
              <w:t>42</w:t>
            </w:r>
            <w:r>
              <w:t>-2018）</w:t>
            </w:r>
            <w:r>
              <w:rPr>
                <w:rFonts w:hint="eastAsia"/>
              </w:rPr>
              <w:t>及</w:t>
            </w:r>
            <w:r>
              <w:t>《排污许可证申请与核发技术规范 陶瓷砖瓦工业》（HJ954-2018）污染防治要求，主要防治措施及可行性见下表。</w:t>
            </w:r>
          </w:p>
          <w:p w14:paraId="10A40341">
            <w:pPr>
              <w:spacing w:line="240" w:lineRule="auto"/>
              <w:jc w:val="center"/>
              <w:rPr>
                <w:b/>
                <w:bCs/>
                <w:sz w:val="21"/>
                <w:szCs w:val="21"/>
              </w:rPr>
            </w:pPr>
            <w:r>
              <w:rPr>
                <w:b/>
                <w:bCs/>
                <w:sz w:val="21"/>
                <w:szCs w:val="21"/>
              </w:rPr>
              <w:t>表4-</w:t>
            </w:r>
            <w:r>
              <w:rPr>
                <w:rFonts w:hint="eastAsia"/>
                <w:b/>
                <w:bCs/>
                <w:sz w:val="21"/>
                <w:szCs w:val="21"/>
                <w:lang w:val="en-US" w:eastAsia="zh-CN"/>
              </w:rPr>
              <w:t>6</w:t>
            </w:r>
            <w:r>
              <w:rPr>
                <w:b/>
                <w:bCs/>
                <w:sz w:val="21"/>
                <w:szCs w:val="21"/>
              </w:rPr>
              <w:t xml:space="preserve"> 废气治理措施及其可行性</w:t>
            </w:r>
          </w:p>
          <w:tbl>
            <w:tblPr>
              <w:tblStyle w:val="24"/>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12"/>
              <w:gridCol w:w="1324"/>
              <w:gridCol w:w="662"/>
              <w:gridCol w:w="2063"/>
              <w:gridCol w:w="1140"/>
              <w:gridCol w:w="2804"/>
            </w:tblGrid>
            <w:tr w14:paraId="1A6B23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301" w:type="pct"/>
                  <w:vAlign w:val="center"/>
                </w:tcPr>
                <w:p w14:paraId="3F110822">
                  <w:pPr>
                    <w:spacing w:line="240" w:lineRule="auto"/>
                    <w:jc w:val="center"/>
                    <w:rPr>
                      <w:b/>
                      <w:bCs/>
                      <w:sz w:val="21"/>
                      <w:szCs w:val="21"/>
                    </w:rPr>
                  </w:pPr>
                  <w:r>
                    <w:rPr>
                      <w:b/>
                      <w:bCs/>
                      <w:sz w:val="21"/>
                      <w:szCs w:val="21"/>
                    </w:rPr>
                    <w:t>序号</w:t>
                  </w:r>
                </w:p>
              </w:tc>
              <w:tc>
                <w:tcPr>
                  <w:tcW w:w="778" w:type="pct"/>
                  <w:vAlign w:val="center"/>
                </w:tcPr>
                <w:p w14:paraId="3C794C02">
                  <w:pPr>
                    <w:spacing w:line="240" w:lineRule="auto"/>
                    <w:jc w:val="center"/>
                    <w:rPr>
                      <w:b/>
                      <w:bCs/>
                      <w:sz w:val="21"/>
                      <w:szCs w:val="21"/>
                    </w:rPr>
                  </w:pPr>
                  <w:r>
                    <w:rPr>
                      <w:b/>
                      <w:bCs/>
                      <w:sz w:val="21"/>
                      <w:szCs w:val="21"/>
                    </w:rPr>
                    <w:t>产污环节</w:t>
                  </w:r>
                </w:p>
              </w:tc>
              <w:tc>
                <w:tcPr>
                  <w:tcW w:w="389" w:type="pct"/>
                  <w:vAlign w:val="center"/>
                </w:tcPr>
                <w:p w14:paraId="1CA844AF">
                  <w:pPr>
                    <w:spacing w:line="240" w:lineRule="auto"/>
                    <w:jc w:val="center"/>
                    <w:rPr>
                      <w:b/>
                      <w:bCs/>
                      <w:sz w:val="21"/>
                      <w:szCs w:val="21"/>
                    </w:rPr>
                  </w:pPr>
                  <w:r>
                    <w:rPr>
                      <w:b/>
                      <w:bCs/>
                      <w:sz w:val="21"/>
                      <w:szCs w:val="21"/>
                    </w:rPr>
                    <w:t>污染因子</w:t>
                  </w:r>
                </w:p>
              </w:tc>
              <w:tc>
                <w:tcPr>
                  <w:tcW w:w="1212" w:type="pct"/>
                  <w:vAlign w:val="center"/>
                </w:tcPr>
                <w:p w14:paraId="58DCE194">
                  <w:pPr>
                    <w:spacing w:line="240" w:lineRule="auto"/>
                    <w:jc w:val="center"/>
                    <w:rPr>
                      <w:b/>
                      <w:bCs/>
                      <w:sz w:val="21"/>
                      <w:szCs w:val="21"/>
                    </w:rPr>
                  </w:pPr>
                  <w:r>
                    <w:rPr>
                      <w:b/>
                      <w:bCs/>
                      <w:sz w:val="21"/>
                      <w:szCs w:val="21"/>
                    </w:rPr>
                    <w:t>防治措施</w:t>
                  </w:r>
                </w:p>
              </w:tc>
              <w:tc>
                <w:tcPr>
                  <w:tcW w:w="670" w:type="pct"/>
                  <w:vAlign w:val="center"/>
                </w:tcPr>
                <w:p w14:paraId="467E7322">
                  <w:pPr>
                    <w:spacing w:line="240" w:lineRule="auto"/>
                    <w:jc w:val="center"/>
                    <w:rPr>
                      <w:b/>
                      <w:bCs/>
                      <w:sz w:val="21"/>
                      <w:szCs w:val="21"/>
                    </w:rPr>
                  </w:pPr>
                  <w:r>
                    <w:rPr>
                      <w:b/>
                      <w:bCs/>
                      <w:sz w:val="21"/>
                      <w:szCs w:val="21"/>
                    </w:rPr>
                    <w:t>是否为可行技术</w:t>
                  </w:r>
                </w:p>
              </w:tc>
              <w:tc>
                <w:tcPr>
                  <w:tcW w:w="1647" w:type="pct"/>
                  <w:vAlign w:val="center"/>
                </w:tcPr>
                <w:p w14:paraId="16699462">
                  <w:pPr>
                    <w:spacing w:line="240" w:lineRule="auto"/>
                    <w:jc w:val="center"/>
                    <w:rPr>
                      <w:b/>
                      <w:bCs/>
                      <w:sz w:val="21"/>
                      <w:szCs w:val="21"/>
                    </w:rPr>
                  </w:pPr>
                  <w:r>
                    <w:rPr>
                      <w:b/>
                      <w:bCs/>
                      <w:sz w:val="21"/>
                      <w:szCs w:val="21"/>
                    </w:rPr>
                    <w:t>防治效果</w:t>
                  </w:r>
                </w:p>
              </w:tc>
            </w:tr>
            <w:tr w14:paraId="400FEB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301" w:type="pct"/>
                  <w:vAlign w:val="center"/>
                </w:tcPr>
                <w:p w14:paraId="7C9FCF46">
                  <w:pPr>
                    <w:spacing w:line="240" w:lineRule="auto"/>
                    <w:jc w:val="center"/>
                    <w:rPr>
                      <w:sz w:val="21"/>
                      <w:szCs w:val="21"/>
                    </w:rPr>
                  </w:pPr>
                  <w:r>
                    <w:rPr>
                      <w:sz w:val="21"/>
                      <w:szCs w:val="21"/>
                    </w:rPr>
                    <w:t>1</w:t>
                  </w:r>
                </w:p>
              </w:tc>
              <w:tc>
                <w:tcPr>
                  <w:tcW w:w="778" w:type="pct"/>
                  <w:vAlign w:val="center"/>
                </w:tcPr>
                <w:p w14:paraId="665DC4CE">
                  <w:pPr>
                    <w:spacing w:line="240" w:lineRule="auto"/>
                    <w:jc w:val="center"/>
                    <w:rPr>
                      <w:sz w:val="21"/>
                      <w:szCs w:val="21"/>
                    </w:rPr>
                  </w:pPr>
                  <w:r>
                    <w:rPr>
                      <w:rFonts w:hint="eastAsia"/>
                      <w:sz w:val="21"/>
                      <w:szCs w:val="21"/>
                    </w:rPr>
                    <w:t>原料堆场粉尘</w:t>
                  </w:r>
                </w:p>
              </w:tc>
              <w:tc>
                <w:tcPr>
                  <w:tcW w:w="389" w:type="pct"/>
                  <w:vMerge w:val="restart"/>
                  <w:shd w:val="clear" w:color="auto" w:fill="auto"/>
                  <w:vAlign w:val="center"/>
                </w:tcPr>
                <w:p w14:paraId="59F71F30">
                  <w:pPr>
                    <w:spacing w:line="240" w:lineRule="auto"/>
                    <w:jc w:val="center"/>
                    <w:rPr>
                      <w:sz w:val="21"/>
                      <w:szCs w:val="21"/>
                    </w:rPr>
                  </w:pPr>
                  <w:r>
                    <w:rPr>
                      <w:sz w:val="21"/>
                      <w:szCs w:val="21"/>
                    </w:rPr>
                    <w:t>颗粒物</w:t>
                  </w:r>
                </w:p>
              </w:tc>
              <w:tc>
                <w:tcPr>
                  <w:tcW w:w="1212" w:type="pct"/>
                  <w:shd w:val="clear" w:color="auto" w:fill="auto"/>
                  <w:vAlign w:val="center"/>
                </w:tcPr>
                <w:p w14:paraId="37685207">
                  <w:pPr>
                    <w:spacing w:line="240" w:lineRule="auto"/>
                    <w:jc w:val="center"/>
                    <w:rPr>
                      <w:sz w:val="21"/>
                      <w:szCs w:val="21"/>
                    </w:rPr>
                  </w:pPr>
                  <w:r>
                    <w:rPr>
                      <w:rFonts w:hint="eastAsia"/>
                      <w:sz w:val="21"/>
                      <w:szCs w:val="21"/>
                    </w:rPr>
                    <w:t>采取</w:t>
                  </w:r>
                  <w:r>
                    <w:rPr>
                      <w:rFonts w:hint="eastAsia"/>
                      <w:snapToGrid w:val="0"/>
                      <w:spacing w:val="4"/>
                      <w:sz w:val="21"/>
                      <w:szCs w:val="21"/>
                    </w:rPr>
                    <w:t>洒水喷淋</w:t>
                  </w:r>
                  <w:r>
                    <w:rPr>
                      <w:rFonts w:hint="eastAsia"/>
                      <w:snapToGrid w:val="0"/>
                      <w:spacing w:val="4"/>
                      <w:sz w:val="21"/>
                      <w:szCs w:val="21"/>
                      <w:lang w:eastAsia="zh-CN"/>
                    </w:rPr>
                    <w:t>抑尘</w:t>
                  </w:r>
                  <w:r>
                    <w:rPr>
                      <w:rFonts w:hint="eastAsia"/>
                      <w:sz w:val="21"/>
                      <w:szCs w:val="21"/>
                    </w:rPr>
                    <w:t>、定期清扫地面保持整洁、尽量减少物料在厂区暂存周期</w:t>
                  </w:r>
                </w:p>
              </w:tc>
              <w:tc>
                <w:tcPr>
                  <w:tcW w:w="670" w:type="pct"/>
                  <w:vAlign w:val="center"/>
                </w:tcPr>
                <w:p w14:paraId="6FAAD2DD">
                  <w:pPr>
                    <w:spacing w:line="240" w:lineRule="auto"/>
                    <w:jc w:val="center"/>
                    <w:rPr>
                      <w:sz w:val="21"/>
                      <w:szCs w:val="21"/>
                    </w:rPr>
                  </w:pPr>
                  <w:r>
                    <w:rPr>
                      <w:sz w:val="21"/>
                      <w:szCs w:val="21"/>
                    </w:rPr>
                    <w:t>是</w:t>
                  </w:r>
                </w:p>
              </w:tc>
              <w:tc>
                <w:tcPr>
                  <w:tcW w:w="1647" w:type="pct"/>
                  <w:vMerge w:val="restart"/>
                  <w:shd w:val="clear" w:color="auto" w:fill="auto"/>
                  <w:vAlign w:val="center"/>
                </w:tcPr>
                <w:p w14:paraId="65CF72AD">
                  <w:pPr>
                    <w:spacing w:line="240" w:lineRule="auto"/>
                    <w:jc w:val="center"/>
                    <w:rPr>
                      <w:sz w:val="21"/>
                      <w:szCs w:val="21"/>
                    </w:rPr>
                  </w:pPr>
                  <w:r>
                    <w:rPr>
                      <w:sz w:val="21"/>
                      <w:szCs w:val="21"/>
                    </w:rPr>
                    <w:t>满足</w:t>
                  </w:r>
                  <w:r>
                    <w:rPr>
                      <w:rFonts w:hint="default"/>
                      <w:kern w:val="2"/>
                      <w:sz w:val="21"/>
                      <w:szCs w:val="21"/>
                    </w:rPr>
                    <w:t>《水泥工业大气污染物排放标准》</w:t>
                  </w:r>
                  <w:r>
                    <w:rPr>
                      <w:sz w:val="21"/>
                      <w:szCs w:val="21"/>
                    </w:rPr>
                    <w:t>（GB</w:t>
                  </w:r>
                  <w:r>
                    <w:rPr>
                      <w:rFonts w:hint="default"/>
                      <w:sz w:val="21"/>
                      <w:szCs w:val="21"/>
                    </w:rPr>
                    <w:t>4915</w:t>
                  </w:r>
                  <w:r>
                    <w:rPr>
                      <w:sz w:val="21"/>
                      <w:szCs w:val="21"/>
                    </w:rPr>
                    <w:t>-20</w:t>
                  </w:r>
                  <w:r>
                    <w:rPr>
                      <w:rFonts w:hint="default"/>
                      <w:sz w:val="21"/>
                      <w:szCs w:val="21"/>
                    </w:rPr>
                    <w:t>13</w:t>
                  </w:r>
                  <w:r>
                    <w:rPr>
                      <w:sz w:val="21"/>
                      <w:szCs w:val="21"/>
                    </w:rPr>
                    <w:t>）</w:t>
                  </w:r>
                  <w:r>
                    <w:rPr>
                      <w:rFonts w:hint="default"/>
                      <w:sz w:val="21"/>
                      <w:szCs w:val="21"/>
                    </w:rPr>
                    <w:t>中表3的大气污染物无组织排放限值</w:t>
                  </w:r>
                </w:p>
              </w:tc>
            </w:tr>
            <w:tr w14:paraId="39CD7A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301" w:type="pct"/>
                  <w:vAlign w:val="center"/>
                </w:tcPr>
                <w:p w14:paraId="263EB38E">
                  <w:pPr>
                    <w:spacing w:line="240" w:lineRule="auto"/>
                    <w:jc w:val="center"/>
                    <w:rPr>
                      <w:sz w:val="21"/>
                      <w:szCs w:val="21"/>
                    </w:rPr>
                  </w:pPr>
                  <w:r>
                    <w:rPr>
                      <w:sz w:val="21"/>
                      <w:szCs w:val="21"/>
                    </w:rPr>
                    <w:t>2</w:t>
                  </w:r>
                </w:p>
              </w:tc>
              <w:tc>
                <w:tcPr>
                  <w:tcW w:w="778" w:type="pct"/>
                  <w:vAlign w:val="center"/>
                </w:tcPr>
                <w:p w14:paraId="3A9D7E51">
                  <w:pPr>
                    <w:spacing w:line="240" w:lineRule="auto"/>
                    <w:jc w:val="center"/>
                    <w:rPr>
                      <w:sz w:val="21"/>
                      <w:szCs w:val="21"/>
                    </w:rPr>
                  </w:pPr>
                  <w:r>
                    <w:rPr>
                      <w:rFonts w:hint="eastAsia"/>
                      <w:sz w:val="21"/>
                      <w:szCs w:val="21"/>
                    </w:rPr>
                    <w:t>路沿石加工粉尘</w:t>
                  </w:r>
                </w:p>
              </w:tc>
              <w:tc>
                <w:tcPr>
                  <w:tcW w:w="389" w:type="pct"/>
                  <w:vMerge w:val="continue"/>
                  <w:shd w:val="clear" w:color="auto" w:fill="auto"/>
                  <w:vAlign w:val="center"/>
                </w:tcPr>
                <w:p w14:paraId="3C9EF99D">
                  <w:pPr>
                    <w:spacing w:line="240" w:lineRule="auto"/>
                    <w:jc w:val="center"/>
                    <w:rPr>
                      <w:sz w:val="21"/>
                      <w:szCs w:val="21"/>
                    </w:rPr>
                  </w:pPr>
                </w:p>
              </w:tc>
              <w:tc>
                <w:tcPr>
                  <w:tcW w:w="1212" w:type="pct"/>
                  <w:shd w:val="clear" w:color="auto" w:fill="auto"/>
                  <w:vAlign w:val="center"/>
                </w:tcPr>
                <w:p w14:paraId="4AB1CA09">
                  <w:pPr>
                    <w:spacing w:line="240" w:lineRule="auto"/>
                    <w:jc w:val="center"/>
                    <w:rPr>
                      <w:sz w:val="21"/>
                      <w:szCs w:val="21"/>
                    </w:rPr>
                  </w:pPr>
                  <w:r>
                    <w:rPr>
                      <w:sz w:val="21"/>
                      <w:szCs w:val="21"/>
                    </w:rPr>
                    <w:t>湿法作业</w:t>
                  </w:r>
                </w:p>
              </w:tc>
              <w:tc>
                <w:tcPr>
                  <w:tcW w:w="670" w:type="pct"/>
                  <w:vAlign w:val="center"/>
                </w:tcPr>
                <w:p w14:paraId="09C75C09">
                  <w:pPr>
                    <w:spacing w:line="240" w:lineRule="auto"/>
                    <w:jc w:val="center"/>
                    <w:rPr>
                      <w:sz w:val="21"/>
                      <w:szCs w:val="21"/>
                    </w:rPr>
                  </w:pPr>
                  <w:r>
                    <w:rPr>
                      <w:sz w:val="21"/>
                      <w:szCs w:val="21"/>
                    </w:rPr>
                    <w:t>是</w:t>
                  </w:r>
                </w:p>
              </w:tc>
              <w:tc>
                <w:tcPr>
                  <w:tcW w:w="1647" w:type="pct"/>
                  <w:vMerge w:val="continue"/>
                  <w:shd w:val="clear" w:color="auto" w:fill="auto"/>
                  <w:vAlign w:val="center"/>
                </w:tcPr>
                <w:p w14:paraId="4402DA74">
                  <w:pPr>
                    <w:spacing w:line="240" w:lineRule="auto"/>
                    <w:jc w:val="center"/>
                    <w:rPr>
                      <w:sz w:val="21"/>
                      <w:szCs w:val="21"/>
                    </w:rPr>
                  </w:pPr>
                </w:p>
              </w:tc>
            </w:tr>
            <w:tr w14:paraId="15EB92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301" w:type="pct"/>
                  <w:vAlign w:val="center"/>
                </w:tcPr>
                <w:p w14:paraId="4A76688B">
                  <w:pPr>
                    <w:spacing w:line="240" w:lineRule="auto"/>
                    <w:jc w:val="center"/>
                    <w:rPr>
                      <w:sz w:val="21"/>
                      <w:szCs w:val="21"/>
                    </w:rPr>
                  </w:pPr>
                  <w:r>
                    <w:rPr>
                      <w:rFonts w:hint="eastAsia"/>
                      <w:sz w:val="21"/>
                      <w:szCs w:val="21"/>
                    </w:rPr>
                    <w:t>3</w:t>
                  </w:r>
                </w:p>
              </w:tc>
              <w:tc>
                <w:tcPr>
                  <w:tcW w:w="778" w:type="pct"/>
                  <w:vAlign w:val="center"/>
                </w:tcPr>
                <w:p w14:paraId="7B8A2712">
                  <w:pPr>
                    <w:spacing w:line="240" w:lineRule="auto"/>
                    <w:jc w:val="center"/>
                    <w:rPr>
                      <w:sz w:val="21"/>
                      <w:szCs w:val="21"/>
                    </w:rPr>
                  </w:pPr>
                  <w:r>
                    <w:rPr>
                      <w:rFonts w:hint="default"/>
                      <w:b w:val="0"/>
                      <w:bCs w:val="0"/>
                      <w:kern w:val="2"/>
                      <w:sz w:val="21"/>
                      <w:szCs w:val="21"/>
                      <w:u w:val="none"/>
                      <w:lang w:eastAsia="zh-CN" w:bidi="ar"/>
                    </w:rPr>
                    <w:t>墓碑</w:t>
                  </w:r>
                  <w:r>
                    <w:rPr>
                      <w:rFonts w:hint="default" w:ascii="Times New Roman" w:hAnsi="Times New Roman" w:eastAsia="宋体" w:cs="Times New Roman"/>
                      <w:b w:val="0"/>
                      <w:bCs w:val="0"/>
                      <w:kern w:val="2"/>
                      <w:sz w:val="21"/>
                      <w:szCs w:val="21"/>
                      <w:u w:val="none"/>
                      <w:lang w:val="en-US" w:eastAsia="zh-CN" w:bidi="ar"/>
                    </w:rPr>
                    <w:t>及附属产品和其他板材</w:t>
                  </w:r>
                  <w:r>
                    <w:rPr>
                      <w:rFonts w:hint="eastAsia"/>
                      <w:sz w:val="21"/>
                      <w:szCs w:val="21"/>
                    </w:rPr>
                    <w:t>加工粉尘</w:t>
                  </w:r>
                </w:p>
              </w:tc>
              <w:tc>
                <w:tcPr>
                  <w:tcW w:w="389" w:type="pct"/>
                  <w:vMerge w:val="continue"/>
                  <w:shd w:val="clear" w:color="auto" w:fill="auto"/>
                  <w:vAlign w:val="center"/>
                </w:tcPr>
                <w:p w14:paraId="1E36C7C4">
                  <w:pPr>
                    <w:spacing w:line="240" w:lineRule="auto"/>
                    <w:jc w:val="center"/>
                    <w:rPr>
                      <w:sz w:val="21"/>
                      <w:szCs w:val="21"/>
                    </w:rPr>
                  </w:pPr>
                </w:p>
              </w:tc>
              <w:tc>
                <w:tcPr>
                  <w:tcW w:w="1212" w:type="pct"/>
                  <w:shd w:val="clear" w:color="auto" w:fill="auto"/>
                  <w:vAlign w:val="center"/>
                </w:tcPr>
                <w:p w14:paraId="22E78817">
                  <w:pPr>
                    <w:spacing w:line="240" w:lineRule="auto"/>
                    <w:jc w:val="center"/>
                    <w:rPr>
                      <w:sz w:val="21"/>
                      <w:szCs w:val="21"/>
                    </w:rPr>
                  </w:pPr>
                  <w:r>
                    <w:rPr>
                      <w:sz w:val="21"/>
                      <w:szCs w:val="21"/>
                    </w:rPr>
                    <w:t>湿法作业</w:t>
                  </w:r>
                </w:p>
              </w:tc>
              <w:tc>
                <w:tcPr>
                  <w:tcW w:w="670" w:type="pct"/>
                  <w:vAlign w:val="center"/>
                </w:tcPr>
                <w:p w14:paraId="53299889">
                  <w:pPr>
                    <w:spacing w:line="240" w:lineRule="auto"/>
                    <w:jc w:val="center"/>
                    <w:rPr>
                      <w:sz w:val="21"/>
                      <w:szCs w:val="21"/>
                    </w:rPr>
                  </w:pPr>
                  <w:r>
                    <w:rPr>
                      <w:sz w:val="21"/>
                      <w:szCs w:val="21"/>
                    </w:rPr>
                    <w:t>是</w:t>
                  </w:r>
                </w:p>
              </w:tc>
              <w:tc>
                <w:tcPr>
                  <w:tcW w:w="1647" w:type="pct"/>
                  <w:vMerge w:val="continue"/>
                  <w:shd w:val="clear" w:color="auto" w:fill="auto"/>
                  <w:vAlign w:val="center"/>
                </w:tcPr>
                <w:p w14:paraId="6450AE52">
                  <w:pPr>
                    <w:spacing w:line="240" w:lineRule="auto"/>
                    <w:jc w:val="center"/>
                    <w:rPr>
                      <w:sz w:val="21"/>
                      <w:szCs w:val="21"/>
                    </w:rPr>
                  </w:pPr>
                </w:p>
              </w:tc>
            </w:tr>
            <w:tr w14:paraId="300E27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301" w:type="pct"/>
                  <w:vAlign w:val="center"/>
                </w:tcPr>
                <w:p w14:paraId="5A7C62E6">
                  <w:pPr>
                    <w:spacing w:line="240" w:lineRule="auto"/>
                    <w:jc w:val="center"/>
                    <w:rPr>
                      <w:sz w:val="21"/>
                      <w:szCs w:val="21"/>
                    </w:rPr>
                  </w:pPr>
                  <w:r>
                    <w:rPr>
                      <w:rFonts w:hint="eastAsia"/>
                      <w:sz w:val="21"/>
                      <w:szCs w:val="21"/>
                    </w:rPr>
                    <w:t>4</w:t>
                  </w:r>
                </w:p>
              </w:tc>
              <w:tc>
                <w:tcPr>
                  <w:tcW w:w="778" w:type="pct"/>
                  <w:vAlign w:val="center"/>
                </w:tcPr>
                <w:p w14:paraId="1B1622F2">
                  <w:pPr>
                    <w:spacing w:line="240" w:lineRule="auto"/>
                    <w:jc w:val="center"/>
                    <w:rPr>
                      <w:sz w:val="21"/>
                      <w:szCs w:val="21"/>
                    </w:rPr>
                  </w:pPr>
                  <w:r>
                    <w:rPr>
                      <w:rFonts w:hint="eastAsia" w:ascii="Times New Roman" w:hAnsi="Times New Roman" w:eastAsia="宋体" w:cs="Times New Roman"/>
                      <w:kern w:val="2"/>
                      <w:sz w:val="21"/>
                      <w:szCs w:val="21"/>
                      <w:u w:val="none"/>
                      <w:lang w:val="en-US" w:eastAsia="zh-CN" w:bidi="ar-SA"/>
                    </w:rPr>
                    <w:t>透水砖、路面砖</w:t>
                  </w:r>
                  <w:r>
                    <w:rPr>
                      <w:sz w:val="21"/>
                      <w:szCs w:val="21"/>
                    </w:rPr>
                    <w:t>生产过程中产生的破碎筛分</w:t>
                  </w:r>
                  <w:r>
                    <w:rPr>
                      <w:rFonts w:hint="eastAsia"/>
                      <w:sz w:val="21"/>
                      <w:szCs w:val="21"/>
                    </w:rPr>
                    <w:t>制砂</w:t>
                  </w:r>
                  <w:r>
                    <w:rPr>
                      <w:sz w:val="21"/>
                      <w:szCs w:val="21"/>
                    </w:rPr>
                    <w:t>粉尘</w:t>
                  </w:r>
                </w:p>
              </w:tc>
              <w:tc>
                <w:tcPr>
                  <w:tcW w:w="389" w:type="pct"/>
                  <w:vMerge w:val="continue"/>
                  <w:shd w:val="clear" w:color="auto" w:fill="auto"/>
                  <w:vAlign w:val="center"/>
                </w:tcPr>
                <w:p w14:paraId="187D4CBE">
                  <w:pPr>
                    <w:spacing w:line="240" w:lineRule="auto"/>
                    <w:jc w:val="center"/>
                    <w:rPr>
                      <w:sz w:val="21"/>
                      <w:szCs w:val="21"/>
                    </w:rPr>
                  </w:pPr>
                </w:p>
              </w:tc>
              <w:tc>
                <w:tcPr>
                  <w:tcW w:w="1212" w:type="pct"/>
                  <w:shd w:val="clear" w:color="auto" w:fill="auto"/>
                  <w:vAlign w:val="center"/>
                </w:tcPr>
                <w:p w14:paraId="20E3A12F">
                  <w:pPr>
                    <w:spacing w:line="240" w:lineRule="auto"/>
                    <w:jc w:val="center"/>
                    <w:rPr>
                      <w:sz w:val="21"/>
                      <w:szCs w:val="21"/>
                    </w:rPr>
                  </w:pPr>
                  <w:r>
                    <w:rPr>
                      <w:rFonts w:hint="eastAsia"/>
                      <w:kern w:val="2"/>
                      <w:sz w:val="21"/>
                      <w:szCs w:val="21"/>
                    </w:rPr>
                    <w:t>采用</w:t>
                  </w:r>
                  <w:r>
                    <w:rPr>
                      <w:rFonts w:hint="eastAsia"/>
                      <w:snapToGrid/>
                      <w:spacing w:val="0"/>
                      <w:sz w:val="21"/>
                      <w:szCs w:val="21"/>
                      <w:lang w:eastAsia="zh-CN"/>
                    </w:rPr>
                    <w:t>干法作业</w:t>
                  </w:r>
                  <w:r>
                    <w:rPr>
                      <w:rFonts w:hint="eastAsia"/>
                      <w:kern w:val="2"/>
                      <w:sz w:val="21"/>
                      <w:szCs w:val="21"/>
                    </w:rPr>
                    <w:t>的生产工艺，</w:t>
                  </w:r>
                  <w:r>
                    <w:rPr>
                      <w:rFonts w:hint="eastAsia"/>
                      <w:kern w:val="2"/>
                      <w:sz w:val="21"/>
                      <w:szCs w:val="21"/>
                      <w:lang w:eastAsia="zh-CN"/>
                    </w:rPr>
                    <w:t>采取喷淋降尘</w:t>
                  </w:r>
                  <w:r>
                    <w:rPr>
                      <w:rFonts w:hint="eastAsia"/>
                      <w:kern w:val="2"/>
                      <w:sz w:val="21"/>
                      <w:szCs w:val="21"/>
                    </w:rPr>
                    <w:t>，同时</w:t>
                  </w:r>
                  <w:r>
                    <w:rPr>
                      <w:rFonts w:hint="eastAsia"/>
                      <w:kern w:val="2"/>
                      <w:sz w:val="21"/>
                      <w:szCs w:val="21"/>
                      <w:lang w:eastAsia="zh-CN"/>
                    </w:rPr>
                    <w:t>采用密闭生产工序</w:t>
                  </w:r>
                </w:p>
              </w:tc>
              <w:tc>
                <w:tcPr>
                  <w:tcW w:w="670" w:type="pct"/>
                  <w:vAlign w:val="center"/>
                </w:tcPr>
                <w:p w14:paraId="20080DBB">
                  <w:pPr>
                    <w:spacing w:line="240" w:lineRule="auto"/>
                    <w:jc w:val="center"/>
                    <w:rPr>
                      <w:sz w:val="21"/>
                      <w:szCs w:val="21"/>
                    </w:rPr>
                  </w:pPr>
                  <w:r>
                    <w:rPr>
                      <w:sz w:val="21"/>
                      <w:szCs w:val="21"/>
                    </w:rPr>
                    <w:t>是</w:t>
                  </w:r>
                </w:p>
              </w:tc>
              <w:tc>
                <w:tcPr>
                  <w:tcW w:w="1647" w:type="pct"/>
                  <w:vMerge w:val="continue"/>
                  <w:shd w:val="clear" w:color="auto" w:fill="auto"/>
                  <w:vAlign w:val="center"/>
                </w:tcPr>
                <w:p w14:paraId="2F76C6AF">
                  <w:pPr>
                    <w:spacing w:line="240" w:lineRule="auto"/>
                    <w:jc w:val="center"/>
                    <w:rPr>
                      <w:sz w:val="21"/>
                      <w:szCs w:val="21"/>
                    </w:rPr>
                  </w:pPr>
                </w:p>
              </w:tc>
            </w:tr>
            <w:tr w14:paraId="7B70D5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301" w:type="pct"/>
                  <w:vAlign w:val="center"/>
                </w:tcPr>
                <w:p w14:paraId="3C7C72DF">
                  <w:pPr>
                    <w:spacing w:line="240" w:lineRule="auto"/>
                    <w:jc w:val="center"/>
                    <w:rPr>
                      <w:sz w:val="21"/>
                      <w:szCs w:val="21"/>
                    </w:rPr>
                  </w:pPr>
                  <w:r>
                    <w:rPr>
                      <w:rFonts w:hint="eastAsia"/>
                      <w:sz w:val="21"/>
                      <w:szCs w:val="21"/>
                    </w:rPr>
                    <w:t>5</w:t>
                  </w:r>
                </w:p>
              </w:tc>
              <w:tc>
                <w:tcPr>
                  <w:tcW w:w="778" w:type="pct"/>
                  <w:vAlign w:val="center"/>
                </w:tcPr>
                <w:p w14:paraId="66668CDD">
                  <w:pPr>
                    <w:spacing w:line="240" w:lineRule="auto"/>
                    <w:jc w:val="center"/>
                    <w:rPr>
                      <w:sz w:val="21"/>
                      <w:szCs w:val="21"/>
                    </w:rPr>
                  </w:pPr>
                  <w:r>
                    <w:rPr>
                      <w:rFonts w:hint="eastAsia" w:ascii="Times New Roman" w:hAnsi="Times New Roman" w:eastAsia="宋体" w:cs="Times New Roman"/>
                      <w:kern w:val="2"/>
                      <w:sz w:val="21"/>
                      <w:szCs w:val="21"/>
                      <w:u w:val="none"/>
                      <w:lang w:val="en-US" w:eastAsia="zh-CN" w:bidi="ar-SA"/>
                    </w:rPr>
                    <w:t>透水砖、路面砖</w:t>
                  </w:r>
                  <w:r>
                    <w:rPr>
                      <w:sz w:val="21"/>
                      <w:szCs w:val="21"/>
                    </w:rPr>
                    <w:t>生产</w:t>
                  </w:r>
                  <w:r>
                    <w:rPr>
                      <w:rFonts w:hint="eastAsia"/>
                      <w:sz w:val="21"/>
                      <w:szCs w:val="21"/>
                    </w:rPr>
                    <w:t>线投料、输送及搅拌</w:t>
                  </w:r>
                  <w:r>
                    <w:rPr>
                      <w:sz w:val="21"/>
                      <w:szCs w:val="21"/>
                    </w:rPr>
                    <w:t>粉尘</w:t>
                  </w:r>
                </w:p>
              </w:tc>
              <w:tc>
                <w:tcPr>
                  <w:tcW w:w="389" w:type="pct"/>
                  <w:vMerge w:val="continue"/>
                  <w:shd w:val="clear" w:color="auto" w:fill="auto"/>
                  <w:vAlign w:val="center"/>
                </w:tcPr>
                <w:p w14:paraId="08B20901">
                  <w:pPr>
                    <w:spacing w:line="240" w:lineRule="auto"/>
                    <w:jc w:val="center"/>
                    <w:rPr>
                      <w:sz w:val="21"/>
                      <w:szCs w:val="21"/>
                    </w:rPr>
                  </w:pPr>
                </w:p>
              </w:tc>
              <w:tc>
                <w:tcPr>
                  <w:tcW w:w="1212" w:type="pct"/>
                  <w:shd w:val="clear" w:color="auto" w:fill="auto"/>
                  <w:vAlign w:val="center"/>
                </w:tcPr>
                <w:p w14:paraId="3B88270F">
                  <w:pPr>
                    <w:spacing w:line="240" w:lineRule="auto"/>
                    <w:jc w:val="center"/>
                    <w:rPr>
                      <w:sz w:val="21"/>
                      <w:szCs w:val="21"/>
                    </w:rPr>
                  </w:pPr>
                  <w:r>
                    <w:rPr>
                      <w:rFonts w:hint="eastAsia"/>
                      <w:sz w:val="21"/>
                      <w:szCs w:val="21"/>
                    </w:rPr>
                    <w:t>使用喷淋装置进行洒水抑尘</w:t>
                  </w:r>
                </w:p>
              </w:tc>
              <w:tc>
                <w:tcPr>
                  <w:tcW w:w="670" w:type="pct"/>
                  <w:vAlign w:val="center"/>
                </w:tcPr>
                <w:p w14:paraId="0E7C1354">
                  <w:pPr>
                    <w:spacing w:line="240" w:lineRule="auto"/>
                    <w:jc w:val="center"/>
                    <w:rPr>
                      <w:sz w:val="21"/>
                      <w:szCs w:val="21"/>
                    </w:rPr>
                  </w:pPr>
                  <w:r>
                    <w:rPr>
                      <w:sz w:val="21"/>
                      <w:szCs w:val="21"/>
                    </w:rPr>
                    <w:t>是</w:t>
                  </w:r>
                </w:p>
              </w:tc>
              <w:tc>
                <w:tcPr>
                  <w:tcW w:w="1647" w:type="pct"/>
                  <w:vMerge w:val="restart"/>
                  <w:shd w:val="clear" w:color="auto" w:fill="auto"/>
                  <w:vAlign w:val="center"/>
                </w:tcPr>
                <w:p w14:paraId="78A6D074">
                  <w:pPr>
                    <w:spacing w:line="240" w:lineRule="auto"/>
                    <w:jc w:val="center"/>
                    <w:rPr>
                      <w:sz w:val="21"/>
                      <w:szCs w:val="21"/>
                    </w:rPr>
                  </w:pPr>
                  <w:r>
                    <w:rPr>
                      <w:sz w:val="21"/>
                      <w:szCs w:val="21"/>
                    </w:rPr>
                    <w:t>满足</w:t>
                  </w:r>
                  <w:r>
                    <w:rPr>
                      <w:rFonts w:hint="eastAsia"/>
                      <w:sz w:val="21"/>
                      <w:szCs w:val="21"/>
                    </w:rPr>
                    <w:t>《水泥工业大气污染物排放标准》</w:t>
                  </w:r>
                  <w:r>
                    <w:rPr>
                      <w:sz w:val="21"/>
                      <w:szCs w:val="21"/>
                    </w:rPr>
                    <w:t>（GB</w:t>
                  </w:r>
                  <w:r>
                    <w:rPr>
                      <w:rFonts w:hint="eastAsia"/>
                      <w:sz w:val="21"/>
                      <w:szCs w:val="21"/>
                    </w:rPr>
                    <w:t>4915</w:t>
                  </w:r>
                  <w:r>
                    <w:rPr>
                      <w:sz w:val="21"/>
                      <w:szCs w:val="21"/>
                    </w:rPr>
                    <w:t>-20</w:t>
                  </w:r>
                  <w:r>
                    <w:rPr>
                      <w:rFonts w:hint="eastAsia"/>
                      <w:sz w:val="21"/>
                      <w:szCs w:val="21"/>
                    </w:rPr>
                    <w:t>13</w:t>
                  </w:r>
                  <w:r>
                    <w:rPr>
                      <w:sz w:val="21"/>
                      <w:szCs w:val="21"/>
                    </w:rPr>
                    <w:t>）</w:t>
                  </w:r>
                  <w:r>
                    <w:rPr>
                      <w:rFonts w:hint="eastAsia"/>
                      <w:sz w:val="21"/>
                      <w:szCs w:val="21"/>
                    </w:rPr>
                    <w:t>中表3的大气污染物无组织排放限值</w:t>
                  </w:r>
                </w:p>
              </w:tc>
            </w:tr>
            <w:tr w14:paraId="6C0B6B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301" w:type="pct"/>
                  <w:vAlign w:val="center"/>
                </w:tcPr>
                <w:p w14:paraId="44AED972">
                  <w:pPr>
                    <w:spacing w:line="240" w:lineRule="auto"/>
                    <w:jc w:val="center"/>
                    <w:rPr>
                      <w:sz w:val="21"/>
                      <w:szCs w:val="21"/>
                    </w:rPr>
                  </w:pPr>
                  <w:r>
                    <w:rPr>
                      <w:rFonts w:hint="eastAsia"/>
                      <w:sz w:val="21"/>
                      <w:szCs w:val="21"/>
                    </w:rPr>
                    <w:t>6</w:t>
                  </w:r>
                </w:p>
              </w:tc>
              <w:tc>
                <w:tcPr>
                  <w:tcW w:w="778" w:type="pct"/>
                  <w:vAlign w:val="center"/>
                </w:tcPr>
                <w:p w14:paraId="7BED01F4">
                  <w:pPr>
                    <w:spacing w:line="240" w:lineRule="auto"/>
                    <w:jc w:val="center"/>
                    <w:rPr>
                      <w:sz w:val="21"/>
                      <w:szCs w:val="21"/>
                    </w:rPr>
                  </w:pPr>
                  <w:r>
                    <w:rPr>
                      <w:rFonts w:hint="default"/>
                      <w:kern w:val="2"/>
                      <w:sz w:val="21"/>
                      <w:szCs w:val="21"/>
                      <w:lang w:val="en-US" w:eastAsia="zh-CN"/>
                    </w:rPr>
                    <w:t>水泥筒仓</w:t>
                  </w:r>
                  <w:r>
                    <w:rPr>
                      <w:rFonts w:hint="eastAsia"/>
                      <w:sz w:val="21"/>
                      <w:szCs w:val="21"/>
                    </w:rPr>
                    <w:t>呼吸孔粉尘</w:t>
                  </w:r>
                </w:p>
              </w:tc>
              <w:tc>
                <w:tcPr>
                  <w:tcW w:w="389" w:type="pct"/>
                  <w:vMerge w:val="continue"/>
                  <w:shd w:val="clear" w:color="auto" w:fill="auto"/>
                  <w:vAlign w:val="center"/>
                </w:tcPr>
                <w:p w14:paraId="3948A127">
                  <w:pPr>
                    <w:spacing w:line="240" w:lineRule="auto"/>
                    <w:jc w:val="center"/>
                    <w:rPr>
                      <w:sz w:val="21"/>
                      <w:szCs w:val="21"/>
                    </w:rPr>
                  </w:pPr>
                </w:p>
              </w:tc>
              <w:tc>
                <w:tcPr>
                  <w:tcW w:w="1212" w:type="pct"/>
                  <w:shd w:val="clear" w:color="auto" w:fill="auto"/>
                  <w:vAlign w:val="center"/>
                </w:tcPr>
                <w:p w14:paraId="78E64B79">
                  <w:pPr>
                    <w:spacing w:line="240" w:lineRule="auto"/>
                    <w:jc w:val="center"/>
                    <w:rPr>
                      <w:sz w:val="21"/>
                      <w:szCs w:val="21"/>
                    </w:rPr>
                  </w:pPr>
                  <w:r>
                    <w:rPr>
                      <w:rFonts w:hint="default"/>
                      <w:kern w:val="2"/>
                      <w:sz w:val="21"/>
                      <w:szCs w:val="21"/>
                      <w:lang w:val="en-US" w:eastAsia="zh-CN"/>
                    </w:rPr>
                    <w:t>筒仓</w:t>
                  </w:r>
                  <w:r>
                    <w:rPr>
                      <w:sz w:val="21"/>
                      <w:szCs w:val="21"/>
                    </w:rPr>
                    <w:t>顶部配套仓顶除尘器</w:t>
                  </w:r>
                </w:p>
              </w:tc>
              <w:tc>
                <w:tcPr>
                  <w:tcW w:w="670" w:type="pct"/>
                  <w:vAlign w:val="center"/>
                </w:tcPr>
                <w:p w14:paraId="5F74DD27">
                  <w:pPr>
                    <w:spacing w:line="240" w:lineRule="auto"/>
                    <w:jc w:val="center"/>
                    <w:rPr>
                      <w:sz w:val="21"/>
                      <w:szCs w:val="21"/>
                    </w:rPr>
                  </w:pPr>
                  <w:r>
                    <w:rPr>
                      <w:sz w:val="21"/>
                      <w:szCs w:val="21"/>
                    </w:rPr>
                    <w:t>是</w:t>
                  </w:r>
                </w:p>
              </w:tc>
              <w:tc>
                <w:tcPr>
                  <w:tcW w:w="1647" w:type="pct"/>
                  <w:vMerge w:val="continue"/>
                  <w:shd w:val="clear" w:color="auto" w:fill="auto"/>
                  <w:vAlign w:val="center"/>
                </w:tcPr>
                <w:p w14:paraId="534A1507">
                  <w:pPr>
                    <w:spacing w:line="240" w:lineRule="auto"/>
                    <w:jc w:val="center"/>
                    <w:rPr>
                      <w:sz w:val="21"/>
                      <w:szCs w:val="21"/>
                    </w:rPr>
                  </w:pPr>
                </w:p>
              </w:tc>
            </w:tr>
            <w:tr w14:paraId="2205E0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301" w:type="pct"/>
                  <w:vAlign w:val="center"/>
                </w:tcPr>
                <w:p w14:paraId="77A85DC5">
                  <w:pPr>
                    <w:spacing w:line="240" w:lineRule="auto"/>
                    <w:jc w:val="center"/>
                    <w:rPr>
                      <w:rFonts w:hint="eastAsia" w:eastAsia="宋体"/>
                      <w:sz w:val="21"/>
                      <w:szCs w:val="21"/>
                      <w:u w:val="single"/>
                      <w:lang w:val="en-US" w:eastAsia="zh-CN"/>
                    </w:rPr>
                  </w:pPr>
                  <w:r>
                    <w:rPr>
                      <w:rFonts w:hint="eastAsia"/>
                      <w:sz w:val="21"/>
                      <w:szCs w:val="21"/>
                      <w:u w:val="single"/>
                      <w:lang w:val="en-US" w:eastAsia="zh-CN"/>
                    </w:rPr>
                    <w:t>7</w:t>
                  </w:r>
                </w:p>
              </w:tc>
              <w:tc>
                <w:tcPr>
                  <w:tcW w:w="778" w:type="pct"/>
                  <w:vAlign w:val="center"/>
                </w:tcPr>
                <w:p w14:paraId="0637A371">
                  <w:pPr>
                    <w:spacing w:line="240" w:lineRule="auto"/>
                    <w:jc w:val="center"/>
                    <w:rPr>
                      <w:rFonts w:hint="default"/>
                      <w:kern w:val="2"/>
                      <w:sz w:val="21"/>
                      <w:szCs w:val="21"/>
                      <w:u w:val="single"/>
                      <w:lang w:val="en-US" w:eastAsia="zh-CN"/>
                    </w:rPr>
                  </w:pPr>
                  <w:r>
                    <w:rPr>
                      <w:rFonts w:hint="eastAsia"/>
                      <w:kern w:val="2"/>
                      <w:sz w:val="21"/>
                      <w:szCs w:val="21"/>
                      <w:u w:val="single"/>
                      <w:lang w:val="en-US" w:eastAsia="zh-CN"/>
                    </w:rPr>
                    <w:t>墓碑打蜡、风干</w:t>
                  </w:r>
                </w:p>
              </w:tc>
              <w:tc>
                <w:tcPr>
                  <w:tcW w:w="389" w:type="pct"/>
                  <w:shd w:val="clear" w:color="auto" w:fill="auto"/>
                  <w:vAlign w:val="center"/>
                </w:tcPr>
                <w:p w14:paraId="46E1463B">
                  <w:pPr>
                    <w:spacing w:line="240" w:lineRule="auto"/>
                    <w:jc w:val="center"/>
                    <w:rPr>
                      <w:rFonts w:hint="eastAsia" w:eastAsia="宋体"/>
                      <w:sz w:val="21"/>
                      <w:szCs w:val="21"/>
                      <w:u w:val="single"/>
                      <w:lang w:eastAsia="zh-CN"/>
                    </w:rPr>
                  </w:pPr>
                  <w:r>
                    <w:rPr>
                      <w:rFonts w:hint="eastAsia"/>
                      <w:sz w:val="21"/>
                      <w:szCs w:val="21"/>
                      <w:u w:val="single"/>
                      <w:lang w:eastAsia="zh-CN"/>
                    </w:rPr>
                    <w:t>有机物</w:t>
                  </w:r>
                </w:p>
              </w:tc>
              <w:tc>
                <w:tcPr>
                  <w:tcW w:w="1212" w:type="pct"/>
                  <w:shd w:val="clear" w:color="auto" w:fill="auto"/>
                  <w:vAlign w:val="center"/>
                </w:tcPr>
                <w:p w14:paraId="47B1624C">
                  <w:pPr>
                    <w:spacing w:line="240" w:lineRule="auto"/>
                    <w:jc w:val="center"/>
                    <w:rPr>
                      <w:rFonts w:hint="default"/>
                      <w:kern w:val="2"/>
                      <w:sz w:val="21"/>
                      <w:szCs w:val="21"/>
                      <w:u w:val="single"/>
                      <w:lang w:val="en-US" w:eastAsia="zh-CN"/>
                    </w:rPr>
                  </w:pPr>
                  <w:r>
                    <w:rPr>
                      <w:rFonts w:hint="eastAsia"/>
                      <w:kern w:val="2"/>
                      <w:sz w:val="21"/>
                      <w:szCs w:val="21"/>
                      <w:u w:val="single"/>
                      <w:lang w:val="en-US" w:eastAsia="zh-CN"/>
                    </w:rPr>
                    <w:t>生产区加强通风</w:t>
                  </w:r>
                </w:p>
              </w:tc>
              <w:tc>
                <w:tcPr>
                  <w:tcW w:w="670" w:type="pct"/>
                  <w:vAlign w:val="center"/>
                </w:tcPr>
                <w:p w14:paraId="2CE54ED2">
                  <w:pPr>
                    <w:spacing w:line="240" w:lineRule="auto"/>
                    <w:jc w:val="center"/>
                    <w:rPr>
                      <w:rFonts w:hint="eastAsia" w:eastAsia="宋体"/>
                      <w:sz w:val="21"/>
                      <w:szCs w:val="21"/>
                      <w:u w:val="single"/>
                      <w:lang w:eastAsia="zh-CN"/>
                    </w:rPr>
                  </w:pPr>
                  <w:r>
                    <w:rPr>
                      <w:rFonts w:hint="eastAsia"/>
                      <w:sz w:val="21"/>
                      <w:szCs w:val="21"/>
                      <w:u w:val="single"/>
                      <w:lang w:eastAsia="zh-CN"/>
                    </w:rPr>
                    <w:t>是</w:t>
                  </w:r>
                </w:p>
              </w:tc>
              <w:tc>
                <w:tcPr>
                  <w:tcW w:w="1647" w:type="pct"/>
                  <w:shd w:val="clear" w:color="auto" w:fill="auto"/>
                  <w:vAlign w:val="center"/>
                </w:tcPr>
                <w:p w14:paraId="3C13034E">
                  <w:pPr>
                    <w:spacing w:line="240" w:lineRule="auto"/>
                    <w:jc w:val="center"/>
                    <w:rPr>
                      <w:sz w:val="21"/>
                      <w:szCs w:val="21"/>
                      <w:u w:val="single"/>
                    </w:rPr>
                  </w:pPr>
                  <w:r>
                    <w:rPr>
                      <w:sz w:val="21"/>
                      <w:szCs w:val="21"/>
                      <w:u w:val="single"/>
                    </w:rPr>
                    <w:t>《大气污染综合排放标准》（GB16297-1996）表2中的新污染源</w:t>
                  </w:r>
                  <w:r>
                    <w:rPr>
                      <w:rFonts w:hint="default"/>
                      <w:sz w:val="21"/>
                      <w:szCs w:val="21"/>
                      <w:u w:val="single"/>
                    </w:rPr>
                    <w:t>中</w:t>
                  </w:r>
                  <w:r>
                    <w:rPr>
                      <w:sz w:val="21"/>
                      <w:szCs w:val="21"/>
                      <w:u w:val="single"/>
                    </w:rPr>
                    <w:t>非甲烷总烃无组织监控点挥发性有机物浓度限值</w:t>
                  </w:r>
                </w:p>
              </w:tc>
            </w:tr>
            <w:tr w14:paraId="1E237D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301" w:type="pct"/>
                  <w:vAlign w:val="center"/>
                </w:tcPr>
                <w:p w14:paraId="47CDB2EA">
                  <w:pPr>
                    <w:spacing w:line="240" w:lineRule="auto"/>
                    <w:jc w:val="center"/>
                    <w:rPr>
                      <w:rFonts w:hint="eastAsia" w:eastAsia="宋体"/>
                      <w:sz w:val="21"/>
                      <w:szCs w:val="21"/>
                      <w:lang w:eastAsia="zh-CN"/>
                    </w:rPr>
                  </w:pPr>
                  <w:r>
                    <w:rPr>
                      <w:rFonts w:hint="eastAsia"/>
                      <w:sz w:val="21"/>
                      <w:szCs w:val="21"/>
                      <w:lang w:val="en-US" w:eastAsia="zh-CN"/>
                    </w:rPr>
                    <w:t>8</w:t>
                  </w:r>
                </w:p>
              </w:tc>
              <w:tc>
                <w:tcPr>
                  <w:tcW w:w="778" w:type="pct"/>
                  <w:vAlign w:val="center"/>
                </w:tcPr>
                <w:p w14:paraId="33A3AD2F">
                  <w:pPr>
                    <w:spacing w:line="240" w:lineRule="auto"/>
                    <w:jc w:val="center"/>
                    <w:rPr>
                      <w:sz w:val="21"/>
                      <w:szCs w:val="21"/>
                    </w:rPr>
                  </w:pPr>
                  <w:r>
                    <w:rPr>
                      <w:sz w:val="21"/>
                      <w:szCs w:val="21"/>
                    </w:rPr>
                    <w:t>食堂油烟</w:t>
                  </w:r>
                </w:p>
              </w:tc>
              <w:tc>
                <w:tcPr>
                  <w:tcW w:w="389" w:type="pct"/>
                  <w:shd w:val="clear" w:color="auto" w:fill="auto"/>
                  <w:vAlign w:val="center"/>
                </w:tcPr>
                <w:p w14:paraId="53AD0BA0">
                  <w:pPr>
                    <w:spacing w:line="240" w:lineRule="auto"/>
                    <w:jc w:val="center"/>
                    <w:rPr>
                      <w:sz w:val="21"/>
                      <w:szCs w:val="21"/>
                    </w:rPr>
                  </w:pPr>
                  <w:r>
                    <w:rPr>
                      <w:sz w:val="21"/>
                      <w:szCs w:val="21"/>
                    </w:rPr>
                    <w:t>油烟</w:t>
                  </w:r>
                </w:p>
              </w:tc>
              <w:tc>
                <w:tcPr>
                  <w:tcW w:w="1212" w:type="pct"/>
                  <w:shd w:val="clear" w:color="auto" w:fill="auto"/>
                  <w:vAlign w:val="center"/>
                </w:tcPr>
                <w:p w14:paraId="46709BB5">
                  <w:pPr>
                    <w:spacing w:line="240" w:lineRule="auto"/>
                    <w:jc w:val="center"/>
                    <w:rPr>
                      <w:sz w:val="21"/>
                      <w:szCs w:val="21"/>
                    </w:rPr>
                  </w:pPr>
                  <w:r>
                    <w:rPr>
                      <w:sz w:val="21"/>
                      <w:szCs w:val="21"/>
                    </w:rPr>
                    <w:t>油烟净化器处理</w:t>
                  </w:r>
                </w:p>
              </w:tc>
              <w:tc>
                <w:tcPr>
                  <w:tcW w:w="670" w:type="pct"/>
                  <w:vAlign w:val="center"/>
                </w:tcPr>
                <w:p w14:paraId="20833817">
                  <w:pPr>
                    <w:spacing w:line="240" w:lineRule="auto"/>
                    <w:jc w:val="center"/>
                    <w:rPr>
                      <w:sz w:val="21"/>
                      <w:szCs w:val="21"/>
                    </w:rPr>
                  </w:pPr>
                  <w:r>
                    <w:rPr>
                      <w:sz w:val="21"/>
                      <w:szCs w:val="21"/>
                    </w:rPr>
                    <w:t>是</w:t>
                  </w:r>
                </w:p>
              </w:tc>
              <w:tc>
                <w:tcPr>
                  <w:tcW w:w="1647" w:type="pct"/>
                  <w:shd w:val="clear" w:color="auto" w:fill="auto"/>
                  <w:vAlign w:val="center"/>
                </w:tcPr>
                <w:p w14:paraId="037E155E">
                  <w:pPr>
                    <w:spacing w:line="240" w:lineRule="auto"/>
                    <w:jc w:val="center"/>
                    <w:rPr>
                      <w:rFonts w:hint="eastAsia" w:eastAsia="宋体"/>
                      <w:sz w:val="21"/>
                      <w:szCs w:val="21"/>
                      <w:lang w:eastAsia="zh-CN"/>
                    </w:rPr>
                  </w:pPr>
                  <w:r>
                    <w:rPr>
                      <w:sz w:val="21"/>
                      <w:szCs w:val="21"/>
                    </w:rPr>
                    <w:t>满足《饮食业油烟排放标准排放标准》（试行）》（GB18483-2001）</w:t>
                  </w:r>
                </w:p>
              </w:tc>
            </w:tr>
          </w:tbl>
          <w:p w14:paraId="645398BF">
            <w:pPr>
              <w:pStyle w:val="40"/>
              <w:numPr>
                <w:ilvl w:val="3"/>
                <w:numId w:val="0"/>
              </w:numPr>
              <w:ind w:left="454"/>
            </w:pPr>
            <w:bookmarkStart w:id="82" w:name="_Toc68160389"/>
            <w:bookmarkStart w:id="83" w:name="_Toc17071"/>
            <w:r>
              <w:t>3、废气影响分析</w:t>
            </w:r>
            <w:bookmarkEnd w:id="82"/>
            <w:bookmarkEnd w:id="83"/>
          </w:p>
          <w:p w14:paraId="22815D57">
            <w:pPr>
              <w:ind w:firstLine="480"/>
              <w:rPr>
                <w:b/>
                <w:bCs/>
                <w:u w:val="single"/>
              </w:rPr>
            </w:pPr>
            <w:bookmarkStart w:id="84" w:name="_Toc68160390"/>
            <w:bookmarkStart w:id="85" w:name="_Toc24408"/>
            <w:r>
              <w:t>根据调查，</w:t>
            </w:r>
            <w:r>
              <w:rPr>
                <w:bCs/>
              </w:rPr>
              <w:t>本项目位于达标区，空气环境质量良好。</w:t>
            </w:r>
            <w:r>
              <w:t>项目废气拟采取的措施可行性分析</w:t>
            </w:r>
            <w:r>
              <w:rPr>
                <w:rFonts w:hint="eastAsia"/>
              </w:rPr>
              <w:t>如下</w:t>
            </w:r>
            <w:r>
              <w:t>：</w:t>
            </w:r>
          </w:p>
          <w:p w14:paraId="3F180B9A">
            <w:pPr>
              <w:pStyle w:val="48"/>
              <w:jc w:val="both"/>
              <w:rPr>
                <w:color w:val="auto"/>
                <w:szCs w:val="24"/>
              </w:rPr>
            </w:pPr>
            <w:r>
              <w:rPr>
                <w:color w:val="auto"/>
                <w:szCs w:val="24"/>
              </w:rPr>
              <w:t>项目</w:t>
            </w:r>
            <w:r>
              <w:rPr>
                <w:rFonts w:hint="eastAsia"/>
                <w:color w:val="auto"/>
                <w:szCs w:val="24"/>
              </w:rPr>
              <w:t>原料</w:t>
            </w:r>
            <w:r>
              <w:rPr>
                <w:color w:val="auto"/>
                <w:szCs w:val="24"/>
              </w:rPr>
              <w:t>堆场采取</w:t>
            </w:r>
            <w:r>
              <w:rPr>
                <w:rFonts w:hint="default"/>
                <w:snapToGrid/>
                <w:color w:val="auto"/>
                <w:spacing w:val="0"/>
                <w:sz w:val="24"/>
                <w:szCs w:val="24"/>
              </w:rPr>
              <w:t>洒水喷淋</w:t>
            </w:r>
            <w:r>
              <w:rPr>
                <w:rFonts w:hint="default"/>
                <w:snapToGrid/>
                <w:color w:val="auto"/>
                <w:spacing w:val="0"/>
                <w:sz w:val="24"/>
                <w:szCs w:val="24"/>
                <w:lang w:eastAsia="zh-CN"/>
              </w:rPr>
              <w:t>抑尘</w:t>
            </w:r>
            <w:r>
              <w:rPr>
                <w:color w:val="auto"/>
                <w:szCs w:val="24"/>
              </w:rPr>
              <w:t>、定期清扫地面保持整洁、尽量减少物料在厂区暂存周期等防尘措施后，</w:t>
            </w:r>
            <w:r>
              <w:rPr>
                <w:rFonts w:hint="eastAsia"/>
                <w:color w:val="auto"/>
                <w:szCs w:val="24"/>
              </w:rPr>
              <w:t>无组织排放</w:t>
            </w:r>
            <w:r>
              <w:rPr>
                <w:color w:val="auto"/>
                <w:szCs w:val="24"/>
              </w:rPr>
              <w:t>；</w:t>
            </w:r>
            <w:r>
              <w:rPr>
                <w:rFonts w:hint="eastAsia"/>
                <w:color w:val="auto"/>
                <w:szCs w:val="24"/>
              </w:rPr>
              <w:t>成品堆场</w:t>
            </w:r>
            <w:r>
              <w:rPr>
                <w:color w:val="auto"/>
                <w:szCs w:val="24"/>
              </w:rPr>
              <w:t>设置</w:t>
            </w:r>
            <w:r>
              <w:rPr>
                <w:rFonts w:hint="eastAsia"/>
                <w:color w:val="auto"/>
                <w:szCs w:val="24"/>
              </w:rPr>
              <w:t>顶棚，三面围挡，防风防雨，项目</w:t>
            </w:r>
            <w:r>
              <w:rPr>
                <w:color w:val="auto"/>
                <w:szCs w:val="24"/>
              </w:rPr>
              <w:t>成品一般不会在厂区内长期贮存，短期贮存扬尘可忽略不计；</w:t>
            </w:r>
            <w:r>
              <w:rPr>
                <w:rFonts w:hint="eastAsia"/>
                <w:color w:val="auto"/>
                <w:szCs w:val="24"/>
              </w:rPr>
              <w:t>路沿石</w:t>
            </w:r>
            <w:r>
              <w:rPr>
                <w:color w:val="auto"/>
                <w:szCs w:val="24"/>
              </w:rPr>
              <w:t>加工工艺采用湿法作业</w:t>
            </w:r>
            <w:r>
              <w:rPr>
                <w:rFonts w:hint="eastAsia"/>
                <w:color w:val="auto"/>
                <w:szCs w:val="24"/>
              </w:rPr>
              <w:t>后粉尘无组织排放；</w:t>
            </w:r>
            <w:r>
              <w:rPr>
                <w:rFonts w:hint="eastAsia"/>
                <w:b w:val="0"/>
                <w:bCs/>
                <w:kern w:val="0"/>
                <w:u w:val="none"/>
                <w:lang w:eastAsia="zh-CN" w:bidi="ar"/>
              </w:rPr>
              <w:t>墓碑</w:t>
            </w:r>
            <w:r>
              <w:rPr>
                <w:rFonts w:hint="eastAsia" w:ascii="Times New Roman" w:hAnsi="Times New Roman" w:eastAsia="宋体" w:cs="Times New Roman"/>
                <w:b w:val="0"/>
                <w:bCs/>
                <w:kern w:val="0"/>
                <w:sz w:val="24"/>
                <w:szCs w:val="24"/>
                <w:u w:val="none"/>
                <w:lang w:val="en-US" w:eastAsia="zh-CN" w:bidi="ar"/>
              </w:rPr>
              <w:t>及附属产品和其他板材</w:t>
            </w:r>
            <w:r>
              <w:rPr>
                <w:rFonts w:hint="eastAsia"/>
                <w:color w:val="auto"/>
                <w:szCs w:val="24"/>
              </w:rPr>
              <w:t>加工工序采用湿式作业，粉尘产生量可忽略不计；</w:t>
            </w:r>
            <w:r>
              <w:rPr>
                <w:rFonts w:hint="eastAsia"/>
                <w:kern w:val="0"/>
                <w:lang w:eastAsia="zh-CN"/>
              </w:rPr>
              <w:t>墓碑加工有机废气量极少，加强通风后无组织排放；</w:t>
            </w:r>
            <w:r>
              <w:rPr>
                <w:rFonts w:hint="eastAsia" w:ascii="Times New Roman" w:hAnsi="Times New Roman" w:eastAsia="宋体" w:cs="Times New Roman"/>
                <w:kern w:val="2"/>
                <w:sz w:val="24"/>
                <w:szCs w:val="24"/>
                <w:u w:val="none"/>
                <w:lang w:val="en-US" w:eastAsia="zh-CN" w:bidi="ar-SA"/>
              </w:rPr>
              <w:t>透水砖、路面砖</w:t>
            </w:r>
            <w:r>
              <w:rPr>
                <w:color w:val="auto"/>
                <w:szCs w:val="24"/>
              </w:rPr>
              <w:t>生产过程中</w:t>
            </w:r>
            <w:r>
              <w:rPr>
                <w:rFonts w:hint="eastAsia"/>
                <w:color w:val="auto"/>
                <w:szCs w:val="24"/>
              </w:rPr>
              <w:t>采用</w:t>
            </w:r>
            <w:r>
              <w:rPr>
                <w:rFonts w:hint="eastAsia"/>
                <w:snapToGrid/>
                <w:color w:val="auto"/>
                <w:spacing w:val="0"/>
                <w:sz w:val="24"/>
                <w:szCs w:val="24"/>
                <w:lang w:eastAsia="zh-CN"/>
              </w:rPr>
              <w:t>干法作业</w:t>
            </w:r>
            <w:r>
              <w:rPr>
                <w:rFonts w:hint="eastAsia"/>
                <w:color w:val="auto"/>
                <w:szCs w:val="24"/>
              </w:rPr>
              <w:t>的生产工艺，</w:t>
            </w:r>
            <w:r>
              <w:rPr>
                <w:rFonts w:hint="default"/>
                <w:color w:val="auto"/>
                <w:kern w:val="0"/>
                <w:sz w:val="24"/>
                <w:szCs w:val="24"/>
                <w:lang w:eastAsia="zh-CN"/>
              </w:rPr>
              <w:t>采取喷淋降尘</w:t>
            </w:r>
            <w:r>
              <w:rPr>
                <w:rFonts w:hint="default"/>
                <w:color w:val="auto"/>
                <w:kern w:val="0"/>
                <w:sz w:val="24"/>
                <w:szCs w:val="24"/>
              </w:rPr>
              <w:t>，</w:t>
            </w:r>
            <w:r>
              <w:rPr>
                <w:rFonts w:hint="eastAsia"/>
                <w:color w:val="auto"/>
                <w:szCs w:val="24"/>
              </w:rPr>
              <w:t>同时</w:t>
            </w:r>
            <w:r>
              <w:rPr>
                <w:rFonts w:hint="eastAsia"/>
                <w:kern w:val="2"/>
                <w:szCs w:val="21"/>
                <w:lang w:eastAsia="zh-CN"/>
              </w:rPr>
              <w:t>采用密闭生产工序</w:t>
            </w:r>
            <w:r>
              <w:rPr>
                <w:rFonts w:hint="eastAsia"/>
                <w:color w:val="auto"/>
                <w:szCs w:val="24"/>
              </w:rPr>
              <w:t>，</w:t>
            </w:r>
            <w:r>
              <w:rPr>
                <w:color w:val="auto"/>
                <w:szCs w:val="24"/>
              </w:rPr>
              <w:t>产生的破碎筛分</w:t>
            </w:r>
            <w:r>
              <w:rPr>
                <w:rFonts w:hint="eastAsia"/>
                <w:color w:val="auto"/>
                <w:szCs w:val="24"/>
              </w:rPr>
              <w:t>制砂</w:t>
            </w:r>
            <w:r>
              <w:rPr>
                <w:color w:val="auto"/>
                <w:szCs w:val="24"/>
              </w:rPr>
              <w:t>粉尘</w:t>
            </w:r>
            <w:r>
              <w:rPr>
                <w:rFonts w:hint="eastAsia"/>
                <w:color w:val="auto"/>
                <w:szCs w:val="24"/>
              </w:rPr>
              <w:t>无组织排放；投配料、搅拌工序工作时，启动喷淋装置进行洒水抑尘后，</w:t>
            </w:r>
            <w:r>
              <w:rPr>
                <w:rFonts w:hint="eastAsia" w:ascii="Times New Roman" w:hAnsi="Times New Roman" w:eastAsia="宋体" w:cs="Times New Roman"/>
                <w:kern w:val="2"/>
                <w:sz w:val="24"/>
                <w:szCs w:val="24"/>
                <w:u w:val="none"/>
                <w:lang w:val="en-US" w:eastAsia="zh-CN" w:bidi="ar-SA"/>
              </w:rPr>
              <w:t>透水砖、路面砖</w:t>
            </w:r>
            <w:r>
              <w:rPr>
                <w:color w:val="auto"/>
                <w:szCs w:val="24"/>
              </w:rPr>
              <w:t>生产</w:t>
            </w:r>
            <w:r>
              <w:rPr>
                <w:rFonts w:hint="eastAsia"/>
                <w:color w:val="auto"/>
                <w:szCs w:val="24"/>
              </w:rPr>
              <w:t>线投料、输送及搅拌</w:t>
            </w:r>
            <w:r>
              <w:rPr>
                <w:color w:val="auto"/>
                <w:szCs w:val="24"/>
              </w:rPr>
              <w:t>粉尘</w:t>
            </w:r>
            <w:r>
              <w:rPr>
                <w:rFonts w:hint="eastAsia"/>
                <w:color w:val="auto"/>
                <w:szCs w:val="24"/>
              </w:rPr>
              <w:t>无组织排放；</w:t>
            </w:r>
            <w:r>
              <w:rPr>
                <w:rFonts w:hint="eastAsia"/>
                <w:kern w:val="2"/>
                <w:szCs w:val="21"/>
                <w:lang w:val="en-US" w:eastAsia="zh-CN"/>
              </w:rPr>
              <w:t>水泥筒仓</w:t>
            </w:r>
            <w:r>
              <w:rPr>
                <w:color w:val="auto"/>
                <w:szCs w:val="24"/>
              </w:rPr>
              <w:t>顶部配套高效仓顶除尘器</w:t>
            </w:r>
            <w:r>
              <w:rPr>
                <w:rFonts w:hint="eastAsia"/>
                <w:color w:val="auto"/>
                <w:szCs w:val="24"/>
                <w:lang w:val="en-US" w:eastAsia="zh-CN"/>
              </w:rPr>
              <w:t>后</w:t>
            </w:r>
            <w:r>
              <w:rPr>
                <w:color w:val="auto"/>
                <w:szCs w:val="24"/>
              </w:rPr>
              <w:t>呼吸孔粉尘以无组织形式排放</w:t>
            </w:r>
            <w:r>
              <w:rPr>
                <w:rFonts w:hint="eastAsia"/>
                <w:color w:val="auto"/>
                <w:szCs w:val="24"/>
              </w:rPr>
              <w:t>；</w:t>
            </w:r>
            <w:r>
              <w:rPr>
                <w:color w:val="auto"/>
              </w:rPr>
              <w:t>原料和产品均采用汽车运输</w:t>
            </w:r>
            <w:r>
              <w:rPr>
                <w:rFonts w:hint="eastAsia"/>
                <w:color w:val="auto"/>
              </w:rPr>
              <w:t>，</w:t>
            </w:r>
            <w:r>
              <w:rPr>
                <w:color w:val="auto"/>
              </w:rPr>
              <w:t>运输扬尘产生量较小</w:t>
            </w:r>
            <w:r>
              <w:rPr>
                <w:sz w:val="24"/>
                <w:lang w:val="zh-CN"/>
              </w:rPr>
              <w:t>。</w:t>
            </w:r>
            <w:r>
              <w:rPr>
                <w:rFonts w:hint="eastAsia"/>
                <w:color w:val="auto"/>
                <w:szCs w:val="24"/>
              </w:rPr>
              <w:t>以上均属于可行技术。</w:t>
            </w:r>
          </w:p>
          <w:p w14:paraId="0982C495">
            <w:pPr>
              <w:pStyle w:val="48"/>
              <w:jc w:val="both"/>
              <w:rPr>
                <w:color w:val="auto"/>
                <w:szCs w:val="24"/>
              </w:rPr>
            </w:pPr>
            <w:r>
              <w:rPr>
                <w:rFonts w:hint="eastAsia"/>
                <w:color w:val="auto"/>
                <w:szCs w:val="24"/>
              </w:rPr>
              <w:t>项目</w:t>
            </w:r>
            <w:r>
              <w:rPr>
                <w:color w:val="auto"/>
                <w:szCs w:val="24"/>
              </w:rPr>
              <w:t>采用连续化、自动化等生产技术，且生产采用高效工艺与设备，减少了工艺过程无组织排放，排放量很小，无组织排放的颗粒物可以达到</w:t>
            </w:r>
            <w:r>
              <w:rPr>
                <w:rFonts w:hint="eastAsia"/>
                <w:color w:val="auto"/>
              </w:rPr>
              <w:t>《水泥工业大气污染物排放标准》</w:t>
            </w:r>
            <w:r>
              <w:rPr>
                <w:color w:val="auto"/>
              </w:rPr>
              <w:t>（GB</w:t>
            </w:r>
            <w:r>
              <w:rPr>
                <w:rFonts w:hint="eastAsia"/>
                <w:color w:val="auto"/>
              </w:rPr>
              <w:t>4915</w:t>
            </w:r>
            <w:r>
              <w:rPr>
                <w:color w:val="auto"/>
              </w:rPr>
              <w:t>-20</w:t>
            </w:r>
            <w:r>
              <w:rPr>
                <w:rFonts w:hint="eastAsia"/>
                <w:color w:val="auto"/>
              </w:rPr>
              <w:t>13</w:t>
            </w:r>
            <w:r>
              <w:rPr>
                <w:color w:val="auto"/>
              </w:rPr>
              <w:t>）</w:t>
            </w:r>
            <w:r>
              <w:rPr>
                <w:color w:val="auto"/>
                <w:szCs w:val="24"/>
              </w:rPr>
              <w:t>无组织排放监控浓度限值，排放废气对周围大气环境影响较小。</w:t>
            </w:r>
          </w:p>
          <w:p w14:paraId="54D016AA">
            <w:pPr>
              <w:ind w:firstLine="480" w:firstLineChars="200"/>
              <w:rPr>
                <w:color w:val="0000C7"/>
              </w:rPr>
            </w:pPr>
            <w:r>
              <w:t>根据《排污许可证申请与核发技术规范 总则》（HJ942—2018）</w:t>
            </w:r>
            <w:r>
              <w:rPr>
                <w:rFonts w:hint="eastAsia"/>
              </w:rPr>
              <w:t>以及</w:t>
            </w:r>
            <w:r>
              <w:t>《排污许可证申请与核发技术规范 陶瓷砖瓦工业》（HJ954-2018），项目排放废气对周围大气环境影响较小，本项目粉尘无组织排放符合要求。</w:t>
            </w:r>
          </w:p>
          <w:p w14:paraId="3A2B67A2">
            <w:pPr>
              <w:pStyle w:val="40"/>
              <w:numPr>
                <w:ilvl w:val="3"/>
                <w:numId w:val="0"/>
              </w:numPr>
              <w:ind w:left="454"/>
              <w:rPr>
                <w:u w:val="single"/>
              </w:rPr>
            </w:pPr>
            <w:r>
              <w:rPr>
                <w:u w:val="single"/>
              </w:rPr>
              <w:t>4、监测要求</w:t>
            </w:r>
            <w:bookmarkEnd w:id="84"/>
            <w:bookmarkEnd w:id="85"/>
          </w:p>
          <w:p w14:paraId="34E7CEC0">
            <w:pPr>
              <w:pStyle w:val="39"/>
              <w:rPr>
                <w:rFonts w:ascii="Times New Roman" w:hAnsi="Times New Roman" w:cs="Times New Roman"/>
                <w:szCs w:val="24"/>
                <w:u w:val="single"/>
              </w:rPr>
            </w:pPr>
            <w:r>
              <w:rPr>
                <w:rFonts w:ascii="Times New Roman" w:hAnsi="Times New Roman" w:cs="Times New Roman"/>
                <w:szCs w:val="24"/>
                <w:u w:val="single"/>
              </w:rPr>
              <w:t xml:space="preserve">建设单位废气污染源应依据《排污许可证申请与核发技术规范 </w:t>
            </w:r>
            <w:r>
              <w:rPr>
                <w:rFonts w:hint="eastAsia" w:ascii="Times New Roman" w:hAnsi="Times New Roman" w:cs="Times New Roman"/>
                <w:szCs w:val="24"/>
                <w:u w:val="single"/>
              </w:rPr>
              <w:t>总则</w:t>
            </w:r>
            <w:r>
              <w:rPr>
                <w:rFonts w:ascii="Times New Roman" w:hAnsi="Times New Roman" w:cs="Times New Roman"/>
                <w:szCs w:val="24"/>
                <w:u w:val="single"/>
              </w:rPr>
              <w:t>》（HJ9</w:t>
            </w:r>
            <w:r>
              <w:rPr>
                <w:rFonts w:hint="eastAsia" w:ascii="Times New Roman" w:hAnsi="Times New Roman" w:cs="Times New Roman"/>
                <w:szCs w:val="24"/>
                <w:u w:val="single"/>
              </w:rPr>
              <w:t>42</w:t>
            </w:r>
            <w:r>
              <w:rPr>
                <w:rFonts w:ascii="Times New Roman" w:hAnsi="Times New Roman" w:cs="Times New Roman"/>
                <w:szCs w:val="24"/>
                <w:u w:val="single"/>
              </w:rPr>
              <w:t>-2018）</w:t>
            </w:r>
            <w:r>
              <w:rPr>
                <w:rFonts w:hint="eastAsia" w:ascii="Times New Roman" w:hAnsi="Times New Roman" w:cs="Times New Roman"/>
                <w:szCs w:val="24"/>
                <w:u w:val="single"/>
              </w:rPr>
              <w:t>、</w:t>
            </w:r>
            <w:r>
              <w:rPr>
                <w:rFonts w:ascii="Times New Roman" w:hAnsi="Times New Roman" w:cs="Times New Roman"/>
                <w:szCs w:val="24"/>
                <w:u w:val="single"/>
              </w:rPr>
              <w:t>《排污许可证申请与核发技术规范陶瓷砖瓦工业》</w:t>
            </w:r>
            <w:r>
              <w:rPr>
                <w:rFonts w:hint="eastAsia" w:ascii="Times New Roman" w:hAnsi="Times New Roman" w:cs="Times New Roman"/>
                <w:szCs w:val="24"/>
                <w:u w:val="single"/>
              </w:rPr>
              <w:t>（</w:t>
            </w:r>
            <w:r>
              <w:rPr>
                <w:rFonts w:ascii="Times New Roman" w:hAnsi="Times New Roman" w:cs="Times New Roman"/>
                <w:szCs w:val="24"/>
                <w:u w:val="single"/>
              </w:rPr>
              <w:t>HJ954-2018</w:t>
            </w:r>
            <w:r>
              <w:rPr>
                <w:rFonts w:hint="eastAsia" w:ascii="Times New Roman" w:hAnsi="Times New Roman" w:cs="Times New Roman"/>
                <w:szCs w:val="24"/>
                <w:u w:val="single"/>
              </w:rPr>
              <w:t>）、</w:t>
            </w:r>
            <w:r>
              <w:rPr>
                <w:rFonts w:ascii="Times New Roman" w:hAnsi="Times New Roman" w:cs="Times New Roman"/>
                <w:szCs w:val="24"/>
                <w:u w:val="single"/>
              </w:rPr>
              <w:t>《排污单位自行监测技术指南 总则》(HJ 819-2017)及《排污单位自行监测技术指南</w:t>
            </w:r>
            <w:r>
              <w:rPr>
                <w:rFonts w:hint="eastAsia" w:ascii="Times New Roman" w:hAnsi="Times New Roman" w:cs="Times New Roman"/>
                <w:szCs w:val="24"/>
                <w:u w:val="single"/>
              </w:rPr>
              <w:t xml:space="preserve"> 砖瓦工业</w:t>
            </w:r>
            <w:r>
              <w:rPr>
                <w:rFonts w:ascii="Times New Roman" w:hAnsi="Times New Roman" w:cs="Times New Roman"/>
                <w:szCs w:val="24"/>
                <w:u w:val="single"/>
              </w:rPr>
              <w:t>》（HJ</w:t>
            </w:r>
            <w:r>
              <w:rPr>
                <w:rFonts w:hint="eastAsia" w:ascii="Times New Roman" w:hAnsi="Times New Roman" w:cs="Times New Roman"/>
                <w:szCs w:val="24"/>
                <w:u w:val="single"/>
              </w:rPr>
              <w:t>1254</w:t>
            </w:r>
            <w:r>
              <w:rPr>
                <w:rFonts w:ascii="Times New Roman" w:hAnsi="Times New Roman" w:cs="Times New Roman"/>
                <w:szCs w:val="24"/>
                <w:u w:val="single"/>
              </w:rPr>
              <w:t>-20</w:t>
            </w:r>
            <w:r>
              <w:rPr>
                <w:rFonts w:hint="eastAsia" w:ascii="Times New Roman" w:hAnsi="Times New Roman" w:cs="Times New Roman"/>
                <w:szCs w:val="24"/>
                <w:u w:val="single"/>
              </w:rPr>
              <w:t>22</w:t>
            </w:r>
            <w:r>
              <w:rPr>
                <w:rFonts w:ascii="Times New Roman" w:hAnsi="Times New Roman" w:cs="Times New Roman"/>
                <w:szCs w:val="24"/>
                <w:u w:val="single"/>
              </w:rPr>
              <w:t>）要求开展自行监测，营运期环境监测计划详见下表。</w:t>
            </w:r>
          </w:p>
          <w:p w14:paraId="7E593C62">
            <w:pPr>
              <w:pStyle w:val="39"/>
              <w:spacing w:line="240" w:lineRule="auto"/>
              <w:ind w:firstLine="0"/>
              <w:jc w:val="center"/>
              <w:rPr>
                <w:rFonts w:ascii="Times New Roman" w:hAnsi="Times New Roman" w:cs="Times New Roman"/>
                <w:b/>
                <w:bCs/>
                <w:sz w:val="21"/>
                <w:szCs w:val="18"/>
                <w:u w:val="single"/>
              </w:rPr>
            </w:pPr>
            <w:r>
              <w:rPr>
                <w:rFonts w:ascii="Times New Roman" w:hAnsi="Times New Roman" w:cs="Times New Roman"/>
                <w:b/>
                <w:bCs/>
                <w:sz w:val="21"/>
                <w:szCs w:val="18"/>
                <w:u w:val="single"/>
              </w:rPr>
              <w:t>表4-</w:t>
            </w:r>
            <w:r>
              <w:rPr>
                <w:rFonts w:hint="eastAsia" w:ascii="Times New Roman" w:hAnsi="Times New Roman" w:cs="Times New Roman"/>
                <w:b/>
                <w:bCs/>
                <w:sz w:val="21"/>
                <w:szCs w:val="18"/>
                <w:u w:val="single"/>
                <w:lang w:val="en-US" w:eastAsia="zh-CN"/>
              </w:rPr>
              <w:t>7</w:t>
            </w:r>
            <w:r>
              <w:rPr>
                <w:rFonts w:ascii="Times New Roman" w:hAnsi="Times New Roman" w:cs="Times New Roman"/>
                <w:b/>
                <w:bCs/>
                <w:sz w:val="21"/>
                <w:szCs w:val="18"/>
                <w:u w:val="single"/>
              </w:rPr>
              <w:t xml:space="preserve"> 废气监测要求一览表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801"/>
              <w:gridCol w:w="905"/>
              <w:gridCol w:w="856"/>
              <w:gridCol w:w="2213"/>
              <w:gridCol w:w="2911"/>
            </w:tblGrid>
            <w:tr w14:paraId="1B8D14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480" w:type="pct"/>
                  <w:shd w:val="clear" w:color="auto" w:fill="auto"/>
                  <w:vAlign w:val="center"/>
                </w:tcPr>
                <w:p w14:paraId="5216E949">
                  <w:pPr>
                    <w:spacing w:line="240" w:lineRule="auto"/>
                    <w:jc w:val="center"/>
                    <w:rPr>
                      <w:b/>
                      <w:bCs/>
                      <w:sz w:val="21"/>
                      <w:szCs w:val="21"/>
                      <w:u w:val="single"/>
                    </w:rPr>
                  </w:pPr>
                  <w:r>
                    <w:rPr>
                      <w:b/>
                      <w:bCs/>
                      <w:sz w:val="21"/>
                      <w:szCs w:val="21"/>
                      <w:u w:val="single"/>
                    </w:rPr>
                    <w:t>监测时期</w:t>
                  </w:r>
                </w:p>
              </w:tc>
              <w:tc>
                <w:tcPr>
                  <w:tcW w:w="471" w:type="pct"/>
                  <w:shd w:val="clear" w:color="auto" w:fill="auto"/>
                  <w:vAlign w:val="center"/>
                </w:tcPr>
                <w:p w14:paraId="2B97AE9D">
                  <w:pPr>
                    <w:spacing w:line="240" w:lineRule="auto"/>
                    <w:jc w:val="center"/>
                    <w:rPr>
                      <w:b/>
                      <w:bCs/>
                      <w:sz w:val="21"/>
                      <w:szCs w:val="21"/>
                      <w:u w:val="single"/>
                    </w:rPr>
                  </w:pPr>
                  <w:r>
                    <w:rPr>
                      <w:b/>
                      <w:bCs/>
                      <w:sz w:val="21"/>
                      <w:szCs w:val="21"/>
                      <w:u w:val="single"/>
                    </w:rPr>
                    <w:t>监测项目</w:t>
                  </w:r>
                </w:p>
              </w:tc>
              <w:tc>
                <w:tcPr>
                  <w:tcW w:w="532" w:type="pct"/>
                  <w:tcBorders>
                    <w:right w:val="single" w:color="auto" w:sz="4" w:space="0"/>
                  </w:tcBorders>
                  <w:shd w:val="clear" w:color="auto" w:fill="auto"/>
                  <w:vAlign w:val="center"/>
                </w:tcPr>
                <w:p w14:paraId="0B6553D5">
                  <w:pPr>
                    <w:spacing w:line="240" w:lineRule="auto"/>
                    <w:jc w:val="center"/>
                    <w:rPr>
                      <w:b/>
                      <w:bCs/>
                      <w:sz w:val="21"/>
                      <w:szCs w:val="21"/>
                      <w:u w:val="single"/>
                    </w:rPr>
                  </w:pPr>
                  <w:r>
                    <w:rPr>
                      <w:b/>
                      <w:bCs/>
                      <w:sz w:val="21"/>
                      <w:szCs w:val="21"/>
                      <w:u w:val="single"/>
                    </w:rPr>
                    <w:t>监测因子</w:t>
                  </w:r>
                </w:p>
              </w:tc>
              <w:tc>
                <w:tcPr>
                  <w:tcW w:w="503" w:type="pct"/>
                  <w:tcBorders>
                    <w:left w:val="single" w:color="auto" w:sz="4" w:space="0"/>
                  </w:tcBorders>
                  <w:shd w:val="clear" w:color="auto" w:fill="auto"/>
                  <w:vAlign w:val="center"/>
                </w:tcPr>
                <w:p w14:paraId="349DF63A">
                  <w:pPr>
                    <w:spacing w:line="240" w:lineRule="auto"/>
                    <w:jc w:val="center"/>
                    <w:rPr>
                      <w:b/>
                      <w:bCs/>
                      <w:sz w:val="21"/>
                      <w:szCs w:val="21"/>
                      <w:u w:val="single"/>
                    </w:rPr>
                  </w:pPr>
                  <w:r>
                    <w:rPr>
                      <w:rFonts w:hint="eastAsia"/>
                      <w:b/>
                      <w:bCs/>
                      <w:sz w:val="21"/>
                      <w:szCs w:val="21"/>
                      <w:u w:val="single"/>
                    </w:rPr>
                    <w:t>监测频次</w:t>
                  </w:r>
                </w:p>
              </w:tc>
              <w:tc>
                <w:tcPr>
                  <w:tcW w:w="1301" w:type="pct"/>
                  <w:shd w:val="clear" w:color="auto" w:fill="auto"/>
                  <w:vAlign w:val="center"/>
                </w:tcPr>
                <w:p w14:paraId="361A506B">
                  <w:pPr>
                    <w:spacing w:line="240" w:lineRule="auto"/>
                    <w:jc w:val="center"/>
                    <w:rPr>
                      <w:b/>
                      <w:bCs/>
                      <w:sz w:val="21"/>
                      <w:szCs w:val="21"/>
                      <w:u w:val="single"/>
                    </w:rPr>
                  </w:pPr>
                  <w:r>
                    <w:rPr>
                      <w:b/>
                      <w:bCs/>
                      <w:sz w:val="21"/>
                      <w:szCs w:val="21"/>
                      <w:u w:val="single"/>
                    </w:rPr>
                    <w:t>监测点</w:t>
                  </w:r>
                </w:p>
              </w:tc>
              <w:tc>
                <w:tcPr>
                  <w:tcW w:w="1711" w:type="pct"/>
                  <w:shd w:val="clear" w:color="auto" w:fill="auto"/>
                  <w:vAlign w:val="center"/>
                </w:tcPr>
                <w:p w14:paraId="5C29ECF1">
                  <w:pPr>
                    <w:spacing w:line="240" w:lineRule="auto"/>
                    <w:jc w:val="center"/>
                    <w:rPr>
                      <w:b/>
                      <w:bCs/>
                      <w:sz w:val="21"/>
                      <w:szCs w:val="21"/>
                      <w:u w:val="single"/>
                    </w:rPr>
                  </w:pPr>
                  <w:r>
                    <w:rPr>
                      <w:b/>
                      <w:bCs/>
                      <w:sz w:val="21"/>
                      <w:szCs w:val="21"/>
                      <w:u w:val="single"/>
                    </w:rPr>
                    <w:t>执行标准</w:t>
                  </w:r>
                </w:p>
              </w:tc>
            </w:tr>
            <w:tr w14:paraId="3FDB67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0" w:hRule="atLeast"/>
                <w:jc w:val="center"/>
              </w:trPr>
              <w:tc>
                <w:tcPr>
                  <w:tcW w:w="480" w:type="pct"/>
                  <w:vMerge w:val="restart"/>
                  <w:shd w:val="clear" w:color="auto" w:fill="auto"/>
                  <w:vAlign w:val="center"/>
                </w:tcPr>
                <w:p w14:paraId="7C7F197F">
                  <w:pPr>
                    <w:spacing w:line="240" w:lineRule="auto"/>
                    <w:jc w:val="center"/>
                    <w:rPr>
                      <w:sz w:val="21"/>
                      <w:szCs w:val="21"/>
                      <w:u w:val="single"/>
                    </w:rPr>
                  </w:pPr>
                  <w:r>
                    <w:rPr>
                      <w:sz w:val="21"/>
                      <w:szCs w:val="21"/>
                      <w:u w:val="single"/>
                    </w:rPr>
                    <w:t>营运期</w:t>
                  </w:r>
                </w:p>
              </w:tc>
              <w:tc>
                <w:tcPr>
                  <w:tcW w:w="471" w:type="pct"/>
                  <w:vMerge w:val="restart"/>
                  <w:shd w:val="clear" w:color="auto" w:fill="auto"/>
                  <w:vAlign w:val="center"/>
                </w:tcPr>
                <w:p w14:paraId="050438CA">
                  <w:pPr>
                    <w:spacing w:line="240" w:lineRule="auto"/>
                    <w:jc w:val="center"/>
                    <w:rPr>
                      <w:sz w:val="21"/>
                      <w:szCs w:val="21"/>
                      <w:u w:val="single"/>
                    </w:rPr>
                  </w:pPr>
                  <w:r>
                    <w:rPr>
                      <w:sz w:val="21"/>
                      <w:szCs w:val="21"/>
                      <w:u w:val="single"/>
                    </w:rPr>
                    <w:t>废气</w:t>
                  </w:r>
                </w:p>
              </w:tc>
              <w:tc>
                <w:tcPr>
                  <w:tcW w:w="532" w:type="pct"/>
                  <w:tcBorders>
                    <w:right w:val="single" w:color="auto" w:sz="4" w:space="0"/>
                  </w:tcBorders>
                  <w:shd w:val="clear" w:color="auto" w:fill="auto"/>
                  <w:vAlign w:val="center"/>
                </w:tcPr>
                <w:p w14:paraId="1FDE3FC7">
                  <w:pPr>
                    <w:spacing w:line="240" w:lineRule="auto"/>
                    <w:jc w:val="center"/>
                    <w:rPr>
                      <w:sz w:val="21"/>
                      <w:szCs w:val="21"/>
                      <w:u w:val="single"/>
                    </w:rPr>
                  </w:pPr>
                  <w:r>
                    <w:rPr>
                      <w:sz w:val="21"/>
                      <w:szCs w:val="21"/>
                      <w:u w:val="single"/>
                    </w:rPr>
                    <w:t>颗粒物</w:t>
                  </w:r>
                </w:p>
              </w:tc>
              <w:tc>
                <w:tcPr>
                  <w:tcW w:w="503" w:type="pct"/>
                  <w:vMerge w:val="restart"/>
                  <w:tcBorders>
                    <w:left w:val="single" w:color="auto" w:sz="4" w:space="0"/>
                  </w:tcBorders>
                  <w:shd w:val="clear" w:color="auto" w:fill="auto"/>
                  <w:vAlign w:val="center"/>
                </w:tcPr>
                <w:p w14:paraId="3A81C734">
                  <w:pPr>
                    <w:spacing w:line="240" w:lineRule="auto"/>
                    <w:jc w:val="center"/>
                    <w:rPr>
                      <w:sz w:val="21"/>
                      <w:szCs w:val="21"/>
                      <w:u w:val="single"/>
                    </w:rPr>
                  </w:pPr>
                  <w:r>
                    <w:rPr>
                      <w:rFonts w:hint="eastAsia"/>
                      <w:sz w:val="21"/>
                      <w:szCs w:val="21"/>
                      <w:u w:val="single"/>
                    </w:rPr>
                    <w:t>1次/年</w:t>
                  </w:r>
                </w:p>
              </w:tc>
              <w:tc>
                <w:tcPr>
                  <w:tcW w:w="1301" w:type="pct"/>
                  <w:vMerge w:val="restart"/>
                  <w:shd w:val="clear" w:color="auto" w:fill="auto"/>
                  <w:vAlign w:val="center"/>
                </w:tcPr>
                <w:p w14:paraId="417191BB">
                  <w:pPr>
                    <w:spacing w:line="240" w:lineRule="auto"/>
                    <w:jc w:val="center"/>
                    <w:rPr>
                      <w:sz w:val="21"/>
                      <w:szCs w:val="21"/>
                      <w:u w:val="single"/>
                    </w:rPr>
                  </w:pPr>
                  <w:r>
                    <w:rPr>
                      <w:sz w:val="21"/>
                      <w:szCs w:val="21"/>
                      <w:u w:val="single"/>
                    </w:rPr>
                    <w:t>在厂址上风向设置1个对照点，下风向20m处设置2个监测点</w:t>
                  </w:r>
                </w:p>
              </w:tc>
              <w:tc>
                <w:tcPr>
                  <w:tcW w:w="1711" w:type="pct"/>
                  <w:shd w:val="clear" w:color="auto" w:fill="auto"/>
                  <w:vAlign w:val="center"/>
                </w:tcPr>
                <w:p w14:paraId="1BDE1A21">
                  <w:pPr>
                    <w:spacing w:line="240" w:lineRule="auto"/>
                    <w:jc w:val="center"/>
                    <w:rPr>
                      <w:sz w:val="21"/>
                      <w:szCs w:val="21"/>
                      <w:u w:val="single"/>
                    </w:rPr>
                  </w:pPr>
                  <w:r>
                    <w:rPr>
                      <w:sz w:val="21"/>
                      <w:szCs w:val="21"/>
                      <w:u w:val="single"/>
                    </w:rPr>
                    <w:t>执行</w:t>
                  </w:r>
                  <w:r>
                    <w:rPr>
                      <w:rFonts w:hint="eastAsia"/>
                      <w:sz w:val="21"/>
                      <w:szCs w:val="21"/>
                      <w:u w:val="single"/>
                    </w:rPr>
                    <w:t>《水泥工业大气污染物排放标准》</w:t>
                  </w:r>
                  <w:r>
                    <w:rPr>
                      <w:sz w:val="21"/>
                      <w:szCs w:val="21"/>
                      <w:u w:val="single"/>
                    </w:rPr>
                    <w:t>（GB</w:t>
                  </w:r>
                  <w:r>
                    <w:rPr>
                      <w:rFonts w:hint="eastAsia"/>
                      <w:sz w:val="21"/>
                      <w:szCs w:val="21"/>
                      <w:u w:val="single"/>
                    </w:rPr>
                    <w:t>4915</w:t>
                  </w:r>
                  <w:r>
                    <w:rPr>
                      <w:sz w:val="21"/>
                      <w:szCs w:val="21"/>
                      <w:u w:val="single"/>
                    </w:rPr>
                    <w:t>-20</w:t>
                  </w:r>
                  <w:r>
                    <w:rPr>
                      <w:rFonts w:hint="eastAsia"/>
                      <w:sz w:val="21"/>
                      <w:szCs w:val="21"/>
                      <w:u w:val="single"/>
                    </w:rPr>
                    <w:t>13</w:t>
                  </w:r>
                  <w:r>
                    <w:rPr>
                      <w:sz w:val="21"/>
                      <w:szCs w:val="21"/>
                      <w:u w:val="single"/>
                    </w:rPr>
                    <w:t>）</w:t>
                  </w:r>
                </w:p>
              </w:tc>
            </w:tr>
            <w:tr w14:paraId="640533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0" w:hRule="atLeast"/>
                <w:jc w:val="center"/>
              </w:trPr>
              <w:tc>
                <w:tcPr>
                  <w:tcW w:w="480" w:type="pct"/>
                  <w:vMerge w:val="continue"/>
                  <w:shd w:val="clear" w:color="auto" w:fill="auto"/>
                  <w:vAlign w:val="center"/>
                </w:tcPr>
                <w:p w14:paraId="408494E2">
                  <w:pPr>
                    <w:spacing w:line="240" w:lineRule="auto"/>
                    <w:jc w:val="center"/>
                    <w:rPr>
                      <w:sz w:val="21"/>
                      <w:szCs w:val="21"/>
                      <w:u w:val="single"/>
                    </w:rPr>
                  </w:pPr>
                  <w:bookmarkStart w:id="86" w:name="_Toc68160391"/>
                  <w:bookmarkStart w:id="87" w:name="_Toc767"/>
                </w:p>
              </w:tc>
              <w:tc>
                <w:tcPr>
                  <w:tcW w:w="471" w:type="pct"/>
                  <w:vMerge w:val="continue"/>
                  <w:shd w:val="clear" w:color="auto" w:fill="auto"/>
                  <w:vAlign w:val="center"/>
                </w:tcPr>
                <w:p w14:paraId="0125E324">
                  <w:pPr>
                    <w:spacing w:line="240" w:lineRule="auto"/>
                    <w:jc w:val="center"/>
                    <w:rPr>
                      <w:sz w:val="21"/>
                      <w:szCs w:val="21"/>
                      <w:u w:val="single"/>
                    </w:rPr>
                  </w:pPr>
                </w:p>
              </w:tc>
              <w:tc>
                <w:tcPr>
                  <w:tcW w:w="532" w:type="pct"/>
                  <w:tcBorders>
                    <w:right w:val="single" w:color="auto" w:sz="4" w:space="0"/>
                  </w:tcBorders>
                  <w:shd w:val="clear" w:color="auto" w:fill="auto"/>
                  <w:vAlign w:val="center"/>
                </w:tcPr>
                <w:p w14:paraId="41B2FF71">
                  <w:pPr>
                    <w:pStyle w:val="20"/>
                    <w:tabs>
                      <w:tab w:val="right" w:leader="dot" w:pos="8949"/>
                    </w:tabs>
                    <w:spacing w:after="0" w:line="240" w:lineRule="auto"/>
                    <w:ind w:left="0"/>
                    <w:jc w:val="center"/>
                    <w:rPr>
                      <w:rFonts w:ascii="Times New Roman" w:hAnsi="Times New Roman"/>
                      <w:sz w:val="21"/>
                      <w:szCs w:val="21"/>
                    </w:rPr>
                  </w:pPr>
                  <w:r>
                    <w:rPr>
                      <w:rFonts w:ascii="Times New Roman" w:hAnsi="Times New Roman"/>
                      <w:sz w:val="21"/>
                      <w:szCs w:val="21"/>
                    </w:rPr>
                    <w:t>VOCs</w:t>
                  </w:r>
                </w:p>
                <w:p w14:paraId="778F5828">
                  <w:pPr>
                    <w:pStyle w:val="20"/>
                    <w:tabs>
                      <w:tab w:val="right" w:leader="dot" w:pos="8949"/>
                    </w:tabs>
                    <w:spacing w:after="0" w:line="240" w:lineRule="auto"/>
                    <w:ind w:left="0" w:leftChars="0"/>
                    <w:jc w:val="center"/>
                    <w:rPr>
                      <w:sz w:val="21"/>
                      <w:szCs w:val="21"/>
                      <w:u w:val="single"/>
                    </w:rPr>
                  </w:pPr>
                </w:p>
              </w:tc>
              <w:tc>
                <w:tcPr>
                  <w:tcW w:w="503" w:type="pct"/>
                  <w:vMerge w:val="continue"/>
                  <w:tcBorders>
                    <w:left w:val="single" w:color="auto" w:sz="4" w:space="0"/>
                  </w:tcBorders>
                  <w:shd w:val="clear" w:color="auto" w:fill="auto"/>
                  <w:vAlign w:val="center"/>
                </w:tcPr>
                <w:p w14:paraId="1740288F">
                  <w:pPr>
                    <w:spacing w:line="240" w:lineRule="auto"/>
                    <w:jc w:val="center"/>
                    <w:rPr>
                      <w:rFonts w:hint="eastAsia"/>
                      <w:sz w:val="21"/>
                      <w:szCs w:val="21"/>
                      <w:u w:val="single"/>
                    </w:rPr>
                  </w:pPr>
                </w:p>
              </w:tc>
              <w:tc>
                <w:tcPr>
                  <w:tcW w:w="1301" w:type="pct"/>
                  <w:vMerge w:val="continue"/>
                  <w:shd w:val="clear" w:color="auto" w:fill="auto"/>
                  <w:vAlign w:val="center"/>
                </w:tcPr>
                <w:p w14:paraId="5E1D239A">
                  <w:pPr>
                    <w:spacing w:line="240" w:lineRule="auto"/>
                    <w:jc w:val="center"/>
                    <w:rPr>
                      <w:sz w:val="21"/>
                      <w:szCs w:val="21"/>
                      <w:u w:val="single"/>
                    </w:rPr>
                  </w:pPr>
                </w:p>
              </w:tc>
              <w:tc>
                <w:tcPr>
                  <w:tcW w:w="2911" w:type="dxa"/>
                  <w:shd w:val="clear" w:color="auto" w:fill="auto"/>
                  <w:vAlign w:val="center"/>
                </w:tcPr>
                <w:p w14:paraId="25717297">
                  <w:pPr>
                    <w:pStyle w:val="20"/>
                    <w:tabs>
                      <w:tab w:val="right" w:leader="dot" w:pos="8949"/>
                    </w:tabs>
                    <w:spacing w:after="0" w:line="240" w:lineRule="auto"/>
                    <w:ind w:left="0" w:leftChars="0"/>
                    <w:jc w:val="center"/>
                    <w:rPr>
                      <w:sz w:val="21"/>
                      <w:szCs w:val="21"/>
                      <w:u w:val="single"/>
                    </w:rPr>
                  </w:pPr>
                  <w:r>
                    <w:rPr>
                      <w:rFonts w:ascii="Times New Roman" w:hAnsi="Times New Roman"/>
                      <w:color w:val="000000"/>
                      <w:sz w:val="21"/>
                      <w:szCs w:val="21"/>
                    </w:rPr>
                    <w:t>《挥发性有机物无组织排放控制标准》（GB37822-2019）</w:t>
                  </w:r>
                </w:p>
              </w:tc>
            </w:tr>
            <w:tr w14:paraId="286853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0" w:hRule="atLeast"/>
                <w:jc w:val="center"/>
              </w:trPr>
              <w:tc>
                <w:tcPr>
                  <w:tcW w:w="480" w:type="pct"/>
                  <w:vMerge w:val="continue"/>
                  <w:shd w:val="clear" w:color="auto" w:fill="auto"/>
                  <w:vAlign w:val="center"/>
                </w:tcPr>
                <w:p w14:paraId="1AB6AA33">
                  <w:pPr>
                    <w:spacing w:line="240" w:lineRule="auto"/>
                    <w:jc w:val="center"/>
                    <w:rPr>
                      <w:sz w:val="21"/>
                      <w:szCs w:val="21"/>
                      <w:u w:val="single"/>
                    </w:rPr>
                  </w:pPr>
                </w:p>
              </w:tc>
              <w:tc>
                <w:tcPr>
                  <w:tcW w:w="471" w:type="pct"/>
                  <w:vMerge w:val="continue"/>
                  <w:shd w:val="clear" w:color="auto" w:fill="auto"/>
                  <w:vAlign w:val="center"/>
                </w:tcPr>
                <w:p w14:paraId="7F10FF17">
                  <w:pPr>
                    <w:spacing w:line="240" w:lineRule="auto"/>
                    <w:jc w:val="center"/>
                    <w:rPr>
                      <w:sz w:val="21"/>
                      <w:szCs w:val="21"/>
                      <w:u w:val="single"/>
                    </w:rPr>
                  </w:pPr>
                </w:p>
              </w:tc>
              <w:tc>
                <w:tcPr>
                  <w:tcW w:w="532" w:type="pct"/>
                  <w:tcBorders>
                    <w:right w:val="single" w:color="auto" w:sz="4" w:space="0"/>
                  </w:tcBorders>
                  <w:shd w:val="clear" w:color="auto" w:fill="auto"/>
                  <w:vAlign w:val="center"/>
                </w:tcPr>
                <w:p w14:paraId="57CF1710">
                  <w:pPr>
                    <w:pStyle w:val="20"/>
                    <w:tabs>
                      <w:tab w:val="right" w:leader="dot" w:pos="8949"/>
                    </w:tabs>
                    <w:spacing w:after="0" w:line="240" w:lineRule="auto"/>
                    <w:ind w:left="0" w:leftChars="0"/>
                    <w:jc w:val="center"/>
                    <w:rPr>
                      <w:sz w:val="21"/>
                      <w:szCs w:val="21"/>
                      <w:u w:val="single"/>
                    </w:rPr>
                  </w:pPr>
                  <w:r>
                    <w:rPr>
                      <w:rFonts w:ascii="Times New Roman" w:hAnsi="Times New Roman"/>
                      <w:sz w:val="21"/>
                      <w:szCs w:val="21"/>
                    </w:rPr>
                    <w:t>非甲烷总烃</w:t>
                  </w:r>
                </w:p>
              </w:tc>
              <w:tc>
                <w:tcPr>
                  <w:tcW w:w="503" w:type="pct"/>
                  <w:vMerge w:val="continue"/>
                  <w:tcBorders>
                    <w:left w:val="single" w:color="auto" w:sz="4" w:space="0"/>
                  </w:tcBorders>
                  <w:shd w:val="clear" w:color="auto" w:fill="auto"/>
                  <w:vAlign w:val="center"/>
                </w:tcPr>
                <w:p w14:paraId="331925C0">
                  <w:pPr>
                    <w:spacing w:line="240" w:lineRule="auto"/>
                    <w:jc w:val="center"/>
                    <w:rPr>
                      <w:rFonts w:hint="eastAsia"/>
                      <w:sz w:val="21"/>
                      <w:szCs w:val="21"/>
                      <w:u w:val="single"/>
                    </w:rPr>
                  </w:pPr>
                </w:p>
              </w:tc>
              <w:tc>
                <w:tcPr>
                  <w:tcW w:w="1301" w:type="pct"/>
                  <w:vMerge w:val="continue"/>
                  <w:shd w:val="clear" w:color="auto" w:fill="auto"/>
                  <w:vAlign w:val="center"/>
                </w:tcPr>
                <w:p w14:paraId="37DE4C79">
                  <w:pPr>
                    <w:spacing w:line="240" w:lineRule="auto"/>
                    <w:jc w:val="center"/>
                    <w:rPr>
                      <w:sz w:val="21"/>
                      <w:szCs w:val="21"/>
                      <w:u w:val="single"/>
                    </w:rPr>
                  </w:pPr>
                </w:p>
              </w:tc>
              <w:tc>
                <w:tcPr>
                  <w:tcW w:w="2911" w:type="dxa"/>
                  <w:shd w:val="clear" w:color="auto" w:fill="auto"/>
                  <w:vAlign w:val="center"/>
                </w:tcPr>
                <w:p w14:paraId="2B5AB883">
                  <w:pPr>
                    <w:pStyle w:val="20"/>
                    <w:tabs>
                      <w:tab w:val="right" w:leader="dot" w:pos="8949"/>
                    </w:tabs>
                    <w:spacing w:after="0" w:line="240" w:lineRule="auto"/>
                    <w:ind w:left="0" w:leftChars="0"/>
                    <w:jc w:val="center"/>
                    <w:rPr>
                      <w:sz w:val="21"/>
                      <w:szCs w:val="21"/>
                      <w:u w:val="single"/>
                    </w:rPr>
                  </w:pPr>
                  <w:r>
                    <w:rPr>
                      <w:rFonts w:ascii="Times New Roman" w:hAnsi="Times New Roman"/>
                      <w:color w:val="000000"/>
                      <w:sz w:val="21"/>
                      <w:szCs w:val="21"/>
                    </w:rPr>
                    <w:t>《大气污染综合排放标准》（GB16297-1996）</w:t>
                  </w:r>
                </w:p>
              </w:tc>
            </w:tr>
          </w:tbl>
          <w:p w14:paraId="0D6D1F53">
            <w:pPr>
              <w:pStyle w:val="34"/>
              <w:numPr>
                <w:ilvl w:val="2"/>
                <w:numId w:val="0"/>
              </w:numPr>
            </w:pPr>
            <w:r>
              <w:rPr>
                <w:rFonts w:hint="eastAsia"/>
                <w:sz w:val="21"/>
                <w:szCs w:val="21"/>
                <w:u w:val="single"/>
              </w:rPr>
              <w:t>注：由于</w:t>
            </w:r>
            <w:r>
              <w:rPr>
                <w:rFonts w:hint="eastAsia"/>
                <w:sz w:val="21"/>
                <w:szCs w:val="21"/>
                <w:u w:val="single"/>
                <w:lang w:val="en-US" w:eastAsia="zh-CN"/>
              </w:rPr>
              <w:t>水泥筒仓</w:t>
            </w:r>
            <w:r>
              <w:rPr>
                <w:rFonts w:hint="eastAsia"/>
                <w:sz w:val="21"/>
                <w:szCs w:val="21"/>
                <w:u w:val="single"/>
              </w:rPr>
              <w:t>排气口位于仓顶，</w:t>
            </w:r>
            <w:r>
              <w:rPr>
                <w:rFonts w:hint="eastAsia"/>
                <w:sz w:val="21"/>
                <w:szCs w:val="21"/>
                <w:u w:val="single"/>
                <w:lang w:eastAsia="zh-CN"/>
              </w:rPr>
              <w:t>筒仓</w:t>
            </w:r>
            <w:r>
              <w:rPr>
                <w:rFonts w:hint="eastAsia"/>
                <w:sz w:val="21"/>
                <w:szCs w:val="21"/>
                <w:u w:val="single"/>
              </w:rPr>
              <w:t>高度为</w:t>
            </w:r>
            <w:r>
              <w:rPr>
                <w:rFonts w:hint="eastAsia"/>
                <w:sz w:val="21"/>
                <w:szCs w:val="21"/>
                <w:u w:val="single"/>
                <w:lang w:val="en-US" w:eastAsia="zh-CN"/>
              </w:rPr>
              <w:t>12</w:t>
            </w:r>
            <w:r>
              <w:rPr>
                <w:rFonts w:hint="eastAsia"/>
                <w:sz w:val="21"/>
                <w:szCs w:val="21"/>
                <w:u w:val="single"/>
              </w:rPr>
              <w:t>m，不具备有组织监测条件，因此本项目筒仓呼吸口粉尘监测考虑厂界无组织排放粉尘颗粒物进行监测。</w:t>
            </w:r>
          </w:p>
          <w:p w14:paraId="1519D802">
            <w:pPr>
              <w:pStyle w:val="34"/>
              <w:numPr>
                <w:ilvl w:val="2"/>
                <w:numId w:val="0"/>
              </w:numPr>
              <w:ind w:firstLine="723" w:firstLineChars="300"/>
            </w:pPr>
            <w:r>
              <w:t>4.2.2、废水</w:t>
            </w:r>
            <w:bookmarkEnd w:id="86"/>
            <w:bookmarkEnd w:id="87"/>
          </w:p>
          <w:p w14:paraId="7599667B">
            <w:pPr>
              <w:pStyle w:val="40"/>
              <w:numPr>
                <w:ilvl w:val="3"/>
                <w:numId w:val="0"/>
              </w:numPr>
              <w:ind w:left="454"/>
            </w:pPr>
            <w:bookmarkStart w:id="88" w:name="_Toc29839"/>
            <w:bookmarkStart w:id="89" w:name="_Toc68160392"/>
            <w:r>
              <w:t>1、废水产排情况</w:t>
            </w:r>
            <w:bookmarkEnd w:id="88"/>
            <w:bookmarkEnd w:id="89"/>
          </w:p>
          <w:p w14:paraId="099956F5">
            <w:pPr>
              <w:ind w:firstLine="480" w:firstLineChars="200"/>
            </w:pPr>
            <w:r>
              <w:rPr>
                <w:rFonts w:hint="eastAsia"/>
                <w:lang w:val="en-US" w:eastAsia="zh-CN"/>
              </w:rPr>
              <w:t>本项目生产车间、厂区地面及制砖生产线搅拌设备无需清洗，项目用水主要为</w:t>
            </w:r>
            <w:r>
              <w:rPr>
                <w:rFonts w:hint="eastAsia"/>
              </w:rPr>
              <w:t>切割磨光及雕刻</w:t>
            </w:r>
            <w:r>
              <w:rPr>
                <w:rFonts w:hint="eastAsia"/>
                <w:lang w:eastAsia="zh-CN"/>
              </w:rPr>
              <w:t>用水、夏季砖养护用水、破碎制砂和筛分用水、搅拌用水、厂区抑尘用水以及工作人员生活用水</w:t>
            </w:r>
            <w:r>
              <w:rPr>
                <w:rFonts w:hint="eastAsia"/>
                <w:lang w:val="en-US" w:eastAsia="zh-CN"/>
              </w:rPr>
              <w:t>，</w:t>
            </w:r>
            <w:r>
              <w:t>废水主要为</w:t>
            </w:r>
            <w:r>
              <w:rPr>
                <w:rFonts w:hint="eastAsia"/>
              </w:rPr>
              <w:t>切割磨光及雕刻废水、厂区抑尘废水以及</w:t>
            </w:r>
            <w:r>
              <w:t>工作人员生活污水。</w:t>
            </w:r>
          </w:p>
          <w:p w14:paraId="024ABA57">
            <w:pPr>
              <w:ind w:firstLine="480" w:firstLineChars="200"/>
              <w:rPr>
                <w:color w:val="0000C7"/>
              </w:rPr>
            </w:pPr>
            <w:r>
              <w:rPr>
                <w:rFonts w:hint="eastAsia"/>
              </w:rPr>
              <w:t>切割磨光及雕刻废水</w:t>
            </w:r>
            <w:r>
              <w:t>经沉淀处理后循环使用，不外排</w:t>
            </w:r>
            <w:r>
              <w:rPr>
                <w:rFonts w:hint="eastAsia"/>
              </w:rPr>
              <w:t>；</w:t>
            </w:r>
            <w:r>
              <w:rPr>
                <w:rFonts w:ascii="Times New Roman"/>
                <w:kern w:val="2"/>
                <w:szCs w:val="24"/>
              </w:rPr>
              <w:t>破碎制砂和筛分为</w:t>
            </w:r>
            <w:r>
              <w:rPr>
                <w:rFonts w:hint="eastAsia"/>
                <w:kern w:val="2"/>
                <w:szCs w:val="24"/>
                <w:lang w:eastAsia="zh-CN"/>
              </w:rPr>
              <w:t>干</w:t>
            </w:r>
            <w:r>
              <w:rPr>
                <w:rFonts w:ascii="Times New Roman"/>
                <w:kern w:val="2"/>
                <w:szCs w:val="24"/>
              </w:rPr>
              <w:t>法作业，</w:t>
            </w:r>
            <w:r>
              <w:rPr>
                <w:rFonts w:hint="eastAsia"/>
                <w:kern w:val="2"/>
                <w:sz w:val="24"/>
                <w:szCs w:val="24"/>
                <w:lang w:eastAsia="zh-CN"/>
              </w:rPr>
              <w:t>采取喷淋降尘</w:t>
            </w:r>
            <w:r>
              <w:rPr>
                <w:rFonts w:hint="eastAsia"/>
                <w:kern w:val="2"/>
                <w:sz w:val="24"/>
                <w:szCs w:val="24"/>
              </w:rPr>
              <w:t>，</w:t>
            </w:r>
            <w:r>
              <w:rPr>
                <w:rFonts w:hint="default"/>
                <w:sz w:val="24"/>
                <w:szCs w:val="24"/>
              </w:rPr>
              <w:t>同时</w:t>
            </w:r>
            <w:r>
              <w:rPr>
                <w:rFonts w:hint="default"/>
                <w:kern w:val="2"/>
                <w:sz w:val="24"/>
                <w:szCs w:val="24"/>
                <w:lang w:eastAsia="zh-CN"/>
              </w:rPr>
              <w:t>采用密闭生产工序，</w:t>
            </w:r>
            <w:r>
              <w:rPr>
                <w:rFonts w:ascii="Times New Roman"/>
                <w:kern w:val="2"/>
                <w:szCs w:val="24"/>
              </w:rPr>
              <w:t>用水量很小，所产生的的废水一部分自然蒸发，一部分被带入搅拌工序，故破碎制砂和筛分废水可忽略不计；搅拌</w:t>
            </w:r>
            <w:r>
              <w:rPr>
                <w:rFonts w:hint="eastAsia" w:ascii="Times New Roman"/>
                <w:kern w:val="2"/>
                <w:szCs w:val="24"/>
                <w:lang w:eastAsia="zh-CN"/>
              </w:rPr>
              <w:t>用</w:t>
            </w:r>
            <w:r>
              <w:rPr>
                <w:rFonts w:ascii="Times New Roman"/>
                <w:kern w:val="2"/>
                <w:szCs w:val="24"/>
              </w:rPr>
              <w:t>水</w:t>
            </w:r>
            <w:r>
              <w:rPr>
                <w:rFonts w:hint="eastAsia"/>
                <w:kern w:val="2"/>
                <w:szCs w:val="24"/>
                <w:lang w:eastAsia="zh-CN"/>
              </w:rPr>
              <w:t>及</w:t>
            </w:r>
            <w:r>
              <w:rPr>
                <w:rFonts w:hint="eastAsia"/>
                <w:lang w:eastAsia="zh-CN"/>
              </w:rPr>
              <w:t>夏季砖养护用水</w:t>
            </w:r>
            <w:r>
              <w:rPr>
                <w:rFonts w:ascii="Times New Roman"/>
                <w:kern w:val="2"/>
                <w:szCs w:val="24"/>
              </w:rPr>
              <w:t>作为原料进入产品中后晾干蒸发，不外排；</w:t>
            </w:r>
            <w:r>
              <w:rPr>
                <w:rFonts w:hint="eastAsia"/>
              </w:rPr>
              <w:t>厂区抑尘废水</w:t>
            </w:r>
            <w:r>
              <w:rPr>
                <w:kern w:val="0"/>
                <w:szCs w:val="20"/>
              </w:rPr>
              <w:t>大部分进入</w:t>
            </w:r>
            <w:r>
              <w:rPr>
                <w:rFonts w:hint="eastAsia"/>
                <w:kern w:val="0"/>
                <w:szCs w:val="20"/>
              </w:rPr>
              <w:t>产品</w:t>
            </w:r>
            <w:r>
              <w:rPr>
                <w:kern w:val="0"/>
                <w:szCs w:val="20"/>
              </w:rPr>
              <w:t>中或进入扬尘中并随其沉降在地面，剩余部分全部蒸发损耗，</w:t>
            </w:r>
            <w:r>
              <w:rPr>
                <w:rFonts w:hint="eastAsia"/>
                <w:kern w:val="0"/>
                <w:szCs w:val="20"/>
              </w:rPr>
              <w:t>不</w:t>
            </w:r>
            <w:r>
              <w:rPr>
                <w:kern w:val="0"/>
                <w:szCs w:val="20"/>
              </w:rPr>
              <w:t>外排</w:t>
            </w:r>
            <w:r>
              <w:rPr>
                <w:rFonts w:hint="eastAsia"/>
              </w:rPr>
              <w:t>；</w:t>
            </w:r>
            <w:r>
              <w:t>生活污水</w:t>
            </w:r>
            <w:r>
              <w:rPr>
                <w:rFonts w:hint="eastAsia"/>
              </w:rPr>
              <w:t>经隔油化粪池处理后</w:t>
            </w:r>
            <w:r>
              <w:t>可用于周边林地、</w:t>
            </w:r>
            <w:r>
              <w:rPr>
                <w:rFonts w:hint="eastAsia"/>
              </w:rPr>
              <w:t>菜地</w:t>
            </w:r>
            <w:r>
              <w:t>浇灌</w:t>
            </w:r>
            <w:r>
              <w:rPr>
                <w:rFonts w:hint="eastAsia"/>
              </w:rPr>
              <w:t>；初期</w:t>
            </w:r>
            <w:r>
              <w:t>雨水经</w:t>
            </w:r>
            <w:r>
              <w:rPr>
                <w:rFonts w:hint="eastAsia"/>
              </w:rPr>
              <w:t>初期雨水收集池</w:t>
            </w:r>
            <w:r>
              <w:t>沉淀后回用于厂区降尘洒水。</w:t>
            </w:r>
            <w:r>
              <w:rPr>
                <w:rFonts w:hint="eastAsia"/>
              </w:rPr>
              <w:t>本项目废水</w:t>
            </w:r>
            <w:r>
              <w:t>对环境产生影响</w:t>
            </w:r>
            <w:r>
              <w:rPr>
                <w:rFonts w:hint="eastAsia"/>
              </w:rPr>
              <w:t>较</w:t>
            </w:r>
            <w:r>
              <w:t>小。</w:t>
            </w:r>
          </w:p>
          <w:p w14:paraId="6B8BB479">
            <w:pPr>
              <w:pStyle w:val="40"/>
              <w:numPr>
                <w:ilvl w:val="3"/>
                <w:numId w:val="0"/>
              </w:numPr>
              <w:ind w:left="454"/>
            </w:pPr>
            <w:bookmarkStart w:id="90" w:name="_Toc28161"/>
            <w:bookmarkStart w:id="91" w:name="_Toc68160393"/>
            <w:r>
              <w:t>2、废水影响分析</w:t>
            </w:r>
            <w:bookmarkEnd w:id="90"/>
            <w:bookmarkEnd w:id="91"/>
          </w:p>
          <w:p w14:paraId="1CB2BF71">
            <w:pPr>
              <w:ind w:firstLine="480" w:firstLineChars="200"/>
              <w:rPr>
                <w:u w:val="single"/>
              </w:rPr>
            </w:pPr>
            <w:r>
              <w:rPr>
                <w:u w:val="single"/>
              </w:rPr>
              <w:t>（1）切割磨光及雕刻废水</w:t>
            </w:r>
          </w:p>
          <w:p w14:paraId="71709497">
            <w:pPr>
              <w:ind w:firstLine="480" w:firstLineChars="200"/>
              <w:rPr>
                <w:u w:val="single"/>
              </w:rPr>
            </w:pPr>
            <w:r>
              <w:rPr>
                <w:szCs w:val="21"/>
                <w:u w:val="single"/>
              </w:rPr>
              <w:t>本项目</w:t>
            </w:r>
            <w:r>
              <w:rPr>
                <w:rFonts w:hint="eastAsia"/>
                <w:szCs w:val="21"/>
                <w:u w:val="single"/>
              </w:rPr>
              <w:t>路沿石、</w:t>
            </w:r>
            <w:r>
              <w:rPr>
                <w:rFonts w:hint="eastAsia"/>
                <w:b w:val="0"/>
                <w:bCs/>
                <w:kern w:val="0"/>
                <w:u w:val="single"/>
                <w:lang w:eastAsia="zh-CN" w:bidi="ar"/>
              </w:rPr>
              <w:t>墓碑</w:t>
            </w:r>
            <w:r>
              <w:rPr>
                <w:rFonts w:hint="eastAsia" w:ascii="Times New Roman" w:hAnsi="Times New Roman" w:eastAsia="宋体" w:cs="Times New Roman"/>
                <w:b w:val="0"/>
                <w:bCs/>
                <w:kern w:val="0"/>
                <w:sz w:val="24"/>
                <w:szCs w:val="24"/>
                <w:u w:val="single"/>
                <w:lang w:val="en-US" w:eastAsia="zh-CN" w:bidi="ar"/>
              </w:rPr>
              <w:t>及附属产品和其他板材</w:t>
            </w:r>
            <w:r>
              <w:rPr>
                <w:szCs w:val="21"/>
                <w:u w:val="single"/>
              </w:rPr>
              <w:t>加工过程中</w:t>
            </w:r>
            <w:r>
              <w:rPr>
                <w:rFonts w:hint="eastAsia"/>
                <w:szCs w:val="21"/>
                <w:u w:val="single"/>
              </w:rPr>
              <w:t>切割、磨光、雕刻</w:t>
            </w:r>
            <w:r>
              <w:rPr>
                <w:szCs w:val="21"/>
                <w:u w:val="single"/>
              </w:rPr>
              <w:t>等工序均采用湿法作业，需要大量用水，</w:t>
            </w:r>
            <w:r>
              <w:rPr>
                <w:u w:val="single"/>
              </w:rPr>
              <w:t>本项目生产加工过程产生的废水经沉淀处理后循环使用，不外排，废水产生量</w:t>
            </w:r>
            <w:r>
              <w:rPr>
                <w:kern w:val="0"/>
                <w:szCs w:val="16"/>
                <w:u w:val="single"/>
              </w:rPr>
              <w:t>参考</w:t>
            </w:r>
            <w:r>
              <w:rPr>
                <w:u w:val="single"/>
              </w:rPr>
              <w:t>《排放源统计调查产排污核算方法和系数手册》（公告2021年第24号）中3032建筑用石加工行业-建筑板材（毛板、毛光板）-锯解、磨抛、裁切等工艺工业废水产生量按照0.311t/㎡-产品计，即项目切割磨光及雕刻工序湿法作业产生的废水量为</w:t>
            </w:r>
            <w:r>
              <w:rPr>
                <w:rFonts w:hint="eastAsia"/>
                <w:u w:val="single"/>
              </w:rPr>
              <w:t>17.1</w:t>
            </w:r>
            <w:r>
              <w:rPr>
                <w:u w:val="single"/>
              </w:rPr>
              <w:t>m³/d（</w:t>
            </w:r>
            <w:r>
              <w:rPr>
                <w:rFonts w:hint="eastAsia"/>
                <w:u w:val="single"/>
              </w:rPr>
              <w:t>5116.9</w:t>
            </w:r>
            <w:r>
              <w:rPr>
                <w:u w:val="single"/>
              </w:rPr>
              <w:t>m³/a），根据建设单位提供资料，废水量约为用水量的80%，则湿法作业用水量为</w:t>
            </w:r>
            <w:r>
              <w:rPr>
                <w:rFonts w:hint="eastAsia"/>
                <w:u w:val="single"/>
              </w:rPr>
              <w:t>21.3</w:t>
            </w:r>
            <w:r>
              <w:rPr>
                <w:u w:val="single"/>
              </w:rPr>
              <w:t>m³/d（</w:t>
            </w:r>
            <w:r>
              <w:rPr>
                <w:rFonts w:hint="eastAsia"/>
                <w:u w:val="single"/>
              </w:rPr>
              <w:t>6396.1</w:t>
            </w:r>
            <w:r>
              <w:rPr>
                <w:u w:val="single"/>
              </w:rPr>
              <w:t>m³/a）。即本项目循环水量为</w:t>
            </w:r>
            <w:r>
              <w:rPr>
                <w:rFonts w:hint="eastAsia"/>
                <w:u w:val="single"/>
              </w:rPr>
              <w:t>5114.72</w:t>
            </w:r>
            <w:r>
              <w:rPr>
                <w:u w:val="single"/>
              </w:rPr>
              <w:t>m³/a，</w:t>
            </w:r>
            <w:r>
              <w:rPr>
                <w:kern w:val="0"/>
                <w:u w:val="single"/>
              </w:rPr>
              <w:t>则新鲜水需</w:t>
            </w:r>
            <w:r>
              <w:rPr>
                <w:u w:val="single"/>
              </w:rPr>
              <w:t>补水量为</w:t>
            </w:r>
            <w:r>
              <w:rPr>
                <w:rFonts w:hint="eastAsia"/>
                <w:kern w:val="0"/>
                <w:szCs w:val="16"/>
                <w:u w:val="single"/>
              </w:rPr>
              <w:t>1281.38</w:t>
            </w:r>
            <w:r>
              <w:rPr>
                <w:u w:val="single"/>
              </w:rPr>
              <w:t>m³/a。</w:t>
            </w:r>
          </w:p>
          <w:p w14:paraId="33108F02">
            <w:pPr>
              <w:ind w:firstLine="480" w:firstLineChars="200"/>
              <w:rPr>
                <w:u w:val="single"/>
              </w:rPr>
            </w:pPr>
            <w:r>
              <w:rPr>
                <w:rFonts w:hint="eastAsia"/>
                <w:u w:val="single"/>
              </w:rPr>
              <w:t>（2）破碎制砂和筛分</w:t>
            </w:r>
            <w:r>
              <w:rPr>
                <w:rFonts w:hint="eastAsia"/>
                <w:u w:val="single"/>
                <w:lang w:eastAsia="zh-CN"/>
              </w:rPr>
              <w:t>用</w:t>
            </w:r>
            <w:r>
              <w:rPr>
                <w:rFonts w:hint="eastAsia"/>
                <w:u w:val="single"/>
              </w:rPr>
              <w:t>水</w:t>
            </w:r>
          </w:p>
          <w:p w14:paraId="7158393E">
            <w:pPr>
              <w:ind w:firstLine="480" w:firstLineChars="200"/>
              <w:rPr>
                <w:u w:val="single"/>
              </w:rPr>
            </w:pPr>
            <w:r>
              <w:rPr>
                <w:kern w:val="0"/>
                <w:u w:val="single"/>
              </w:rPr>
              <w:t>依据建设方提供资料，</w:t>
            </w:r>
            <w:r>
              <w:rPr>
                <w:rFonts w:hint="eastAsia"/>
                <w:kern w:val="0"/>
                <w:u w:val="single"/>
              </w:rPr>
              <w:t>破碎制砂和筛分为干法作业，</w:t>
            </w:r>
            <w:r>
              <w:rPr>
                <w:rFonts w:hint="eastAsia"/>
                <w:kern w:val="0"/>
                <w:u w:val="single"/>
                <w:lang w:val="en-US" w:eastAsia="zh-CN"/>
              </w:rPr>
              <w:t>采取喷淋抑尘，</w:t>
            </w:r>
            <w:r>
              <w:rPr>
                <w:rFonts w:hint="eastAsia"/>
                <w:kern w:val="0"/>
                <w:u w:val="single"/>
              </w:rPr>
              <w:t>用水量很小，</w:t>
            </w:r>
            <w:r>
              <w:rPr>
                <w:rFonts w:hint="eastAsia"/>
                <w:u w:val="single"/>
              </w:rPr>
              <w:t>约</w:t>
            </w:r>
            <w:r>
              <w:rPr>
                <w:rFonts w:hint="eastAsia"/>
                <w:u w:val="single"/>
                <w:lang w:val="en-US" w:eastAsia="zh-CN"/>
              </w:rPr>
              <w:t>1</w:t>
            </w:r>
            <w:r>
              <w:rPr>
                <w:rFonts w:hint="eastAsia"/>
                <w:u w:val="single"/>
              </w:rPr>
              <w:t>m³/a，</w:t>
            </w:r>
            <w:r>
              <w:rPr>
                <w:rFonts w:hint="eastAsia"/>
                <w:kern w:val="0"/>
                <w:u w:val="single"/>
              </w:rPr>
              <w:t>所产生的废水一部分自然蒸发，一部分被带入</w:t>
            </w:r>
            <w:r>
              <w:rPr>
                <w:rFonts w:hint="eastAsia"/>
                <w:u w:val="single"/>
              </w:rPr>
              <w:t>搅拌</w:t>
            </w:r>
            <w:r>
              <w:rPr>
                <w:rFonts w:hint="eastAsia"/>
                <w:kern w:val="0"/>
                <w:u w:val="single"/>
              </w:rPr>
              <w:t>工序，故破碎制砂和筛分废水可忽略不计。</w:t>
            </w:r>
          </w:p>
          <w:p w14:paraId="11BC1778">
            <w:pPr>
              <w:ind w:firstLine="480" w:firstLineChars="200"/>
              <w:rPr>
                <w:u w:val="single"/>
              </w:rPr>
            </w:pPr>
            <w:r>
              <w:rPr>
                <w:rFonts w:hint="eastAsia"/>
                <w:u w:val="single"/>
              </w:rPr>
              <w:t>（3）搅拌</w:t>
            </w:r>
            <w:r>
              <w:rPr>
                <w:rFonts w:hint="eastAsia"/>
                <w:u w:val="single"/>
                <w:lang w:eastAsia="zh-CN"/>
              </w:rPr>
              <w:t>用</w:t>
            </w:r>
            <w:r>
              <w:rPr>
                <w:u w:val="single"/>
              </w:rPr>
              <w:t>水</w:t>
            </w:r>
          </w:p>
          <w:p w14:paraId="2050F386">
            <w:pPr>
              <w:ind w:firstLine="480" w:firstLineChars="200"/>
              <w:rPr>
                <w:u w:val="single"/>
              </w:rPr>
            </w:pPr>
            <w:r>
              <w:rPr>
                <w:rFonts w:hint="eastAsia"/>
                <w:u w:val="single"/>
              </w:rPr>
              <w:t>根据建设单位提供资料，制砖过程中搅拌需用水约0.</w:t>
            </w:r>
            <w:r>
              <w:rPr>
                <w:rFonts w:hint="eastAsia"/>
                <w:u w:val="single"/>
                <w:lang w:val="en-US" w:eastAsia="zh-CN"/>
              </w:rPr>
              <w:t>8</w:t>
            </w:r>
            <w:r>
              <w:rPr>
                <w:rFonts w:hint="eastAsia"/>
                <w:u w:val="single"/>
              </w:rPr>
              <w:t>m³/a，作为原料进入产品中后蒸发，不外排</w:t>
            </w:r>
            <w:r>
              <w:rPr>
                <w:u w:val="single"/>
              </w:rPr>
              <w:t>。</w:t>
            </w:r>
          </w:p>
          <w:p w14:paraId="6C043EA4">
            <w:pPr>
              <w:ind w:firstLine="480" w:firstLineChars="200"/>
              <w:rPr>
                <w:rFonts w:hint="eastAsia"/>
                <w:u w:val="single"/>
              </w:rPr>
            </w:pPr>
            <w:r>
              <w:rPr>
                <w:rFonts w:hint="eastAsia"/>
                <w:u w:val="single"/>
              </w:rPr>
              <w:t>（4）</w:t>
            </w:r>
            <w:r>
              <w:rPr>
                <w:rFonts w:hint="eastAsia"/>
                <w:u w:val="single"/>
                <w:lang w:eastAsia="zh-CN"/>
              </w:rPr>
              <w:t>夏季砖养护用水</w:t>
            </w:r>
          </w:p>
          <w:p w14:paraId="672A71C7">
            <w:pPr>
              <w:pStyle w:val="2"/>
              <w:ind w:firstLine="480" w:firstLineChars="200"/>
              <w:rPr>
                <w:rFonts w:hint="default"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rPr>
              <w:t>根据建设单位提供资料，</w:t>
            </w:r>
            <w:r>
              <w:rPr>
                <w:rFonts w:hint="eastAsia" w:ascii="Times New Roman" w:hAnsi="Times New Roman" w:eastAsia="宋体" w:cs="Times New Roman"/>
                <w:color w:val="auto"/>
                <w:u w:val="single"/>
                <w:lang w:eastAsia="zh-CN"/>
              </w:rPr>
              <w:t>夏季</w:t>
            </w:r>
            <w:r>
              <w:rPr>
                <w:rFonts w:hint="eastAsia" w:ascii="Times New Roman" w:hAnsi="Times New Roman" w:eastAsia="宋体" w:cs="Times New Roman"/>
                <w:kern w:val="2"/>
                <w:sz w:val="24"/>
                <w:szCs w:val="24"/>
                <w:u w:val="single"/>
                <w:lang w:val="en-US" w:eastAsia="zh-CN" w:bidi="ar-SA"/>
              </w:rPr>
              <w:t>透水砖、路面砖</w:t>
            </w:r>
            <w:r>
              <w:rPr>
                <w:rFonts w:hint="eastAsia" w:ascii="Times New Roman" w:hAnsi="Times New Roman" w:eastAsia="宋体" w:cs="Times New Roman"/>
                <w:color w:val="auto"/>
                <w:u w:val="single"/>
                <w:lang w:eastAsia="zh-CN"/>
              </w:rPr>
              <w:t>成品在放置过程中需进行养护，养护用水约</w:t>
            </w:r>
            <w:r>
              <w:rPr>
                <w:rFonts w:hint="eastAsia" w:ascii="Times New Roman" w:hAnsi="Times New Roman" w:eastAsia="宋体" w:cs="Times New Roman"/>
                <w:color w:val="auto"/>
                <w:u w:val="single"/>
                <w:lang w:val="en-US" w:eastAsia="zh-CN"/>
              </w:rPr>
              <w:t>0.4</w:t>
            </w:r>
            <w:r>
              <w:rPr>
                <w:rFonts w:hint="eastAsia" w:ascii="Times New Roman" w:hAnsi="Times New Roman" w:eastAsia="宋体" w:cs="Times New Roman"/>
                <w:color w:val="auto"/>
                <w:u w:val="single"/>
              </w:rPr>
              <w:t>m³/a，作为原料进入产品中后晾干蒸发，不外排</w:t>
            </w:r>
            <w:r>
              <w:rPr>
                <w:rFonts w:ascii="Times New Roman" w:hAnsi="Times New Roman" w:eastAsia="宋体" w:cs="Times New Roman"/>
                <w:color w:val="auto"/>
                <w:u w:val="single"/>
              </w:rPr>
              <w:t>。</w:t>
            </w:r>
          </w:p>
          <w:p w14:paraId="0785360D">
            <w:pPr>
              <w:ind w:firstLine="480" w:firstLineChars="200"/>
              <w:rPr>
                <w:color w:val="0000C7"/>
                <w:u w:val="single"/>
              </w:rPr>
            </w:pPr>
            <w:r>
              <w:rPr>
                <w:rFonts w:hint="eastAsia"/>
                <w:u w:val="single"/>
              </w:rPr>
              <w:t>（</w:t>
            </w:r>
            <w:r>
              <w:rPr>
                <w:rFonts w:hint="eastAsia"/>
                <w:u w:val="single"/>
                <w:lang w:val="en-US" w:eastAsia="zh-CN"/>
              </w:rPr>
              <w:t>5</w:t>
            </w:r>
            <w:r>
              <w:rPr>
                <w:rFonts w:hint="eastAsia"/>
                <w:u w:val="single"/>
              </w:rPr>
              <w:t>）厂区抑尘废水</w:t>
            </w:r>
          </w:p>
          <w:p w14:paraId="214241B8">
            <w:pPr>
              <w:ind w:firstLine="480" w:firstLineChars="200"/>
              <w:rPr>
                <w:color w:val="0000C7"/>
              </w:rPr>
            </w:pPr>
            <w:r>
              <w:rPr>
                <w:szCs w:val="21"/>
                <w:u w:val="single"/>
              </w:rPr>
              <w:t>厂区洒水、抑尘用水主要用于厂区内道路及堆场洒水抑尘，根据企业</w:t>
            </w:r>
            <w:r>
              <w:rPr>
                <w:rFonts w:hint="eastAsia"/>
                <w:szCs w:val="21"/>
                <w:u w:val="single"/>
              </w:rPr>
              <w:t>以往</w:t>
            </w:r>
            <w:r>
              <w:rPr>
                <w:szCs w:val="21"/>
                <w:u w:val="single"/>
              </w:rPr>
              <w:t>实际生产经验，该部分平均用水量约</w:t>
            </w:r>
            <w:r>
              <w:rPr>
                <w:rFonts w:hint="eastAsia"/>
                <w:szCs w:val="21"/>
                <w:u w:val="single"/>
              </w:rPr>
              <w:t>为2m</w:t>
            </w:r>
            <w:r>
              <w:rPr>
                <w:rFonts w:hint="eastAsia"/>
                <w:szCs w:val="21"/>
                <w:u w:val="single"/>
                <w:vertAlign w:val="superscript"/>
              </w:rPr>
              <w:t>3</w:t>
            </w:r>
            <w:r>
              <w:rPr>
                <w:rFonts w:hint="eastAsia"/>
                <w:szCs w:val="21"/>
                <w:u w:val="single"/>
              </w:rPr>
              <w:t>/d，</w:t>
            </w:r>
            <w:r>
              <w:rPr>
                <w:szCs w:val="21"/>
                <w:u w:val="single"/>
              </w:rPr>
              <w:t>大风、干燥天气适当增加洒水喷淋次数，无风、阴雨天气可适当减少洒水喷淋次数或不洒水，年用水量为</w:t>
            </w:r>
            <w:r>
              <w:rPr>
                <w:rFonts w:hint="eastAsia"/>
                <w:u w:val="single"/>
              </w:rPr>
              <w:t>600</w:t>
            </w:r>
            <w:r>
              <w:rPr>
                <w:u w:val="single"/>
              </w:rPr>
              <w:t>m</w:t>
            </w:r>
            <w:r>
              <w:rPr>
                <w:u w:val="single"/>
                <w:vertAlign w:val="superscript"/>
              </w:rPr>
              <w:t>3</w:t>
            </w:r>
            <w:r>
              <w:rPr>
                <w:szCs w:val="21"/>
                <w:u w:val="single"/>
              </w:rPr>
              <w:t>/a。该部分用水主要以雾炮机喷淋喷雾</w:t>
            </w:r>
            <w:r>
              <w:rPr>
                <w:rFonts w:hint="eastAsia"/>
                <w:szCs w:val="21"/>
                <w:u w:val="single"/>
              </w:rPr>
              <w:t>、洒水车</w:t>
            </w:r>
            <w:r>
              <w:rPr>
                <w:szCs w:val="21"/>
                <w:u w:val="single"/>
              </w:rPr>
              <w:t>为主，大部分进入板材中或进入扬尘中并随其沉降在地面，剩余部分全部蒸发损耗，</w:t>
            </w:r>
            <w:r>
              <w:rPr>
                <w:rFonts w:hint="eastAsia"/>
                <w:szCs w:val="21"/>
                <w:u w:val="single"/>
              </w:rPr>
              <w:t>不</w:t>
            </w:r>
            <w:r>
              <w:rPr>
                <w:szCs w:val="21"/>
                <w:u w:val="single"/>
              </w:rPr>
              <w:t>外排。</w:t>
            </w:r>
          </w:p>
          <w:p w14:paraId="1D6E59BF">
            <w:pPr>
              <w:ind w:firstLine="480" w:firstLineChars="200"/>
            </w:pPr>
            <w:r>
              <w:t>（</w:t>
            </w:r>
            <w:r>
              <w:rPr>
                <w:rFonts w:hint="eastAsia"/>
                <w:lang w:val="en-US" w:eastAsia="zh-CN"/>
              </w:rPr>
              <w:t>6</w:t>
            </w:r>
            <w:r>
              <w:t>）生活</w:t>
            </w:r>
            <w:r>
              <w:rPr>
                <w:rFonts w:hint="eastAsia"/>
              </w:rPr>
              <w:t>污水</w:t>
            </w:r>
          </w:p>
          <w:p w14:paraId="63535F7E">
            <w:pPr>
              <w:ind w:firstLine="480" w:firstLineChars="200"/>
            </w:pPr>
            <w:r>
              <w:rPr>
                <w:rFonts w:hint="eastAsia"/>
              </w:rPr>
              <w:t>本项目劳动定员为20人，仅办公和用餐人数15人，在厂区内</w:t>
            </w:r>
            <w:r>
              <w:rPr>
                <w:rFonts w:hint="eastAsia"/>
                <w:lang w:eastAsia="zh-CN"/>
              </w:rPr>
              <w:t>办公及</w:t>
            </w:r>
            <w:r>
              <w:rPr>
                <w:rFonts w:hint="eastAsia"/>
              </w:rPr>
              <w:t>食宿人数5人，根据类比同类型项目，</w:t>
            </w:r>
            <w:r>
              <w:t>仅办公和用餐人员生活用水量根据经验系数，按</w:t>
            </w:r>
            <w:r>
              <w:rPr>
                <w:rFonts w:hint="eastAsia"/>
                <w:kern w:val="0"/>
                <w:lang w:val="en-US" w:eastAsia="zh-CN"/>
              </w:rPr>
              <w:t>45</w:t>
            </w:r>
            <w:r>
              <w:rPr>
                <w:kern w:val="0"/>
              </w:rPr>
              <w:t>L</w:t>
            </w:r>
            <w:r>
              <w:t>/人·d计，用水量为</w:t>
            </w:r>
            <w:r>
              <w:rPr>
                <w:rFonts w:hint="eastAsia"/>
                <w:lang w:val="en-US" w:eastAsia="zh-CN"/>
              </w:rPr>
              <w:t>0.675</w:t>
            </w:r>
            <w:r>
              <w:t>m</w:t>
            </w:r>
            <w:r>
              <w:rPr>
                <w:vertAlign w:val="superscript"/>
              </w:rPr>
              <w:t>3</w:t>
            </w:r>
            <w:r>
              <w:t>/d（</w:t>
            </w:r>
            <w:r>
              <w:rPr>
                <w:rFonts w:hint="eastAsia"/>
                <w:lang w:val="en-US" w:eastAsia="zh-CN"/>
              </w:rPr>
              <w:t>202.5</w:t>
            </w:r>
            <w:r>
              <w:t>m</w:t>
            </w:r>
            <w:r>
              <w:rPr>
                <w:vertAlign w:val="superscript"/>
              </w:rPr>
              <w:t>3</w:t>
            </w:r>
            <w:r>
              <w:t>/a）</w:t>
            </w:r>
            <w:r>
              <w:rPr>
                <w:rFonts w:hint="eastAsia"/>
              </w:rPr>
              <w:t>；</w:t>
            </w:r>
            <w:r>
              <w:t>参照《湖南省用水定额》（DB43/T388-2020），食宿人员生活用水量按</w:t>
            </w:r>
            <w:r>
              <w:rPr>
                <w:rFonts w:hint="eastAsia"/>
                <w:lang w:val="en-US" w:eastAsia="zh-CN"/>
              </w:rPr>
              <w:t>90</w:t>
            </w:r>
            <w:r>
              <w:t>L/人·d计，</w:t>
            </w:r>
            <w:r>
              <w:rPr>
                <w:rFonts w:hint="eastAsia"/>
              </w:rPr>
              <w:t>用水量为0.</w:t>
            </w:r>
            <w:r>
              <w:rPr>
                <w:rFonts w:hint="eastAsia"/>
                <w:lang w:val="en-US" w:eastAsia="zh-CN"/>
              </w:rPr>
              <w:t>4</w:t>
            </w:r>
            <w:r>
              <w:rPr>
                <w:rFonts w:hint="eastAsia"/>
              </w:rPr>
              <w:t>5</w:t>
            </w:r>
            <w:r>
              <w:t>m</w:t>
            </w:r>
            <w:r>
              <w:rPr>
                <w:vertAlign w:val="superscript"/>
              </w:rPr>
              <w:t>3</w:t>
            </w:r>
            <w:r>
              <w:t>/d（</w:t>
            </w:r>
            <w:r>
              <w:rPr>
                <w:rFonts w:hint="eastAsia"/>
                <w:lang w:val="en-US" w:eastAsia="zh-CN"/>
              </w:rPr>
              <w:t>135</w:t>
            </w:r>
            <w:r>
              <w:t>m</w:t>
            </w:r>
            <w:r>
              <w:rPr>
                <w:vertAlign w:val="superscript"/>
              </w:rPr>
              <w:t>3</w:t>
            </w:r>
            <w:r>
              <w:t>/a）</w:t>
            </w:r>
            <w:r>
              <w:rPr>
                <w:rFonts w:hint="eastAsia"/>
              </w:rPr>
              <w:t>。</w:t>
            </w:r>
            <w:r>
              <w:t>排放系数以0.8计，</w:t>
            </w:r>
            <w:r>
              <w:rPr>
                <w:rFonts w:hint="eastAsia"/>
              </w:rPr>
              <w:t>故全厂生活</w:t>
            </w:r>
            <w:r>
              <w:t>污水量为</w:t>
            </w:r>
            <w:r>
              <w:rPr>
                <w:rFonts w:hint="eastAsia"/>
                <w:lang w:val="en-US" w:eastAsia="zh-CN"/>
              </w:rPr>
              <w:t>0.9</w:t>
            </w:r>
            <w:r>
              <w:rPr>
                <w:kern w:val="0"/>
              </w:rPr>
              <w:t>m</w:t>
            </w:r>
            <w:r>
              <w:rPr>
                <w:kern w:val="0"/>
                <w:vertAlign w:val="superscript"/>
              </w:rPr>
              <w:t>3</w:t>
            </w:r>
            <w:r>
              <w:rPr>
                <w:kern w:val="0"/>
              </w:rPr>
              <w:t>/d(</w:t>
            </w:r>
            <w:r>
              <w:rPr>
                <w:rFonts w:hint="eastAsia"/>
                <w:kern w:val="0"/>
                <w:lang w:val="en-US" w:eastAsia="zh-CN"/>
              </w:rPr>
              <w:t>270</w:t>
            </w:r>
            <w:r>
              <w:rPr>
                <w:kern w:val="0"/>
              </w:rPr>
              <w:t>m</w:t>
            </w:r>
            <w:r>
              <w:rPr>
                <w:kern w:val="0"/>
                <w:vertAlign w:val="superscript"/>
              </w:rPr>
              <w:t>3</w:t>
            </w:r>
            <w:r>
              <w:rPr>
                <w:kern w:val="0"/>
              </w:rPr>
              <w:t>/a)。</w:t>
            </w:r>
            <w:r>
              <w:t>员工生活污水经</w:t>
            </w:r>
            <w:r>
              <w:rPr>
                <w:rFonts w:hint="eastAsia"/>
              </w:rPr>
              <w:t>隔油</w:t>
            </w:r>
            <w:r>
              <w:t>化粪池处理用于周边林地、</w:t>
            </w:r>
            <w:r>
              <w:rPr>
                <w:rFonts w:hint="eastAsia"/>
              </w:rPr>
              <w:t>菜地</w:t>
            </w:r>
            <w:r>
              <w:t>浇灌，不外排，对环境产生影响较小。</w:t>
            </w:r>
          </w:p>
          <w:p w14:paraId="5A1FE132">
            <w:pPr>
              <w:ind w:firstLine="480" w:firstLineChars="200"/>
              <w:rPr>
                <w:u w:val="single"/>
              </w:rPr>
            </w:pPr>
            <w:bookmarkStart w:id="92" w:name="_Toc11323"/>
            <w:r>
              <w:rPr>
                <w:u w:val="single"/>
              </w:rPr>
              <w:t>（</w:t>
            </w:r>
            <w:r>
              <w:rPr>
                <w:rFonts w:hint="eastAsia"/>
                <w:u w:val="single"/>
                <w:lang w:val="en-US" w:eastAsia="zh-CN"/>
              </w:rPr>
              <w:t>7</w:t>
            </w:r>
            <w:r>
              <w:rPr>
                <w:u w:val="single"/>
              </w:rPr>
              <w:t>）初期雨水</w:t>
            </w:r>
          </w:p>
          <w:p w14:paraId="44DCAD7D">
            <w:pPr>
              <w:pStyle w:val="35"/>
              <w:rPr>
                <w:rFonts w:ascii="Times New Roman" w:hAnsi="Times New Roman"/>
                <w:szCs w:val="32"/>
                <w:u w:val="single"/>
              </w:rPr>
            </w:pPr>
            <w:r>
              <w:rPr>
                <w:rFonts w:ascii="Times New Roman" w:hAnsi="Times New Roman" w:cs="Times New Roman"/>
                <w:u w:val="single"/>
              </w:rPr>
              <w:t>项目建成后，暴雨会产生较大的地表径流，对厂区进行冲刷从而产生含有大量污泥的污水，</w:t>
            </w:r>
            <w:r>
              <w:rPr>
                <w:rFonts w:ascii="Times New Roman" w:hAnsi="Times New Roman"/>
                <w:szCs w:val="32"/>
                <w:u w:val="single"/>
              </w:rPr>
              <w:t>本环评根据怀化市最新暴雨强度公式计算初期雨水量。</w:t>
            </w:r>
          </w:p>
          <w:p w14:paraId="5F07F481">
            <w:pPr>
              <w:pStyle w:val="35"/>
              <w:ind w:firstLine="0"/>
              <w:jc w:val="center"/>
              <w:rPr>
                <w:rFonts w:ascii="Times New Roman" w:hAnsi="Times New Roman" w:cs="Times New Roman"/>
                <w:snapToGrid/>
                <w:kern w:val="2"/>
                <w:u w:val="single"/>
                <w:vertAlign w:val="superscript"/>
              </w:rPr>
            </w:pPr>
            <w:r>
              <w:rPr>
                <w:rFonts w:ascii="Times New Roman" w:hAnsi="Times New Roman" w:cs="Times New Roman"/>
                <w:snapToGrid/>
                <w:kern w:val="2"/>
                <w:u w:val="single"/>
              </w:rPr>
              <w:t>q=3290（1+0.68lgP）/（t+17）</w:t>
            </w:r>
            <w:r>
              <w:rPr>
                <w:rFonts w:ascii="Times New Roman" w:hAnsi="Times New Roman" w:cs="Times New Roman"/>
                <w:snapToGrid/>
                <w:kern w:val="2"/>
                <w:u w:val="single"/>
                <w:vertAlign w:val="superscript"/>
              </w:rPr>
              <w:t>0.86</w:t>
            </w:r>
          </w:p>
          <w:p w14:paraId="66244E60">
            <w:pPr>
              <w:pStyle w:val="35"/>
              <w:ind w:firstLine="0"/>
              <w:jc w:val="center"/>
              <w:rPr>
                <w:rFonts w:ascii="Times New Roman" w:hAnsi="Times New Roman" w:cs="Times New Roman"/>
                <w:snapToGrid/>
                <w:kern w:val="2"/>
                <w:u w:val="single"/>
              </w:rPr>
            </w:pPr>
            <w:r>
              <w:rPr>
                <w:rFonts w:ascii="Times New Roman" w:hAnsi="Times New Roman" w:cs="Times New Roman"/>
                <w:snapToGrid/>
                <w:kern w:val="2"/>
                <w:u w:val="single"/>
              </w:rPr>
              <w:t>Q=q×ψ×F</w:t>
            </w:r>
          </w:p>
          <w:p w14:paraId="192A7BFE">
            <w:pPr>
              <w:pStyle w:val="35"/>
              <w:ind w:firstLine="0"/>
              <w:rPr>
                <w:rFonts w:ascii="Times New Roman" w:hAnsi="Times New Roman" w:cs="Times New Roman"/>
                <w:snapToGrid/>
                <w:kern w:val="2"/>
                <w:u w:val="single"/>
              </w:rPr>
            </w:pPr>
            <w:r>
              <w:rPr>
                <w:rFonts w:ascii="Times New Roman" w:hAnsi="Times New Roman" w:cs="Times New Roman"/>
                <w:snapToGrid/>
                <w:kern w:val="2"/>
                <w:u w:val="single"/>
              </w:rPr>
              <w:t>式中：q——暴雨强度（L/s•万m</w:t>
            </w:r>
            <w:r>
              <w:rPr>
                <w:rFonts w:ascii="Times New Roman" w:hAnsi="Times New Roman" w:cs="Times New Roman"/>
                <w:snapToGrid/>
                <w:kern w:val="2"/>
                <w:u w:val="single"/>
                <w:vertAlign w:val="superscript"/>
              </w:rPr>
              <w:t>2</w:t>
            </w:r>
            <w:r>
              <w:rPr>
                <w:rFonts w:ascii="Times New Roman" w:hAnsi="Times New Roman" w:cs="Times New Roman"/>
                <w:snapToGrid/>
                <w:kern w:val="2"/>
                <w:u w:val="single"/>
              </w:rPr>
              <w:t>）；</w:t>
            </w:r>
          </w:p>
          <w:p w14:paraId="35A980A2">
            <w:pPr>
              <w:pStyle w:val="35"/>
              <w:ind w:firstLine="741" w:firstLineChars="309"/>
              <w:rPr>
                <w:rFonts w:ascii="Times New Roman" w:hAnsi="Times New Roman" w:cs="Times New Roman"/>
                <w:snapToGrid/>
                <w:kern w:val="2"/>
                <w:u w:val="single"/>
              </w:rPr>
            </w:pPr>
            <w:r>
              <w:rPr>
                <w:rFonts w:ascii="Times New Roman" w:hAnsi="Times New Roman" w:cs="Times New Roman"/>
                <w:snapToGrid/>
                <w:kern w:val="2"/>
                <w:u w:val="single"/>
              </w:rPr>
              <w:t>P——重现期，本项目取1年；</w:t>
            </w:r>
          </w:p>
          <w:p w14:paraId="34308F35">
            <w:pPr>
              <w:pStyle w:val="35"/>
              <w:ind w:firstLine="741" w:firstLineChars="309"/>
              <w:rPr>
                <w:rFonts w:ascii="Times New Roman" w:hAnsi="Times New Roman" w:cs="Times New Roman"/>
                <w:snapToGrid/>
                <w:kern w:val="2"/>
                <w:u w:val="single"/>
              </w:rPr>
            </w:pPr>
            <w:r>
              <w:rPr>
                <w:rFonts w:ascii="Times New Roman" w:hAnsi="Times New Roman" w:cs="Times New Roman"/>
                <w:snapToGrid/>
                <w:kern w:val="2"/>
                <w:u w:val="single"/>
              </w:rPr>
              <w:t>t——降雨历时（min），本项目按</w:t>
            </w:r>
            <w:r>
              <w:rPr>
                <w:rFonts w:hint="eastAsia" w:ascii="Times New Roman" w:hAnsi="Times New Roman" w:cs="Times New Roman"/>
                <w:snapToGrid/>
                <w:kern w:val="2"/>
                <w:u w:val="single"/>
              </w:rPr>
              <w:t>5</w:t>
            </w:r>
            <w:r>
              <w:rPr>
                <w:rFonts w:ascii="Times New Roman" w:hAnsi="Times New Roman" w:cs="Times New Roman"/>
                <w:snapToGrid/>
                <w:kern w:val="2"/>
                <w:u w:val="single"/>
              </w:rPr>
              <w:t>min计算。</w:t>
            </w:r>
          </w:p>
          <w:p w14:paraId="005AA0A2">
            <w:pPr>
              <w:pStyle w:val="35"/>
              <w:ind w:firstLine="720" w:firstLineChars="300"/>
              <w:rPr>
                <w:rFonts w:ascii="Times New Roman" w:hAnsi="Times New Roman" w:cs="Times New Roman"/>
                <w:snapToGrid/>
                <w:kern w:val="2"/>
                <w:u w:val="single"/>
              </w:rPr>
            </w:pPr>
            <w:r>
              <w:rPr>
                <w:rFonts w:ascii="Times New Roman" w:hAnsi="Times New Roman" w:cs="Times New Roman"/>
                <w:snapToGrid/>
                <w:kern w:val="2"/>
                <w:u w:val="single"/>
              </w:rPr>
              <w:t>Q——雨量（L/s）；</w:t>
            </w:r>
          </w:p>
          <w:p w14:paraId="1C7D4912">
            <w:pPr>
              <w:pStyle w:val="35"/>
              <w:ind w:firstLine="720" w:firstLineChars="300"/>
              <w:rPr>
                <w:rFonts w:ascii="Times New Roman" w:hAnsi="Times New Roman" w:cs="Times New Roman"/>
                <w:snapToGrid/>
                <w:kern w:val="2"/>
                <w:u w:val="single"/>
              </w:rPr>
            </w:pPr>
            <w:r>
              <w:rPr>
                <w:rFonts w:ascii="Times New Roman" w:hAnsi="Times New Roman" w:cs="Times New Roman"/>
                <w:snapToGrid/>
                <w:kern w:val="2"/>
                <w:u w:val="single"/>
              </w:rPr>
              <w:t>ψ——综合径流系数，本环评取0.</w:t>
            </w:r>
            <w:r>
              <w:rPr>
                <w:rFonts w:hint="eastAsia" w:ascii="Times New Roman" w:hAnsi="Times New Roman" w:cs="Times New Roman"/>
                <w:snapToGrid/>
                <w:kern w:val="2"/>
                <w:u w:val="single"/>
              </w:rPr>
              <w:t>45</w:t>
            </w:r>
            <w:r>
              <w:rPr>
                <w:rFonts w:ascii="Times New Roman" w:hAnsi="Times New Roman" w:cs="Times New Roman"/>
                <w:snapToGrid/>
                <w:kern w:val="2"/>
                <w:u w:val="single"/>
              </w:rPr>
              <w:t>；</w:t>
            </w:r>
          </w:p>
          <w:p w14:paraId="6CE02A3C">
            <w:pPr>
              <w:widowControl/>
              <w:ind w:firstLine="720" w:firstLineChars="300"/>
              <w:rPr>
                <w:b/>
                <w:bCs/>
                <w:szCs w:val="21"/>
                <w:u w:val="single"/>
              </w:rPr>
            </w:pPr>
            <w:r>
              <w:rPr>
                <w:u w:val="single"/>
              </w:rPr>
              <w:t>F——汇水面积，</w:t>
            </w:r>
            <w:r>
              <w:rPr>
                <w:rFonts w:hint="eastAsia"/>
                <w:u w:val="single"/>
              </w:rPr>
              <w:t>10642.28</w:t>
            </w:r>
            <w:r>
              <w:rPr>
                <w:u w:val="single"/>
              </w:rPr>
              <w:t>m</w:t>
            </w:r>
            <w:r>
              <w:rPr>
                <w:u w:val="single"/>
                <w:vertAlign w:val="superscript"/>
              </w:rPr>
              <w:t>2</w:t>
            </w:r>
            <w:r>
              <w:rPr>
                <w:u w:val="single"/>
              </w:rPr>
              <w:t>。</w:t>
            </w:r>
          </w:p>
          <w:p w14:paraId="7327F273">
            <w:pPr>
              <w:ind w:firstLine="480" w:firstLineChars="200"/>
              <w:rPr>
                <w:u w:val="single"/>
              </w:rPr>
            </w:pPr>
            <w:r>
              <w:rPr>
                <w:u w:val="single"/>
              </w:rPr>
              <w:t>根据计算，本项目初期雨水量为</w:t>
            </w:r>
            <w:r>
              <w:rPr>
                <w:rFonts w:hint="eastAsia"/>
                <w:u w:val="single"/>
              </w:rPr>
              <w:t>32.988</w:t>
            </w:r>
            <w:r>
              <w:rPr>
                <w:u w:val="single"/>
              </w:rPr>
              <w:t>m</w:t>
            </w:r>
            <w:r>
              <w:rPr>
                <w:u w:val="single"/>
                <w:vertAlign w:val="superscript"/>
              </w:rPr>
              <w:t>3</w:t>
            </w:r>
            <w:r>
              <w:rPr>
                <w:u w:val="single"/>
              </w:rPr>
              <w:t>/次</w:t>
            </w:r>
            <w:r>
              <w:rPr>
                <w:rFonts w:hint="eastAsia"/>
                <w:u w:val="single"/>
              </w:rPr>
              <w:t>，</w:t>
            </w:r>
            <w:r>
              <w:rPr>
                <w:rFonts w:hint="eastAsia"/>
                <w:u w:val="single"/>
                <w:lang w:eastAsia="zh-CN"/>
              </w:rPr>
              <w:t>每年按照</w:t>
            </w:r>
            <w:r>
              <w:rPr>
                <w:rFonts w:hint="eastAsia"/>
                <w:u w:val="single"/>
                <w:lang w:val="en-US" w:eastAsia="zh-CN"/>
              </w:rPr>
              <w:t>12次计算，</w:t>
            </w:r>
            <w:r>
              <w:rPr>
                <w:rFonts w:hint="eastAsia"/>
                <w:u w:val="single"/>
              </w:rPr>
              <w:t>则初期雨水产生量为1.085</w:t>
            </w:r>
            <w:r>
              <w:rPr>
                <w:u w:val="single"/>
              </w:rPr>
              <w:t>m</w:t>
            </w:r>
            <w:r>
              <w:rPr>
                <w:u w:val="single"/>
                <w:vertAlign w:val="superscript"/>
              </w:rPr>
              <w:t>3</w:t>
            </w:r>
            <w:r>
              <w:rPr>
                <w:u w:val="single"/>
              </w:rPr>
              <w:t>/d</w:t>
            </w:r>
            <w:r>
              <w:rPr>
                <w:rFonts w:hint="eastAsia"/>
                <w:u w:val="single"/>
              </w:rPr>
              <w:t>（395.852</w:t>
            </w:r>
            <w:r>
              <w:rPr>
                <w:u w:val="single"/>
              </w:rPr>
              <w:t>m</w:t>
            </w:r>
            <w:r>
              <w:rPr>
                <w:u w:val="single"/>
                <w:vertAlign w:val="superscript"/>
              </w:rPr>
              <w:t>3</w:t>
            </w:r>
            <w:r>
              <w:rPr>
                <w:u w:val="single"/>
              </w:rPr>
              <w:t>/a</w:t>
            </w:r>
            <w:r>
              <w:rPr>
                <w:rFonts w:hint="eastAsia"/>
                <w:u w:val="single"/>
              </w:rPr>
              <w:t>）</w:t>
            </w:r>
            <w:r>
              <w:rPr>
                <w:u w:val="single"/>
              </w:rPr>
              <w:t>。初期雨水是在降雨形成地面径流后15min收集的厂区受污染区域的地面雨水。降雨初期地面水与气象条件密切相关，具有间歇性、时间间隔的变化大等特点。</w:t>
            </w:r>
            <w:r>
              <w:rPr>
                <w:rFonts w:hint="eastAsia"/>
                <w:u w:val="single"/>
              </w:rPr>
              <w:t>本次评价要求在</w:t>
            </w:r>
            <w:r>
              <w:rPr>
                <w:u w:val="single"/>
              </w:rPr>
              <w:t>项目厂区四周</w:t>
            </w:r>
            <w:r>
              <w:rPr>
                <w:rFonts w:hint="eastAsia"/>
                <w:u w:val="single"/>
              </w:rPr>
              <w:t>修整完善</w:t>
            </w:r>
            <w:r>
              <w:rPr>
                <w:u w:val="single"/>
              </w:rPr>
              <w:t>排水沟，大气降水依地势自流入排水沟，排水沟末端连接初期雨水收集池（</w:t>
            </w:r>
            <w:r>
              <w:rPr>
                <w:rFonts w:hint="eastAsia"/>
                <w:u w:val="single"/>
                <w:lang w:eastAsia="zh-CN"/>
              </w:rPr>
              <w:t>不小于</w:t>
            </w:r>
            <w:r>
              <w:rPr>
                <w:rFonts w:hint="eastAsia"/>
                <w:u w:val="single"/>
              </w:rPr>
              <w:t>33</w:t>
            </w:r>
            <w:r>
              <w:rPr>
                <w:u w:val="single"/>
              </w:rPr>
              <w:t>m</w:t>
            </w:r>
            <w:r>
              <w:rPr>
                <w:u w:val="single"/>
                <w:vertAlign w:val="superscript"/>
              </w:rPr>
              <w:t>3</w:t>
            </w:r>
            <w:r>
              <w:rPr>
                <w:u w:val="single"/>
              </w:rPr>
              <w:t>），</w:t>
            </w:r>
            <w:r>
              <w:rPr>
                <w:rFonts w:hint="eastAsia"/>
                <w:u w:val="single"/>
              </w:rPr>
              <w:t>初期</w:t>
            </w:r>
            <w:r>
              <w:rPr>
                <w:u w:val="single"/>
              </w:rPr>
              <w:t>雨水经沉淀后回用于厂区降尘洒水，不外排</w:t>
            </w:r>
            <w:r>
              <w:rPr>
                <w:rFonts w:hint="eastAsia"/>
                <w:u w:val="single"/>
                <w:lang w:eastAsia="zh-CN"/>
              </w:rPr>
              <w:t>，并</w:t>
            </w:r>
            <w:r>
              <w:rPr>
                <w:rFonts w:hint="eastAsia"/>
                <w:u w:val="single"/>
                <w:lang w:val="en-US" w:eastAsia="zh-CN"/>
              </w:rPr>
              <w:t>设置</w:t>
            </w:r>
            <w:r>
              <w:rPr>
                <w:sz w:val="24"/>
                <w:szCs w:val="32"/>
                <w:u w:val="single"/>
              </w:rPr>
              <w:t>初期雨水截断阀门</w:t>
            </w:r>
            <w:r>
              <w:rPr>
                <w:rFonts w:hint="eastAsia"/>
                <w:sz w:val="24"/>
                <w:szCs w:val="32"/>
                <w:u w:val="single"/>
                <w:lang w:eastAsia="zh-CN"/>
              </w:rPr>
              <w:t>，</w:t>
            </w:r>
            <w:r>
              <w:rPr>
                <w:rFonts w:hint="eastAsia"/>
                <w:sz w:val="24"/>
                <w:szCs w:val="32"/>
                <w:u w:val="single"/>
                <w:lang w:val="en-US" w:eastAsia="zh-CN"/>
              </w:rPr>
              <w:t>后期雨水直接外排</w:t>
            </w:r>
            <w:r>
              <w:rPr>
                <w:u w:val="single"/>
              </w:rPr>
              <w:t>。</w:t>
            </w:r>
          </w:p>
          <w:p w14:paraId="13904264">
            <w:pPr>
              <w:wordWrap w:val="0"/>
              <w:topLinePunct/>
              <w:adjustRightInd w:val="0"/>
              <w:snapToGrid w:val="0"/>
              <w:spacing w:line="240" w:lineRule="auto"/>
              <w:jc w:val="center"/>
              <w:rPr>
                <w:sz w:val="21"/>
                <w:szCs w:val="21"/>
              </w:rPr>
            </w:pPr>
            <w:r>
              <w:rPr>
                <w:b/>
                <w:bCs/>
                <w:spacing w:val="-10"/>
                <w:sz w:val="21"/>
                <w:szCs w:val="21"/>
              </w:rPr>
              <w:t>表4-</w:t>
            </w:r>
            <w:r>
              <w:rPr>
                <w:rFonts w:hint="eastAsia"/>
                <w:b/>
                <w:bCs/>
                <w:spacing w:val="-10"/>
                <w:sz w:val="21"/>
                <w:szCs w:val="21"/>
                <w:lang w:val="en-US" w:eastAsia="zh-CN"/>
              </w:rPr>
              <w:t>8</w:t>
            </w:r>
            <w:r>
              <w:rPr>
                <w:b/>
                <w:bCs/>
                <w:spacing w:val="-10"/>
                <w:sz w:val="21"/>
                <w:szCs w:val="21"/>
              </w:rPr>
              <w:t xml:space="preserve">  废水污染物产生及排放情况</w:t>
            </w:r>
            <w:r>
              <w:rPr>
                <w:b/>
                <w:sz w:val="21"/>
                <w:szCs w:val="21"/>
              </w:rPr>
              <w:t>一览表  单位：浓度</w:t>
            </w:r>
            <w:r>
              <w:rPr>
                <w:b/>
                <w:kern w:val="0"/>
                <w:sz w:val="21"/>
                <w:szCs w:val="21"/>
              </w:rPr>
              <w:t>mg/L、量t/a</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73"/>
              <w:gridCol w:w="876"/>
              <w:gridCol w:w="604"/>
              <w:gridCol w:w="994"/>
              <w:gridCol w:w="876"/>
              <w:gridCol w:w="1720"/>
              <w:gridCol w:w="562"/>
              <w:gridCol w:w="996"/>
            </w:tblGrid>
            <w:tr w14:paraId="72E7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101" w:type="pct"/>
                  <w:vMerge w:val="restart"/>
                  <w:noWrap/>
                  <w:vAlign w:val="center"/>
                </w:tcPr>
                <w:p w14:paraId="3C387BA9">
                  <w:pPr>
                    <w:pStyle w:val="49"/>
                    <w:spacing w:line="240" w:lineRule="auto"/>
                    <w:jc w:val="center"/>
                    <w:rPr>
                      <w:rFonts w:cs="Times New Roman"/>
                      <w:b/>
                      <w:sz w:val="21"/>
                      <w:szCs w:val="21"/>
                    </w:rPr>
                  </w:pPr>
                  <w:r>
                    <w:rPr>
                      <w:rFonts w:cs="Times New Roman"/>
                      <w:b/>
                      <w:sz w:val="21"/>
                      <w:szCs w:val="21"/>
                    </w:rPr>
                    <w:t>产排污环节</w:t>
                  </w:r>
                </w:p>
              </w:tc>
              <w:tc>
                <w:tcPr>
                  <w:tcW w:w="515" w:type="pct"/>
                  <w:vMerge w:val="restart"/>
                  <w:noWrap/>
                  <w:vAlign w:val="center"/>
                </w:tcPr>
                <w:p w14:paraId="34B06123">
                  <w:pPr>
                    <w:pStyle w:val="49"/>
                    <w:spacing w:line="240" w:lineRule="auto"/>
                    <w:jc w:val="center"/>
                    <w:rPr>
                      <w:rFonts w:cs="Times New Roman"/>
                      <w:b/>
                      <w:sz w:val="21"/>
                      <w:szCs w:val="21"/>
                    </w:rPr>
                  </w:pPr>
                  <w:r>
                    <w:rPr>
                      <w:rFonts w:cs="Times New Roman"/>
                      <w:b/>
                      <w:sz w:val="21"/>
                      <w:szCs w:val="21"/>
                    </w:rPr>
                    <w:t>污染物</w:t>
                  </w:r>
                </w:p>
                <w:p w14:paraId="2CDB377A">
                  <w:pPr>
                    <w:pStyle w:val="49"/>
                    <w:spacing w:line="240" w:lineRule="auto"/>
                    <w:jc w:val="center"/>
                    <w:rPr>
                      <w:rFonts w:cs="Times New Roman"/>
                      <w:b/>
                      <w:sz w:val="21"/>
                      <w:szCs w:val="21"/>
                    </w:rPr>
                  </w:pPr>
                  <w:r>
                    <w:rPr>
                      <w:rFonts w:cs="Times New Roman"/>
                      <w:b/>
                      <w:sz w:val="21"/>
                      <w:szCs w:val="21"/>
                    </w:rPr>
                    <w:t>种类</w:t>
                  </w:r>
                </w:p>
              </w:tc>
              <w:tc>
                <w:tcPr>
                  <w:tcW w:w="939" w:type="pct"/>
                  <w:gridSpan w:val="2"/>
                  <w:noWrap/>
                  <w:vAlign w:val="center"/>
                </w:tcPr>
                <w:p w14:paraId="01AAA899">
                  <w:pPr>
                    <w:pStyle w:val="49"/>
                    <w:spacing w:line="240" w:lineRule="auto"/>
                    <w:jc w:val="center"/>
                    <w:rPr>
                      <w:rFonts w:cs="Times New Roman"/>
                      <w:b/>
                      <w:sz w:val="21"/>
                      <w:szCs w:val="21"/>
                    </w:rPr>
                  </w:pPr>
                  <w:r>
                    <w:rPr>
                      <w:rFonts w:cs="Times New Roman"/>
                      <w:b/>
                      <w:sz w:val="21"/>
                      <w:szCs w:val="21"/>
                    </w:rPr>
                    <w:t>产生情况</w:t>
                  </w:r>
                </w:p>
              </w:tc>
              <w:tc>
                <w:tcPr>
                  <w:tcW w:w="515" w:type="pct"/>
                  <w:vMerge w:val="restart"/>
                  <w:noWrap/>
                  <w:vAlign w:val="center"/>
                </w:tcPr>
                <w:p w14:paraId="3E90F3A9">
                  <w:pPr>
                    <w:pStyle w:val="49"/>
                    <w:spacing w:line="240" w:lineRule="auto"/>
                    <w:jc w:val="center"/>
                    <w:rPr>
                      <w:rFonts w:cs="Times New Roman"/>
                      <w:b/>
                      <w:sz w:val="21"/>
                      <w:szCs w:val="21"/>
                    </w:rPr>
                  </w:pPr>
                  <w:r>
                    <w:rPr>
                      <w:rFonts w:cs="Times New Roman"/>
                      <w:b/>
                      <w:sz w:val="21"/>
                      <w:szCs w:val="21"/>
                    </w:rPr>
                    <w:t>排放</w:t>
                  </w:r>
                </w:p>
                <w:p w14:paraId="3F9B6D60">
                  <w:pPr>
                    <w:pStyle w:val="49"/>
                    <w:spacing w:line="240" w:lineRule="auto"/>
                    <w:jc w:val="center"/>
                    <w:rPr>
                      <w:rFonts w:cs="Times New Roman"/>
                      <w:b/>
                      <w:sz w:val="21"/>
                      <w:szCs w:val="21"/>
                    </w:rPr>
                  </w:pPr>
                  <w:r>
                    <w:rPr>
                      <w:rFonts w:cs="Times New Roman"/>
                      <w:b/>
                      <w:sz w:val="21"/>
                      <w:szCs w:val="21"/>
                    </w:rPr>
                    <w:t>形式</w:t>
                  </w:r>
                </w:p>
              </w:tc>
              <w:tc>
                <w:tcPr>
                  <w:tcW w:w="1011" w:type="pct"/>
                  <w:vMerge w:val="restart"/>
                  <w:noWrap/>
                  <w:vAlign w:val="center"/>
                </w:tcPr>
                <w:p w14:paraId="0826EDA5">
                  <w:pPr>
                    <w:pStyle w:val="49"/>
                    <w:spacing w:line="240" w:lineRule="auto"/>
                    <w:jc w:val="center"/>
                    <w:rPr>
                      <w:rFonts w:cs="Times New Roman"/>
                      <w:b/>
                      <w:sz w:val="21"/>
                      <w:szCs w:val="21"/>
                    </w:rPr>
                  </w:pPr>
                  <w:r>
                    <w:rPr>
                      <w:rFonts w:cs="Times New Roman"/>
                      <w:b/>
                      <w:sz w:val="21"/>
                      <w:szCs w:val="21"/>
                    </w:rPr>
                    <w:t>治理设施</w:t>
                  </w:r>
                </w:p>
                <w:p w14:paraId="4217F925">
                  <w:pPr>
                    <w:pStyle w:val="49"/>
                    <w:spacing w:line="240" w:lineRule="auto"/>
                    <w:jc w:val="center"/>
                    <w:rPr>
                      <w:rFonts w:cs="Times New Roman"/>
                      <w:b/>
                      <w:sz w:val="21"/>
                      <w:szCs w:val="21"/>
                    </w:rPr>
                  </w:pPr>
                  <w:r>
                    <w:rPr>
                      <w:rFonts w:cs="Times New Roman"/>
                      <w:b/>
                      <w:sz w:val="21"/>
                      <w:szCs w:val="21"/>
                    </w:rPr>
                    <w:t>情况</w:t>
                  </w:r>
                </w:p>
              </w:tc>
              <w:tc>
                <w:tcPr>
                  <w:tcW w:w="915" w:type="pct"/>
                  <w:gridSpan w:val="2"/>
                  <w:noWrap/>
                  <w:vAlign w:val="center"/>
                </w:tcPr>
                <w:p w14:paraId="586E28F4">
                  <w:pPr>
                    <w:pStyle w:val="49"/>
                    <w:spacing w:line="240" w:lineRule="auto"/>
                    <w:jc w:val="center"/>
                    <w:rPr>
                      <w:rFonts w:cs="Times New Roman"/>
                      <w:b/>
                      <w:sz w:val="21"/>
                      <w:szCs w:val="21"/>
                    </w:rPr>
                  </w:pPr>
                  <w:r>
                    <w:rPr>
                      <w:rFonts w:cs="Times New Roman"/>
                      <w:b/>
                      <w:sz w:val="21"/>
                      <w:szCs w:val="21"/>
                    </w:rPr>
                    <w:t>排放情况</w:t>
                  </w:r>
                </w:p>
              </w:tc>
            </w:tr>
            <w:tr w14:paraId="057E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101" w:type="pct"/>
                  <w:vMerge w:val="continue"/>
                  <w:noWrap/>
                  <w:vAlign w:val="center"/>
                </w:tcPr>
                <w:p w14:paraId="217A35DF">
                  <w:pPr>
                    <w:pStyle w:val="49"/>
                    <w:spacing w:line="240" w:lineRule="auto"/>
                    <w:jc w:val="center"/>
                    <w:rPr>
                      <w:rFonts w:cs="Times New Roman"/>
                      <w:b/>
                      <w:sz w:val="21"/>
                      <w:szCs w:val="21"/>
                    </w:rPr>
                  </w:pPr>
                </w:p>
              </w:tc>
              <w:tc>
                <w:tcPr>
                  <w:tcW w:w="515" w:type="pct"/>
                  <w:vMerge w:val="continue"/>
                  <w:noWrap/>
                  <w:vAlign w:val="center"/>
                </w:tcPr>
                <w:p w14:paraId="483FCE89">
                  <w:pPr>
                    <w:pStyle w:val="49"/>
                    <w:spacing w:line="240" w:lineRule="auto"/>
                    <w:jc w:val="center"/>
                    <w:rPr>
                      <w:rFonts w:cs="Times New Roman"/>
                      <w:b/>
                      <w:sz w:val="21"/>
                      <w:szCs w:val="21"/>
                    </w:rPr>
                  </w:pPr>
                </w:p>
              </w:tc>
              <w:tc>
                <w:tcPr>
                  <w:tcW w:w="355" w:type="pct"/>
                  <w:noWrap/>
                  <w:vAlign w:val="center"/>
                </w:tcPr>
                <w:p w14:paraId="311ED195">
                  <w:pPr>
                    <w:pStyle w:val="49"/>
                    <w:spacing w:line="240" w:lineRule="auto"/>
                    <w:jc w:val="center"/>
                    <w:rPr>
                      <w:rFonts w:cs="Times New Roman"/>
                      <w:b/>
                      <w:sz w:val="21"/>
                      <w:szCs w:val="21"/>
                    </w:rPr>
                  </w:pPr>
                  <w:r>
                    <w:rPr>
                      <w:rFonts w:cs="Times New Roman"/>
                      <w:b/>
                      <w:sz w:val="21"/>
                      <w:szCs w:val="21"/>
                    </w:rPr>
                    <w:t>量t/a</w:t>
                  </w:r>
                </w:p>
              </w:tc>
              <w:tc>
                <w:tcPr>
                  <w:tcW w:w="584" w:type="pct"/>
                  <w:noWrap/>
                  <w:vAlign w:val="center"/>
                </w:tcPr>
                <w:p w14:paraId="00F0ABD2">
                  <w:pPr>
                    <w:pStyle w:val="49"/>
                    <w:spacing w:line="240" w:lineRule="auto"/>
                    <w:jc w:val="center"/>
                    <w:rPr>
                      <w:rFonts w:cs="Times New Roman"/>
                      <w:b/>
                      <w:sz w:val="21"/>
                      <w:szCs w:val="21"/>
                    </w:rPr>
                  </w:pPr>
                  <w:r>
                    <w:rPr>
                      <w:rFonts w:cs="Times New Roman"/>
                      <w:b/>
                      <w:sz w:val="21"/>
                      <w:szCs w:val="21"/>
                    </w:rPr>
                    <w:t>浓度mg/L</w:t>
                  </w:r>
                </w:p>
              </w:tc>
              <w:tc>
                <w:tcPr>
                  <w:tcW w:w="515" w:type="pct"/>
                  <w:vMerge w:val="continue"/>
                  <w:vAlign w:val="center"/>
                </w:tcPr>
                <w:p w14:paraId="096CE20B">
                  <w:pPr>
                    <w:pStyle w:val="49"/>
                    <w:spacing w:line="240" w:lineRule="auto"/>
                    <w:jc w:val="center"/>
                    <w:rPr>
                      <w:rFonts w:cs="Times New Roman"/>
                      <w:b/>
                      <w:sz w:val="21"/>
                      <w:szCs w:val="21"/>
                    </w:rPr>
                  </w:pPr>
                </w:p>
              </w:tc>
              <w:tc>
                <w:tcPr>
                  <w:tcW w:w="1011" w:type="pct"/>
                  <w:vMerge w:val="continue"/>
                  <w:noWrap/>
                  <w:vAlign w:val="center"/>
                </w:tcPr>
                <w:p w14:paraId="0598170A">
                  <w:pPr>
                    <w:pStyle w:val="49"/>
                    <w:spacing w:line="240" w:lineRule="auto"/>
                    <w:jc w:val="center"/>
                    <w:rPr>
                      <w:rFonts w:cs="Times New Roman"/>
                      <w:b/>
                      <w:sz w:val="21"/>
                      <w:szCs w:val="21"/>
                    </w:rPr>
                  </w:pPr>
                </w:p>
              </w:tc>
              <w:tc>
                <w:tcPr>
                  <w:tcW w:w="330" w:type="pct"/>
                  <w:noWrap/>
                  <w:vAlign w:val="center"/>
                </w:tcPr>
                <w:p w14:paraId="4FD565ED">
                  <w:pPr>
                    <w:pStyle w:val="49"/>
                    <w:spacing w:line="240" w:lineRule="auto"/>
                    <w:jc w:val="center"/>
                    <w:rPr>
                      <w:rFonts w:cs="Times New Roman"/>
                      <w:b/>
                      <w:sz w:val="21"/>
                      <w:szCs w:val="21"/>
                    </w:rPr>
                  </w:pPr>
                  <w:r>
                    <w:rPr>
                      <w:rFonts w:cs="Times New Roman"/>
                      <w:b/>
                      <w:sz w:val="21"/>
                      <w:szCs w:val="21"/>
                    </w:rPr>
                    <w:t>量t/a</w:t>
                  </w:r>
                </w:p>
              </w:tc>
              <w:tc>
                <w:tcPr>
                  <w:tcW w:w="585" w:type="pct"/>
                  <w:noWrap/>
                  <w:vAlign w:val="center"/>
                </w:tcPr>
                <w:p w14:paraId="1630CFEE">
                  <w:pPr>
                    <w:pStyle w:val="49"/>
                    <w:spacing w:line="240" w:lineRule="auto"/>
                    <w:jc w:val="center"/>
                    <w:rPr>
                      <w:rFonts w:cs="Times New Roman"/>
                      <w:b/>
                      <w:sz w:val="21"/>
                      <w:szCs w:val="21"/>
                    </w:rPr>
                  </w:pPr>
                  <w:r>
                    <w:rPr>
                      <w:rFonts w:cs="Times New Roman"/>
                      <w:b/>
                      <w:sz w:val="21"/>
                      <w:szCs w:val="21"/>
                    </w:rPr>
                    <w:t>浓度mg/L</w:t>
                  </w:r>
                </w:p>
              </w:tc>
            </w:tr>
            <w:tr w14:paraId="4D90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101" w:type="pct"/>
                  <w:vMerge w:val="restart"/>
                  <w:noWrap/>
                  <w:vAlign w:val="center"/>
                </w:tcPr>
                <w:p w14:paraId="02663A81">
                  <w:pPr>
                    <w:pStyle w:val="49"/>
                    <w:spacing w:line="240" w:lineRule="auto"/>
                    <w:jc w:val="center"/>
                    <w:rPr>
                      <w:rFonts w:cs="Times New Roman"/>
                      <w:sz w:val="21"/>
                      <w:szCs w:val="21"/>
                    </w:rPr>
                  </w:pPr>
                  <w:r>
                    <w:rPr>
                      <w:rFonts w:hint="eastAsia" w:cs="Times New Roman"/>
                      <w:sz w:val="21"/>
                      <w:szCs w:val="21"/>
                    </w:rPr>
                    <w:t>生活污水</w:t>
                  </w:r>
                  <w:r>
                    <w:rPr>
                      <w:rFonts w:hint="eastAsia" w:cs="Times New Roman"/>
                      <w:sz w:val="21"/>
                      <w:szCs w:val="21"/>
                      <w:lang w:val="en-US" w:eastAsia="zh-CN"/>
                    </w:rPr>
                    <w:t>270</w:t>
                  </w:r>
                  <w:r>
                    <w:rPr>
                      <w:rFonts w:cs="Times New Roman"/>
                      <w:sz w:val="21"/>
                      <w:szCs w:val="21"/>
                    </w:rPr>
                    <w:t>m³/a</w:t>
                  </w:r>
                </w:p>
              </w:tc>
              <w:tc>
                <w:tcPr>
                  <w:tcW w:w="515" w:type="pct"/>
                  <w:noWrap/>
                  <w:vAlign w:val="center"/>
                </w:tcPr>
                <w:p w14:paraId="7850C3EF">
                  <w:pPr>
                    <w:pStyle w:val="49"/>
                    <w:spacing w:line="240" w:lineRule="auto"/>
                    <w:jc w:val="center"/>
                    <w:rPr>
                      <w:rFonts w:cs="Times New Roman"/>
                      <w:sz w:val="21"/>
                      <w:szCs w:val="21"/>
                    </w:rPr>
                  </w:pPr>
                  <w:r>
                    <w:rPr>
                      <w:rFonts w:cs="Times New Roman"/>
                      <w:sz w:val="21"/>
                      <w:szCs w:val="21"/>
                    </w:rPr>
                    <w:t>COD</w:t>
                  </w:r>
                </w:p>
              </w:tc>
              <w:tc>
                <w:tcPr>
                  <w:tcW w:w="355" w:type="pct"/>
                  <w:vAlign w:val="center"/>
                </w:tcPr>
                <w:p w14:paraId="6275336C">
                  <w:pPr>
                    <w:keepNext w:val="0"/>
                    <w:keepLines w:val="0"/>
                    <w:widowControl/>
                    <w:suppressLineNumbers w:val="0"/>
                    <w:spacing w:line="240" w:lineRule="auto"/>
                    <w:jc w:val="center"/>
                    <w:textAlignment w:val="center"/>
                    <w:rPr>
                      <w:kern w:val="0"/>
                      <w:sz w:val="21"/>
                      <w:szCs w:val="21"/>
                      <w:lang w:bidi="ar"/>
                    </w:rPr>
                  </w:pPr>
                  <w:r>
                    <w:rPr>
                      <w:rFonts w:hint="default" w:ascii="Times New Roman" w:hAnsi="Times New Roman" w:eastAsia="宋体" w:cs="Times New Roman"/>
                      <w:i w:val="0"/>
                      <w:iCs w:val="0"/>
                      <w:kern w:val="0"/>
                      <w:sz w:val="21"/>
                      <w:szCs w:val="21"/>
                      <w:u w:val="none"/>
                      <w:lang w:val="en-US" w:eastAsia="zh-CN" w:bidi="ar"/>
                    </w:rPr>
                    <w:t>0.081</w:t>
                  </w:r>
                </w:p>
              </w:tc>
              <w:tc>
                <w:tcPr>
                  <w:tcW w:w="584" w:type="pct"/>
                  <w:vAlign w:val="center"/>
                </w:tcPr>
                <w:p w14:paraId="360E6B04">
                  <w:pPr>
                    <w:widowControl/>
                    <w:spacing w:line="240" w:lineRule="auto"/>
                    <w:jc w:val="center"/>
                    <w:textAlignment w:val="center"/>
                    <w:rPr>
                      <w:sz w:val="21"/>
                      <w:szCs w:val="21"/>
                    </w:rPr>
                  </w:pPr>
                  <w:r>
                    <w:rPr>
                      <w:kern w:val="0"/>
                      <w:sz w:val="21"/>
                      <w:szCs w:val="21"/>
                      <w:lang w:bidi="ar"/>
                    </w:rPr>
                    <w:t>300</w:t>
                  </w:r>
                </w:p>
              </w:tc>
              <w:tc>
                <w:tcPr>
                  <w:tcW w:w="515" w:type="pct"/>
                  <w:vMerge w:val="restart"/>
                  <w:noWrap/>
                  <w:vAlign w:val="center"/>
                </w:tcPr>
                <w:p w14:paraId="38ACD27E">
                  <w:pPr>
                    <w:pStyle w:val="49"/>
                    <w:spacing w:line="240" w:lineRule="auto"/>
                    <w:rPr>
                      <w:rFonts w:cs="Times New Roman"/>
                      <w:sz w:val="21"/>
                      <w:szCs w:val="21"/>
                    </w:rPr>
                  </w:pPr>
                  <w:r>
                    <w:rPr>
                      <w:rFonts w:hint="eastAsia" w:cs="Times New Roman"/>
                      <w:sz w:val="21"/>
                      <w:szCs w:val="21"/>
                    </w:rPr>
                    <w:t>间接排放</w:t>
                  </w:r>
                </w:p>
              </w:tc>
              <w:tc>
                <w:tcPr>
                  <w:tcW w:w="1011" w:type="pct"/>
                  <w:vMerge w:val="restart"/>
                  <w:noWrap/>
                  <w:vAlign w:val="center"/>
                </w:tcPr>
                <w:p w14:paraId="01F9D732">
                  <w:pPr>
                    <w:pStyle w:val="49"/>
                    <w:spacing w:line="240" w:lineRule="auto"/>
                    <w:jc w:val="center"/>
                    <w:rPr>
                      <w:rFonts w:cs="Times New Roman"/>
                      <w:sz w:val="21"/>
                      <w:szCs w:val="21"/>
                    </w:rPr>
                  </w:pPr>
                  <w:r>
                    <w:rPr>
                      <w:rFonts w:cs="Times New Roman"/>
                      <w:sz w:val="21"/>
                      <w:szCs w:val="21"/>
                    </w:rPr>
                    <w:t>隔油、化粪池</w:t>
                  </w:r>
                </w:p>
                <w:p w14:paraId="4D1FE9B7">
                  <w:pPr>
                    <w:pStyle w:val="49"/>
                    <w:spacing w:line="240" w:lineRule="auto"/>
                    <w:jc w:val="center"/>
                    <w:rPr>
                      <w:rFonts w:cs="Times New Roman"/>
                      <w:sz w:val="21"/>
                      <w:szCs w:val="21"/>
                    </w:rPr>
                  </w:pPr>
                  <w:r>
                    <w:rPr>
                      <w:rFonts w:hint="eastAsia" w:cs="Times New Roman"/>
                      <w:sz w:val="21"/>
                      <w:szCs w:val="21"/>
                    </w:rPr>
                    <w:t>（60%）</w:t>
                  </w:r>
                </w:p>
              </w:tc>
              <w:tc>
                <w:tcPr>
                  <w:tcW w:w="330" w:type="pct"/>
                  <w:noWrap/>
                  <w:vAlign w:val="center"/>
                </w:tcPr>
                <w:p w14:paraId="451DE06A">
                  <w:pPr>
                    <w:keepNext w:val="0"/>
                    <w:keepLines w:val="0"/>
                    <w:widowControl/>
                    <w:suppressLineNumbers w:val="0"/>
                    <w:spacing w:line="240" w:lineRule="auto"/>
                    <w:jc w:val="center"/>
                    <w:textAlignment w:val="center"/>
                    <w:rPr>
                      <w:kern w:val="0"/>
                      <w:sz w:val="21"/>
                      <w:szCs w:val="21"/>
                      <w:lang w:bidi="ar"/>
                    </w:rPr>
                  </w:pPr>
                  <w:r>
                    <w:rPr>
                      <w:rFonts w:hint="default" w:ascii="Times New Roman" w:hAnsi="Times New Roman" w:eastAsia="宋体" w:cs="Times New Roman"/>
                      <w:i w:val="0"/>
                      <w:iCs w:val="0"/>
                      <w:kern w:val="0"/>
                      <w:sz w:val="21"/>
                      <w:szCs w:val="21"/>
                      <w:u w:val="none"/>
                      <w:lang w:val="en-US" w:eastAsia="zh-CN" w:bidi="ar"/>
                    </w:rPr>
                    <w:t>0.032</w:t>
                  </w:r>
                </w:p>
              </w:tc>
              <w:tc>
                <w:tcPr>
                  <w:tcW w:w="585" w:type="pct"/>
                  <w:noWrap/>
                  <w:vAlign w:val="center"/>
                </w:tcPr>
                <w:p w14:paraId="152EB6F1">
                  <w:pPr>
                    <w:widowControl/>
                    <w:spacing w:line="240" w:lineRule="auto"/>
                    <w:jc w:val="center"/>
                    <w:textAlignment w:val="center"/>
                    <w:rPr>
                      <w:sz w:val="21"/>
                      <w:szCs w:val="21"/>
                    </w:rPr>
                  </w:pPr>
                  <w:r>
                    <w:rPr>
                      <w:kern w:val="0"/>
                      <w:sz w:val="21"/>
                      <w:szCs w:val="21"/>
                      <w:lang w:bidi="ar"/>
                    </w:rPr>
                    <w:t>120</w:t>
                  </w:r>
                </w:p>
              </w:tc>
            </w:tr>
            <w:tr w14:paraId="2B82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101" w:type="pct"/>
                  <w:vMerge w:val="continue"/>
                  <w:noWrap/>
                  <w:vAlign w:val="center"/>
                </w:tcPr>
                <w:p w14:paraId="2FA17646">
                  <w:pPr>
                    <w:pStyle w:val="49"/>
                    <w:spacing w:line="240" w:lineRule="auto"/>
                    <w:jc w:val="center"/>
                    <w:rPr>
                      <w:rFonts w:cs="Times New Roman"/>
                      <w:sz w:val="21"/>
                      <w:szCs w:val="21"/>
                    </w:rPr>
                  </w:pPr>
                </w:p>
              </w:tc>
              <w:tc>
                <w:tcPr>
                  <w:tcW w:w="515" w:type="pct"/>
                  <w:noWrap/>
                  <w:vAlign w:val="center"/>
                </w:tcPr>
                <w:p w14:paraId="455A68B7">
                  <w:pPr>
                    <w:pStyle w:val="49"/>
                    <w:spacing w:line="240" w:lineRule="auto"/>
                    <w:jc w:val="center"/>
                    <w:rPr>
                      <w:rFonts w:cs="Times New Roman"/>
                      <w:sz w:val="21"/>
                      <w:szCs w:val="21"/>
                    </w:rPr>
                  </w:pPr>
                  <w:r>
                    <w:rPr>
                      <w:rFonts w:cs="Times New Roman"/>
                      <w:sz w:val="21"/>
                      <w:szCs w:val="21"/>
                    </w:rPr>
                    <w:t>BOD</w:t>
                  </w:r>
                  <w:r>
                    <w:rPr>
                      <w:rFonts w:cs="Times New Roman"/>
                      <w:sz w:val="21"/>
                      <w:szCs w:val="21"/>
                      <w:vertAlign w:val="subscript"/>
                    </w:rPr>
                    <w:t>5</w:t>
                  </w:r>
                </w:p>
              </w:tc>
              <w:tc>
                <w:tcPr>
                  <w:tcW w:w="355" w:type="pct"/>
                  <w:noWrap/>
                  <w:vAlign w:val="center"/>
                </w:tcPr>
                <w:p w14:paraId="18133BE2">
                  <w:pPr>
                    <w:keepNext w:val="0"/>
                    <w:keepLines w:val="0"/>
                    <w:widowControl/>
                    <w:suppressLineNumbers w:val="0"/>
                    <w:spacing w:line="240" w:lineRule="auto"/>
                    <w:jc w:val="center"/>
                    <w:textAlignment w:val="center"/>
                    <w:rPr>
                      <w:kern w:val="0"/>
                      <w:sz w:val="21"/>
                      <w:szCs w:val="21"/>
                      <w:lang w:bidi="ar"/>
                    </w:rPr>
                  </w:pPr>
                  <w:r>
                    <w:rPr>
                      <w:rFonts w:hint="default" w:ascii="Times New Roman" w:hAnsi="Times New Roman" w:eastAsia="宋体" w:cs="Times New Roman"/>
                      <w:i w:val="0"/>
                      <w:iCs w:val="0"/>
                      <w:kern w:val="0"/>
                      <w:sz w:val="21"/>
                      <w:szCs w:val="21"/>
                      <w:u w:val="none"/>
                      <w:lang w:val="en-US" w:eastAsia="zh-CN" w:bidi="ar"/>
                    </w:rPr>
                    <w:t>0.06</w:t>
                  </w:r>
                  <w:r>
                    <w:rPr>
                      <w:rFonts w:hint="default" w:ascii="Times New Roman" w:hAnsi="Times New Roman" w:cs="Times New Roman"/>
                      <w:i w:val="0"/>
                      <w:iCs w:val="0"/>
                      <w:kern w:val="0"/>
                      <w:sz w:val="21"/>
                      <w:szCs w:val="21"/>
                      <w:u w:val="none"/>
                      <w:lang w:val="en-US" w:eastAsia="zh-CN" w:bidi="ar"/>
                    </w:rPr>
                    <w:t>8</w:t>
                  </w:r>
                </w:p>
              </w:tc>
              <w:tc>
                <w:tcPr>
                  <w:tcW w:w="584" w:type="pct"/>
                  <w:noWrap/>
                  <w:vAlign w:val="center"/>
                </w:tcPr>
                <w:p w14:paraId="4EB01398">
                  <w:pPr>
                    <w:widowControl/>
                    <w:spacing w:line="240" w:lineRule="auto"/>
                    <w:jc w:val="center"/>
                    <w:textAlignment w:val="center"/>
                    <w:rPr>
                      <w:sz w:val="21"/>
                      <w:szCs w:val="21"/>
                    </w:rPr>
                  </w:pPr>
                  <w:r>
                    <w:rPr>
                      <w:kern w:val="0"/>
                      <w:sz w:val="21"/>
                      <w:szCs w:val="21"/>
                      <w:lang w:bidi="ar"/>
                    </w:rPr>
                    <w:t>250</w:t>
                  </w:r>
                </w:p>
              </w:tc>
              <w:tc>
                <w:tcPr>
                  <w:tcW w:w="515" w:type="pct"/>
                  <w:vMerge w:val="continue"/>
                  <w:noWrap/>
                  <w:vAlign w:val="center"/>
                </w:tcPr>
                <w:p w14:paraId="48074F8F">
                  <w:pPr>
                    <w:pStyle w:val="49"/>
                    <w:spacing w:line="240" w:lineRule="auto"/>
                    <w:rPr>
                      <w:rFonts w:cs="Times New Roman"/>
                      <w:sz w:val="21"/>
                      <w:szCs w:val="21"/>
                    </w:rPr>
                  </w:pPr>
                </w:p>
              </w:tc>
              <w:tc>
                <w:tcPr>
                  <w:tcW w:w="1011" w:type="pct"/>
                  <w:vMerge w:val="continue"/>
                  <w:noWrap/>
                  <w:vAlign w:val="center"/>
                </w:tcPr>
                <w:p w14:paraId="23DAA3C1">
                  <w:pPr>
                    <w:pStyle w:val="49"/>
                    <w:spacing w:line="240" w:lineRule="auto"/>
                    <w:jc w:val="center"/>
                    <w:rPr>
                      <w:rFonts w:cs="Times New Roman"/>
                      <w:sz w:val="21"/>
                      <w:szCs w:val="21"/>
                    </w:rPr>
                  </w:pPr>
                </w:p>
              </w:tc>
              <w:tc>
                <w:tcPr>
                  <w:tcW w:w="330" w:type="pct"/>
                  <w:noWrap/>
                  <w:vAlign w:val="center"/>
                </w:tcPr>
                <w:p w14:paraId="0D84C2FA">
                  <w:pPr>
                    <w:keepNext w:val="0"/>
                    <w:keepLines w:val="0"/>
                    <w:widowControl/>
                    <w:suppressLineNumbers w:val="0"/>
                    <w:spacing w:line="240" w:lineRule="auto"/>
                    <w:jc w:val="center"/>
                    <w:textAlignment w:val="center"/>
                    <w:rPr>
                      <w:kern w:val="0"/>
                      <w:sz w:val="21"/>
                      <w:szCs w:val="21"/>
                      <w:lang w:bidi="ar"/>
                    </w:rPr>
                  </w:pPr>
                  <w:r>
                    <w:rPr>
                      <w:rFonts w:hint="default" w:ascii="Times New Roman" w:hAnsi="Times New Roman" w:eastAsia="宋体" w:cs="Times New Roman"/>
                      <w:i w:val="0"/>
                      <w:iCs w:val="0"/>
                      <w:kern w:val="0"/>
                      <w:sz w:val="21"/>
                      <w:szCs w:val="21"/>
                      <w:u w:val="none"/>
                      <w:lang w:val="en-US" w:eastAsia="zh-CN" w:bidi="ar"/>
                    </w:rPr>
                    <w:t>0.027</w:t>
                  </w:r>
                </w:p>
              </w:tc>
              <w:tc>
                <w:tcPr>
                  <w:tcW w:w="585" w:type="pct"/>
                  <w:noWrap/>
                  <w:vAlign w:val="center"/>
                </w:tcPr>
                <w:p w14:paraId="3DA35C94">
                  <w:pPr>
                    <w:widowControl/>
                    <w:spacing w:line="240" w:lineRule="auto"/>
                    <w:jc w:val="center"/>
                    <w:textAlignment w:val="center"/>
                    <w:rPr>
                      <w:sz w:val="21"/>
                      <w:szCs w:val="21"/>
                    </w:rPr>
                  </w:pPr>
                  <w:r>
                    <w:rPr>
                      <w:kern w:val="0"/>
                      <w:sz w:val="21"/>
                      <w:szCs w:val="21"/>
                      <w:lang w:bidi="ar"/>
                    </w:rPr>
                    <w:t>100</w:t>
                  </w:r>
                </w:p>
              </w:tc>
            </w:tr>
            <w:tr w14:paraId="0CA5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101" w:type="pct"/>
                  <w:vMerge w:val="continue"/>
                  <w:noWrap/>
                  <w:vAlign w:val="center"/>
                </w:tcPr>
                <w:p w14:paraId="0FBE54E3">
                  <w:pPr>
                    <w:pStyle w:val="49"/>
                    <w:spacing w:line="240" w:lineRule="auto"/>
                    <w:jc w:val="center"/>
                    <w:rPr>
                      <w:rFonts w:cs="Times New Roman"/>
                      <w:sz w:val="21"/>
                      <w:szCs w:val="21"/>
                    </w:rPr>
                  </w:pPr>
                </w:p>
              </w:tc>
              <w:tc>
                <w:tcPr>
                  <w:tcW w:w="515" w:type="pct"/>
                  <w:noWrap/>
                  <w:vAlign w:val="center"/>
                </w:tcPr>
                <w:p w14:paraId="6B97117F">
                  <w:pPr>
                    <w:pStyle w:val="49"/>
                    <w:spacing w:line="240" w:lineRule="auto"/>
                    <w:jc w:val="center"/>
                    <w:rPr>
                      <w:rFonts w:cs="Times New Roman"/>
                      <w:sz w:val="21"/>
                      <w:szCs w:val="21"/>
                    </w:rPr>
                  </w:pPr>
                  <w:r>
                    <w:rPr>
                      <w:rFonts w:cs="Times New Roman"/>
                      <w:sz w:val="21"/>
                      <w:szCs w:val="21"/>
                    </w:rPr>
                    <w:t>SS</w:t>
                  </w:r>
                </w:p>
              </w:tc>
              <w:tc>
                <w:tcPr>
                  <w:tcW w:w="355" w:type="pct"/>
                  <w:noWrap/>
                  <w:vAlign w:val="center"/>
                </w:tcPr>
                <w:p w14:paraId="2455E637">
                  <w:pPr>
                    <w:keepNext w:val="0"/>
                    <w:keepLines w:val="0"/>
                    <w:widowControl/>
                    <w:suppressLineNumbers w:val="0"/>
                    <w:spacing w:line="240" w:lineRule="auto"/>
                    <w:jc w:val="center"/>
                    <w:textAlignment w:val="center"/>
                    <w:rPr>
                      <w:kern w:val="0"/>
                      <w:sz w:val="21"/>
                      <w:szCs w:val="21"/>
                      <w:lang w:bidi="ar"/>
                    </w:rPr>
                  </w:pPr>
                  <w:r>
                    <w:rPr>
                      <w:rFonts w:hint="default" w:ascii="Times New Roman" w:hAnsi="Times New Roman" w:eastAsia="宋体" w:cs="Times New Roman"/>
                      <w:i w:val="0"/>
                      <w:iCs w:val="0"/>
                      <w:kern w:val="0"/>
                      <w:sz w:val="21"/>
                      <w:szCs w:val="21"/>
                      <w:u w:val="none"/>
                      <w:lang w:val="en-US" w:eastAsia="zh-CN" w:bidi="ar"/>
                    </w:rPr>
                    <w:t>0.054</w:t>
                  </w:r>
                </w:p>
              </w:tc>
              <w:tc>
                <w:tcPr>
                  <w:tcW w:w="584" w:type="pct"/>
                  <w:noWrap/>
                  <w:vAlign w:val="center"/>
                </w:tcPr>
                <w:p w14:paraId="4EC7B439">
                  <w:pPr>
                    <w:widowControl/>
                    <w:spacing w:line="240" w:lineRule="auto"/>
                    <w:jc w:val="center"/>
                    <w:textAlignment w:val="center"/>
                    <w:rPr>
                      <w:sz w:val="21"/>
                      <w:szCs w:val="21"/>
                    </w:rPr>
                  </w:pPr>
                  <w:r>
                    <w:rPr>
                      <w:kern w:val="0"/>
                      <w:sz w:val="21"/>
                      <w:szCs w:val="21"/>
                      <w:lang w:bidi="ar"/>
                    </w:rPr>
                    <w:t>200</w:t>
                  </w:r>
                </w:p>
              </w:tc>
              <w:tc>
                <w:tcPr>
                  <w:tcW w:w="515" w:type="pct"/>
                  <w:vMerge w:val="continue"/>
                  <w:noWrap/>
                  <w:vAlign w:val="center"/>
                </w:tcPr>
                <w:p w14:paraId="1D1B9B4A">
                  <w:pPr>
                    <w:pStyle w:val="49"/>
                    <w:spacing w:line="240" w:lineRule="auto"/>
                    <w:rPr>
                      <w:rFonts w:cs="Times New Roman"/>
                      <w:sz w:val="21"/>
                      <w:szCs w:val="21"/>
                    </w:rPr>
                  </w:pPr>
                </w:p>
              </w:tc>
              <w:tc>
                <w:tcPr>
                  <w:tcW w:w="1011" w:type="pct"/>
                  <w:vMerge w:val="continue"/>
                  <w:noWrap/>
                  <w:vAlign w:val="center"/>
                </w:tcPr>
                <w:p w14:paraId="0F314C1D">
                  <w:pPr>
                    <w:pStyle w:val="49"/>
                    <w:spacing w:line="240" w:lineRule="auto"/>
                    <w:jc w:val="center"/>
                    <w:rPr>
                      <w:rFonts w:cs="Times New Roman"/>
                      <w:sz w:val="21"/>
                      <w:szCs w:val="21"/>
                    </w:rPr>
                  </w:pPr>
                </w:p>
              </w:tc>
              <w:tc>
                <w:tcPr>
                  <w:tcW w:w="330" w:type="pct"/>
                  <w:noWrap/>
                  <w:vAlign w:val="center"/>
                </w:tcPr>
                <w:p w14:paraId="66E4713E">
                  <w:pPr>
                    <w:keepNext w:val="0"/>
                    <w:keepLines w:val="0"/>
                    <w:widowControl/>
                    <w:suppressLineNumbers w:val="0"/>
                    <w:spacing w:line="240" w:lineRule="auto"/>
                    <w:jc w:val="center"/>
                    <w:textAlignment w:val="center"/>
                    <w:rPr>
                      <w:kern w:val="0"/>
                      <w:sz w:val="21"/>
                      <w:szCs w:val="21"/>
                      <w:lang w:bidi="ar"/>
                    </w:rPr>
                  </w:pPr>
                  <w:r>
                    <w:rPr>
                      <w:rFonts w:hint="default" w:ascii="Times New Roman" w:hAnsi="Times New Roman" w:eastAsia="宋体" w:cs="Times New Roman"/>
                      <w:i w:val="0"/>
                      <w:iCs w:val="0"/>
                      <w:kern w:val="0"/>
                      <w:sz w:val="21"/>
                      <w:szCs w:val="21"/>
                      <w:u w:val="none"/>
                      <w:lang w:val="en-US" w:eastAsia="zh-CN" w:bidi="ar"/>
                    </w:rPr>
                    <w:t>0.02</w:t>
                  </w:r>
                  <w:r>
                    <w:rPr>
                      <w:rFonts w:hint="default" w:ascii="Times New Roman" w:hAnsi="Times New Roman" w:cs="Times New Roman"/>
                      <w:i w:val="0"/>
                      <w:iCs w:val="0"/>
                      <w:kern w:val="0"/>
                      <w:sz w:val="21"/>
                      <w:szCs w:val="21"/>
                      <w:u w:val="none"/>
                      <w:lang w:val="en-US" w:eastAsia="zh-CN" w:bidi="ar"/>
                    </w:rPr>
                    <w:t>2</w:t>
                  </w:r>
                </w:p>
              </w:tc>
              <w:tc>
                <w:tcPr>
                  <w:tcW w:w="585" w:type="pct"/>
                  <w:noWrap/>
                  <w:vAlign w:val="center"/>
                </w:tcPr>
                <w:p w14:paraId="71E61AF9">
                  <w:pPr>
                    <w:widowControl/>
                    <w:spacing w:line="240" w:lineRule="auto"/>
                    <w:jc w:val="center"/>
                    <w:textAlignment w:val="center"/>
                    <w:rPr>
                      <w:sz w:val="21"/>
                      <w:szCs w:val="21"/>
                    </w:rPr>
                  </w:pPr>
                  <w:r>
                    <w:rPr>
                      <w:kern w:val="0"/>
                      <w:sz w:val="21"/>
                      <w:szCs w:val="21"/>
                      <w:lang w:bidi="ar"/>
                    </w:rPr>
                    <w:t>80</w:t>
                  </w:r>
                </w:p>
              </w:tc>
            </w:tr>
            <w:tr w14:paraId="16A8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101" w:type="pct"/>
                  <w:vMerge w:val="continue"/>
                  <w:noWrap/>
                  <w:vAlign w:val="center"/>
                </w:tcPr>
                <w:p w14:paraId="048DAC41">
                  <w:pPr>
                    <w:pStyle w:val="49"/>
                    <w:spacing w:line="240" w:lineRule="auto"/>
                    <w:jc w:val="center"/>
                    <w:rPr>
                      <w:rFonts w:cs="Times New Roman"/>
                      <w:sz w:val="21"/>
                      <w:szCs w:val="21"/>
                    </w:rPr>
                  </w:pPr>
                </w:p>
              </w:tc>
              <w:tc>
                <w:tcPr>
                  <w:tcW w:w="515" w:type="pct"/>
                  <w:noWrap/>
                  <w:vAlign w:val="center"/>
                </w:tcPr>
                <w:p w14:paraId="36FE7EB5">
                  <w:pPr>
                    <w:pStyle w:val="49"/>
                    <w:spacing w:line="240" w:lineRule="auto"/>
                    <w:jc w:val="center"/>
                    <w:rPr>
                      <w:rFonts w:cs="Times New Roman"/>
                      <w:sz w:val="21"/>
                      <w:szCs w:val="21"/>
                    </w:rPr>
                  </w:pPr>
                  <w:r>
                    <w:rPr>
                      <w:rFonts w:cs="Times New Roman"/>
                      <w:sz w:val="21"/>
                      <w:szCs w:val="21"/>
                    </w:rPr>
                    <w:t>氨氮</w:t>
                  </w:r>
                </w:p>
              </w:tc>
              <w:tc>
                <w:tcPr>
                  <w:tcW w:w="355" w:type="pct"/>
                  <w:vAlign w:val="center"/>
                </w:tcPr>
                <w:p w14:paraId="7159AEE9">
                  <w:pPr>
                    <w:keepNext w:val="0"/>
                    <w:keepLines w:val="0"/>
                    <w:widowControl/>
                    <w:suppressLineNumbers w:val="0"/>
                    <w:spacing w:line="240" w:lineRule="auto"/>
                    <w:jc w:val="center"/>
                    <w:textAlignment w:val="center"/>
                    <w:rPr>
                      <w:kern w:val="0"/>
                      <w:sz w:val="21"/>
                      <w:szCs w:val="21"/>
                      <w:lang w:bidi="ar"/>
                    </w:rPr>
                  </w:pPr>
                  <w:r>
                    <w:rPr>
                      <w:rFonts w:hint="default" w:ascii="Times New Roman" w:hAnsi="Times New Roman" w:eastAsia="宋体" w:cs="Times New Roman"/>
                      <w:i w:val="0"/>
                      <w:iCs w:val="0"/>
                      <w:kern w:val="0"/>
                      <w:sz w:val="21"/>
                      <w:szCs w:val="21"/>
                      <w:u w:val="none"/>
                      <w:lang w:val="en-US" w:eastAsia="zh-CN" w:bidi="ar"/>
                    </w:rPr>
                    <w:t>0.00</w:t>
                  </w:r>
                  <w:r>
                    <w:rPr>
                      <w:rFonts w:hint="default" w:ascii="Times New Roman" w:hAnsi="Times New Roman" w:cs="Times New Roman"/>
                      <w:i w:val="0"/>
                      <w:iCs w:val="0"/>
                      <w:kern w:val="0"/>
                      <w:sz w:val="21"/>
                      <w:szCs w:val="21"/>
                      <w:u w:val="none"/>
                      <w:lang w:val="en-US" w:eastAsia="zh-CN" w:bidi="ar"/>
                    </w:rPr>
                    <w:t>6</w:t>
                  </w:r>
                </w:p>
              </w:tc>
              <w:tc>
                <w:tcPr>
                  <w:tcW w:w="584" w:type="pct"/>
                  <w:noWrap/>
                  <w:vAlign w:val="center"/>
                </w:tcPr>
                <w:p w14:paraId="2B70C31D">
                  <w:pPr>
                    <w:widowControl/>
                    <w:spacing w:line="240" w:lineRule="auto"/>
                    <w:jc w:val="center"/>
                    <w:textAlignment w:val="center"/>
                    <w:rPr>
                      <w:sz w:val="21"/>
                      <w:szCs w:val="21"/>
                    </w:rPr>
                  </w:pPr>
                  <w:r>
                    <w:rPr>
                      <w:rFonts w:hint="eastAsia"/>
                      <w:kern w:val="0"/>
                      <w:sz w:val="21"/>
                      <w:szCs w:val="21"/>
                      <w:lang w:bidi="ar"/>
                    </w:rPr>
                    <w:t>25</w:t>
                  </w:r>
                </w:p>
              </w:tc>
              <w:tc>
                <w:tcPr>
                  <w:tcW w:w="515" w:type="pct"/>
                  <w:vMerge w:val="continue"/>
                  <w:noWrap/>
                  <w:vAlign w:val="center"/>
                </w:tcPr>
                <w:p w14:paraId="7AB62D2E">
                  <w:pPr>
                    <w:pStyle w:val="49"/>
                    <w:spacing w:line="240" w:lineRule="auto"/>
                    <w:rPr>
                      <w:rFonts w:cs="Times New Roman"/>
                      <w:sz w:val="21"/>
                      <w:szCs w:val="21"/>
                    </w:rPr>
                  </w:pPr>
                </w:p>
              </w:tc>
              <w:tc>
                <w:tcPr>
                  <w:tcW w:w="1011" w:type="pct"/>
                  <w:vMerge w:val="continue"/>
                  <w:noWrap/>
                  <w:vAlign w:val="center"/>
                </w:tcPr>
                <w:p w14:paraId="0259AAE3">
                  <w:pPr>
                    <w:pStyle w:val="49"/>
                    <w:spacing w:line="240" w:lineRule="auto"/>
                    <w:jc w:val="center"/>
                    <w:rPr>
                      <w:rFonts w:cs="Times New Roman"/>
                      <w:sz w:val="21"/>
                      <w:szCs w:val="21"/>
                    </w:rPr>
                  </w:pPr>
                </w:p>
              </w:tc>
              <w:tc>
                <w:tcPr>
                  <w:tcW w:w="330" w:type="pct"/>
                  <w:noWrap/>
                  <w:vAlign w:val="center"/>
                </w:tcPr>
                <w:p w14:paraId="197EA15D">
                  <w:pPr>
                    <w:keepNext w:val="0"/>
                    <w:keepLines w:val="0"/>
                    <w:widowControl/>
                    <w:suppressLineNumbers w:val="0"/>
                    <w:spacing w:line="240" w:lineRule="auto"/>
                    <w:jc w:val="center"/>
                    <w:textAlignment w:val="center"/>
                    <w:rPr>
                      <w:kern w:val="0"/>
                      <w:sz w:val="21"/>
                      <w:szCs w:val="21"/>
                      <w:lang w:bidi="ar"/>
                    </w:rPr>
                  </w:pPr>
                  <w:r>
                    <w:rPr>
                      <w:rFonts w:hint="default" w:ascii="Times New Roman" w:hAnsi="Times New Roman" w:eastAsia="宋体" w:cs="Times New Roman"/>
                      <w:i w:val="0"/>
                      <w:iCs w:val="0"/>
                      <w:kern w:val="0"/>
                      <w:sz w:val="21"/>
                      <w:szCs w:val="21"/>
                      <w:u w:val="none"/>
                      <w:lang w:val="en-US" w:eastAsia="zh-CN" w:bidi="ar"/>
                    </w:rPr>
                    <w:t>0.00</w:t>
                  </w:r>
                  <w:r>
                    <w:rPr>
                      <w:rFonts w:hint="default" w:ascii="Times New Roman" w:hAnsi="Times New Roman" w:cs="Times New Roman"/>
                      <w:i w:val="0"/>
                      <w:iCs w:val="0"/>
                      <w:kern w:val="0"/>
                      <w:sz w:val="21"/>
                      <w:szCs w:val="21"/>
                      <w:u w:val="none"/>
                      <w:lang w:val="en-US" w:eastAsia="zh-CN" w:bidi="ar"/>
                    </w:rPr>
                    <w:t>7</w:t>
                  </w:r>
                </w:p>
              </w:tc>
              <w:tc>
                <w:tcPr>
                  <w:tcW w:w="585" w:type="pct"/>
                  <w:noWrap/>
                  <w:vAlign w:val="center"/>
                </w:tcPr>
                <w:p w14:paraId="3E1E1D86">
                  <w:pPr>
                    <w:widowControl/>
                    <w:spacing w:line="240" w:lineRule="auto"/>
                    <w:jc w:val="center"/>
                    <w:textAlignment w:val="center"/>
                    <w:rPr>
                      <w:sz w:val="21"/>
                      <w:szCs w:val="21"/>
                    </w:rPr>
                  </w:pPr>
                  <w:r>
                    <w:rPr>
                      <w:kern w:val="0"/>
                      <w:sz w:val="21"/>
                      <w:szCs w:val="21"/>
                      <w:lang w:bidi="ar"/>
                    </w:rPr>
                    <w:t>25</w:t>
                  </w:r>
                </w:p>
              </w:tc>
            </w:tr>
            <w:tr w14:paraId="4314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1101" w:type="pct"/>
                  <w:vMerge w:val="continue"/>
                  <w:noWrap/>
                  <w:vAlign w:val="center"/>
                </w:tcPr>
                <w:p w14:paraId="65DC5412">
                  <w:pPr>
                    <w:pStyle w:val="49"/>
                    <w:spacing w:line="240" w:lineRule="auto"/>
                    <w:jc w:val="center"/>
                    <w:rPr>
                      <w:rFonts w:cs="Times New Roman"/>
                      <w:sz w:val="21"/>
                      <w:szCs w:val="21"/>
                    </w:rPr>
                  </w:pPr>
                </w:p>
              </w:tc>
              <w:tc>
                <w:tcPr>
                  <w:tcW w:w="515" w:type="pct"/>
                  <w:noWrap/>
                  <w:vAlign w:val="center"/>
                </w:tcPr>
                <w:p w14:paraId="4DBEFE4A">
                  <w:pPr>
                    <w:pStyle w:val="49"/>
                    <w:spacing w:line="240" w:lineRule="auto"/>
                    <w:jc w:val="center"/>
                    <w:rPr>
                      <w:rFonts w:cs="Times New Roman"/>
                      <w:sz w:val="21"/>
                      <w:szCs w:val="21"/>
                    </w:rPr>
                  </w:pPr>
                  <w:r>
                    <w:rPr>
                      <w:rFonts w:cs="Times New Roman"/>
                      <w:sz w:val="21"/>
                      <w:szCs w:val="21"/>
                    </w:rPr>
                    <w:t>动植物油</w:t>
                  </w:r>
                </w:p>
              </w:tc>
              <w:tc>
                <w:tcPr>
                  <w:tcW w:w="355" w:type="pct"/>
                  <w:vAlign w:val="center"/>
                </w:tcPr>
                <w:p w14:paraId="3E85CA8A">
                  <w:pPr>
                    <w:keepNext w:val="0"/>
                    <w:keepLines w:val="0"/>
                    <w:widowControl/>
                    <w:suppressLineNumbers w:val="0"/>
                    <w:spacing w:line="240" w:lineRule="auto"/>
                    <w:jc w:val="center"/>
                    <w:textAlignment w:val="center"/>
                    <w:rPr>
                      <w:kern w:val="0"/>
                      <w:sz w:val="21"/>
                      <w:szCs w:val="21"/>
                      <w:lang w:bidi="ar"/>
                    </w:rPr>
                  </w:pPr>
                  <w:r>
                    <w:rPr>
                      <w:rFonts w:hint="default" w:ascii="Times New Roman" w:hAnsi="Times New Roman" w:eastAsia="宋体" w:cs="Times New Roman"/>
                      <w:i w:val="0"/>
                      <w:iCs w:val="0"/>
                      <w:kern w:val="0"/>
                      <w:sz w:val="21"/>
                      <w:szCs w:val="21"/>
                      <w:u w:val="none"/>
                      <w:lang w:val="en-US" w:eastAsia="zh-CN" w:bidi="ar"/>
                    </w:rPr>
                    <w:t>0.016</w:t>
                  </w:r>
                </w:p>
              </w:tc>
              <w:tc>
                <w:tcPr>
                  <w:tcW w:w="584" w:type="pct"/>
                  <w:noWrap/>
                  <w:vAlign w:val="center"/>
                </w:tcPr>
                <w:p w14:paraId="0F625C8A">
                  <w:pPr>
                    <w:widowControl/>
                    <w:spacing w:line="240" w:lineRule="auto"/>
                    <w:jc w:val="center"/>
                    <w:textAlignment w:val="center"/>
                    <w:rPr>
                      <w:sz w:val="21"/>
                      <w:szCs w:val="21"/>
                    </w:rPr>
                  </w:pPr>
                  <w:r>
                    <w:rPr>
                      <w:kern w:val="0"/>
                      <w:sz w:val="21"/>
                      <w:szCs w:val="21"/>
                      <w:lang w:bidi="ar"/>
                    </w:rPr>
                    <w:t>60</w:t>
                  </w:r>
                </w:p>
              </w:tc>
              <w:tc>
                <w:tcPr>
                  <w:tcW w:w="515" w:type="pct"/>
                  <w:vMerge w:val="continue"/>
                  <w:noWrap/>
                  <w:vAlign w:val="center"/>
                </w:tcPr>
                <w:p w14:paraId="27FD0C36">
                  <w:pPr>
                    <w:pStyle w:val="49"/>
                    <w:spacing w:line="240" w:lineRule="auto"/>
                    <w:rPr>
                      <w:rFonts w:cs="Times New Roman"/>
                      <w:sz w:val="21"/>
                      <w:szCs w:val="21"/>
                    </w:rPr>
                  </w:pPr>
                </w:p>
              </w:tc>
              <w:tc>
                <w:tcPr>
                  <w:tcW w:w="1011" w:type="pct"/>
                  <w:vMerge w:val="continue"/>
                  <w:noWrap/>
                  <w:vAlign w:val="center"/>
                </w:tcPr>
                <w:p w14:paraId="73F933C8">
                  <w:pPr>
                    <w:pStyle w:val="49"/>
                    <w:spacing w:line="240" w:lineRule="auto"/>
                    <w:jc w:val="center"/>
                    <w:rPr>
                      <w:rFonts w:cs="Times New Roman"/>
                      <w:sz w:val="21"/>
                      <w:szCs w:val="21"/>
                    </w:rPr>
                  </w:pPr>
                </w:p>
              </w:tc>
              <w:tc>
                <w:tcPr>
                  <w:tcW w:w="330" w:type="pct"/>
                  <w:noWrap/>
                  <w:vAlign w:val="center"/>
                </w:tcPr>
                <w:p w14:paraId="3572CDA0">
                  <w:pPr>
                    <w:keepNext w:val="0"/>
                    <w:keepLines w:val="0"/>
                    <w:widowControl/>
                    <w:suppressLineNumbers w:val="0"/>
                    <w:spacing w:line="240" w:lineRule="auto"/>
                    <w:jc w:val="center"/>
                    <w:textAlignment w:val="center"/>
                    <w:rPr>
                      <w:kern w:val="0"/>
                      <w:sz w:val="21"/>
                      <w:szCs w:val="21"/>
                      <w:lang w:bidi="ar"/>
                    </w:rPr>
                  </w:pPr>
                  <w:r>
                    <w:rPr>
                      <w:rFonts w:hint="default" w:ascii="Times New Roman" w:hAnsi="Times New Roman" w:eastAsia="宋体" w:cs="Times New Roman"/>
                      <w:i w:val="0"/>
                      <w:iCs w:val="0"/>
                      <w:kern w:val="0"/>
                      <w:sz w:val="21"/>
                      <w:szCs w:val="21"/>
                      <w:u w:val="none"/>
                      <w:lang w:val="en-US" w:eastAsia="zh-CN" w:bidi="ar"/>
                    </w:rPr>
                    <w:t>0.006</w:t>
                  </w:r>
                </w:p>
              </w:tc>
              <w:tc>
                <w:tcPr>
                  <w:tcW w:w="585" w:type="pct"/>
                  <w:noWrap/>
                  <w:vAlign w:val="center"/>
                </w:tcPr>
                <w:p w14:paraId="0C22EC8F">
                  <w:pPr>
                    <w:widowControl/>
                    <w:spacing w:line="240" w:lineRule="auto"/>
                    <w:jc w:val="center"/>
                    <w:textAlignment w:val="center"/>
                    <w:rPr>
                      <w:sz w:val="21"/>
                      <w:szCs w:val="21"/>
                    </w:rPr>
                  </w:pPr>
                  <w:r>
                    <w:rPr>
                      <w:kern w:val="0"/>
                      <w:sz w:val="21"/>
                      <w:szCs w:val="21"/>
                      <w:lang w:bidi="ar"/>
                    </w:rPr>
                    <w:t>24</w:t>
                  </w:r>
                </w:p>
              </w:tc>
            </w:tr>
          </w:tbl>
          <w:p w14:paraId="691193CC">
            <w:pPr>
              <w:pStyle w:val="40"/>
              <w:numPr>
                <w:ilvl w:val="3"/>
                <w:numId w:val="0"/>
              </w:numPr>
              <w:ind w:left="454"/>
            </w:pPr>
            <w:r>
              <w:rPr>
                <w:rFonts w:hint="eastAsia"/>
              </w:rPr>
              <w:t>3、项目水平衡图</w:t>
            </w:r>
          </w:p>
          <w:p w14:paraId="43325253">
            <w:pPr>
              <w:pStyle w:val="40"/>
              <w:numPr>
                <w:ilvl w:val="3"/>
                <w:numId w:val="0"/>
              </w:numPr>
              <w:ind w:left="454"/>
              <w:rPr>
                <w:b w:val="0"/>
                <w:bCs/>
              </w:rPr>
            </w:pPr>
            <w:r>
              <w:rPr>
                <w:b w:val="0"/>
                <w:bCs/>
              </w:rPr>
              <w:t>项目水平衡图见下图：</w:t>
            </w:r>
          </w:p>
          <w:p w14:paraId="0AB9329B">
            <w:pPr>
              <w:pStyle w:val="40"/>
              <w:numPr>
                <w:ilvl w:val="3"/>
                <w:numId w:val="0"/>
              </w:numPr>
              <w:ind w:left="0"/>
              <w:jc w:val="center"/>
              <w:rPr>
                <w:b w:val="0"/>
                <w:bCs/>
              </w:rPr>
            </w:pPr>
            <w:r>
              <w:drawing>
                <wp:inline distT="0" distB="0" distL="114300" distR="114300">
                  <wp:extent cx="4984115" cy="1863725"/>
                  <wp:effectExtent l="0" t="0" r="698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4984115" cy="1863725"/>
                          </a:xfrm>
                          <a:prstGeom prst="rect">
                            <a:avLst/>
                          </a:prstGeom>
                          <a:noFill/>
                          <a:ln>
                            <a:noFill/>
                          </a:ln>
                        </pic:spPr>
                      </pic:pic>
                    </a:graphicData>
                  </a:graphic>
                </wp:inline>
              </w:drawing>
            </w:r>
          </w:p>
          <w:p w14:paraId="6D9AD607">
            <w:pPr>
              <w:pStyle w:val="40"/>
              <w:numPr>
                <w:ilvl w:val="3"/>
                <w:numId w:val="0"/>
              </w:numPr>
              <w:ind w:left="0"/>
              <w:jc w:val="center"/>
              <w:rPr>
                <w:b w:val="0"/>
                <w:bCs/>
              </w:rPr>
            </w:pPr>
            <w:r>
              <w:rPr>
                <w:b/>
                <w:bCs/>
                <w:sz w:val="21"/>
                <w:u w:val="single"/>
              </w:rPr>
              <w:t xml:space="preserve">图4-1 </w:t>
            </w:r>
            <w:r>
              <w:rPr>
                <w:rFonts w:hint="eastAsia"/>
                <w:b/>
                <w:bCs/>
                <w:sz w:val="21"/>
                <w:u w:val="single"/>
                <w:lang w:eastAsia="zh-CN"/>
              </w:rPr>
              <w:t>本</w:t>
            </w:r>
            <w:r>
              <w:rPr>
                <w:rFonts w:hint="eastAsia"/>
                <w:b/>
                <w:bCs/>
                <w:sz w:val="21"/>
                <w:u w:val="single"/>
              </w:rPr>
              <w:t>项目</w:t>
            </w:r>
            <w:r>
              <w:rPr>
                <w:rFonts w:hint="eastAsia"/>
                <w:bCs/>
                <w:sz w:val="24"/>
                <w:szCs w:val="24"/>
                <w:highlight w:val="none"/>
                <w:u w:val="single"/>
                <w:lang w:eastAsia="zh-CN"/>
              </w:rPr>
              <w:t>改</w:t>
            </w:r>
            <w:r>
              <w:rPr>
                <w:rFonts w:hint="eastAsia"/>
                <w:b/>
                <w:bCs/>
                <w:sz w:val="21"/>
                <w:u w:val="single"/>
                <w:lang w:eastAsia="zh-CN"/>
              </w:rPr>
              <w:t>扩建前</w:t>
            </w:r>
            <w:r>
              <w:rPr>
                <w:b/>
                <w:bCs/>
                <w:sz w:val="21"/>
                <w:u w:val="single"/>
              </w:rPr>
              <w:t>水平衡图（m³/</w:t>
            </w:r>
            <w:r>
              <w:rPr>
                <w:rFonts w:hint="eastAsia"/>
                <w:b/>
                <w:bCs/>
                <w:sz w:val="21"/>
                <w:u w:val="single"/>
              </w:rPr>
              <w:t>a</w:t>
            </w:r>
            <w:r>
              <w:rPr>
                <w:b/>
                <w:bCs/>
                <w:sz w:val="21"/>
                <w:u w:val="single"/>
              </w:rPr>
              <w:t>）</w:t>
            </w:r>
          </w:p>
          <w:p w14:paraId="041E22CA">
            <w:pPr>
              <w:pStyle w:val="40"/>
              <w:numPr>
                <w:ilvl w:val="3"/>
                <w:numId w:val="0"/>
              </w:numPr>
              <w:jc w:val="center"/>
              <w:rPr>
                <w:color w:val="0000C7"/>
                <w:u w:val="single"/>
              </w:rPr>
            </w:pPr>
            <w:r>
              <w:drawing>
                <wp:inline distT="0" distB="0" distL="114300" distR="114300">
                  <wp:extent cx="4989195" cy="3357880"/>
                  <wp:effectExtent l="0" t="0" r="190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4989195" cy="3357880"/>
                          </a:xfrm>
                          <a:prstGeom prst="rect">
                            <a:avLst/>
                          </a:prstGeom>
                          <a:noFill/>
                          <a:ln>
                            <a:noFill/>
                          </a:ln>
                        </pic:spPr>
                      </pic:pic>
                    </a:graphicData>
                  </a:graphic>
                </wp:inline>
              </w:drawing>
            </w:r>
          </w:p>
          <w:p w14:paraId="63217C10">
            <w:pPr>
              <w:pStyle w:val="12"/>
              <w:spacing w:line="240" w:lineRule="auto"/>
              <w:ind w:firstLine="0" w:firstLineChars="0"/>
              <w:jc w:val="center"/>
            </w:pPr>
            <w:r>
              <w:rPr>
                <w:b/>
                <w:bCs/>
                <w:sz w:val="21"/>
                <w:highlight w:val="none"/>
                <w:u w:val="single"/>
              </w:rPr>
              <w:t>图4-</w:t>
            </w:r>
            <w:r>
              <w:rPr>
                <w:rFonts w:hint="eastAsia"/>
                <w:b/>
                <w:bCs/>
                <w:sz w:val="21"/>
                <w:highlight w:val="none"/>
                <w:u w:val="single"/>
                <w:lang w:val="en-US" w:eastAsia="zh-CN"/>
              </w:rPr>
              <w:t>2</w:t>
            </w:r>
            <w:r>
              <w:rPr>
                <w:b/>
                <w:bCs/>
                <w:sz w:val="21"/>
                <w:highlight w:val="none"/>
                <w:u w:val="single"/>
              </w:rPr>
              <w:t xml:space="preserve"> </w:t>
            </w:r>
            <w:r>
              <w:rPr>
                <w:rFonts w:hint="eastAsia"/>
                <w:b/>
                <w:bCs/>
                <w:sz w:val="21"/>
                <w:u w:val="single"/>
                <w:lang w:eastAsia="zh-CN"/>
              </w:rPr>
              <w:t>本</w:t>
            </w:r>
            <w:r>
              <w:rPr>
                <w:rFonts w:hint="eastAsia"/>
                <w:b/>
                <w:bCs/>
                <w:sz w:val="21"/>
                <w:u w:val="single"/>
              </w:rPr>
              <w:t>项目</w:t>
            </w:r>
            <w:r>
              <w:rPr>
                <w:rFonts w:hint="eastAsia"/>
                <w:b/>
                <w:bCs/>
                <w:sz w:val="21"/>
                <w:szCs w:val="20"/>
                <w:highlight w:val="none"/>
                <w:u w:val="single"/>
                <w:lang w:eastAsia="zh-CN"/>
              </w:rPr>
              <w:t>改</w:t>
            </w:r>
            <w:r>
              <w:rPr>
                <w:rFonts w:hint="eastAsia"/>
                <w:b/>
                <w:bCs/>
                <w:sz w:val="21"/>
                <w:u w:val="single"/>
                <w:lang w:eastAsia="zh-CN"/>
              </w:rPr>
              <w:t>扩建后</w:t>
            </w:r>
            <w:r>
              <w:rPr>
                <w:b/>
                <w:bCs/>
                <w:sz w:val="21"/>
                <w:u w:val="single"/>
              </w:rPr>
              <w:t>水平衡图（m³/</w:t>
            </w:r>
            <w:r>
              <w:rPr>
                <w:rFonts w:hint="eastAsia"/>
                <w:b/>
                <w:bCs/>
                <w:sz w:val="21"/>
                <w:u w:val="single"/>
              </w:rPr>
              <w:t>a</w:t>
            </w:r>
            <w:r>
              <w:rPr>
                <w:b/>
                <w:bCs/>
                <w:sz w:val="21"/>
                <w:u w:val="single"/>
              </w:rPr>
              <w:t>）</w:t>
            </w:r>
          </w:p>
          <w:p w14:paraId="38889418">
            <w:pPr>
              <w:pStyle w:val="40"/>
              <w:numPr>
                <w:ilvl w:val="3"/>
                <w:numId w:val="0"/>
              </w:numPr>
              <w:ind w:left="454"/>
            </w:pPr>
            <w:r>
              <w:rPr>
                <w:rFonts w:hint="eastAsia"/>
              </w:rPr>
              <w:t>4</w:t>
            </w:r>
            <w:r>
              <w:t>、废水处理可行性分析</w:t>
            </w:r>
            <w:bookmarkEnd w:id="92"/>
          </w:p>
          <w:p w14:paraId="71DD52C6">
            <w:pPr>
              <w:pStyle w:val="45"/>
              <w:rPr>
                <w:u w:val="single"/>
              </w:rPr>
            </w:pPr>
            <w:r>
              <w:rPr>
                <w:u w:val="single"/>
              </w:rPr>
              <w:t>1）沉淀池规格合理性分析</w:t>
            </w:r>
          </w:p>
          <w:p w14:paraId="7B0707F0">
            <w:pPr>
              <w:wordWrap w:val="0"/>
              <w:topLinePunct/>
              <w:adjustRightInd w:val="0"/>
              <w:snapToGrid w:val="0"/>
              <w:ind w:firstLine="440" w:firstLineChars="200"/>
              <w:rPr>
                <w:bCs/>
                <w:kern w:val="0"/>
                <w:u w:val="single"/>
              </w:rPr>
            </w:pPr>
            <w:r>
              <w:rPr>
                <w:rFonts w:hint="eastAsia"/>
                <w:bCs/>
                <w:spacing w:val="-10"/>
                <w:u w:val="single"/>
              </w:rPr>
              <w:t>项目厂区实行雨污分流，</w:t>
            </w:r>
            <w:r>
              <w:rPr>
                <w:rFonts w:hint="eastAsia"/>
                <w:bCs/>
                <w:spacing w:val="-10"/>
                <w:u w:val="single"/>
                <w:lang w:eastAsia="zh-CN"/>
              </w:rPr>
              <w:t>修建节排水沟，</w:t>
            </w:r>
            <w:r>
              <w:rPr>
                <w:bCs/>
                <w:spacing w:val="-10"/>
                <w:u w:val="single"/>
              </w:rPr>
              <w:t>本</w:t>
            </w:r>
            <w:r>
              <w:rPr>
                <w:bCs/>
                <w:kern w:val="0"/>
                <w:u w:val="single"/>
              </w:rPr>
              <w:t>项目建设完成后生活污水量为</w:t>
            </w:r>
            <w:r>
              <w:rPr>
                <w:rFonts w:hint="eastAsia"/>
                <w:u w:val="single"/>
                <w:lang w:val="en-US" w:eastAsia="zh-CN"/>
              </w:rPr>
              <w:t>0.9</w:t>
            </w:r>
            <w:r>
              <w:rPr>
                <w:kern w:val="0"/>
                <w:u w:val="single"/>
              </w:rPr>
              <w:t>m</w:t>
            </w:r>
            <w:r>
              <w:rPr>
                <w:kern w:val="0"/>
                <w:u w:val="single"/>
                <w:vertAlign w:val="superscript"/>
              </w:rPr>
              <w:t>3</w:t>
            </w:r>
            <w:r>
              <w:rPr>
                <w:kern w:val="0"/>
                <w:u w:val="single"/>
              </w:rPr>
              <w:t>/d(</w:t>
            </w:r>
            <w:r>
              <w:rPr>
                <w:rFonts w:hint="eastAsia"/>
                <w:kern w:val="0"/>
                <w:u w:val="single"/>
                <w:lang w:val="en-US" w:eastAsia="zh-CN"/>
              </w:rPr>
              <w:t>270</w:t>
            </w:r>
            <w:r>
              <w:rPr>
                <w:kern w:val="0"/>
                <w:u w:val="single"/>
              </w:rPr>
              <w:t>m</w:t>
            </w:r>
            <w:r>
              <w:rPr>
                <w:kern w:val="0"/>
                <w:u w:val="single"/>
                <w:vertAlign w:val="superscript"/>
              </w:rPr>
              <w:t>3</w:t>
            </w:r>
            <w:r>
              <w:rPr>
                <w:kern w:val="0"/>
                <w:u w:val="single"/>
              </w:rPr>
              <w:t>/a)</w:t>
            </w:r>
            <w:r>
              <w:rPr>
                <w:bCs/>
                <w:kern w:val="0"/>
                <w:u w:val="single"/>
              </w:rPr>
              <w:t>，</w:t>
            </w:r>
            <w:r>
              <w:rPr>
                <w:rFonts w:hint="eastAsia"/>
                <w:bCs/>
                <w:kern w:val="0"/>
                <w:u w:val="single"/>
              </w:rPr>
              <w:t>初期雨水产生量为</w:t>
            </w:r>
            <w:r>
              <w:rPr>
                <w:rFonts w:hint="eastAsia"/>
                <w:u w:val="single"/>
              </w:rPr>
              <w:t>1.085</w:t>
            </w:r>
            <w:r>
              <w:rPr>
                <w:u w:val="single"/>
              </w:rPr>
              <w:t>m</w:t>
            </w:r>
            <w:r>
              <w:rPr>
                <w:u w:val="single"/>
                <w:vertAlign w:val="superscript"/>
              </w:rPr>
              <w:t>3</w:t>
            </w:r>
            <w:r>
              <w:rPr>
                <w:u w:val="single"/>
              </w:rPr>
              <w:t>/d</w:t>
            </w:r>
            <w:r>
              <w:rPr>
                <w:rFonts w:hint="eastAsia"/>
                <w:u w:val="single"/>
              </w:rPr>
              <w:t>（395.852</w:t>
            </w:r>
            <w:r>
              <w:rPr>
                <w:u w:val="single"/>
              </w:rPr>
              <w:t>m</w:t>
            </w:r>
            <w:r>
              <w:rPr>
                <w:u w:val="single"/>
                <w:vertAlign w:val="superscript"/>
              </w:rPr>
              <w:t>3</w:t>
            </w:r>
            <w:r>
              <w:rPr>
                <w:u w:val="single"/>
              </w:rPr>
              <w:t>/a</w:t>
            </w:r>
            <w:r>
              <w:rPr>
                <w:rFonts w:hint="eastAsia"/>
                <w:u w:val="single"/>
              </w:rPr>
              <w:t>）</w:t>
            </w:r>
            <w:r>
              <w:rPr>
                <w:rFonts w:hint="eastAsia"/>
                <w:bCs/>
                <w:kern w:val="0"/>
                <w:u w:val="single"/>
              </w:rPr>
              <w:t>，</w:t>
            </w:r>
            <w:r>
              <w:rPr>
                <w:bCs/>
                <w:kern w:val="0"/>
                <w:u w:val="single"/>
              </w:rPr>
              <w:t>生产废水量为</w:t>
            </w:r>
            <w:r>
              <w:rPr>
                <w:rFonts w:hint="eastAsia"/>
                <w:u w:val="single"/>
              </w:rPr>
              <w:t>17.1</w:t>
            </w:r>
            <w:r>
              <w:rPr>
                <w:u w:val="single"/>
              </w:rPr>
              <w:t>m³/d（</w:t>
            </w:r>
            <w:r>
              <w:rPr>
                <w:rFonts w:hint="eastAsia"/>
                <w:u w:val="single"/>
              </w:rPr>
              <w:t>5116.9</w:t>
            </w:r>
            <w:r>
              <w:rPr>
                <w:u w:val="single"/>
              </w:rPr>
              <w:t>m³/a）</w:t>
            </w:r>
            <w:r>
              <w:rPr>
                <w:rFonts w:hint="eastAsia"/>
                <w:bCs/>
                <w:kern w:val="0"/>
                <w:u w:val="single"/>
              </w:rPr>
              <w:t>。</w:t>
            </w:r>
          </w:p>
          <w:p w14:paraId="456CAD22">
            <w:pPr>
              <w:pStyle w:val="45"/>
              <w:rPr>
                <w:szCs w:val="20"/>
                <w:u w:val="single"/>
              </w:rPr>
            </w:pPr>
            <w:r>
              <w:rPr>
                <w:rFonts w:hint="eastAsia"/>
                <w:szCs w:val="20"/>
                <w:u w:val="single"/>
              </w:rPr>
              <w:t>厂区拟设置</w:t>
            </w:r>
            <w:r>
              <w:rPr>
                <w:szCs w:val="20"/>
                <w:u w:val="single"/>
              </w:rPr>
              <w:t>1个</w:t>
            </w:r>
            <w:r>
              <w:rPr>
                <w:rFonts w:hint="eastAsia"/>
                <w:szCs w:val="20"/>
                <w:u w:val="single"/>
                <w:lang w:eastAsia="zh-CN"/>
              </w:rPr>
              <w:t>三级</w:t>
            </w:r>
            <w:r>
              <w:rPr>
                <w:szCs w:val="20"/>
                <w:u w:val="single"/>
              </w:rPr>
              <w:t>沉淀池</w:t>
            </w:r>
            <w:r>
              <w:rPr>
                <w:rFonts w:hint="eastAsia"/>
                <w:szCs w:val="20"/>
                <w:u w:val="single"/>
              </w:rPr>
              <w:t>收集生产废水、1个隔油化粪池及1个初期雨水池</w:t>
            </w:r>
            <w:r>
              <w:rPr>
                <w:szCs w:val="20"/>
                <w:u w:val="single"/>
              </w:rPr>
              <w:t>，</w:t>
            </w:r>
            <w:r>
              <w:rPr>
                <w:rFonts w:hint="eastAsia"/>
                <w:u w:val="single"/>
              </w:rPr>
              <w:t>隔油</w:t>
            </w:r>
            <w:r>
              <w:rPr>
                <w:rFonts w:hint="eastAsia"/>
                <w:szCs w:val="20"/>
                <w:u w:val="single"/>
              </w:rPr>
              <w:t>化粪</w:t>
            </w:r>
            <w:r>
              <w:rPr>
                <w:u w:val="single"/>
              </w:rPr>
              <w:t>池</w:t>
            </w:r>
            <w:r>
              <w:rPr>
                <w:rFonts w:hint="eastAsia"/>
                <w:bCs/>
                <w:u w:val="single"/>
              </w:rPr>
              <w:t>设在综合办公楼，</w:t>
            </w:r>
            <w:r>
              <w:rPr>
                <w:rFonts w:hint="eastAsia"/>
                <w:u w:val="single"/>
              </w:rPr>
              <w:t>隔油</w:t>
            </w:r>
            <w:r>
              <w:rPr>
                <w:rFonts w:hint="eastAsia"/>
                <w:szCs w:val="20"/>
                <w:u w:val="single"/>
              </w:rPr>
              <w:t>化粪</w:t>
            </w:r>
            <w:r>
              <w:rPr>
                <w:u w:val="single"/>
              </w:rPr>
              <w:t>池容积为</w:t>
            </w:r>
            <w:r>
              <w:rPr>
                <w:rFonts w:hint="eastAsia"/>
                <w:u w:val="single"/>
                <w:lang w:val="en-US" w:eastAsia="zh-CN"/>
              </w:rPr>
              <w:t>10</w:t>
            </w:r>
            <w:r>
              <w:rPr>
                <w:szCs w:val="32"/>
                <w:u w:val="single"/>
              </w:rPr>
              <w:t>m</w:t>
            </w:r>
            <w:r>
              <w:rPr>
                <w:szCs w:val="32"/>
                <w:u w:val="single"/>
                <w:vertAlign w:val="superscript"/>
              </w:rPr>
              <w:t>3</w:t>
            </w:r>
            <w:r>
              <w:rPr>
                <w:szCs w:val="32"/>
                <w:u w:val="single"/>
              </w:rPr>
              <w:t>，</w:t>
            </w:r>
            <w:r>
              <w:rPr>
                <w:rFonts w:hint="eastAsia"/>
                <w:szCs w:val="32"/>
                <w:u w:val="single"/>
              </w:rPr>
              <w:t>可容纳</w:t>
            </w:r>
            <w:r>
              <w:rPr>
                <w:rFonts w:hint="eastAsia"/>
                <w:szCs w:val="32"/>
                <w:u w:val="single"/>
                <w:lang w:eastAsia="zh-CN"/>
              </w:rPr>
              <w:t>约</w:t>
            </w:r>
            <w:r>
              <w:rPr>
                <w:rFonts w:hint="eastAsia"/>
                <w:szCs w:val="32"/>
                <w:u w:val="single"/>
                <w:lang w:val="en-US" w:eastAsia="zh-CN"/>
              </w:rPr>
              <w:t>11天的</w:t>
            </w:r>
            <w:r>
              <w:rPr>
                <w:rFonts w:hint="eastAsia"/>
                <w:szCs w:val="32"/>
                <w:u w:val="single"/>
              </w:rPr>
              <w:t>生活污水，</w:t>
            </w:r>
            <w:r>
              <w:rPr>
                <w:szCs w:val="32"/>
                <w:u w:val="single"/>
              </w:rPr>
              <w:t>故</w:t>
            </w:r>
            <w:r>
              <w:rPr>
                <w:rFonts w:hint="eastAsia"/>
                <w:szCs w:val="32"/>
                <w:u w:val="single"/>
              </w:rPr>
              <w:t>生产</w:t>
            </w:r>
            <w:r>
              <w:rPr>
                <w:szCs w:val="32"/>
                <w:u w:val="single"/>
              </w:rPr>
              <w:t>废水经</w:t>
            </w:r>
            <w:r>
              <w:rPr>
                <w:rFonts w:hint="eastAsia"/>
                <w:szCs w:val="32"/>
                <w:u w:val="single"/>
              </w:rPr>
              <w:t>隔油</w:t>
            </w:r>
            <w:r>
              <w:rPr>
                <w:szCs w:val="32"/>
                <w:u w:val="single"/>
              </w:rPr>
              <w:t>沉</w:t>
            </w:r>
            <w:r>
              <w:rPr>
                <w:rFonts w:hint="eastAsia"/>
                <w:szCs w:val="20"/>
                <w:u w:val="single"/>
              </w:rPr>
              <w:t>化粪</w:t>
            </w:r>
            <w:r>
              <w:rPr>
                <w:szCs w:val="32"/>
                <w:u w:val="single"/>
              </w:rPr>
              <w:t>处理可行</w:t>
            </w:r>
            <w:r>
              <w:rPr>
                <w:bCs/>
                <w:u w:val="single"/>
              </w:rPr>
              <w:t>；</w:t>
            </w:r>
            <w:r>
              <w:rPr>
                <w:rFonts w:hint="eastAsia"/>
                <w:bCs/>
                <w:u w:val="single"/>
              </w:rPr>
              <w:t>初期雨水池</w:t>
            </w:r>
            <w:r>
              <w:rPr>
                <w:u w:val="single"/>
              </w:rPr>
              <w:t>容积</w:t>
            </w:r>
            <w:r>
              <w:rPr>
                <w:rFonts w:hint="eastAsia"/>
                <w:u w:val="single"/>
                <w:lang w:eastAsia="zh-CN"/>
              </w:rPr>
              <w:t>不小于</w:t>
            </w:r>
            <w:r>
              <w:rPr>
                <w:rFonts w:hint="eastAsia"/>
                <w:u w:val="single"/>
              </w:rPr>
              <w:t>33</w:t>
            </w:r>
            <w:r>
              <w:rPr>
                <w:szCs w:val="32"/>
                <w:u w:val="single"/>
              </w:rPr>
              <w:t>m</w:t>
            </w:r>
            <w:r>
              <w:rPr>
                <w:szCs w:val="32"/>
                <w:u w:val="single"/>
                <w:vertAlign w:val="superscript"/>
              </w:rPr>
              <w:t>3</w:t>
            </w:r>
            <w:r>
              <w:rPr>
                <w:szCs w:val="32"/>
                <w:u w:val="single"/>
              </w:rPr>
              <w:t>，</w:t>
            </w:r>
            <w:r>
              <w:rPr>
                <w:rFonts w:hint="eastAsia"/>
                <w:szCs w:val="32"/>
                <w:u w:val="single"/>
              </w:rPr>
              <w:t>可容纳初期雨水</w:t>
            </w:r>
            <w:r>
              <w:rPr>
                <w:rFonts w:hint="eastAsia"/>
                <w:bCs/>
                <w:u w:val="single"/>
              </w:rPr>
              <w:t>；</w:t>
            </w:r>
            <w:r>
              <w:rPr>
                <w:rFonts w:hint="eastAsia"/>
                <w:szCs w:val="20"/>
                <w:u w:val="single"/>
                <w:lang w:eastAsia="zh-CN"/>
              </w:rPr>
              <w:t>三级</w:t>
            </w:r>
            <w:r>
              <w:rPr>
                <w:szCs w:val="20"/>
                <w:u w:val="single"/>
              </w:rPr>
              <w:t>沉淀池容积为</w:t>
            </w:r>
            <w:r>
              <w:rPr>
                <w:rFonts w:hint="eastAsia"/>
                <w:szCs w:val="20"/>
                <w:u w:val="single"/>
                <w:lang w:val="en-US" w:eastAsia="zh-CN"/>
              </w:rPr>
              <w:t>20</w:t>
            </w:r>
            <w:r>
              <w:rPr>
                <w:rFonts w:hint="eastAsia"/>
                <w:szCs w:val="20"/>
                <w:u w:val="single"/>
              </w:rPr>
              <w:t>m</w:t>
            </w:r>
            <w:r>
              <w:rPr>
                <w:rFonts w:hint="eastAsia"/>
                <w:szCs w:val="20"/>
                <w:u w:val="single"/>
                <w:vertAlign w:val="superscript"/>
              </w:rPr>
              <w:t>3</w:t>
            </w:r>
            <w:r>
              <w:rPr>
                <w:szCs w:val="20"/>
                <w:u w:val="single"/>
              </w:rPr>
              <w:t>。</w:t>
            </w:r>
          </w:p>
          <w:p w14:paraId="082D0CE4">
            <w:pPr>
              <w:pStyle w:val="45"/>
              <w:rPr>
                <w:szCs w:val="20"/>
                <w:u w:val="single"/>
              </w:rPr>
            </w:pPr>
            <w:r>
              <w:rPr>
                <w:szCs w:val="20"/>
                <w:u w:val="single"/>
              </w:rPr>
              <w:t>本</w:t>
            </w:r>
            <w:r>
              <w:rPr>
                <w:rFonts w:hint="eastAsia"/>
                <w:szCs w:val="20"/>
                <w:u w:val="single"/>
              </w:rPr>
              <w:t>项目生产过程</w:t>
            </w:r>
            <w:r>
              <w:rPr>
                <w:u w:val="single"/>
              </w:rPr>
              <w:t>切割磨光及雕刻</w:t>
            </w:r>
            <w:r>
              <w:rPr>
                <w:rFonts w:hint="eastAsia"/>
                <w:u w:val="single"/>
              </w:rPr>
              <w:t>过程</w:t>
            </w:r>
            <w:r>
              <w:rPr>
                <w:szCs w:val="20"/>
                <w:u w:val="single"/>
              </w:rPr>
              <w:t>进沉淀池处理的废水量为</w:t>
            </w:r>
            <w:r>
              <w:rPr>
                <w:rFonts w:hint="eastAsia"/>
                <w:szCs w:val="16"/>
                <w:u w:val="single"/>
              </w:rPr>
              <w:t>17.1</w:t>
            </w:r>
            <w:r>
              <w:rPr>
                <w:rFonts w:hint="eastAsia"/>
                <w:szCs w:val="20"/>
                <w:u w:val="single"/>
              </w:rPr>
              <w:t>m</w:t>
            </w:r>
            <w:r>
              <w:rPr>
                <w:rFonts w:hint="eastAsia"/>
                <w:szCs w:val="20"/>
                <w:u w:val="single"/>
                <w:vertAlign w:val="superscript"/>
              </w:rPr>
              <w:t>3</w:t>
            </w:r>
            <w:r>
              <w:rPr>
                <w:szCs w:val="20"/>
                <w:u w:val="single"/>
              </w:rPr>
              <w:t>/d，</w:t>
            </w:r>
            <w:r>
              <w:rPr>
                <w:rFonts w:hint="eastAsia"/>
                <w:szCs w:val="20"/>
                <w:u w:val="single"/>
              </w:rPr>
              <w:t>压滤机及沉淀池按照每天4h工作时间计算，</w:t>
            </w:r>
            <w:r>
              <w:rPr>
                <w:szCs w:val="20"/>
                <w:u w:val="single"/>
              </w:rPr>
              <w:t>即</w:t>
            </w:r>
            <w:r>
              <w:rPr>
                <w:rFonts w:hint="eastAsia"/>
                <w:szCs w:val="20"/>
                <w:u w:val="single"/>
              </w:rPr>
              <w:t>4.35m</w:t>
            </w:r>
            <w:r>
              <w:rPr>
                <w:rFonts w:hint="eastAsia"/>
                <w:szCs w:val="20"/>
                <w:u w:val="single"/>
                <w:vertAlign w:val="superscript"/>
              </w:rPr>
              <w:t>3</w:t>
            </w:r>
            <w:r>
              <w:rPr>
                <w:szCs w:val="20"/>
                <w:u w:val="single"/>
              </w:rPr>
              <w:t>/h；废水中悬浮物主要为易沉降的泥沙。因此，</w:t>
            </w:r>
            <w:r>
              <w:rPr>
                <w:rFonts w:hint="eastAsia"/>
                <w:szCs w:val="20"/>
                <w:u w:val="single"/>
              </w:rPr>
              <w:t>项目</w:t>
            </w:r>
            <w:r>
              <w:rPr>
                <w:szCs w:val="20"/>
                <w:u w:val="single"/>
              </w:rPr>
              <w:t>加工区的废水在沉淀池中停留时间为1.</w:t>
            </w:r>
            <w:r>
              <w:rPr>
                <w:rFonts w:hint="eastAsia"/>
                <w:szCs w:val="20"/>
                <w:u w:val="single"/>
              </w:rPr>
              <w:t>5</w:t>
            </w:r>
            <w:r>
              <w:rPr>
                <w:szCs w:val="20"/>
                <w:u w:val="single"/>
              </w:rPr>
              <w:t>h，废水有足够的沉淀停留时间，能够去除废水中绝大多数悬浮物。</w:t>
            </w:r>
          </w:p>
          <w:p w14:paraId="6E56CF87">
            <w:pPr>
              <w:pStyle w:val="45"/>
              <w:rPr>
                <w:rFonts w:hint="default"/>
                <w:u w:val="single"/>
                <w:lang w:val="en-US"/>
              </w:rPr>
            </w:pPr>
            <w:r>
              <w:rPr>
                <w:rFonts w:hint="default"/>
                <w:u w:val="single"/>
                <w:lang w:val="en-US" w:eastAsia="zh-CN"/>
              </w:rPr>
              <w:t>2</w:t>
            </w:r>
            <w:r>
              <w:rPr>
                <w:u w:val="single"/>
              </w:rPr>
              <w:t>）项目</w:t>
            </w:r>
            <w:r>
              <w:rPr>
                <w:rFonts w:hint="default"/>
                <w:u w:val="single"/>
                <w:lang w:eastAsia="zh-CN"/>
              </w:rPr>
              <w:t>生活污水雨季不外排的</w:t>
            </w:r>
            <w:r>
              <w:rPr>
                <w:u w:val="single"/>
              </w:rPr>
              <w:t>可行性分析</w:t>
            </w:r>
          </w:p>
          <w:p w14:paraId="66F49538">
            <w:pPr>
              <w:pStyle w:val="45"/>
              <w:rPr>
                <w:rFonts w:hint="default"/>
                <w:lang w:val="en-US"/>
              </w:rPr>
            </w:pPr>
            <w:r>
              <w:rPr>
                <w:rFonts w:hint="eastAsia"/>
                <w:bCs/>
                <w:spacing w:val="-10"/>
                <w:u w:val="single"/>
              </w:rPr>
              <w:t>项目厂区实行雨污分流，</w:t>
            </w:r>
            <w:r>
              <w:rPr>
                <w:bCs/>
                <w:spacing w:val="-10"/>
                <w:u w:val="single"/>
              </w:rPr>
              <w:t>本</w:t>
            </w:r>
            <w:r>
              <w:rPr>
                <w:bCs/>
                <w:kern w:val="0"/>
                <w:u w:val="single"/>
              </w:rPr>
              <w:t>项目建设完成后生活污水量为</w:t>
            </w:r>
            <w:r>
              <w:rPr>
                <w:rFonts w:hint="eastAsia"/>
                <w:u w:val="single"/>
                <w:lang w:val="en-US" w:eastAsia="zh-CN"/>
              </w:rPr>
              <w:t>0.9</w:t>
            </w:r>
            <w:r>
              <w:rPr>
                <w:kern w:val="0"/>
                <w:u w:val="single"/>
              </w:rPr>
              <w:t>m</w:t>
            </w:r>
            <w:r>
              <w:rPr>
                <w:kern w:val="0"/>
                <w:u w:val="single"/>
                <w:vertAlign w:val="superscript"/>
              </w:rPr>
              <w:t>3</w:t>
            </w:r>
            <w:r>
              <w:rPr>
                <w:kern w:val="0"/>
                <w:u w:val="single"/>
              </w:rPr>
              <w:t>/d(</w:t>
            </w:r>
            <w:r>
              <w:rPr>
                <w:rFonts w:hint="eastAsia"/>
                <w:kern w:val="0"/>
                <w:u w:val="single"/>
                <w:lang w:val="en-US" w:eastAsia="zh-CN"/>
              </w:rPr>
              <w:t>270</w:t>
            </w:r>
            <w:r>
              <w:rPr>
                <w:kern w:val="0"/>
                <w:u w:val="single"/>
              </w:rPr>
              <w:t>m</w:t>
            </w:r>
            <w:r>
              <w:rPr>
                <w:kern w:val="0"/>
                <w:u w:val="single"/>
                <w:vertAlign w:val="superscript"/>
              </w:rPr>
              <w:t>3</w:t>
            </w:r>
            <w:r>
              <w:rPr>
                <w:kern w:val="0"/>
                <w:u w:val="single"/>
              </w:rPr>
              <w:t>/a)</w:t>
            </w:r>
            <w:r>
              <w:rPr>
                <w:bCs/>
                <w:kern w:val="0"/>
                <w:u w:val="single"/>
              </w:rPr>
              <w:t>，</w:t>
            </w:r>
            <w:r>
              <w:rPr>
                <w:rFonts w:hint="eastAsia"/>
                <w:bCs/>
                <w:kern w:val="0"/>
                <w:u w:val="single"/>
                <w:lang w:eastAsia="zh-CN"/>
              </w:rPr>
              <w:t>雨季生活污水储存于隔油化粪池中不</w:t>
            </w:r>
            <w:r>
              <w:rPr>
                <w:u w:val="single"/>
              </w:rPr>
              <w:t>用于周边林地、</w:t>
            </w:r>
            <w:r>
              <w:rPr>
                <w:rFonts w:hint="eastAsia"/>
                <w:u w:val="single"/>
              </w:rPr>
              <w:t>菜地</w:t>
            </w:r>
            <w:r>
              <w:rPr>
                <w:u w:val="single"/>
              </w:rPr>
              <w:t>浇灌</w:t>
            </w:r>
            <w:r>
              <w:rPr>
                <w:rFonts w:hint="eastAsia"/>
                <w:u w:val="single"/>
                <w:lang w:eastAsia="zh-CN"/>
              </w:rPr>
              <w:t>。</w:t>
            </w:r>
            <w:r>
              <w:rPr>
                <w:rFonts w:hint="eastAsia"/>
                <w:u w:val="single"/>
              </w:rPr>
              <w:t>隔油</w:t>
            </w:r>
            <w:r>
              <w:rPr>
                <w:rFonts w:hint="eastAsia"/>
                <w:szCs w:val="20"/>
                <w:u w:val="single"/>
              </w:rPr>
              <w:t>化粪</w:t>
            </w:r>
            <w:r>
              <w:rPr>
                <w:u w:val="single"/>
              </w:rPr>
              <w:t>池</w:t>
            </w:r>
            <w:r>
              <w:rPr>
                <w:rFonts w:hint="eastAsia"/>
                <w:u w:val="single"/>
                <w:lang w:eastAsia="zh-CN"/>
              </w:rPr>
              <w:t>拟</w:t>
            </w:r>
            <w:r>
              <w:rPr>
                <w:rFonts w:hint="eastAsia"/>
                <w:bCs/>
                <w:u w:val="single"/>
              </w:rPr>
              <w:t>设在综合办公楼，</w:t>
            </w:r>
            <w:r>
              <w:rPr>
                <w:rFonts w:hint="eastAsia"/>
                <w:u w:val="single"/>
              </w:rPr>
              <w:t>隔油</w:t>
            </w:r>
            <w:r>
              <w:rPr>
                <w:rFonts w:hint="eastAsia"/>
                <w:szCs w:val="20"/>
                <w:u w:val="single"/>
              </w:rPr>
              <w:t>化粪</w:t>
            </w:r>
            <w:r>
              <w:rPr>
                <w:u w:val="single"/>
              </w:rPr>
              <w:t>池容积为</w:t>
            </w:r>
            <w:r>
              <w:rPr>
                <w:rFonts w:hint="eastAsia"/>
                <w:u w:val="single"/>
                <w:lang w:val="en-US" w:eastAsia="zh-CN"/>
              </w:rPr>
              <w:t>10</w:t>
            </w:r>
            <w:r>
              <w:rPr>
                <w:szCs w:val="32"/>
                <w:u w:val="single"/>
              </w:rPr>
              <w:t>m</w:t>
            </w:r>
            <w:r>
              <w:rPr>
                <w:szCs w:val="32"/>
                <w:u w:val="single"/>
                <w:vertAlign w:val="superscript"/>
              </w:rPr>
              <w:t>3</w:t>
            </w:r>
            <w:r>
              <w:rPr>
                <w:szCs w:val="32"/>
                <w:u w:val="single"/>
              </w:rPr>
              <w:t>，</w:t>
            </w:r>
            <w:r>
              <w:rPr>
                <w:rFonts w:hint="eastAsia"/>
                <w:szCs w:val="32"/>
                <w:u w:val="single"/>
                <w:lang w:eastAsia="zh-CN"/>
              </w:rPr>
              <w:t>在雨季</w:t>
            </w:r>
            <w:r>
              <w:rPr>
                <w:rFonts w:hint="eastAsia"/>
                <w:szCs w:val="32"/>
                <w:u w:val="single"/>
              </w:rPr>
              <w:t>可容纳生活污水，</w:t>
            </w:r>
            <w:r>
              <w:rPr>
                <w:rFonts w:hint="eastAsia"/>
                <w:szCs w:val="32"/>
                <w:u w:val="single"/>
                <w:lang w:eastAsia="zh-CN"/>
              </w:rPr>
              <w:t>且可保证生活污水雨季时约</w:t>
            </w:r>
            <w:r>
              <w:rPr>
                <w:rFonts w:hint="eastAsia"/>
                <w:szCs w:val="32"/>
                <w:u w:val="single"/>
                <w:lang w:val="en-US" w:eastAsia="zh-CN"/>
              </w:rPr>
              <w:t>11天</w:t>
            </w:r>
            <w:r>
              <w:rPr>
                <w:rFonts w:hint="eastAsia"/>
                <w:szCs w:val="32"/>
                <w:u w:val="single"/>
                <w:lang w:eastAsia="zh-CN"/>
              </w:rPr>
              <w:t>不外排。</w:t>
            </w:r>
          </w:p>
          <w:p w14:paraId="366F5B66">
            <w:pPr>
              <w:pStyle w:val="45"/>
              <w:rPr>
                <w:u w:val="single"/>
              </w:rPr>
            </w:pPr>
            <w:r>
              <w:rPr>
                <w:rFonts w:hint="eastAsia"/>
                <w:u w:val="single"/>
                <w:lang w:val="en-US" w:eastAsia="zh-CN"/>
              </w:rPr>
              <w:t>3</w:t>
            </w:r>
            <w:r>
              <w:rPr>
                <w:u w:val="single"/>
              </w:rPr>
              <w:t>）项目废水回用可行性分析</w:t>
            </w:r>
          </w:p>
          <w:p w14:paraId="6C24D9B2">
            <w:pPr>
              <w:ind w:firstLine="480" w:firstLineChars="200"/>
              <w:rPr>
                <w:rFonts w:cs="宋体"/>
                <w:color w:val="0000C7"/>
                <w:u w:val="single"/>
                <w:lang w:bidi="ar"/>
              </w:rPr>
            </w:pPr>
            <w:r>
              <w:rPr>
                <w:szCs w:val="20"/>
                <w:u w:val="single"/>
              </w:rPr>
              <w:t>根据水平衡分析可知，项目生产过程完全能够消耗掉经沉淀处理后的回用水量。回用水池设置有回用水泵，输送至切割</w:t>
            </w:r>
            <w:r>
              <w:rPr>
                <w:u w:val="single"/>
              </w:rPr>
              <w:t>磨光及雕刻</w:t>
            </w:r>
            <w:r>
              <w:rPr>
                <w:szCs w:val="20"/>
                <w:u w:val="single"/>
              </w:rPr>
              <w:t>等生产工序回用，回用水只需要满足抑制粉尘产生即可，对水质的要求不高。经沉淀处理后的回用水以及污泥脱水压滤水中泥沙含量均较低，能够满足生产工艺过程对水质的要求。因此，项目经沉淀处理后的废水回用于生产过程是可行的。</w:t>
            </w:r>
          </w:p>
          <w:p w14:paraId="0ABB4A03">
            <w:pPr>
              <w:ind w:firstLine="480" w:firstLineChars="200"/>
            </w:pPr>
            <w:r>
              <w:rPr>
                <w:rFonts w:hint="eastAsia" w:cs="宋体"/>
                <w:u w:val="single"/>
                <w:lang w:bidi="ar"/>
              </w:rPr>
              <w:t>另外，</w:t>
            </w:r>
            <w:r>
              <w:rPr>
                <w:rFonts w:hint="eastAsia" w:cs="宋体"/>
                <w:kern w:val="0"/>
                <w:u w:val="single"/>
                <w:lang w:bidi="ar"/>
              </w:rPr>
              <w:t>本评价要求建设单位对沉淀池底泥浆清理</w:t>
            </w:r>
            <w:r>
              <w:rPr>
                <w:rFonts w:hint="eastAsia" w:cs="宋体"/>
                <w:kern w:val="0"/>
                <w:u w:val="single"/>
                <w:lang w:eastAsia="zh-CN" w:bidi="ar"/>
              </w:rPr>
              <w:t>日产日清</w:t>
            </w:r>
            <w:r>
              <w:rPr>
                <w:rFonts w:hint="eastAsia" w:cs="宋体"/>
                <w:kern w:val="0"/>
                <w:u w:val="single"/>
                <w:lang w:bidi="ar"/>
              </w:rPr>
              <w:t>，以免影响沉淀池容积。为防止废水下渗引起地下水的污染问题，或者废水溢出沉淀池，要求项目建设单位对沉淀池采取防渗漏、防溢出处理。本项目生产废水不外排，不会对区域地表水产生影响。</w:t>
            </w:r>
          </w:p>
          <w:p w14:paraId="1FCF9A09">
            <w:pPr>
              <w:pStyle w:val="40"/>
              <w:numPr>
                <w:ilvl w:val="3"/>
                <w:numId w:val="0"/>
              </w:numPr>
              <w:ind w:left="454"/>
            </w:pPr>
            <w:bookmarkStart w:id="93" w:name="_Toc68160394"/>
            <w:bookmarkStart w:id="94" w:name="_Toc29456"/>
            <w:r>
              <w:rPr>
                <w:rFonts w:hint="eastAsia"/>
                <w:lang w:val="en-US" w:eastAsia="zh-CN"/>
              </w:rPr>
              <w:t>5</w:t>
            </w:r>
            <w:r>
              <w:t>、监测要求</w:t>
            </w:r>
            <w:bookmarkEnd w:id="93"/>
            <w:bookmarkEnd w:id="94"/>
          </w:p>
          <w:p w14:paraId="00B735E8">
            <w:pPr>
              <w:pStyle w:val="31"/>
              <w:numPr>
                <w:ilvl w:val="0"/>
                <w:numId w:val="0"/>
              </w:numPr>
              <w:ind w:firstLine="480" w:firstLineChars="200"/>
              <w:jc w:val="both"/>
              <w:rPr>
                <w:rFonts w:cs="宋体"/>
                <w:b w:val="0"/>
                <w:kern w:val="0"/>
                <w:lang w:bidi="ar"/>
              </w:rPr>
            </w:pPr>
            <w:bookmarkStart w:id="95" w:name="_Toc22132"/>
            <w:bookmarkStart w:id="96" w:name="_Toc68160395"/>
            <w:r>
              <w:rPr>
                <w:rFonts w:hint="eastAsia" w:cs="宋体"/>
                <w:b w:val="0"/>
                <w:kern w:val="0"/>
                <w:u w:val="single"/>
                <w:lang w:bidi="ar"/>
              </w:rPr>
              <w:t>根据《排污单位自行监测技术指南-总则》（HJ 819-2017）中监测要求，项目属于非重点排污单位，运营期无废水外排，不需要进行监测。</w:t>
            </w:r>
          </w:p>
          <w:p w14:paraId="11EC2902">
            <w:pPr>
              <w:pStyle w:val="34"/>
              <w:numPr>
                <w:ilvl w:val="2"/>
                <w:numId w:val="0"/>
              </w:numPr>
              <w:ind w:firstLine="482" w:firstLineChars="200"/>
            </w:pPr>
            <w:r>
              <w:t>4.2.3、噪声</w:t>
            </w:r>
            <w:bookmarkEnd w:id="95"/>
            <w:bookmarkEnd w:id="96"/>
          </w:p>
          <w:p w14:paraId="67904204">
            <w:pPr>
              <w:pStyle w:val="40"/>
              <w:numPr>
                <w:ilvl w:val="3"/>
                <w:numId w:val="0"/>
              </w:numPr>
              <w:ind w:left="454"/>
            </w:pPr>
            <w:bookmarkStart w:id="97" w:name="_Toc3919"/>
            <w:bookmarkStart w:id="98" w:name="_Toc68160396"/>
            <w:r>
              <w:t>1、噪声源强分析</w:t>
            </w:r>
            <w:bookmarkEnd w:id="97"/>
            <w:bookmarkEnd w:id="98"/>
          </w:p>
          <w:p w14:paraId="42B8DFC8">
            <w:pPr>
              <w:autoSpaceDE w:val="0"/>
              <w:autoSpaceDN w:val="0"/>
              <w:adjustRightInd w:val="0"/>
              <w:snapToGrid w:val="0"/>
              <w:ind w:firstLine="480" w:firstLineChars="200"/>
            </w:pPr>
            <w:r>
              <w:t>项目噪声主要来源于</w:t>
            </w:r>
            <w:r>
              <w:rPr>
                <w:rFonts w:hint="eastAsia"/>
              </w:rPr>
              <w:t>大切机</w:t>
            </w:r>
            <w:r>
              <w:t>、</w:t>
            </w:r>
            <w:r>
              <w:rPr>
                <w:rFonts w:hint="eastAsia"/>
              </w:rPr>
              <w:t>浮雕机</w:t>
            </w:r>
            <w:r>
              <w:t>、输送</w:t>
            </w:r>
            <w:r>
              <w:rPr>
                <w:rFonts w:hint="eastAsia"/>
              </w:rPr>
              <w:t>机</w:t>
            </w:r>
            <w:r>
              <w:t>、水泵、板框压滤机等高噪设备运行产生的噪声，</w:t>
            </w:r>
            <w:r>
              <w:rPr>
                <w:rFonts w:hint="eastAsia"/>
              </w:rPr>
              <w:t>经同类项目类比，</w:t>
            </w:r>
            <w:r>
              <w:t>其声压值在70~90</w:t>
            </w:r>
            <w:r>
              <w:rPr>
                <w:szCs w:val="22"/>
              </w:rPr>
              <w:t xml:space="preserve"> </w:t>
            </w:r>
            <w:r>
              <w:t>dB（A）之间</w:t>
            </w:r>
            <w:r>
              <w:rPr>
                <w:rFonts w:hint="eastAsia"/>
              </w:rPr>
              <w:t>，</w:t>
            </w:r>
            <w:r>
              <w:t>本项目噪声源分布、源强见下表。</w:t>
            </w:r>
          </w:p>
          <w:p w14:paraId="054CFDDB">
            <w:pPr>
              <w:spacing w:line="240" w:lineRule="auto"/>
              <w:jc w:val="center"/>
              <w:rPr>
                <w:b/>
                <w:bCs/>
                <w:szCs w:val="21"/>
              </w:rPr>
            </w:pPr>
            <w:r>
              <w:rPr>
                <w:b/>
                <w:bCs/>
                <w:sz w:val="21"/>
                <w:szCs w:val="21"/>
              </w:rPr>
              <w:t>表4-</w:t>
            </w:r>
            <w:r>
              <w:rPr>
                <w:rFonts w:hint="eastAsia"/>
                <w:b/>
                <w:bCs/>
                <w:sz w:val="21"/>
                <w:szCs w:val="21"/>
                <w:lang w:val="en-US" w:eastAsia="zh-CN"/>
              </w:rPr>
              <w:t>9</w:t>
            </w:r>
            <w:r>
              <w:rPr>
                <w:b/>
                <w:bCs/>
                <w:sz w:val="21"/>
                <w:szCs w:val="21"/>
              </w:rPr>
              <w:t xml:space="preserve">  本项目主要噪声源源强   单位：dB（A）</w:t>
            </w:r>
          </w:p>
          <w:tbl>
            <w:tblPr>
              <w:tblStyle w:val="24"/>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2822"/>
              <w:gridCol w:w="2098"/>
              <w:gridCol w:w="825"/>
              <w:gridCol w:w="1768"/>
            </w:tblGrid>
            <w:tr w14:paraId="7B95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2" w:type="pct"/>
                  <w:vAlign w:val="center"/>
                </w:tcPr>
                <w:p w14:paraId="390427A5">
                  <w:pPr>
                    <w:spacing w:line="240" w:lineRule="auto"/>
                    <w:jc w:val="center"/>
                    <w:rPr>
                      <w:b/>
                      <w:bCs/>
                      <w:sz w:val="21"/>
                      <w:szCs w:val="21"/>
                    </w:rPr>
                  </w:pPr>
                  <w:r>
                    <w:rPr>
                      <w:b/>
                      <w:bCs/>
                      <w:sz w:val="21"/>
                      <w:szCs w:val="21"/>
                    </w:rPr>
                    <w:t>序号</w:t>
                  </w:r>
                </w:p>
              </w:tc>
              <w:tc>
                <w:tcPr>
                  <w:tcW w:w="1659" w:type="pct"/>
                  <w:vAlign w:val="center"/>
                </w:tcPr>
                <w:p w14:paraId="0F95691D">
                  <w:pPr>
                    <w:spacing w:line="240" w:lineRule="auto"/>
                    <w:jc w:val="center"/>
                    <w:rPr>
                      <w:b/>
                      <w:bCs/>
                      <w:sz w:val="21"/>
                      <w:szCs w:val="21"/>
                    </w:rPr>
                  </w:pPr>
                  <w:r>
                    <w:rPr>
                      <w:b/>
                      <w:bCs/>
                      <w:sz w:val="21"/>
                      <w:szCs w:val="21"/>
                    </w:rPr>
                    <w:t>设备名称</w:t>
                  </w:r>
                </w:p>
              </w:tc>
              <w:tc>
                <w:tcPr>
                  <w:tcW w:w="1233" w:type="pct"/>
                  <w:vAlign w:val="center"/>
                </w:tcPr>
                <w:p w14:paraId="2FF8304C">
                  <w:pPr>
                    <w:spacing w:line="240" w:lineRule="auto"/>
                    <w:jc w:val="center"/>
                    <w:rPr>
                      <w:b/>
                      <w:bCs/>
                      <w:sz w:val="21"/>
                      <w:szCs w:val="21"/>
                    </w:rPr>
                  </w:pPr>
                  <w:r>
                    <w:rPr>
                      <w:b/>
                      <w:bCs/>
                      <w:sz w:val="21"/>
                      <w:szCs w:val="21"/>
                    </w:rPr>
                    <w:t>单机源强dB（A）</w:t>
                  </w:r>
                </w:p>
              </w:tc>
              <w:tc>
                <w:tcPr>
                  <w:tcW w:w="485" w:type="pct"/>
                  <w:vAlign w:val="center"/>
                </w:tcPr>
                <w:p w14:paraId="41F3CC56">
                  <w:pPr>
                    <w:adjustRightInd w:val="0"/>
                    <w:snapToGrid w:val="0"/>
                    <w:spacing w:line="240" w:lineRule="auto"/>
                    <w:jc w:val="center"/>
                    <w:rPr>
                      <w:b/>
                      <w:bCs/>
                      <w:sz w:val="21"/>
                      <w:szCs w:val="21"/>
                    </w:rPr>
                  </w:pPr>
                  <w:r>
                    <w:rPr>
                      <w:b/>
                      <w:bCs/>
                      <w:sz w:val="21"/>
                      <w:szCs w:val="21"/>
                    </w:rPr>
                    <w:t>数量</w:t>
                  </w:r>
                </w:p>
              </w:tc>
              <w:tc>
                <w:tcPr>
                  <w:tcW w:w="1039" w:type="pct"/>
                  <w:vAlign w:val="center"/>
                </w:tcPr>
                <w:p w14:paraId="7552D31C">
                  <w:pPr>
                    <w:adjustRightInd w:val="0"/>
                    <w:snapToGrid w:val="0"/>
                    <w:spacing w:line="240" w:lineRule="auto"/>
                    <w:jc w:val="center"/>
                    <w:rPr>
                      <w:b/>
                      <w:bCs/>
                      <w:sz w:val="21"/>
                      <w:szCs w:val="21"/>
                    </w:rPr>
                  </w:pPr>
                  <w:r>
                    <w:rPr>
                      <w:b/>
                      <w:bCs/>
                      <w:sz w:val="21"/>
                      <w:szCs w:val="21"/>
                    </w:rPr>
                    <w:t>备注</w:t>
                  </w:r>
                </w:p>
              </w:tc>
            </w:tr>
            <w:tr w14:paraId="73E6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2" w:type="pct"/>
                  <w:vAlign w:val="center"/>
                </w:tcPr>
                <w:p w14:paraId="03075374">
                  <w:pPr>
                    <w:spacing w:line="240" w:lineRule="auto"/>
                    <w:jc w:val="center"/>
                    <w:rPr>
                      <w:sz w:val="21"/>
                      <w:szCs w:val="21"/>
                    </w:rPr>
                  </w:pPr>
                  <w:r>
                    <w:rPr>
                      <w:sz w:val="21"/>
                      <w:szCs w:val="21"/>
                    </w:rPr>
                    <w:t>1</w:t>
                  </w:r>
                </w:p>
              </w:tc>
              <w:tc>
                <w:tcPr>
                  <w:tcW w:w="1659" w:type="pct"/>
                  <w:vAlign w:val="center"/>
                </w:tcPr>
                <w:p w14:paraId="06616D7A">
                  <w:pPr>
                    <w:adjustRightInd w:val="0"/>
                    <w:snapToGrid w:val="0"/>
                    <w:spacing w:line="240" w:lineRule="auto"/>
                    <w:jc w:val="center"/>
                    <w:rPr>
                      <w:sz w:val="21"/>
                      <w:szCs w:val="21"/>
                    </w:rPr>
                  </w:pPr>
                  <w:r>
                    <w:rPr>
                      <w:rFonts w:hint="eastAsia"/>
                      <w:sz w:val="21"/>
                      <w:szCs w:val="21"/>
                    </w:rPr>
                    <w:t>大切</w:t>
                  </w:r>
                  <w:r>
                    <w:rPr>
                      <w:sz w:val="21"/>
                      <w:szCs w:val="21"/>
                    </w:rPr>
                    <w:t>机</w:t>
                  </w:r>
                </w:p>
              </w:tc>
              <w:tc>
                <w:tcPr>
                  <w:tcW w:w="1233" w:type="pct"/>
                  <w:vAlign w:val="center"/>
                </w:tcPr>
                <w:p w14:paraId="489F08BE">
                  <w:pPr>
                    <w:pStyle w:val="20"/>
                    <w:tabs>
                      <w:tab w:val="right" w:leader="dot" w:pos="8949"/>
                    </w:tabs>
                    <w:spacing w:after="0" w:line="240" w:lineRule="auto"/>
                    <w:ind w:left="0"/>
                    <w:jc w:val="center"/>
                    <w:rPr>
                      <w:rFonts w:ascii="Times New Roman" w:hAnsi="Times New Roman"/>
                      <w:sz w:val="21"/>
                      <w:szCs w:val="21"/>
                    </w:rPr>
                  </w:pPr>
                  <w:r>
                    <w:rPr>
                      <w:rFonts w:ascii="Times New Roman" w:hAnsi="Times New Roman"/>
                      <w:sz w:val="21"/>
                      <w:szCs w:val="21"/>
                    </w:rPr>
                    <w:t>75</w:t>
                  </w:r>
                </w:p>
              </w:tc>
              <w:tc>
                <w:tcPr>
                  <w:tcW w:w="485" w:type="pct"/>
                  <w:vAlign w:val="center"/>
                </w:tcPr>
                <w:p w14:paraId="3ED6A4BE">
                  <w:pPr>
                    <w:spacing w:line="240" w:lineRule="auto"/>
                    <w:jc w:val="center"/>
                    <w:rPr>
                      <w:sz w:val="21"/>
                      <w:szCs w:val="21"/>
                      <w:highlight w:val="yellow"/>
                    </w:rPr>
                  </w:pPr>
                  <w:r>
                    <w:rPr>
                      <w:rFonts w:hint="eastAsia"/>
                      <w:sz w:val="21"/>
                      <w:szCs w:val="21"/>
                    </w:rPr>
                    <w:t>6</w:t>
                  </w:r>
                </w:p>
              </w:tc>
              <w:tc>
                <w:tcPr>
                  <w:tcW w:w="1039" w:type="pct"/>
                  <w:vMerge w:val="restart"/>
                </w:tcPr>
                <w:p w14:paraId="408C5675">
                  <w:pPr>
                    <w:pStyle w:val="2"/>
                    <w:spacing w:line="240" w:lineRule="auto"/>
                    <w:rPr>
                      <w:rFonts w:hint="default"/>
                      <w:sz w:val="21"/>
                      <w:szCs w:val="21"/>
                    </w:rPr>
                  </w:pPr>
                </w:p>
                <w:p w14:paraId="4A299A6B">
                  <w:pPr>
                    <w:rPr>
                      <w:sz w:val="21"/>
                      <w:szCs w:val="21"/>
                    </w:rPr>
                  </w:pPr>
                </w:p>
                <w:p w14:paraId="1EB546FE">
                  <w:pPr>
                    <w:pStyle w:val="2"/>
                    <w:rPr>
                      <w:rFonts w:hint="default"/>
                      <w:sz w:val="21"/>
                      <w:szCs w:val="21"/>
                    </w:rPr>
                  </w:pPr>
                </w:p>
                <w:p w14:paraId="31C31E89"/>
                <w:p w14:paraId="086D998D">
                  <w:pPr>
                    <w:spacing w:line="240" w:lineRule="auto"/>
                    <w:jc w:val="center"/>
                    <w:rPr>
                      <w:sz w:val="21"/>
                      <w:szCs w:val="21"/>
                    </w:rPr>
                  </w:pPr>
                  <w:r>
                    <w:rPr>
                      <w:sz w:val="21"/>
                      <w:szCs w:val="21"/>
                    </w:rPr>
                    <w:t>机械设备噪声</w:t>
                  </w:r>
                </w:p>
              </w:tc>
            </w:tr>
            <w:tr w14:paraId="141E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82" w:type="pct"/>
                  <w:vAlign w:val="center"/>
                </w:tcPr>
                <w:p w14:paraId="6A9E277F">
                  <w:pPr>
                    <w:spacing w:line="240" w:lineRule="auto"/>
                    <w:jc w:val="center"/>
                    <w:rPr>
                      <w:sz w:val="21"/>
                      <w:szCs w:val="21"/>
                    </w:rPr>
                  </w:pPr>
                  <w:r>
                    <w:rPr>
                      <w:sz w:val="21"/>
                      <w:szCs w:val="21"/>
                    </w:rPr>
                    <w:t>2</w:t>
                  </w:r>
                </w:p>
              </w:tc>
              <w:tc>
                <w:tcPr>
                  <w:tcW w:w="1659" w:type="pct"/>
                  <w:vAlign w:val="center"/>
                </w:tcPr>
                <w:p w14:paraId="03D503E8">
                  <w:pPr>
                    <w:adjustRightInd w:val="0"/>
                    <w:snapToGrid w:val="0"/>
                    <w:spacing w:line="240" w:lineRule="auto"/>
                    <w:jc w:val="center"/>
                    <w:rPr>
                      <w:sz w:val="21"/>
                      <w:szCs w:val="21"/>
                    </w:rPr>
                  </w:pPr>
                  <w:r>
                    <w:rPr>
                      <w:rFonts w:hint="eastAsia" w:ascii="宋体" w:hAnsi="宋体" w:cs="宋体"/>
                      <w:bCs/>
                      <w:sz w:val="21"/>
                      <w:szCs w:val="21"/>
                    </w:rPr>
                    <w:t>小切机</w:t>
                  </w:r>
                </w:p>
              </w:tc>
              <w:tc>
                <w:tcPr>
                  <w:tcW w:w="1233" w:type="pct"/>
                  <w:vAlign w:val="center"/>
                </w:tcPr>
                <w:p w14:paraId="47A64F73">
                  <w:pPr>
                    <w:spacing w:line="240" w:lineRule="auto"/>
                    <w:jc w:val="center"/>
                    <w:rPr>
                      <w:sz w:val="21"/>
                      <w:szCs w:val="21"/>
                    </w:rPr>
                  </w:pPr>
                  <w:r>
                    <w:rPr>
                      <w:sz w:val="21"/>
                      <w:szCs w:val="21"/>
                    </w:rPr>
                    <w:t>75</w:t>
                  </w:r>
                </w:p>
              </w:tc>
              <w:tc>
                <w:tcPr>
                  <w:tcW w:w="485" w:type="pct"/>
                  <w:vAlign w:val="center"/>
                </w:tcPr>
                <w:p w14:paraId="64A9EB29">
                  <w:pPr>
                    <w:spacing w:line="240" w:lineRule="auto"/>
                    <w:jc w:val="center"/>
                    <w:rPr>
                      <w:sz w:val="21"/>
                      <w:szCs w:val="21"/>
                      <w:highlight w:val="yellow"/>
                    </w:rPr>
                  </w:pPr>
                  <w:r>
                    <w:rPr>
                      <w:rFonts w:hint="eastAsia"/>
                      <w:sz w:val="21"/>
                      <w:szCs w:val="21"/>
                    </w:rPr>
                    <w:t>7</w:t>
                  </w:r>
                </w:p>
              </w:tc>
              <w:tc>
                <w:tcPr>
                  <w:tcW w:w="1039" w:type="pct"/>
                  <w:vMerge w:val="continue"/>
                </w:tcPr>
                <w:p w14:paraId="512ECFFD">
                  <w:pPr>
                    <w:jc w:val="center"/>
                    <w:rPr>
                      <w:szCs w:val="21"/>
                    </w:rPr>
                  </w:pPr>
                </w:p>
              </w:tc>
            </w:tr>
            <w:tr w14:paraId="6A9B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2" w:type="pct"/>
                  <w:vAlign w:val="center"/>
                </w:tcPr>
                <w:p w14:paraId="156312BA">
                  <w:pPr>
                    <w:spacing w:line="240" w:lineRule="auto"/>
                    <w:jc w:val="center"/>
                    <w:rPr>
                      <w:sz w:val="21"/>
                      <w:szCs w:val="21"/>
                    </w:rPr>
                  </w:pPr>
                  <w:r>
                    <w:rPr>
                      <w:sz w:val="21"/>
                      <w:szCs w:val="21"/>
                    </w:rPr>
                    <w:t>3</w:t>
                  </w:r>
                </w:p>
              </w:tc>
              <w:tc>
                <w:tcPr>
                  <w:tcW w:w="1659" w:type="pct"/>
                  <w:vAlign w:val="center"/>
                </w:tcPr>
                <w:p w14:paraId="77AB41E3">
                  <w:pPr>
                    <w:adjustRightInd w:val="0"/>
                    <w:snapToGrid w:val="0"/>
                    <w:spacing w:line="240" w:lineRule="auto"/>
                    <w:jc w:val="center"/>
                    <w:rPr>
                      <w:sz w:val="21"/>
                      <w:szCs w:val="21"/>
                    </w:rPr>
                  </w:pPr>
                  <w:r>
                    <w:rPr>
                      <w:rFonts w:hint="eastAsia" w:ascii="宋体" w:hAnsi="宋体" w:cs="宋体"/>
                      <w:bCs/>
                      <w:sz w:val="21"/>
                      <w:szCs w:val="21"/>
                    </w:rPr>
                    <w:t>浮雕机</w:t>
                  </w:r>
                </w:p>
              </w:tc>
              <w:tc>
                <w:tcPr>
                  <w:tcW w:w="1233" w:type="pct"/>
                  <w:vAlign w:val="center"/>
                </w:tcPr>
                <w:p w14:paraId="4456BD78">
                  <w:pPr>
                    <w:spacing w:line="240" w:lineRule="auto"/>
                    <w:jc w:val="center"/>
                    <w:rPr>
                      <w:sz w:val="21"/>
                      <w:szCs w:val="21"/>
                    </w:rPr>
                  </w:pPr>
                  <w:r>
                    <w:rPr>
                      <w:sz w:val="21"/>
                      <w:szCs w:val="21"/>
                    </w:rPr>
                    <w:t>75</w:t>
                  </w:r>
                </w:p>
              </w:tc>
              <w:tc>
                <w:tcPr>
                  <w:tcW w:w="485" w:type="pct"/>
                  <w:vAlign w:val="center"/>
                </w:tcPr>
                <w:p w14:paraId="5D142EE0">
                  <w:pPr>
                    <w:spacing w:line="240" w:lineRule="auto"/>
                    <w:jc w:val="center"/>
                    <w:rPr>
                      <w:sz w:val="21"/>
                      <w:szCs w:val="21"/>
                    </w:rPr>
                  </w:pPr>
                  <w:r>
                    <w:rPr>
                      <w:rFonts w:hint="eastAsia"/>
                      <w:sz w:val="21"/>
                      <w:szCs w:val="21"/>
                    </w:rPr>
                    <w:t>2</w:t>
                  </w:r>
                </w:p>
              </w:tc>
              <w:tc>
                <w:tcPr>
                  <w:tcW w:w="1039" w:type="pct"/>
                  <w:vMerge w:val="continue"/>
                </w:tcPr>
                <w:p w14:paraId="1E759D5A">
                  <w:pPr>
                    <w:jc w:val="center"/>
                    <w:rPr>
                      <w:szCs w:val="21"/>
                    </w:rPr>
                  </w:pPr>
                </w:p>
              </w:tc>
            </w:tr>
            <w:tr w14:paraId="369B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82" w:type="pct"/>
                  <w:vAlign w:val="center"/>
                </w:tcPr>
                <w:p w14:paraId="14305459">
                  <w:pPr>
                    <w:spacing w:line="240" w:lineRule="auto"/>
                    <w:jc w:val="center"/>
                    <w:rPr>
                      <w:sz w:val="21"/>
                      <w:szCs w:val="21"/>
                    </w:rPr>
                  </w:pPr>
                  <w:r>
                    <w:rPr>
                      <w:sz w:val="21"/>
                      <w:szCs w:val="21"/>
                    </w:rPr>
                    <w:t>4</w:t>
                  </w:r>
                </w:p>
              </w:tc>
              <w:tc>
                <w:tcPr>
                  <w:tcW w:w="1659" w:type="pct"/>
                  <w:vAlign w:val="center"/>
                </w:tcPr>
                <w:p w14:paraId="25B2CCCC">
                  <w:pPr>
                    <w:adjustRightInd w:val="0"/>
                    <w:snapToGrid w:val="0"/>
                    <w:spacing w:line="240" w:lineRule="auto"/>
                    <w:jc w:val="center"/>
                    <w:rPr>
                      <w:sz w:val="21"/>
                      <w:szCs w:val="21"/>
                    </w:rPr>
                  </w:pPr>
                  <w:r>
                    <w:rPr>
                      <w:rFonts w:hint="eastAsia" w:ascii="宋体" w:hAnsi="宋体" w:cs="宋体"/>
                      <w:bCs/>
                      <w:sz w:val="21"/>
                      <w:szCs w:val="21"/>
                    </w:rPr>
                    <w:t>平雕机</w:t>
                  </w:r>
                </w:p>
              </w:tc>
              <w:tc>
                <w:tcPr>
                  <w:tcW w:w="1233" w:type="pct"/>
                  <w:vAlign w:val="center"/>
                </w:tcPr>
                <w:p w14:paraId="665637F8">
                  <w:pPr>
                    <w:spacing w:line="240" w:lineRule="auto"/>
                    <w:jc w:val="center"/>
                    <w:rPr>
                      <w:sz w:val="21"/>
                      <w:szCs w:val="21"/>
                    </w:rPr>
                  </w:pPr>
                  <w:r>
                    <w:rPr>
                      <w:sz w:val="21"/>
                      <w:szCs w:val="21"/>
                    </w:rPr>
                    <w:t>80</w:t>
                  </w:r>
                </w:p>
              </w:tc>
              <w:tc>
                <w:tcPr>
                  <w:tcW w:w="485" w:type="pct"/>
                  <w:vAlign w:val="center"/>
                </w:tcPr>
                <w:p w14:paraId="0B094713">
                  <w:pPr>
                    <w:spacing w:line="240" w:lineRule="auto"/>
                    <w:jc w:val="center"/>
                    <w:rPr>
                      <w:sz w:val="21"/>
                      <w:szCs w:val="21"/>
                    </w:rPr>
                  </w:pPr>
                  <w:r>
                    <w:rPr>
                      <w:rFonts w:hint="eastAsia"/>
                      <w:sz w:val="21"/>
                      <w:szCs w:val="21"/>
                    </w:rPr>
                    <w:t>5</w:t>
                  </w:r>
                </w:p>
              </w:tc>
              <w:tc>
                <w:tcPr>
                  <w:tcW w:w="1039" w:type="pct"/>
                  <w:vMerge w:val="continue"/>
                </w:tcPr>
                <w:p w14:paraId="542A84FE">
                  <w:pPr>
                    <w:jc w:val="center"/>
                    <w:rPr>
                      <w:szCs w:val="21"/>
                    </w:rPr>
                  </w:pPr>
                </w:p>
              </w:tc>
            </w:tr>
            <w:tr w14:paraId="4392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82" w:type="pct"/>
                  <w:vAlign w:val="center"/>
                </w:tcPr>
                <w:p w14:paraId="1FFBC59B">
                  <w:pPr>
                    <w:spacing w:line="240" w:lineRule="auto"/>
                    <w:jc w:val="center"/>
                    <w:rPr>
                      <w:sz w:val="21"/>
                      <w:szCs w:val="21"/>
                    </w:rPr>
                  </w:pPr>
                  <w:r>
                    <w:rPr>
                      <w:sz w:val="21"/>
                      <w:szCs w:val="21"/>
                    </w:rPr>
                    <w:t>5</w:t>
                  </w:r>
                </w:p>
              </w:tc>
              <w:tc>
                <w:tcPr>
                  <w:tcW w:w="1659" w:type="pct"/>
                  <w:vAlign w:val="center"/>
                </w:tcPr>
                <w:p w14:paraId="5762A538">
                  <w:pPr>
                    <w:adjustRightInd w:val="0"/>
                    <w:snapToGrid w:val="0"/>
                    <w:spacing w:line="240" w:lineRule="auto"/>
                    <w:jc w:val="center"/>
                    <w:rPr>
                      <w:sz w:val="21"/>
                      <w:szCs w:val="21"/>
                    </w:rPr>
                  </w:pPr>
                  <w:r>
                    <w:rPr>
                      <w:rFonts w:hint="eastAsia" w:ascii="宋体" w:hAnsi="宋体" w:cs="宋体"/>
                      <w:bCs/>
                      <w:sz w:val="21"/>
                      <w:szCs w:val="21"/>
                      <w:lang w:eastAsia="zh-CN"/>
                    </w:rPr>
                    <w:t>磨光</w:t>
                  </w:r>
                  <w:r>
                    <w:rPr>
                      <w:rFonts w:hint="eastAsia" w:ascii="宋体" w:hAnsi="宋体" w:cs="宋体"/>
                      <w:bCs/>
                      <w:sz w:val="21"/>
                      <w:szCs w:val="21"/>
                    </w:rPr>
                    <w:t>机</w:t>
                  </w:r>
                </w:p>
              </w:tc>
              <w:tc>
                <w:tcPr>
                  <w:tcW w:w="1233" w:type="pct"/>
                  <w:vAlign w:val="center"/>
                </w:tcPr>
                <w:p w14:paraId="599136AE">
                  <w:pPr>
                    <w:spacing w:line="240" w:lineRule="auto"/>
                    <w:jc w:val="center"/>
                    <w:rPr>
                      <w:sz w:val="21"/>
                      <w:szCs w:val="21"/>
                    </w:rPr>
                  </w:pPr>
                  <w:r>
                    <w:rPr>
                      <w:sz w:val="21"/>
                      <w:szCs w:val="21"/>
                    </w:rPr>
                    <w:t>70</w:t>
                  </w:r>
                </w:p>
              </w:tc>
              <w:tc>
                <w:tcPr>
                  <w:tcW w:w="485" w:type="pct"/>
                  <w:vAlign w:val="center"/>
                </w:tcPr>
                <w:p w14:paraId="1E2DC4A0">
                  <w:pPr>
                    <w:spacing w:line="240" w:lineRule="auto"/>
                    <w:jc w:val="center"/>
                    <w:rPr>
                      <w:sz w:val="21"/>
                      <w:szCs w:val="21"/>
                    </w:rPr>
                  </w:pPr>
                  <w:r>
                    <w:rPr>
                      <w:rFonts w:hint="eastAsia"/>
                      <w:sz w:val="21"/>
                      <w:szCs w:val="21"/>
                    </w:rPr>
                    <w:t>2</w:t>
                  </w:r>
                </w:p>
              </w:tc>
              <w:tc>
                <w:tcPr>
                  <w:tcW w:w="1039" w:type="pct"/>
                  <w:vMerge w:val="continue"/>
                </w:tcPr>
                <w:p w14:paraId="19F056ED">
                  <w:pPr>
                    <w:jc w:val="center"/>
                    <w:rPr>
                      <w:szCs w:val="21"/>
                    </w:rPr>
                  </w:pPr>
                </w:p>
              </w:tc>
            </w:tr>
            <w:tr w14:paraId="4221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82" w:type="pct"/>
                  <w:vAlign w:val="center"/>
                </w:tcPr>
                <w:p w14:paraId="10EB5E6C">
                  <w:pPr>
                    <w:spacing w:line="240" w:lineRule="auto"/>
                    <w:jc w:val="center"/>
                    <w:rPr>
                      <w:sz w:val="21"/>
                      <w:szCs w:val="21"/>
                    </w:rPr>
                  </w:pPr>
                  <w:r>
                    <w:rPr>
                      <w:rFonts w:hint="eastAsia"/>
                      <w:sz w:val="21"/>
                      <w:szCs w:val="21"/>
                    </w:rPr>
                    <w:t>6</w:t>
                  </w:r>
                </w:p>
              </w:tc>
              <w:tc>
                <w:tcPr>
                  <w:tcW w:w="1659" w:type="pct"/>
                  <w:vAlign w:val="center"/>
                </w:tcPr>
                <w:p w14:paraId="000CBACC">
                  <w:pPr>
                    <w:adjustRightInd w:val="0"/>
                    <w:snapToGrid w:val="0"/>
                    <w:spacing w:line="240" w:lineRule="auto"/>
                    <w:jc w:val="center"/>
                    <w:rPr>
                      <w:rFonts w:ascii="宋体" w:hAnsi="宋体" w:cs="宋体"/>
                      <w:bCs/>
                      <w:sz w:val="21"/>
                      <w:szCs w:val="21"/>
                    </w:rPr>
                  </w:pPr>
                  <w:r>
                    <w:rPr>
                      <w:rFonts w:hint="eastAsia"/>
                      <w:sz w:val="21"/>
                      <w:szCs w:val="21"/>
                    </w:rPr>
                    <w:t>行吊</w:t>
                  </w:r>
                </w:p>
              </w:tc>
              <w:tc>
                <w:tcPr>
                  <w:tcW w:w="1233" w:type="pct"/>
                  <w:vAlign w:val="center"/>
                </w:tcPr>
                <w:p w14:paraId="0C53266E">
                  <w:pPr>
                    <w:spacing w:line="240" w:lineRule="auto"/>
                    <w:jc w:val="center"/>
                    <w:rPr>
                      <w:sz w:val="21"/>
                      <w:szCs w:val="21"/>
                    </w:rPr>
                  </w:pPr>
                  <w:r>
                    <w:rPr>
                      <w:rFonts w:hint="eastAsia"/>
                      <w:sz w:val="21"/>
                      <w:szCs w:val="21"/>
                    </w:rPr>
                    <w:t>70</w:t>
                  </w:r>
                </w:p>
              </w:tc>
              <w:tc>
                <w:tcPr>
                  <w:tcW w:w="485" w:type="pct"/>
                  <w:vAlign w:val="center"/>
                </w:tcPr>
                <w:p w14:paraId="7F82B122">
                  <w:pPr>
                    <w:spacing w:line="240" w:lineRule="auto"/>
                    <w:jc w:val="center"/>
                    <w:rPr>
                      <w:sz w:val="21"/>
                      <w:szCs w:val="21"/>
                    </w:rPr>
                  </w:pPr>
                  <w:r>
                    <w:rPr>
                      <w:rFonts w:hint="eastAsia"/>
                      <w:sz w:val="21"/>
                      <w:szCs w:val="21"/>
                    </w:rPr>
                    <w:t>10</w:t>
                  </w:r>
                </w:p>
              </w:tc>
              <w:tc>
                <w:tcPr>
                  <w:tcW w:w="1039" w:type="pct"/>
                  <w:vMerge w:val="continue"/>
                </w:tcPr>
                <w:p w14:paraId="10840C5C">
                  <w:pPr>
                    <w:jc w:val="center"/>
                    <w:rPr>
                      <w:szCs w:val="21"/>
                    </w:rPr>
                  </w:pPr>
                </w:p>
              </w:tc>
            </w:tr>
            <w:tr w14:paraId="1CBC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82" w:type="pct"/>
                  <w:vAlign w:val="center"/>
                </w:tcPr>
                <w:p w14:paraId="7C2047BD">
                  <w:pPr>
                    <w:spacing w:line="240" w:lineRule="auto"/>
                    <w:jc w:val="center"/>
                    <w:rPr>
                      <w:sz w:val="21"/>
                      <w:szCs w:val="21"/>
                    </w:rPr>
                  </w:pPr>
                  <w:r>
                    <w:rPr>
                      <w:rFonts w:hint="eastAsia"/>
                      <w:sz w:val="21"/>
                      <w:szCs w:val="21"/>
                    </w:rPr>
                    <w:t>7</w:t>
                  </w:r>
                </w:p>
              </w:tc>
              <w:tc>
                <w:tcPr>
                  <w:tcW w:w="1659" w:type="pct"/>
                  <w:vAlign w:val="center"/>
                </w:tcPr>
                <w:p w14:paraId="35556269">
                  <w:pPr>
                    <w:adjustRightInd w:val="0"/>
                    <w:snapToGrid w:val="0"/>
                    <w:spacing w:line="240" w:lineRule="auto"/>
                    <w:jc w:val="center"/>
                    <w:rPr>
                      <w:sz w:val="21"/>
                      <w:szCs w:val="21"/>
                    </w:rPr>
                  </w:pPr>
                  <w:r>
                    <w:rPr>
                      <w:rFonts w:hint="eastAsia" w:hAnsi="宋体" w:cs="宋体"/>
                      <w:bCs/>
                      <w:sz w:val="21"/>
                      <w:szCs w:val="21"/>
                    </w:rPr>
                    <w:t>破碎机</w:t>
                  </w:r>
                </w:p>
              </w:tc>
              <w:tc>
                <w:tcPr>
                  <w:tcW w:w="1233" w:type="pct"/>
                  <w:vAlign w:val="center"/>
                </w:tcPr>
                <w:p w14:paraId="7ED2C482">
                  <w:pPr>
                    <w:spacing w:line="240" w:lineRule="auto"/>
                    <w:jc w:val="center"/>
                    <w:rPr>
                      <w:sz w:val="21"/>
                      <w:szCs w:val="21"/>
                    </w:rPr>
                  </w:pPr>
                  <w:r>
                    <w:rPr>
                      <w:rFonts w:hint="eastAsia"/>
                      <w:sz w:val="21"/>
                      <w:szCs w:val="21"/>
                    </w:rPr>
                    <w:t>90</w:t>
                  </w:r>
                </w:p>
              </w:tc>
              <w:tc>
                <w:tcPr>
                  <w:tcW w:w="485" w:type="pct"/>
                  <w:vAlign w:val="center"/>
                </w:tcPr>
                <w:p w14:paraId="02BA235D">
                  <w:pPr>
                    <w:spacing w:line="240" w:lineRule="auto"/>
                    <w:jc w:val="center"/>
                    <w:rPr>
                      <w:sz w:val="21"/>
                      <w:szCs w:val="21"/>
                    </w:rPr>
                  </w:pPr>
                  <w:r>
                    <w:rPr>
                      <w:sz w:val="21"/>
                      <w:szCs w:val="21"/>
                    </w:rPr>
                    <w:t>1</w:t>
                  </w:r>
                </w:p>
              </w:tc>
              <w:tc>
                <w:tcPr>
                  <w:tcW w:w="1039" w:type="pct"/>
                  <w:vMerge w:val="continue"/>
                </w:tcPr>
                <w:p w14:paraId="23239F93">
                  <w:pPr>
                    <w:jc w:val="center"/>
                    <w:rPr>
                      <w:szCs w:val="21"/>
                    </w:rPr>
                  </w:pPr>
                </w:p>
              </w:tc>
            </w:tr>
            <w:tr w14:paraId="32AE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82" w:type="pct"/>
                  <w:vAlign w:val="center"/>
                </w:tcPr>
                <w:p w14:paraId="59FC6319">
                  <w:pPr>
                    <w:spacing w:line="240" w:lineRule="auto"/>
                    <w:jc w:val="center"/>
                    <w:rPr>
                      <w:sz w:val="21"/>
                      <w:szCs w:val="21"/>
                    </w:rPr>
                  </w:pPr>
                  <w:r>
                    <w:rPr>
                      <w:rFonts w:hint="eastAsia"/>
                      <w:sz w:val="21"/>
                      <w:szCs w:val="21"/>
                    </w:rPr>
                    <w:t>8</w:t>
                  </w:r>
                </w:p>
              </w:tc>
              <w:tc>
                <w:tcPr>
                  <w:tcW w:w="1659" w:type="pct"/>
                  <w:vAlign w:val="center"/>
                </w:tcPr>
                <w:p w14:paraId="3C37C0E4">
                  <w:pPr>
                    <w:adjustRightInd w:val="0"/>
                    <w:snapToGrid w:val="0"/>
                    <w:spacing w:line="240" w:lineRule="auto"/>
                    <w:jc w:val="center"/>
                    <w:rPr>
                      <w:rFonts w:hAnsi="宋体" w:cs="宋体"/>
                      <w:bCs/>
                      <w:sz w:val="21"/>
                      <w:szCs w:val="21"/>
                    </w:rPr>
                  </w:pPr>
                  <w:r>
                    <w:rPr>
                      <w:rFonts w:hint="eastAsia" w:hAnsi="宋体" w:cs="宋体"/>
                      <w:bCs/>
                      <w:sz w:val="21"/>
                      <w:szCs w:val="21"/>
                    </w:rPr>
                    <w:t>搅拌机</w:t>
                  </w:r>
                </w:p>
              </w:tc>
              <w:tc>
                <w:tcPr>
                  <w:tcW w:w="1233" w:type="pct"/>
                  <w:vAlign w:val="center"/>
                </w:tcPr>
                <w:p w14:paraId="6EB37921">
                  <w:pPr>
                    <w:spacing w:line="240" w:lineRule="auto"/>
                    <w:jc w:val="center"/>
                    <w:rPr>
                      <w:sz w:val="21"/>
                      <w:szCs w:val="21"/>
                    </w:rPr>
                  </w:pPr>
                  <w:r>
                    <w:rPr>
                      <w:rFonts w:hint="eastAsia"/>
                      <w:sz w:val="21"/>
                      <w:szCs w:val="21"/>
                    </w:rPr>
                    <w:t>80</w:t>
                  </w:r>
                </w:p>
              </w:tc>
              <w:tc>
                <w:tcPr>
                  <w:tcW w:w="485" w:type="pct"/>
                  <w:vAlign w:val="center"/>
                </w:tcPr>
                <w:p w14:paraId="56E6C561">
                  <w:pPr>
                    <w:spacing w:line="240" w:lineRule="auto"/>
                    <w:jc w:val="center"/>
                    <w:rPr>
                      <w:sz w:val="21"/>
                      <w:szCs w:val="21"/>
                    </w:rPr>
                  </w:pPr>
                  <w:r>
                    <w:rPr>
                      <w:sz w:val="21"/>
                      <w:szCs w:val="21"/>
                    </w:rPr>
                    <w:t>1</w:t>
                  </w:r>
                </w:p>
              </w:tc>
              <w:tc>
                <w:tcPr>
                  <w:tcW w:w="1039" w:type="pct"/>
                  <w:vMerge w:val="continue"/>
                </w:tcPr>
                <w:p w14:paraId="01E21D23">
                  <w:pPr>
                    <w:jc w:val="center"/>
                    <w:rPr>
                      <w:szCs w:val="21"/>
                    </w:rPr>
                  </w:pPr>
                </w:p>
              </w:tc>
            </w:tr>
            <w:tr w14:paraId="7310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82" w:type="pct"/>
                  <w:vAlign w:val="center"/>
                </w:tcPr>
                <w:p w14:paraId="2173BF24">
                  <w:pPr>
                    <w:spacing w:line="240" w:lineRule="auto"/>
                    <w:jc w:val="center"/>
                    <w:rPr>
                      <w:sz w:val="21"/>
                      <w:szCs w:val="21"/>
                    </w:rPr>
                  </w:pPr>
                  <w:r>
                    <w:rPr>
                      <w:rFonts w:hint="eastAsia"/>
                      <w:sz w:val="21"/>
                      <w:szCs w:val="21"/>
                    </w:rPr>
                    <w:t>9</w:t>
                  </w:r>
                </w:p>
              </w:tc>
              <w:tc>
                <w:tcPr>
                  <w:tcW w:w="1659" w:type="pct"/>
                  <w:vAlign w:val="center"/>
                </w:tcPr>
                <w:p w14:paraId="4AD12BC2">
                  <w:pPr>
                    <w:adjustRightInd w:val="0"/>
                    <w:snapToGrid w:val="0"/>
                    <w:spacing w:line="240" w:lineRule="auto"/>
                    <w:jc w:val="center"/>
                    <w:rPr>
                      <w:rFonts w:hAnsi="宋体" w:cs="宋体"/>
                      <w:bCs/>
                      <w:sz w:val="21"/>
                      <w:szCs w:val="21"/>
                    </w:rPr>
                  </w:pPr>
                  <w:r>
                    <w:rPr>
                      <w:rFonts w:hint="eastAsia" w:hAnsi="宋体" w:cs="宋体"/>
                      <w:bCs/>
                      <w:sz w:val="21"/>
                      <w:szCs w:val="21"/>
                    </w:rPr>
                    <w:t>输送机</w:t>
                  </w:r>
                </w:p>
              </w:tc>
              <w:tc>
                <w:tcPr>
                  <w:tcW w:w="1233" w:type="pct"/>
                  <w:vAlign w:val="center"/>
                </w:tcPr>
                <w:p w14:paraId="2CDFDABE">
                  <w:pPr>
                    <w:spacing w:line="240" w:lineRule="auto"/>
                    <w:jc w:val="center"/>
                    <w:rPr>
                      <w:sz w:val="21"/>
                      <w:szCs w:val="21"/>
                    </w:rPr>
                  </w:pPr>
                  <w:r>
                    <w:rPr>
                      <w:rFonts w:hint="eastAsia"/>
                      <w:sz w:val="21"/>
                      <w:szCs w:val="21"/>
                    </w:rPr>
                    <w:t>75</w:t>
                  </w:r>
                </w:p>
              </w:tc>
              <w:tc>
                <w:tcPr>
                  <w:tcW w:w="485" w:type="pct"/>
                  <w:vAlign w:val="center"/>
                </w:tcPr>
                <w:p w14:paraId="6221D1D9">
                  <w:pPr>
                    <w:spacing w:line="240" w:lineRule="auto"/>
                    <w:jc w:val="center"/>
                    <w:rPr>
                      <w:sz w:val="21"/>
                      <w:szCs w:val="21"/>
                    </w:rPr>
                  </w:pPr>
                  <w:r>
                    <w:rPr>
                      <w:sz w:val="21"/>
                      <w:szCs w:val="21"/>
                    </w:rPr>
                    <w:t>1</w:t>
                  </w:r>
                </w:p>
              </w:tc>
              <w:tc>
                <w:tcPr>
                  <w:tcW w:w="1039" w:type="pct"/>
                  <w:vMerge w:val="continue"/>
                </w:tcPr>
                <w:p w14:paraId="182E196B">
                  <w:pPr>
                    <w:jc w:val="center"/>
                    <w:rPr>
                      <w:szCs w:val="21"/>
                    </w:rPr>
                  </w:pPr>
                </w:p>
              </w:tc>
            </w:tr>
            <w:tr w14:paraId="6C77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82" w:type="pct"/>
                  <w:vAlign w:val="center"/>
                </w:tcPr>
                <w:p w14:paraId="1F25EED4">
                  <w:pPr>
                    <w:spacing w:line="240" w:lineRule="auto"/>
                    <w:jc w:val="center"/>
                    <w:rPr>
                      <w:sz w:val="21"/>
                      <w:szCs w:val="21"/>
                    </w:rPr>
                  </w:pPr>
                  <w:r>
                    <w:rPr>
                      <w:rFonts w:hint="eastAsia"/>
                      <w:sz w:val="21"/>
                      <w:szCs w:val="21"/>
                    </w:rPr>
                    <w:t>10</w:t>
                  </w:r>
                </w:p>
              </w:tc>
              <w:tc>
                <w:tcPr>
                  <w:tcW w:w="1659" w:type="pct"/>
                  <w:vAlign w:val="center"/>
                </w:tcPr>
                <w:p w14:paraId="1C58FB0B">
                  <w:pPr>
                    <w:adjustRightInd w:val="0"/>
                    <w:snapToGrid w:val="0"/>
                    <w:spacing w:line="240" w:lineRule="auto"/>
                    <w:jc w:val="center"/>
                    <w:rPr>
                      <w:rFonts w:hAnsi="宋体" w:cs="宋体"/>
                      <w:bCs/>
                      <w:sz w:val="21"/>
                      <w:szCs w:val="21"/>
                    </w:rPr>
                  </w:pPr>
                  <w:r>
                    <w:rPr>
                      <w:rFonts w:hint="eastAsia" w:hAnsi="宋体" w:cs="宋体"/>
                      <w:bCs/>
                      <w:sz w:val="21"/>
                      <w:szCs w:val="21"/>
                    </w:rPr>
                    <w:t>颜色搅拌机</w:t>
                  </w:r>
                </w:p>
              </w:tc>
              <w:tc>
                <w:tcPr>
                  <w:tcW w:w="1233" w:type="pct"/>
                  <w:vAlign w:val="center"/>
                </w:tcPr>
                <w:p w14:paraId="7D03C042">
                  <w:pPr>
                    <w:adjustRightInd w:val="0"/>
                    <w:snapToGrid w:val="0"/>
                    <w:spacing w:line="240" w:lineRule="auto"/>
                    <w:jc w:val="center"/>
                    <w:rPr>
                      <w:sz w:val="21"/>
                      <w:szCs w:val="21"/>
                    </w:rPr>
                  </w:pPr>
                  <w:r>
                    <w:rPr>
                      <w:rFonts w:hint="eastAsia"/>
                      <w:sz w:val="21"/>
                      <w:szCs w:val="21"/>
                    </w:rPr>
                    <w:t>80</w:t>
                  </w:r>
                </w:p>
              </w:tc>
              <w:tc>
                <w:tcPr>
                  <w:tcW w:w="485" w:type="pct"/>
                  <w:vAlign w:val="center"/>
                </w:tcPr>
                <w:p w14:paraId="610E3215">
                  <w:pPr>
                    <w:spacing w:line="240" w:lineRule="auto"/>
                    <w:jc w:val="center"/>
                    <w:rPr>
                      <w:sz w:val="21"/>
                      <w:szCs w:val="21"/>
                    </w:rPr>
                  </w:pPr>
                  <w:r>
                    <w:rPr>
                      <w:sz w:val="21"/>
                      <w:szCs w:val="21"/>
                    </w:rPr>
                    <w:t>1</w:t>
                  </w:r>
                </w:p>
              </w:tc>
              <w:tc>
                <w:tcPr>
                  <w:tcW w:w="1039" w:type="pct"/>
                  <w:vMerge w:val="continue"/>
                </w:tcPr>
                <w:p w14:paraId="20DB08AB">
                  <w:pPr>
                    <w:jc w:val="center"/>
                    <w:rPr>
                      <w:szCs w:val="21"/>
                    </w:rPr>
                  </w:pPr>
                </w:p>
              </w:tc>
            </w:tr>
            <w:tr w14:paraId="6B95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82" w:type="pct"/>
                  <w:vAlign w:val="center"/>
                </w:tcPr>
                <w:p w14:paraId="613B65B0">
                  <w:pPr>
                    <w:spacing w:line="240" w:lineRule="auto"/>
                    <w:jc w:val="center"/>
                    <w:rPr>
                      <w:sz w:val="21"/>
                      <w:szCs w:val="21"/>
                    </w:rPr>
                  </w:pPr>
                  <w:r>
                    <w:rPr>
                      <w:rFonts w:hint="eastAsia"/>
                      <w:sz w:val="21"/>
                      <w:szCs w:val="21"/>
                    </w:rPr>
                    <w:t>11</w:t>
                  </w:r>
                </w:p>
              </w:tc>
              <w:tc>
                <w:tcPr>
                  <w:tcW w:w="1659" w:type="pct"/>
                  <w:vAlign w:val="center"/>
                </w:tcPr>
                <w:p w14:paraId="5DBF6CF8">
                  <w:pPr>
                    <w:adjustRightInd w:val="0"/>
                    <w:snapToGrid w:val="0"/>
                    <w:spacing w:line="240" w:lineRule="auto"/>
                    <w:jc w:val="center"/>
                    <w:rPr>
                      <w:rFonts w:hAnsi="宋体" w:cs="宋体"/>
                      <w:bCs/>
                      <w:sz w:val="21"/>
                      <w:szCs w:val="21"/>
                    </w:rPr>
                  </w:pPr>
                  <w:r>
                    <w:rPr>
                      <w:rFonts w:hint="eastAsia" w:hAnsi="宋体" w:cs="宋体"/>
                      <w:bCs/>
                      <w:sz w:val="21"/>
                      <w:szCs w:val="21"/>
                    </w:rPr>
                    <w:t>自动砌块成型机</w:t>
                  </w:r>
                </w:p>
              </w:tc>
              <w:tc>
                <w:tcPr>
                  <w:tcW w:w="1233" w:type="pct"/>
                  <w:vAlign w:val="center"/>
                </w:tcPr>
                <w:p w14:paraId="35834191">
                  <w:pPr>
                    <w:spacing w:line="240" w:lineRule="auto"/>
                    <w:jc w:val="center"/>
                    <w:rPr>
                      <w:sz w:val="21"/>
                      <w:szCs w:val="21"/>
                    </w:rPr>
                  </w:pPr>
                  <w:r>
                    <w:rPr>
                      <w:rFonts w:hint="eastAsia"/>
                      <w:sz w:val="21"/>
                      <w:szCs w:val="21"/>
                    </w:rPr>
                    <w:t>85</w:t>
                  </w:r>
                </w:p>
              </w:tc>
              <w:tc>
                <w:tcPr>
                  <w:tcW w:w="485" w:type="pct"/>
                  <w:vAlign w:val="center"/>
                </w:tcPr>
                <w:p w14:paraId="15F5364A">
                  <w:pPr>
                    <w:spacing w:line="240" w:lineRule="auto"/>
                    <w:jc w:val="center"/>
                    <w:rPr>
                      <w:sz w:val="21"/>
                      <w:szCs w:val="21"/>
                    </w:rPr>
                  </w:pPr>
                  <w:r>
                    <w:rPr>
                      <w:sz w:val="21"/>
                      <w:szCs w:val="21"/>
                    </w:rPr>
                    <w:t>1</w:t>
                  </w:r>
                </w:p>
              </w:tc>
              <w:tc>
                <w:tcPr>
                  <w:tcW w:w="1039" w:type="pct"/>
                  <w:vMerge w:val="continue"/>
                </w:tcPr>
                <w:p w14:paraId="55165B8A">
                  <w:pPr>
                    <w:jc w:val="center"/>
                    <w:rPr>
                      <w:szCs w:val="21"/>
                    </w:rPr>
                  </w:pPr>
                </w:p>
              </w:tc>
            </w:tr>
            <w:tr w14:paraId="40F1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82" w:type="pct"/>
                  <w:vAlign w:val="center"/>
                </w:tcPr>
                <w:p w14:paraId="4E7572E6">
                  <w:pPr>
                    <w:spacing w:line="240" w:lineRule="auto"/>
                    <w:jc w:val="center"/>
                    <w:rPr>
                      <w:sz w:val="21"/>
                      <w:szCs w:val="21"/>
                    </w:rPr>
                  </w:pPr>
                  <w:r>
                    <w:rPr>
                      <w:rFonts w:hint="eastAsia"/>
                      <w:sz w:val="21"/>
                      <w:szCs w:val="21"/>
                    </w:rPr>
                    <w:t>12</w:t>
                  </w:r>
                </w:p>
              </w:tc>
              <w:tc>
                <w:tcPr>
                  <w:tcW w:w="1659" w:type="pct"/>
                  <w:vAlign w:val="center"/>
                </w:tcPr>
                <w:p w14:paraId="1A67E490">
                  <w:pPr>
                    <w:adjustRightInd w:val="0"/>
                    <w:snapToGrid w:val="0"/>
                    <w:spacing w:line="240" w:lineRule="auto"/>
                    <w:jc w:val="center"/>
                    <w:rPr>
                      <w:rFonts w:hAnsi="宋体" w:cs="宋体"/>
                      <w:bCs/>
                      <w:sz w:val="21"/>
                      <w:szCs w:val="21"/>
                    </w:rPr>
                  </w:pPr>
                  <w:r>
                    <w:rPr>
                      <w:rFonts w:hint="eastAsia"/>
                      <w:sz w:val="21"/>
                      <w:szCs w:val="21"/>
                    </w:rPr>
                    <w:t>板框</w:t>
                  </w:r>
                  <w:r>
                    <w:rPr>
                      <w:sz w:val="21"/>
                      <w:szCs w:val="21"/>
                    </w:rPr>
                    <w:t>压滤机</w:t>
                  </w:r>
                </w:p>
              </w:tc>
              <w:tc>
                <w:tcPr>
                  <w:tcW w:w="1233" w:type="pct"/>
                  <w:vAlign w:val="center"/>
                </w:tcPr>
                <w:p w14:paraId="1E3E65AE">
                  <w:pPr>
                    <w:spacing w:line="240" w:lineRule="auto"/>
                    <w:jc w:val="center"/>
                    <w:rPr>
                      <w:sz w:val="21"/>
                      <w:szCs w:val="21"/>
                    </w:rPr>
                  </w:pPr>
                  <w:r>
                    <w:rPr>
                      <w:rFonts w:hint="eastAsia"/>
                      <w:sz w:val="21"/>
                      <w:szCs w:val="21"/>
                    </w:rPr>
                    <w:t>70</w:t>
                  </w:r>
                </w:p>
              </w:tc>
              <w:tc>
                <w:tcPr>
                  <w:tcW w:w="485" w:type="pct"/>
                  <w:vAlign w:val="center"/>
                </w:tcPr>
                <w:p w14:paraId="1DE6FAF6">
                  <w:pPr>
                    <w:spacing w:line="240" w:lineRule="auto"/>
                    <w:jc w:val="center"/>
                    <w:rPr>
                      <w:sz w:val="21"/>
                      <w:szCs w:val="21"/>
                    </w:rPr>
                  </w:pPr>
                  <w:r>
                    <w:rPr>
                      <w:sz w:val="21"/>
                      <w:szCs w:val="21"/>
                    </w:rPr>
                    <w:t>1</w:t>
                  </w:r>
                </w:p>
              </w:tc>
              <w:tc>
                <w:tcPr>
                  <w:tcW w:w="1039" w:type="pct"/>
                  <w:vMerge w:val="continue"/>
                </w:tcPr>
                <w:p w14:paraId="32AE4511">
                  <w:pPr>
                    <w:jc w:val="center"/>
                    <w:rPr>
                      <w:szCs w:val="21"/>
                    </w:rPr>
                  </w:pPr>
                </w:p>
              </w:tc>
            </w:tr>
            <w:tr w14:paraId="3BB2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2" w:type="pct"/>
                  <w:vAlign w:val="center"/>
                </w:tcPr>
                <w:p w14:paraId="107551C7">
                  <w:pPr>
                    <w:spacing w:line="240" w:lineRule="auto"/>
                    <w:jc w:val="center"/>
                    <w:rPr>
                      <w:rFonts w:hint="default" w:eastAsia="宋体"/>
                      <w:sz w:val="21"/>
                      <w:szCs w:val="21"/>
                      <w:lang w:val="en-US" w:eastAsia="zh-CN"/>
                    </w:rPr>
                  </w:pPr>
                  <w:r>
                    <w:rPr>
                      <w:rFonts w:hint="eastAsia"/>
                      <w:sz w:val="21"/>
                      <w:szCs w:val="21"/>
                    </w:rPr>
                    <w:t>13</w:t>
                  </w:r>
                </w:p>
              </w:tc>
              <w:tc>
                <w:tcPr>
                  <w:tcW w:w="1659" w:type="pct"/>
                  <w:vAlign w:val="center"/>
                </w:tcPr>
                <w:p w14:paraId="7E60072B">
                  <w:pPr>
                    <w:adjustRightInd w:val="0"/>
                    <w:snapToGrid w:val="0"/>
                    <w:spacing w:line="240" w:lineRule="auto"/>
                    <w:jc w:val="center"/>
                    <w:rPr>
                      <w:rFonts w:hint="eastAsia" w:eastAsia="宋体"/>
                      <w:sz w:val="21"/>
                      <w:szCs w:val="21"/>
                      <w:lang w:eastAsia="zh-CN"/>
                    </w:rPr>
                  </w:pPr>
                  <w:r>
                    <w:rPr>
                      <w:sz w:val="21"/>
                      <w:szCs w:val="21"/>
                    </w:rPr>
                    <w:t>水泵</w:t>
                  </w:r>
                </w:p>
              </w:tc>
              <w:tc>
                <w:tcPr>
                  <w:tcW w:w="1233" w:type="pct"/>
                  <w:vAlign w:val="center"/>
                </w:tcPr>
                <w:p w14:paraId="0E2FBF7B">
                  <w:pPr>
                    <w:spacing w:line="240" w:lineRule="auto"/>
                    <w:jc w:val="center"/>
                    <w:rPr>
                      <w:rFonts w:hint="default" w:eastAsia="宋体"/>
                      <w:sz w:val="21"/>
                      <w:szCs w:val="21"/>
                      <w:lang w:val="en-US" w:eastAsia="zh-CN"/>
                    </w:rPr>
                  </w:pPr>
                  <w:r>
                    <w:rPr>
                      <w:rFonts w:hint="eastAsia"/>
                      <w:sz w:val="21"/>
                      <w:szCs w:val="21"/>
                    </w:rPr>
                    <w:t>80</w:t>
                  </w:r>
                </w:p>
              </w:tc>
              <w:tc>
                <w:tcPr>
                  <w:tcW w:w="485" w:type="pct"/>
                  <w:vAlign w:val="center"/>
                </w:tcPr>
                <w:p w14:paraId="408D591A">
                  <w:pPr>
                    <w:spacing w:line="240" w:lineRule="auto"/>
                    <w:jc w:val="center"/>
                    <w:rPr>
                      <w:rFonts w:hint="eastAsia" w:eastAsia="宋体"/>
                      <w:sz w:val="21"/>
                      <w:szCs w:val="21"/>
                      <w:lang w:val="en-US" w:eastAsia="zh-CN"/>
                    </w:rPr>
                  </w:pPr>
                  <w:r>
                    <w:rPr>
                      <w:rFonts w:hint="eastAsia"/>
                      <w:sz w:val="21"/>
                      <w:szCs w:val="21"/>
                      <w:highlight w:val="none"/>
                      <w:lang w:eastAsia="zh-CN"/>
                    </w:rPr>
                    <w:t>4</w:t>
                  </w:r>
                </w:p>
              </w:tc>
              <w:tc>
                <w:tcPr>
                  <w:tcW w:w="1039" w:type="pct"/>
                  <w:vMerge w:val="continue"/>
                </w:tcPr>
                <w:p w14:paraId="3188D75D">
                  <w:pPr>
                    <w:jc w:val="center"/>
                    <w:rPr>
                      <w:szCs w:val="21"/>
                    </w:rPr>
                  </w:pPr>
                </w:p>
              </w:tc>
            </w:tr>
          </w:tbl>
          <w:p w14:paraId="19AE9F24">
            <w:pPr>
              <w:pStyle w:val="23"/>
              <w:spacing w:after="0"/>
              <w:ind w:firstLine="221"/>
              <w:jc w:val="center"/>
              <w:rPr>
                <w:rFonts w:ascii="Times New Roman" w:hAnsi="Times New Roman" w:eastAsia="宋体" w:cs="Times New Roman"/>
                <w:b/>
                <w:bCs/>
                <w:color w:val="0000C7"/>
                <w:kern w:val="0"/>
                <w:sz w:val="22"/>
                <w:szCs w:val="22"/>
              </w:rPr>
            </w:pPr>
          </w:p>
          <w:p w14:paraId="70B50960">
            <w:pPr>
              <w:pStyle w:val="23"/>
              <w:spacing w:after="0"/>
              <w:ind w:firstLine="221"/>
              <w:jc w:val="center"/>
              <w:rPr>
                <w:rFonts w:ascii="Times New Roman" w:hAnsi="Times New Roman" w:eastAsia="宋体" w:cs="Times New Roman"/>
                <w:b/>
                <w:bCs/>
                <w:kern w:val="0"/>
                <w:sz w:val="22"/>
                <w:szCs w:val="22"/>
              </w:rPr>
            </w:pPr>
            <w:r>
              <w:rPr>
                <w:rFonts w:ascii="Times New Roman" w:hAnsi="Times New Roman" w:eastAsia="宋体" w:cs="Times New Roman"/>
                <w:b/>
                <w:bCs/>
                <w:kern w:val="0"/>
                <w:sz w:val="22"/>
                <w:szCs w:val="22"/>
              </w:rPr>
              <w:t>表4-</w:t>
            </w:r>
            <w:r>
              <w:rPr>
                <w:rFonts w:hint="eastAsia" w:ascii="Times New Roman" w:hAnsi="Times New Roman" w:eastAsia="宋体" w:cs="Times New Roman"/>
                <w:b/>
                <w:bCs/>
                <w:kern w:val="0"/>
                <w:sz w:val="22"/>
                <w:szCs w:val="22"/>
                <w:lang w:val="en-US" w:eastAsia="zh-CN"/>
              </w:rPr>
              <w:t>10</w:t>
            </w:r>
            <w:r>
              <w:rPr>
                <w:rFonts w:ascii="Times New Roman" w:hAnsi="Times New Roman" w:eastAsia="宋体" w:cs="Times New Roman"/>
                <w:b/>
                <w:bCs/>
                <w:kern w:val="0"/>
                <w:sz w:val="22"/>
                <w:szCs w:val="22"/>
              </w:rPr>
              <w:t xml:space="preserve"> 工业企业噪声源强调查清单（室外声源）</w:t>
            </w:r>
          </w:p>
          <w:tbl>
            <w:tblPr>
              <w:tblStyle w:val="24"/>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1357"/>
              <w:gridCol w:w="803"/>
              <w:gridCol w:w="803"/>
              <w:gridCol w:w="804"/>
              <w:gridCol w:w="1328"/>
              <w:gridCol w:w="1809"/>
              <w:gridCol w:w="995"/>
            </w:tblGrid>
            <w:tr w14:paraId="6331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jc w:val="center"/>
              </w:trPr>
              <w:tc>
                <w:tcPr>
                  <w:tcW w:w="522" w:type="dxa"/>
                  <w:vMerge w:val="restart"/>
                  <w:vAlign w:val="center"/>
                </w:tcPr>
                <w:p w14:paraId="35AA2B00">
                  <w:pPr>
                    <w:adjustRightInd w:val="0"/>
                    <w:snapToGrid w:val="0"/>
                    <w:spacing w:line="240" w:lineRule="auto"/>
                    <w:jc w:val="center"/>
                    <w:rPr>
                      <w:sz w:val="21"/>
                      <w:szCs w:val="21"/>
                    </w:rPr>
                  </w:pPr>
                  <w:r>
                    <w:rPr>
                      <w:b/>
                      <w:sz w:val="21"/>
                      <w:szCs w:val="21"/>
                    </w:rPr>
                    <w:t>序号</w:t>
                  </w:r>
                </w:p>
              </w:tc>
              <w:tc>
                <w:tcPr>
                  <w:tcW w:w="1357" w:type="dxa"/>
                  <w:vMerge w:val="restart"/>
                  <w:vAlign w:val="center"/>
                </w:tcPr>
                <w:p w14:paraId="09CC6B22">
                  <w:pPr>
                    <w:adjustRightInd w:val="0"/>
                    <w:snapToGrid w:val="0"/>
                    <w:spacing w:line="240" w:lineRule="auto"/>
                    <w:jc w:val="center"/>
                    <w:rPr>
                      <w:sz w:val="21"/>
                      <w:szCs w:val="21"/>
                    </w:rPr>
                  </w:pPr>
                  <w:r>
                    <w:rPr>
                      <w:b/>
                      <w:sz w:val="21"/>
                      <w:szCs w:val="21"/>
                    </w:rPr>
                    <w:t>声源名称</w:t>
                  </w:r>
                </w:p>
              </w:tc>
              <w:tc>
                <w:tcPr>
                  <w:tcW w:w="2410" w:type="dxa"/>
                  <w:gridSpan w:val="3"/>
                  <w:vAlign w:val="center"/>
                </w:tcPr>
                <w:p w14:paraId="73A46021">
                  <w:pPr>
                    <w:adjustRightInd w:val="0"/>
                    <w:snapToGrid w:val="0"/>
                    <w:spacing w:line="240" w:lineRule="auto"/>
                    <w:jc w:val="center"/>
                    <w:rPr>
                      <w:sz w:val="21"/>
                      <w:szCs w:val="21"/>
                    </w:rPr>
                  </w:pPr>
                  <w:r>
                    <w:rPr>
                      <w:b/>
                      <w:sz w:val="21"/>
                      <w:szCs w:val="21"/>
                    </w:rPr>
                    <w:t>空间相对位置/m</w:t>
                  </w:r>
                </w:p>
              </w:tc>
              <w:tc>
                <w:tcPr>
                  <w:tcW w:w="1328" w:type="dxa"/>
                  <w:vAlign w:val="center"/>
                </w:tcPr>
                <w:p w14:paraId="6BB87F36">
                  <w:pPr>
                    <w:adjustRightInd w:val="0"/>
                    <w:snapToGrid w:val="0"/>
                    <w:spacing w:line="240" w:lineRule="auto"/>
                    <w:jc w:val="center"/>
                    <w:rPr>
                      <w:sz w:val="21"/>
                      <w:szCs w:val="21"/>
                    </w:rPr>
                  </w:pPr>
                  <w:r>
                    <w:rPr>
                      <w:b/>
                      <w:sz w:val="21"/>
                      <w:szCs w:val="21"/>
                    </w:rPr>
                    <w:t>声源源强</w:t>
                  </w:r>
                </w:p>
              </w:tc>
              <w:tc>
                <w:tcPr>
                  <w:tcW w:w="1809" w:type="dxa"/>
                  <w:vMerge w:val="restart"/>
                  <w:vAlign w:val="center"/>
                </w:tcPr>
                <w:p w14:paraId="01D3A898">
                  <w:pPr>
                    <w:adjustRightInd w:val="0"/>
                    <w:snapToGrid w:val="0"/>
                    <w:spacing w:line="240" w:lineRule="auto"/>
                    <w:jc w:val="center"/>
                    <w:rPr>
                      <w:b/>
                      <w:sz w:val="21"/>
                      <w:szCs w:val="21"/>
                    </w:rPr>
                  </w:pPr>
                  <w:r>
                    <w:rPr>
                      <w:b/>
                      <w:sz w:val="21"/>
                      <w:szCs w:val="21"/>
                    </w:rPr>
                    <w:t>声源</w:t>
                  </w:r>
                </w:p>
                <w:p w14:paraId="5C69585B">
                  <w:pPr>
                    <w:adjustRightInd w:val="0"/>
                    <w:snapToGrid w:val="0"/>
                    <w:spacing w:line="240" w:lineRule="auto"/>
                    <w:jc w:val="center"/>
                    <w:rPr>
                      <w:sz w:val="21"/>
                      <w:szCs w:val="21"/>
                    </w:rPr>
                  </w:pPr>
                  <w:r>
                    <w:rPr>
                      <w:b/>
                      <w:sz w:val="21"/>
                      <w:szCs w:val="21"/>
                    </w:rPr>
                    <w:t>控制措施</w:t>
                  </w:r>
                </w:p>
              </w:tc>
              <w:tc>
                <w:tcPr>
                  <w:tcW w:w="994" w:type="dxa"/>
                  <w:vMerge w:val="restart"/>
                  <w:vAlign w:val="center"/>
                </w:tcPr>
                <w:p w14:paraId="626EE1D9">
                  <w:pPr>
                    <w:adjustRightInd w:val="0"/>
                    <w:snapToGrid w:val="0"/>
                    <w:spacing w:line="240" w:lineRule="auto"/>
                    <w:jc w:val="center"/>
                    <w:rPr>
                      <w:b/>
                      <w:sz w:val="21"/>
                      <w:szCs w:val="21"/>
                    </w:rPr>
                  </w:pPr>
                  <w:r>
                    <w:rPr>
                      <w:b/>
                      <w:sz w:val="21"/>
                      <w:szCs w:val="21"/>
                    </w:rPr>
                    <w:t>运行</w:t>
                  </w:r>
                </w:p>
                <w:p w14:paraId="4A3F442C">
                  <w:pPr>
                    <w:adjustRightInd w:val="0"/>
                    <w:snapToGrid w:val="0"/>
                    <w:spacing w:line="240" w:lineRule="auto"/>
                    <w:jc w:val="center"/>
                    <w:rPr>
                      <w:sz w:val="21"/>
                      <w:szCs w:val="21"/>
                    </w:rPr>
                  </w:pPr>
                  <w:r>
                    <w:rPr>
                      <w:b/>
                      <w:sz w:val="21"/>
                      <w:szCs w:val="21"/>
                    </w:rPr>
                    <w:t>时段</w:t>
                  </w:r>
                </w:p>
              </w:tc>
            </w:tr>
            <w:tr w14:paraId="0DC4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22" w:type="dxa"/>
                  <w:vMerge w:val="continue"/>
                  <w:shd w:val="clear" w:color="auto" w:fill="FFFFFF"/>
                  <w:vAlign w:val="center"/>
                </w:tcPr>
                <w:p w14:paraId="569F7834">
                  <w:pPr>
                    <w:adjustRightInd w:val="0"/>
                    <w:snapToGrid w:val="0"/>
                    <w:spacing w:line="240" w:lineRule="auto"/>
                    <w:jc w:val="center"/>
                    <w:rPr>
                      <w:sz w:val="21"/>
                      <w:szCs w:val="21"/>
                    </w:rPr>
                  </w:pPr>
                </w:p>
              </w:tc>
              <w:tc>
                <w:tcPr>
                  <w:tcW w:w="1357" w:type="dxa"/>
                  <w:vMerge w:val="continue"/>
                  <w:shd w:val="clear" w:color="auto" w:fill="FFFFFF"/>
                  <w:vAlign w:val="center"/>
                </w:tcPr>
                <w:p w14:paraId="781697C4">
                  <w:pPr>
                    <w:adjustRightInd w:val="0"/>
                    <w:snapToGrid w:val="0"/>
                    <w:spacing w:line="240" w:lineRule="auto"/>
                    <w:jc w:val="center"/>
                    <w:rPr>
                      <w:sz w:val="21"/>
                      <w:szCs w:val="21"/>
                    </w:rPr>
                  </w:pPr>
                </w:p>
              </w:tc>
              <w:tc>
                <w:tcPr>
                  <w:tcW w:w="803" w:type="dxa"/>
                  <w:shd w:val="clear" w:color="auto" w:fill="FFFFFF"/>
                  <w:vAlign w:val="center"/>
                </w:tcPr>
                <w:p w14:paraId="018A06B7">
                  <w:pPr>
                    <w:adjustRightInd w:val="0"/>
                    <w:snapToGrid w:val="0"/>
                    <w:spacing w:line="240" w:lineRule="auto"/>
                    <w:jc w:val="center"/>
                    <w:rPr>
                      <w:sz w:val="21"/>
                      <w:szCs w:val="21"/>
                    </w:rPr>
                  </w:pPr>
                  <w:r>
                    <w:rPr>
                      <w:sz w:val="21"/>
                      <w:szCs w:val="21"/>
                    </w:rPr>
                    <w:t>X</w:t>
                  </w:r>
                </w:p>
              </w:tc>
              <w:tc>
                <w:tcPr>
                  <w:tcW w:w="803" w:type="dxa"/>
                  <w:shd w:val="clear" w:color="auto" w:fill="FFFFFF"/>
                  <w:vAlign w:val="center"/>
                </w:tcPr>
                <w:p w14:paraId="31B2DF07">
                  <w:pPr>
                    <w:adjustRightInd w:val="0"/>
                    <w:snapToGrid w:val="0"/>
                    <w:spacing w:line="240" w:lineRule="auto"/>
                    <w:jc w:val="center"/>
                    <w:rPr>
                      <w:sz w:val="21"/>
                      <w:szCs w:val="21"/>
                    </w:rPr>
                  </w:pPr>
                  <w:r>
                    <w:rPr>
                      <w:sz w:val="21"/>
                      <w:szCs w:val="21"/>
                    </w:rPr>
                    <w:t>Y</w:t>
                  </w:r>
                </w:p>
              </w:tc>
              <w:tc>
                <w:tcPr>
                  <w:tcW w:w="804" w:type="dxa"/>
                  <w:shd w:val="clear" w:color="auto" w:fill="FFFFFF"/>
                  <w:vAlign w:val="center"/>
                </w:tcPr>
                <w:p w14:paraId="23EAF1A2">
                  <w:pPr>
                    <w:adjustRightInd w:val="0"/>
                    <w:snapToGrid w:val="0"/>
                    <w:spacing w:line="240" w:lineRule="auto"/>
                    <w:jc w:val="center"/>
                    <w:rPr>
                      <w:sz w:val="21"/>
                      <w:szCs w:val="21"/>
                    </w:rPr>
                  </w:pPr>
                  <w:r>
                    <w:rPr>
                      <w:sz w:val="21"/>
                      <w:szCs w:val="21"/>
                    </w:rPr>
                    <w:t>Z</w:t>
                  </w:r>
                </w:p>
              </w:tc>
              <w:tc>
                <w:tcPr>
                  <w:tcW w:w="1328" w:type="dxa"/>
                  <w:shd w:val="clear" w:color="auto" w:fill="FFFFFF"/>
                  <w:vAlign w:val="center"/>
                </w:tcPr>
                <w:p w14:paraId="4D0ABCF1">
                  <w:pPr>
                    <w:adjustRightInd w:val="0"/>
                    <w:snapToGrid w:val="0"/>
                    <w:spacing w:line="240" w:lineRule="auto"/>
                    <w:jc w:val="center"/>
                    <w:rPr>
                      <w:sz w:val="21"/>
                      <w:szCs w:val="21"/>
                    </w:rPr>
                  </w:pPr>
                  <w:r>
                    <w:rPr>
                      <w:sz w:val="21"/>
                      <w:szCs w:val="21"/>
                    </w:rPr>
                    <w:t>声功率级/dB(A)</w:t>
                  </w:r>
                </w:p>
              </w:tc>
              <w:tc>
                <w:tcPr>
                  <w:tcW w:w="1809" w:type="dxa"/>
                  <w:vMerge w:val="continue"/>
                  <w:shd w:val="clear" w:color="auto" w:fill="FFFFFF"/>
                  <w:vAlign w:val="center"/>
                </w:tcPr>
                <w:p w14:paraId="495A1705">
                  <w:pPr>
                    <w:adjustRightInd w:val="0"/>
                    <w:snapToGrid w:val="0"/>
                    <w:spacing w:line="240" w:lineRule="auto"/>
                    <w:jc w:val="center"/>
                    <w:rPr>
                      <w:sz w:val="21"/>
                      <w:szCs w:val="21"/>
                    </w:rPr>
                  </w:pPr>
                </w:p>
              </w:tc>
              <w:tc>
                <w:tcPr>
                  <w:tcW w:w="994" w:type="dxa"/>
                  <w:vMerge w:val="continue"/>
                  <w:shd w:val="clear" w:color="auto" w:fill="FFFFFF"/>
                  <w:vAlign w:val="center"/>
                </w:tcPr>
                <w:p w14:paraId="778893D3">
                  <w:pPr>
                    <w:adjustRightInd w:val="0"/>
                    <w:snapToGrid w:val="0"/>
                    <w:spacing w:line="240" w:lineRule="auto"/>
                    <w:jc w:val="center"/>
                    <w:rPr>
                      <w:sz w:val="21"/>
                      <w:szCs w:val="21"/>
                    </w:rPr>
                  </w:pPr>
                </w:p>
              </w:tc>
            </w:tr>
            <w:tr w14:paraId="728E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jc w:val="center"/>
              </w:trPr>
              <w:tc>
                <w:tcPr>
                  <w:tcW w:w="522" w:type="dxa"/>
                  <w:shd w:val="clear" w:color="auto" w:fill="FFFFFF"/>
                  <w:vAlign w:val="center"/>
                </w:tcPr>
                <w:p w14:paraId="38634C84">
                  <w:pPr>
                    <w:adjustRightInd w:val="0"/>
                    <w:snapToGrid w:val="0"/>
                    <w:spacing w:line="240" w:lineRule="auto"/>
                    <w:jc w:val="center"/>
                    <w:rPr>
                      <w:sz w:val="21"/>
                      <w:szCs w:val="21"/>
                    </w:rPr>
                  </w:pPr>
                  <w:r>
                    <w:rPr>
                      <w:sz w:val="21"/>
                      <w:szCs w:val="21"/>
                    </w:rPr>
                    <w:t>1</w:t>
                  </w:r>
                </w:p>
              </w:tc>
              <w:tc>
                <w:tcPr>
                  <w:tcW w:w="1357" w:type="dxa"/>
                  <w:shd w:val="clear" w:color="auto" w:fill="FFFFFF"/>
                  <w:vAlign w:val="center"/>
                </w:tcPr>
                <w:p w14:paraId="4EB4F23B">
                  <w:pPr>
                    <w:adjustRightInd w:val="0"/>
                    <w:snapToGrid w:val="0"/>
                    <w:spacing w:line="240" w:lineRule="auto"/>
                    <w:jc w:val="center"/>
                    <w:rPr>
                      <w:sz w:val="21"/>
                      <w:szCs w:val="21"/>
                    </w:rPr>
                  </w:pPr>
                  <w:r>
                    <w:rPr>
                      <w:sz w:val="21"/>
                      <w:szCs w:val="21"/>
                    </w:rPr>
                    <w:t>板框压滤机</w:t>
                  </w:r>
                </w:p>
              </w:tc>
              <w:tc>
                <w:tcPr>
                  <w:tcW w:w="803" w:type="dxa"/>
                  <w:shd w:val="clear" w:color="auto" w:fill="FFFFFF"/>
                  <w:vAlign w:val="center"/>
                </w:tcPr>
                <w:p w14:paraId="497BD026">
                  <w:pPr>
                    <w:adjustRightInd w:val="0"/>
                    <w:snapToGrid w:val="0"/>
                    <w:spacing w:line="240" w:lineRule="auto"/>
                    <w:jc w:val="center"/>
                    <w:rPr>
                      <w:sz w:val="21"/>
                      <w:szCs w:val="21"/>
                    </w:rPr>
                  </w:pPr>
                  <w:r>
                    <w:rPr>
                      <w:sz w:val="21"/>
                      <w:szCs w:val="21"/>
                    </w:rPr>
                    <w:t>-23.5</w:t>
                  </w:r>
                </w:p>
              </w:tc>
              <w:tc>
                <w:tcPr>
                  <w:tcW w:w="803" w:type="dxa"/>
                  <w:shd w:val="clear" w:color="auto" w:fill="FFFFFF"/>
                  <w:vAlign w:val="center"/>
                </w:tcPr>
                <w:p w14:paraId="611C018F">
                  <w:pPr>
                    <w:adjustRightInd w:val="0"/>
                    <w:snapToGrid w:val="0"/>
                    <w:spacing w:line="240" w:lineRule="auto"/>
                    <w:jc w:val="center"/>
                    <w:rPr>
                      <w:sz w:val="21"/>
                      <w:szCs w:val="21"/>
                    </w:rPr>
                  </w:pPr>
                  <w:r>
                    <w:rPr>
                      <w:sz w:val="21"/>
                      <w:szCs w:val="21"/>
                    </w:rPr>
                    <w:t>-66.5</w:t>
                  </w:r>
                </w:p>
              </w:tc>
              <w:tc>
                <w:tcPr>
                  <w:tcW w:w="804" w:type="dxa"/>
                  <w:shd w:val="clear" w:color="auto" w:fill="FFFFFF"/>
                  <w:vAlign w:val="center"/>
                </w:tcPr>
                <w:p w14:paraId="526FFDCD">
                  <w:pPr>
                    <w:adjustRightInd w:val="0"/>
                    <w:snapToGrid w:val="0"/>
                    <w:spacing w:line="240" w:lineRule="auto"/>
                    <w:jc w:val="center"/>
                    <w:rPr>
                      <w:sz w:val="21"/>
                      <w:szCs w:val="21"/>
                    </w:rPr>
                  </w:pPr>
                  <w:r>
                    <w:rPr>
                      <w:sz w:val="21"/>
                      <w:szCs w:val="21"/>
                    </w:rPr>
                    <w:t>1.2</w:t>
                  </w:r>
                </w:p>
              </w:tc>
              <w:tc>
                <w:tcPr>
                  <w:tcW w:w="1328" w:type="dxa"/>
                  <w:shd w:val="clear" w:color="auto" w:fill="FFFFFF"/>
                  <w:vAlign w:val="center"/>
                </w:tcPr>
                <w:p w14:paraId="4E17055A">
                  <w:pPr>
                    <w:adjustRightInd w:val="0"/>
                    <w:snapToGrid w:val="0"/>
                    <w:spacing w:line="240" w:lineRule="auto"/>
                    <w:jc w:val="center"/>
                    <w:rPr>
                      <w:sz w:val="21"/>
                      <w:szCs w:val="21"/>
                    </w:rPr>
                  </w:pPr>
                  <w:r>
                    <w:rPr>
                      <w:rFonts w:hint="eastAsia"/>
                      <w:sz w:val="21"/>
                      <w:szCs w:val="21"/>
                    </w:rPr>
                    <w:t>7</w:t>
                  </w:r>
                  <w:r>
                    <w:rPr>
                      <w:sz w:val="21"/>
                      <w:szCs w:val="21"/>
                    </w:rPr>
                    <w:t>0</w:t>
                  </w:r>
                </w:p>
              </w:tc>
              <w:tc>
                <w:tcPr>
                  <w:tcW w:w="1809" w:type="dxa"/>
                  <w:shd w:val="clear" w:color="auto" w:fill="FFFFFF"/>
                  <w:vAlign w:val="center"/>
                </w:tcPr>
                <w:p w14:paraId="36D0CC56">
                  <w:pPr>
                    <w:adjustRightInd w:val="0"/>
                    <w:snapToGrid w:val="0"/>
                    <w:spacing w:line="240" w:lineRule="auto"/>
                    <w:jc w:val="center"/>
                    <w:rPr>
                      <w:sz w:val="21"/>
                      <w:szCs w:val="21"/>
                    </w:rPr>
                  </w:pPr>
                  <w:r>
                    <w:rPr>
                      <w:sz w:val="21"/>
                      <w:szCs w:val="21"/>
                    </w:rPr>
                    <w:t>隔声、减振、消声</w:t>
                  </w:r>
                </w:p>
              </w:tc>
              <w:tc>
                <w:tcPr>
                  <w:tcW w:w="994" w:type="dxa"/>
                  <w:shd w:val="clear" w:color="auto" w:fill="FFFFFF"/>
                  <w:vAlign w:val="center"/>
                </w:tcPr>
                <w:p w14:paraId="6ED8A699">
                  <w:pPr>
                    <w:adjustRightInd w:val="0"/>
                    <w:snapToGrid w:val="0"/>
                    <w:spacing w:line="240" w:lineRule="auto"/>
                    <w:jc w:val="center"/>
                    <w:rPr>
                      <w:sz w:val="21"/>
                      <w:szCs w:val="21"/>
                    </w:rPr>
                  </w:pPr>
                  <w:r>
                    <w:rPr>
                      <w:rFonts w:hint="eastAsia"/>
                      <w:sz w:val="21"/>
                      <w:szCs w:val="21"/>
                    </w:rPr>
                    <w:t>8h</w:t>
                  </w:r>
                </w:p>
              </w:tc>
            </w:tr>
            <w:tr w14:paraId="43EA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jc w:val="center"/>
              </w:trPr>
              <w:tc>
                <w:tcPr>
                  <w:tcW w:w="522" w:type="dxa"/>
                  <w:shd w:val="clear" w:color="auto" w:fill="FFFFFF"/>
                  <w:vAlign w:val="center"/>
                </w:tcPr>
                <w:p w14:paraId="2F8A6EA8">
                  <w:pPr>
                    <w:adjustRightInd w:val="0"/>
                    <w:snapToGrid w:val="0"/>
                    <w:spacing w:line="240" w:lineRule="auto"/>
                    <w:jc w:val="center"/>
                    <w:rPr>
                      <w:sz w:val="21"/>
                      <w:szCs w:val="21"/>
                    </w:rPr>
                  </w:pPr>
                  <w:r>
                    <w:rPr>
                      <w:sz w:val="21"/>
                      <w:szCs w:val="21"/>
                    </w:rPr>
                    <w:t>2</w:t>
                  </w:r>
                </w:p>
              </w:tc>
              <w:tc>
                <w:tcPr>
                  <w:tcW w:w="1357" w:type="dxa"/>
                  <w:shd w:val="clear" w:color="auto" w:fill="FFFFFF"/>
                  <w:vAlign w:val="center"/>
                </w:tcPr>
                <w:p w14:paraId="202A387B">
                  <w:pPr>
                    <w:adjustRightInd w:val="0"/>
                    <w:snapToGrid w:val="0"/>
                    <w:spacing w:line="240" w:lineRule="auto"/>
                    <w:jc w:val="center"/>
                    <w:rPr>
                      <w:sz w:val="21"/>
                      <w:szCs w:val="21"/>
                    </w:rPr>
                  </w:pPr>
                  <w:r>
                    <w:rPr>
                      <w:sz w:val="21"/>
                      <w:szCs w:val="21"/>
                    </w:rPr>
                    <w:t>水泵</w:t>
                  </w:r>
                </w:p>
              </w:tc>
              <w:tc>
                <w:tcPr>
                  <w:tcW w:w="803" w:type="dxa"/>
                  <w:shd w:val="clear" w:color="auto" w:fill="FFFFFF"/>
                  <w:vAlign w:val="center"/>
                </w:tcPr>
                <w:p w14:paraId="24E868BC">
                  <w:pPr>
                    <w:adjustRightInd w:val="0"/>
                    <w:snapToGrid w:val="0"/>
                    <w:spacing w:line="240" w:lineRule="auto"/>
                    <w:jc w:val="center"/>
                    <w:rPr>
                      <w:sz w:val="21"/>
                      <w:szCs w:val="21"/>
                    </w:rPr>
                  </w:pPr>
                  <w:r>
                    <w:rPr>
                      <w:sz w:val="21"/>
                      <w:szCs w:val="21"/>
                    </w:rPr>
                    <w:t>0</w:t>
                  </w:r>
                </w:p>
              </w:tc>
              <w:tc>
                <w:tcPr>
                  <w:tcW w:w="803" w:type="dxa"/>
                  <w:shd w:val="clear" w:color="auto" w:fill="FFFFFF"/>
                  <w:vAlign w:val="center"/>
                </w:tcPr>
                <w:p w14:paraId="56A93529">
                  <w:pPr>
                    <w:adjustRightInd w:val="0"/>
                    <w:snapToGrid w:val="0"/>
                    <w:spacing w:line="240" w:lineRule="auto"/>
                    <w:jc w:val="center"/>
                    <w:rPr>
                      <w:sz w:val="21"/>
                      <w:szCs w:val="21"/>
                    </w:rPr>
                  </w:pPr>
                  <w:r>
                    <w:rPr>
                      <w:sz w:val="21"/>
                      <w:szCs w:val="21"/>
                    </w:rPr>
                    <w:t>23.8</w:t>
                  </w:r>
                </w:p>
              </w:tc>
              <w:tc>
                <w:tcPr>
                  <w:tcW w:w="804" w:type="dxa"/>
                  <w:shd w:val="clear" w:color="auto" w:fill="FFFFFF"/>
                  <w:vAlign w:val="center"/>
                </w:tcPr>
                <w:p w14:paraId="6C99DA7D">
                  <w:pPr>
                    <w:adjustRightInd w:val="0"/>
                    <w:snapToGrid w:val="0"/>
                    <w:spacing w:line="240" w:lineRule="auto"/>
                    <w:jc w:val="center"/>
                    <w:rPr>
                      <w:sz w:val="21"/>
                      <w:szCs w:val="21"/>
                    </w:rPr>
                  </w:pPr>
                  <w:r>
                    <w:rPr>
                      <w:sz w:val="21"/>
                      <w:szCs w:val="21"/>
                    </w:rPr>
                    <w:t>1.2</w:t>
                  </w:r>
                </w:p>
              </w:tc>
              <w:tc>
                <w:tcPr>
                  <w:tcW w:w="1328" w:type="dxa"/>
                  <w:shd w:val="clear" w:color="auto" w:fill="FFFFFF"/>
                  <w:vAlign w:val="center"/>
                </w:tcPr>
                <w:p w14:paraId="76CD9BE1">
                  <w:pPr>
                    <w:adjustRightInd w:val="0"/>
                    <w:snapToGrid w:val="0"/>
                    <w:spacing w:line="240" w:lineRule="auto"/>
                    <w:jc w:val="center"/>
                    <w:rPr>
                      <w:sz w:val="21"/>
                      <w:szCs w:val="21"/>
                    </w:rPr>
                  </w:pPr>
                  <w:r>
                    <w:rPr>
                      <w:sz w:val="21"/>
                      <w:szCs w:val="21"/>
                    </w:rPr>
                    <w:t>80</w:t>
                  </w:r>
                </w:p>
              </w:tc>
              <w:tc>
                <w:tcPr>
                  <w:tcW w:w="1809" w:type="dxa"/>
                  <w:shd w:val="clear" w:color="auto" w:fill="FFFFFF"/>
                  <w:vAlign w:val="center"/>
                </w:tcPr>
                <w:p w14:paraId="46E2C10B">
                  <w:pPr>
                    <w:adjustRightInd w:val="0"/>
                    <w:snapToGrid w:val="0"/>
                    <w:spacing w:line="240" w:lineRule="auto"/>
                    <w:jc w:val="center"/>
                    <w:rPr>
                      <w:sz w:val="21"/>
                      <w:szCs w:val="21"/>
                    </w:rPr>
                  </w:pPr>
                  <w:r>
                    <w:rPr>
                      <w:sz w:val="21"/>
                      <w:szCs w:val="21"/>
                    </w:rPr>
                    <w:t>隔声、减振、消声</w:t>
                  </w:r>
                </w:p>
              </w:tc>
              <w:tc>
                <w:tcPr>
                  <w:tcW w:w="994" w:type="dxa"/>
                  <w:shd w:val="clear" w:color="auto" w:fill="FFFFFF"/>
                  <w:vAlign w:val="center"/>
                </w:tcPr>
                <w:p w14:paraId="2AF613C0">
                  <w:pPr>
                    <w:adjustRightInd w:val="0"/>
                    <w:snapToGrid w:val="0"/>
                    <w:spacing w:line="240" w:lineRule="auto"/>
                    <w:jc w:val="center"/>
                    <w:rPr>
                      <w:sz w:val="21"/>
                      <w:szCs w:val="21"/>
                    </w:rPr>
                  </w:pPr>
                  <w:r>
                    <w:rPr>
                      <w:rFonts w:hint="eastAsia"/>
                      <w:sz w:val="21"/>
                      <w:szCs w:val="21"/>
                    </w:rPr>
                    <w:t>8h</w:t>
                  </w:r>
                </w:p>
              </w:tc>
            </w:tr>
          </w:tbl>
          <w:p w14:paraId="7678008D">
            <w:pPr>
              <w:autoSpaceDE w:val="0"/>
              <w:autoSpaceDN w:val="0"/>
              <w:adjustRightInd w:val="0"/>
              <w:snapToGrid w:val="0"/>
              <w:ind w:firstLine="480" w:firstLineChars="200"/>
            </w:pPr>
            <w:r>
              <w:t>表中坐标以厂界中心（</w:t>
            </w:r>
            <w:bookmarkStart w:id="99" w:name="PO_6"/>
            <w:r>
              <w:t>109.633285,26.558727</w:t>
            </w:r>
            <w:bookmarkEnd w:id="99"/>
            <w:r>
              <w:t>）为坐标原点，正东向为X轴正方向，正北向为Y轴正方向</w:t>
            </w:r>
            <w:r>
              <w:rPr>
                <w:rFonts w:hint="eastAsia"/>
              </w:rPr>
              <w:t>。</w:t>
            </w:r>
          </w:p>
          <w:p w14:paraId="4DF37AE3">
            <w:pPr>
              <w:pStyle w:val="40"/>
              <w:numPr>
                <w:ilvl w:val="3"/>
                <w:numId w:val="0"/>
              </w:numPr>
              <w:adjustRightInd w:val="0"/>
              <w:snapToGrid w:val="0"/>
              <w:spacing w:line="240" w:lineRule="auto"/>
              <w:jc w:val="center"/>
              <w:rPr>
                <w:color w:val="0000C7"/>
              </w:rPr>
            </w:pPr>
            <w:r>
              <w:rPr>
                <w:bCs/>
                <w:sz w:val="21"/>
                <w:szCs w:val="21"/>
              </w:rPr>
              <w:t>表4-</w:t>
            </w:r>
            <w:r>
              <w:rPr>
                <w:rFonts w:hint="eastAsia"/>
                <w:bCs/>
                <w:sz w:val="21"/>
                <w:szCs w:val="21"/>
                <w:lang w:val="en-US" w:eastAsia="zh-CN"/>
              </w:rPr>
              <w:t>11</w:t>
            </w:r>
            <w:r>
              <w:rPr>
                <w:rFonts w:hint="eastAsia"/>
                <w:bCs/>
                <w:sz w:val="21"/>
                <w:szCs w:val="21"/>
              </w:rPr>
              <w:t xml:space="preserve"> </w:t>
            </w:r>
            <w:r>
              <w:rPr>
                <w:bCs/>
                <w:sz w:val="21"/>
                <w:szCs w:val="21"/>
              </w:rPr>
              <w:t xml:space="preserve"> 工业企业噪声源强调查清单（室内声源）</w:t>
            </w:r>
          </w:p>
          <w:tbl>
            <w:tblPr>
              <w:tblStyle w:val="24"/>
              <w:tblpPr w:leftFromText="180" w:rightFromText="180" w:vertAnchor="text" w:horzAnchor="page" w:tblpXSpec="center" w:tblpY="323"/>
              <w:tblOverlap w:val="never"/>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
              <w:gridCol w:w="372"/>
              <w:gridCol w:w="372"/>
              <w:gridCol w:w="372"/>
              <w:gridCol w:w="503"/>
              <w:gridCol w:w="374"/>
              <w:gridCol w:w="352"/>
              <w:gridCol w:w="352"/>
              <w:gridCol w:w="216"/>
              <w:gridCol w:w="293"/>
              <w:gridCol w:w="293"/>
              <w:gridCol w:w="293"/>
              <w:gridCol w:w="293"/>
              <w:gridCol w:w="293"/>
              <w:gridCol w:w="293"/>
              <w:gridCol w:w="293"/>
              <w:gridCol w:w="293"/>
              <w:gridCol w:w="372"/>
              <w:gridCol w:w="293"/>
              <w:gridCol w:w="293"/>
              <w:gridCol w:w="293"/>
              <w:gridCol w:w="293"/>
              <w:gridCol w:w="291"/>
              <w:gridCol w:w="291"/>
              <w:gridCol w:w="291"/>
              <w:gridCol w:w="289"/>
              <w:gridCol w:w="172"/>
            </w:tblGrid>
            <w:tr w14:paraId="06FA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exact"/>
                <w:jc w:val="center"/>
              </w:trPr>
              <w:tc>
                <w:tcPr>
                  <w:tcW w:w="212" w:type="pct"/>
                  <w:vMerge w:val="restart"/>
                  <w:vAlign w:val="center"/>
                </w:tcPr>
                <w:p w14:paraId="0D154F55">
                  <w:pPr>
                    <w:jc w:val="center"/>
                    <w:rPr>
                      <w:rFonts w:eastAsiaTheme="minorEastAsia"/>
                      <w:sz w:val="21"/>
                      <w:szCs w:val="21"/>
                    </w:rPr>
                  </w:pPr>
                  <w:bookmarkStart w:id="100" w:name="PT_6"/>
                  <w:r>
                    <w:rPr>
                      <w:rFonts w:eastAsiaTheme="minorEastAsia"/>
                      <w:b/>
                      <w:sz w:val="21"/>
                      <w:szCs w:val="21"/>
                    </w:rPr>
                    <w:t>序号</w:t>
                  </w:r>
                </w:p>
              </w:tc>
              <w:tc>
                <w:tcPr>
                  <w:tcW w:w="212" w:type="pct"/>
                  <w:vMerge w:val="restart"/>
                  <w:vAlign w:val="center"/>
                </w:tcPr>
                <w:p w14:paraId="0F081ADD">
                  <w:pPr>
                    <w:jc w:val="center"/>
                    <w:rPr>
                      <w:rFonts w:eastAsiaTheme="minorEastAsia"/>
                      <w:sz w:val="21"/>
                      <w:szCs w:val="21"/>
                    </w:rPr>
                  </w:pPr>
                  <w:r>
                    <w:rPr>
                      <w:rFonts w:eastAsiaTheme="minorEastAsia"/>
                      <w:b/>
                      <w:sz w:val="21"/>
                      <w:szCs w:val="21"/>
                    </w:rPr>
                    <w:t>建筑物名称</w:t>
                  </w:r>
                </w:p>
              </w:tc>
              <w:tc>
                <w:tcPr>
                  <w:tcW w:w="212" w:type="pct"/>
                  <w:vMerge w:val="restart"/>
                  <w:vAlign w:val="center"/>
                </w:tcPr>
                <w:p w14:paraId="353DC5E4">
                  <w:pPr>
                    <w:jc w:val="center"/>
                    <w:rPr>
                      <w:rFonts w:eastAsiaTheme="minorEastAsia"/>
                      <w:sz w:val="21"/>
                      <w:szCs w:val="21"/>
                    </w:rPr>
                  </w:pPr>
                  <w:r>
                    <w:rPr>
                      <w:rFonts w:eastAsiaTheme="minorEastAsia"/>
                      <w:b/>
                      <w:sz w:val="21"/>
                      <w:szCs w:val="21"/>
                    </w:rPr>
                    <w:t>声源名称</w:t>
                  </w:r>
                </w:p>
              </w:tc>
              <w:tc>
                <w:tcPr>
                  <w:tcW w:w="212" w:type="pct"/>
                  <w:vMerge w:val="restart"/>
                  <w:vAlign w:val="center"/>
                </w:tcPr>
                <w:p w14:paraId="4C9EE86C">
                  <w:pPr>
                    <w:jc w:val="center"/>
                    <w:rPr>
                      <w:rFonts w:eastAsiaTheme="minorEastAsia"/>
                      <w:sz w:val="21"/>
                      <w:szCs w:val="21"/>
                    </w:rPr>
                  </w:pPr>
                  <w:r>
                    <w:rPr>
                      <w:rFonts w:eastAsiaTheme="minorEastAsia"/>
                      <w:b/>
                      <w:sz w:val="21"/>
                      <w:szCs w:val="21"/>
                    </w:rPr>
                    <w:t>型号</w:t>
                  </w:r>
                </w:p>
              </w:tc>
              <w:tc>
                <w:tcPr>
                  <w:tcW w:w="286" w:type="pct"/>
                  <w:vAlign w:val="center"/>
                </w:tcPr>
                <w:p w14:paraId="2B94CDDC">
                  <w:pPr>
                    <w:jc w:val="center"/>
                    <w:rPr>
                      <w:rFonts w:eastAsiaTheme="minorEastAsia"/>
                      <w:sz w:val="21"/>
                      <w:szCs w:val="21"/>
                    </w:rPr>
                  </w:pPr>
                  <w:r>
                    <w:rPr>
                      <w:rFonts w:eastAsiaTheme="minorEastAsia"/>
                      <w:b/>
                      <w:sz w:val="21"/>
                      <w:szCs w:val="21"/>
                    </w:rPr>
                    <w:t>声源源强</w:t>
                  </w:r>
                </w:p>
              </w:tc>
              <w:tc>
                <w:tcPr>
                  <w:tcW w:w="212" w:type="pct"/>
                  <w:vMerge w:val="restart"/>
                  <w:vAlign w:val="center"/>
                </w:tcPr>
                <w:p w14:paraId="071C1513">
                  <w:pPr>
                    <w:jc w:val="center"/>
                    <w:rPr>
                      <w:rFonts w:eastAsiaTheme="minorEastAsia"/>
                      <w:sz w:val="21"/>
                      <w:szCs w:val="21"/>
                    </w:rPr>
                  </w:pPr>
                  <w:r>
                    <w:rPr>
                      <w:rFonts w:eastAsiaTheme="minorEastAsia"/>
                      <w:b/>
                      <w:sz w:val="21"/>
                      <w:szCs w:val="21"/>
                    </w:rPr>
                    <w:t>声源控制措施</w:t>
                  </w:r>
                </w:p>
              </w:tc>
              <w:tc>
                <w:tcPr>
                  <w:tcW w:w="544" w:type="pct"/>
                  <w:gridSpan w:val="3"/>
                  <w:vAlign w:val="center"/>
                </w:tcPr>
                <w:p w14:paraId="53868413">
                  <w:pPr>
                    <w:jc w:val="center"/>
                    <w:rPr>
                      <w:rFonts w:eastAsiaTheme="minorEastAsia"/>
                      <w:sz w:val="21"/>
                      <w:szCs w:val="21"/>
                    </w:rPr>
                  </w:pPr>
                  <w:r>
                    <w:rPr>
                      <w:rFonts w:eastAsiaTheme="minorEastAsia"/>
                      <w:b/>
                      <w:sz w:val="21"/>
                      <w:szCs w:val="21"/>
                    </w:rPr>
                    <w:t>空间相对位置/m</w:t>
                  </w:r>
                </w:p>
              </w:tc>
              <w:tc>
                <w:tcPr>
                  <w:tcW w:w="700" w:type="pct"/>
                  <w:gridSpan w:val="4"/>
                  <w:vAlign w:val="center"/>
                </w:tcPr>
                <w:p w14:paraId="3E06FB18">
                  <w:pPr>
                    <w:jc w:val="center"/>
                    <w:rPr>
                      <w:rFonts w:eastAsiaTheme="minorEastAsia"/>
                      <w:b/>
                      <w:sz w:val="21"/>
                      <w:szCs w:val="21"/>
                    </w:rPr>
                  </w:pPr>
                  <w:r>
                    <w:rPr>
                      <w:rFonts w:eastAsiaTheme="minorEastAsia"/>
                      <w:b/>
                      <w:sz w:val="21"/>
                      <w:szCs w:val="21"/>
                    </w:rPr>
                    <w:t>距室内边界距离/m</w:t>
                  </w:r>
                </w:p>
              </w:tc>
              <w:tc>
                <w:tcPr>
                  <w:tcW w:w="699" w:type="pct"/>
                  <w:gridSpan w:val="4"/>
                  <w:vAlign w:val="center"/>
                </w:tcPr>
                <w:p w14:paraId="1806D32A">
                  <w:pPr>
                    <w:jc w:val="center"/>
                    <w:rPr>
                      <w:rFonts w:eastAsiaTheme="minorEastAsia"/>
                      <w:b/>
                      <w:sz w:val="21"/>
                      <w:szCs w:val="21"/>
                    </w:rPr>
                  </w:pPr>
                  <w:r>
                    <w:rPr>
                      <w:rFonts w:eastAsiaTheme="minorEastAsia"/>
                      <w:b/>
                      <w:sz w:val="21"/>
                      <w:szCs w:val="21"/>
                    </w:rPr>
                    <w:t>室内边界声级/dB(A)</w:t>
                  </w:r>
                </w:p>
              </w:tc>
              <w:tc>
                <w:tcPr>
                  <w:tcW w:w="214" w:type="pct"/>
                  <w:vMerge w:val="restart"/>
                  <w:vAlign w:val="center"/>
                </w:tcPr>
                <w:p w14:paraId="707B65CA">
                  <w:pPr>
                    <w:jc w:val="center"/>
                    <w:rPr>
                      <w:rFonts w:eastAsiaTheme="minorEastAsia"/>
                      <w:sz w:val="21"/>
                      <w:szCs w:val="21"/>
                    </w:rPr>
                  </w:pPr>
                  <w:r>
                    <w:rPr>
                      <w:rFonts w:eastAsiaTheme="minorEastAsia"/>
                      <w:b/>
                      <w:sz w:val="21"/>
                      <w:szCs w:val="21"/>
                    </w:rPr>
                    <w:t>运行时段</w:t>
                  </w:r>
                </w:p>
              </w:tc>
              <w:tc>
                <w:tcPr>
                  <w:tcW w:w="699" w:type="pct"/>
                  <w:gridSpan w:val="4"/>
                  <w:vAlign w:val="center"/>
                </w:tcPr>
                <w:p w14:paraId="2B842979">
                  <w:pPr>
                    <w:jc w:val="center"/>
                    <w:rPr>
                      <w:rFonts w:eastAsiaTheme="minorEastAsia"/>
                      <w:b/>
                      <w:sz w:val="21"/>
                      <w:szCs w:val="21"/>
                    </w:rPr>
                  </w:pPr>
                  <w:r>
                    <w:rPr>
                      <w:rFonts w:eastAsiaTheme="minorEastAsia"/>
                      <w:b/>
                      <w:sz w:val="21"/>
                      <w:szCs w:val="21"/>
                    </w:rPr>
                    <w:t>建筑物插入损失 / dB(A)</w:t>
                  </w:r>
                  <w:bookmarkStart w:id="101" w:name="PT_10"/>
                  <w:bookmarkEnd w:id="101"/>
                </w:p>
              </w:tc>
              <w:tc>
                <w:tcPr>
                  <w:tcW w:w="791" w:type="pct"/>
                  <w:gridSpan w:val="5"/>
                  <w:vAlign w:val="center"/>
                </w:tcPr>
                <w:p w14:paraId="3715541F">
                  <w:pPr>
                    <w:jc w:val="center"/>
                    <w:rPr>
                      <w:rFonts w:eastAsiaTheme="minorEastAsia"/>
                      <w:b/>
                      <w:sz w:val="21"/>
                      <w:szCs w:val="21"/>
                    </w:rPr>
                  </w:pPr>
                  <w:r>
                    <w:rPr>
                      <w:rFonts w:eastAsiaTheme="minorEastAsia"/>
                      <w:b/>
                      <w:sz w:val="21"/>
                      <w:szCs w:val="21"/>
                    </w:rPr>
                    <w:t>建筑物外噪声声压级/dB(A)</w:t>
                  </w:r>
                </w:p>
              </w:tc>
            </w:tr>
            <w:tr w14:paraId="06BA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12" w:type="pct"/>
                  <w:vMerge w:val="continue"/>
                  <w:shd w:val="clear" w:color="auto" w:fill="FFFFFF"/>
                  <w:tcMar>
                    <w:top w:w="0" w:type="dxa"/>
                    <w:left w:w="0" w:type="dxa"/>
                    <w:bottom w:w="0" w:type="dxa"/>
                    <w:right w:w="0" w:type="dxa"/>
                  </w:tcMar>
                  <w:vAlign w:val="center"/>
                </w:tcPr>
                <w:p w14:paraId="4C4258B2">
                  <w:pPr>
                    <w:jc w:val="center"/>
                    <w:rPr>
                      <w:rFonts w:eastAsiaTheme="minorEastAsia"/>
                      <w:sz w:val="21"/>
                      <w:szCs w:val="21"/>
                    </w:rPr>
                  </w:pPr>
                </w:p>
              </w:tc>
              <w:tc>
                <w:tcPr>
                  <w:tcW w:w="212" w:type="pct"/>
                  <w:vMerge w:val="continue"/>
                  <w:shd w:val="clear" w:color="auto" w:fill="FFFFFF"/>
                  <w:tcMar>
                    <w:top w:w="0" w:type="dxa"/>
                    <w:left w:w="0" w:type="dxa"/>
                    <w:bottom w:w="0" w:type="dxa"/>
                    <w:right w:w="0" w:type="dxa"/>
                  </w:tcMar>
                  <w:vAlign w:val="center"/>
                </w:tcPr>
                <w:p w14:paraId="3979B757">
                  <w:pPr>
                    <w:jc w:val="center"/>
                    <w:rPr>
                      <w:rFonts w:eastAsiaTheme="minorEastAsia"/>
                      <w:sz w:val="21"/>
                      <w:szCs w:val="21"/>
                    </w:rPr>
                  </w:pPr>
                </w:p>
              </w:tc>
              <w:tc>
                <w:tcPr>
                  <w:tcW w:w="212" w:type="pct"/>
                  <w:vMerge w:val="continue"/>
                  <w:shd w:val="clear" w:color="auto" w:fill="FFFFFF"/>
                  <w:tcMar>
                    <w:top w:w="0" w:type="dxa"/>
                    <w:left w:w="0" w:type="dxa"/>
                    <w:bottom w:w="0" w:type="dxa"/>
                    <w:right w:w="0" w:type="dxa"/>
                  </w:tcMar>
                  <w:vAlign w:val="center"/>
                </w:tcPr>
                <w:p w14:paraId="7E63D2E7">
                  <w:pPr>
                    <w:jc w:val="center"/>
                    <w:rPr>
                      <w:rFonts w:eastAsiaTheme="minorEastAsia"/>
                      <w:sz w:val="21"/>
                      <w:szCs w:val="21"/>
                    </w:rPr>
                  </w:pPr>
                </w:p>
              </w:tc>
              <w:tc>
                <w:tcPr>
                  <w:tcW w:w="212" w:type="pct"/>
                  <w:vMerge w:val="continue"/>
                  <w:shd w:val="clear" w:color="auto" w:fill="FFFFFF"/>
                  <w:tcMar>
                    <w:top w:w="0" w:type="dxa"/>
                    <w:left w:w="0" w:type="dxa"/>
                    <w:bottom w:w="0" w:type="dxa"/>
                    <w:right w:w="0" w:type="dxa"/>
                  </w:tcMar>
                  <w:vAlign w:val="center"/>
                </w:tcPr>
                <w:p w14:paraId="48B8CDCB">
                  <w:pPr>
                    <w:jc w:val="center"/>
                    <w:rPr>
                      <w:rFonts w:eastAsiaTheme="minorEastAsia"/>
                      <w:sz w:val="21"/>
                      <w:szCs w:val="21"/>
                    </w:rPr>
                  </w:pPr>
                </w:p>
              </w:tc>
              <w:tc>
                <w:tcPr>
                  <w:tcW w:w="286" w:type="pct"/>
                  <w:shd w:val="clear" w:color="auto" w:fill="FFFFFF"/>
                  <w:tcMar>
                    <w:top w:w="0" w:type="dxa"/>
                    <w:left w:w="0" w:type="dxa"/>
                    <w:bottom w:w="0" w:type="dxa"/>
                    <w:right w:w="0" w:type="dxa"/>
                  </w:tcMar>
                  <w:vAlign w:val="center"/>
                </w:tcPr>
                <w:p w14:paraId="615EB803">
                  <w:pPr>
                    <w:jc w:val="center"/>
                    <w:rPr>
                      <w:rFonts w:eastAsiaTheme="minorEastAsia"/>
                      <w:sz w:val="21"/>
                      <w:szCs w:val="21"/>
                    </w:rPr>
                  </w:pPr>
                  <w:r>
                    <w:rPr>
                      <w:rFonts w:eastAsiaTheme="minorEastAsia"/>
                      <w:sz w:val="21"/>
                      <w:szCs w:val="21"/>
                    </w:rPr>
                    <w:t>声功率级/dB(A)</w:t>
                  </w:r>
                </w:p>
              </w:tc>
              <w:tc>
                <w:tcPr>
                  <w:tcW w:w="212" w:type="pct"/>
                  <w:vMerge w:val="continue"/>
                  <w:shd w:val="clear" w:color="auto" w:fill="FFFFFF"/>
                  <w:tcMar>
                    <w:top w:w="0" w:type="dxa"/>
                    <w:left w:w="0" w:type="dxa"/>
                    <w:bottom w:w="0" w:type="dxa"/>
                    <w:right w:w="0" w:type="dxa"/>
                  </w:tcMar>
                  <w:vAlign w:val="center"/>
                </w:tcPr>
                <w:p w14:paraId="778F21AA">
                  <w:pPr>
                    <w:jc w:val="center"/>
                    <w:rPr>
                      <w:rFonts w:eastAsiaTheme="minorEastAsia"/>
                      <w:sz w:val="21"/>
                      <w:szCs w:val="21"/>
                    </w:rPr>
                  </w:pPr>
                </w:p>
              </w:tc>
              <w:tc>
                <w:tcPr>
                  <w:tcW w:w="204" w:type="pct"/>
                  <w:shd w:val="clear" w:color="auto" w:fill="FFFFFF"/>
                  <w:tcMar>
                    <w:top w:w="0" w:type="dxa"/>
                    <w:left w:w="0" w:type="dxa"/>
                    <w:bottom w:w="0" w:type="dxa"/>
                    <w:right w:w="0" w:type="dxa"/>
                  </w:tcMar>
                  <w:vAlign w:val="center"/>
                </w:tcPr>
                <w:p w14:paraId="1EBFBC6B">
                  <w:pPr>
                    <w:jc w:val="center"/>
                    <w:rPr>
                      <w:rFonts w:eastAsiaTheme="minorEastAsia"/>
                      <w:sz w:val="21"/>
                      <w:szCs w:val="21"/>
                    </w:rPr>
                  </w:pPr>
                  <w:r>
                    <w:rPr>
                      <w:rFonts w:eastAsiaTheme="minorEastAsia"/>
                      <w:sz w:val="21"/>
                      <w:szCs w:val="21"/>
                    </w:rPr>
                    <w:t>X</w:t>
                  </w:r>
                </w:p>
              </w:tc>
              <w:tc>
                <w:tcPr>
                  <w:tcW w:w="205" w:type="pct"/>
                  <w:shd w:val="clear" w:color="auto" w:fill="FFFFFF"/>
                  <w:tcMar>
                    <w:top w:w="0" w:type="dxa"/>
                    <w:left w:w="0" w:type="dxa"/>
                    <w:bottom w:w="0" w:type="dxa"/>
                    <w:right w:w="0" w:type="dxa"/>
                  </w:tcMar>
                  <w:vAlign w:val="center"/>
                </w:tcPr>
                <w:p w14:paraId="16F882EC">
                  <w:pPr>
                    <w:jc w:val="center"/>
                    <w:rPr>
                      <w:rFonts w:eastAsiaTheme="minorEastAsia"/>
                      <w:sz w:val="21"/>
                      <w:szCs w:val="21"/>
                    </w:rPr>
                  </w:pPr>
                  <w:r>
                    <w:rPr>
                      <w:rFonts w:eastAsiaTheme="minorEastAsia"/>
                      <w:sz w:val="21"/>
                      <w:szCs w:val="21"/>
                    </w:rPr>
                    <w:t>Y</w:t>
                  </w:r>
                </w:p>
              </w:tc>
              <w:tc>
                <w:tcPr>
                  <w:tcW w:w="134" w:type="pct"/>
                  <w:shd w:val="clear" w:color="auto" w:fill="FFFFFF"/>
                  <w:tcMar>
                    <w:top w:w="0" w:type="dxa"/>
                    <w:left w:w="0" w:type="dxa"/>
                    <w:bottom w:w="0" w:type="dxa"/>
                    <w:right w:w="0" w:type="dxa"/>
                  </w:tcMar>
                  <w:vAlign w:val="center"/>
                </w:tcPr>
                <w:p w14:paraId="0F0B7C59">
                  <w:pPr>
                    <w:jc w:val="center"/>
                    <w:rPr>
                      <w:rFonts w:eastAsiaTheme="minorEastAsia"/>
                      <w:sz w:val="21"/>
                      <w:szCs w:val="21"/>
                    </w:rPr>
                  </w:pPr>
                  <w:r>
                    <w:rPr>
                      <w:rFonts w:eastAsiaTheme="minorEastAsia"/>
                      <w:sz w:val="21"/>
                      <w:szCs w:val="21"/>
                    </w:rPr>
                    <w:t>Z</w:t>
                  </w:r>
                </w:p>
              </w:tc>
              <w:tc>
                <w:tcPr>
                  <w:tcW w:w="174" w:type="pct"/>
                  <w:shd w:val="clear" w:color="auto" w:fill="FFFFFF"/>
                  <w:tcMar>
                    <w:top w:w="0" w:type="dxa"/>
                    <w:left w:w="0" w:type="dxa"/>
                    <w:bottom w:w="0" w:type="dxa"/>
                    <w:right w:w="0" w:type="dxa"/>
                  </w:tcMar>
                  <w:vAlign w:val="center"/>
                </w:tcPr>
                <w:p w14:paraId="21B8879D">
                  <w:pPr>
                    <w:jc w:val="center"/>
                    <w:rPr>
                      <w:rFonts w:eastAsiaTheme="minorEastAsia"/>
                      <w:sz w:val="21"/>
                      <w:szCs w:val="21"/>
                    </w:rPr>
                  </w:pPr>
                  <w:r>
                    <w:rPr>
                      <w:rFonts w:eastAsiaTheme="minorEastAsia"/>
                      <w:sz w:val="21"/>
                      <w:szCs w:val="21"/>
                    </w:rPr>
                    <w:t>东</w:t>
                  </w:r>
                </w:p>
              </w:tc>
              <w:tc>
                <w:tcPr>
                  <w:tcW w:w="174" w:type="pct"/>
                  <w:shd w:val="clear" w:color="auto" w:fill="FFFFFF"/>
                  <w:tcMar>
                    <w:top w:w="0" w:type="dxa"/>
                    <w:left w:w="0" w:type="dxa"/>
                    <w:bottom w:w="0" w:type="dxa"/>
                    <w:right w:w="0" w:type="dxa"/>
                  </w:tcMar>
                  <w:vAlign w:val="center"/>
                </w:tcPr>
                <w:p w14:paraId="5C0905EE">
                  <w:pPr>
                    <w:jc w:val="center"/>
                    <w:rPr>
                      <w:rFonts w:eastAsiaTheme="minorEastAsia"/>
                      <w:sz w:val="21"/>
                      <w:szCs w:val="21"/>
                    </w:rPr>
                  </w:pPr>
                  <w:r>
                    <w:rPr>
                      <w:rFonts w:eastAsiaTheme="minorEastAsia"/>
                      <w:sz w:val="21"/>
                      <w:szCs w:val="21"/>
                    </w:rPr>
                    <w:t>南</w:t>
                  </w:r>
                </w:p>
              </w:tc>
              <w:tc>
                <w:tcPr>
                  <w:tcW w:w="174" w:type="pct"/>
                  <w:shd w:val="clear" w:color="auto" w:fill="FFFFFF"/>
                  <w:tcMar>
                    <w:top w:w="0" w:type="dxa"/>
                    <w:left w:w="0" w:type="dxa"/>
                    <w:bottom w:w="0" w:type="dxa"/>
                    <w:right w:w="0" w:type="dxa"/>
                  </w:tcMar>
                  <w:vAlign w:val="center"/>
                </w:tcPr>
                <w:p w14:paraId="4AC0B1D5">
                  <w:pPr>
                    <w:jc w:val="center"/>
                    <w:rPr>
                      <w:rFonts w:eastAsiaTheme="minorEastAsia"/>
                      <w:sz w:val="21"/>
                      <w:szCs w:val="21"/>
                    </w:rPr>
                  </w:pPr>
                  <w:r>
                    <w:rPr>
                      <w:rFonts w:eastAsiaTheme="minorEastAsia"/>
                      <w:sz w:val="21"/>
                      <w:szCs w:val="21"/>
                    </w:rPr>
                    <w:t>西</w:t>
                  </w:r>
                </w:p>
              </w:tc>
              <w:tc>
                <w:tcPr>
                  <w:tcW w:w="177" w:type="pct"/>
                  <w:shd w:val="clear" w:color="auto" w:fill="FFFFFF"/>
                  <w:tcMar>
                    <w:top w:w="0" w:type="dxa"/>
                    <w:left w:w="0" w:type="dxa"/>
                    <w:bottom w:w="0" w:type="dxa"/>
                    <w:right w:w="0" w:type="dxa"/>
                  </w:tcMar>
                  <w:vAlign w:val="center"/>
                </w:tcPr>
                <w:p w14:paraId="71D4A9D5">
                  <w:pPr>
                    <w:jc w:val="center"/>
                    <w:rPr>
                      <w:rFonts w:eastAsiaTheme="minorEastAsia"/>
                      <w:sz w:val="21"/>
                      <w:szCs w:val="21"/>
                    </w:rPr>
                  </w:pPr>
                  <w:r>
                    <w:rPr>
                      <w:rFonts w:eastAsiaTheme="minorEastAsia"/>
                      <w:sz w:val="21"/>
                      <w:szCs w:val="21"/>
                    </w:rPr>
                    <w:t>北</w:t>
                  </w:r>
                </w:p>
              </w:tc>
              <w:tc>
                <w:tcPr>
                  <w:tcW w:w="174" w:type="pct"/>
                  <w:shd w:val="clear" w:color="auto" w:fill="FFFFFF"/>
                  <w:tcMar>
                    <w:top w:w="0" w:type="dxa"/>
                    <w:left w:w="0" w:type="dxa"/>
                    <w:bottom w:w="0" w:type="dxa"/>
                    <w:right w:w="0" w:type="dxa"/>
                  </w:tcMar>
                  <w:vAlign w:val="center"/>
                </w:tcPr>
                <w:p w14:paraId="3309DDF2">
                  <w:pPr>
                    <w:jc w:val="center"/>
                    <w:rPr>
                      <w:rFonts w:eastAsiaTheme="minorEastAsia"/>
                      <w:sz w:val="21"/>
                      <w:szCs w:val="21"/>
                    </w:rPr>
                  </w:pPr>
                  <w:r>
                    <w:rPr>
                      <w:rFonts w:eastAsiaTheme="minorEastAsia"/>
                      <w:sz w:val="21"/>
                      <w:szCs w:val="21"/>
                    </w:rPr>
                    <w:t>东</w:t>
                  </w:r>
                </w:p>
              </w:tc>
              <w:tc>
                <w:tcPr>
                  <w:tcW w:w="174" w:type="pct"/>
                  <w:shd w:val="clear" w:color="auto" w:fill="FFFFFF"/>
                  <w:tcMar>
                    <w:top w:w="0" w:type="dxa"/>
                    <w:left w:w="0" w:type="dxa"/>
                    <w:bottom w:w="0" w:type="dxa"/>
                    <w:right w:w="0" w:type="dxa"/>
                  </w:tcMar>
                  <w:vAlign w:val="center"/>
                </w:tcPr>
                <w:p w14:paraId="3CDDA89C">
                  <w:pPr>
                    <w:jc w:val="center"/>
                    <w:rPr>
                      <w:rFonts w:eastAsiaTheme="minorEastAsia"/>
                      <w:sz w:val="21"/>
                      <w:szCs w:val="21"/>
                    </w:rPr>
                  </w:pPr>
                  <w:r>
                    <w:rPr>
                      <w:rFonts w:eastAsiaTheme="minorEastAsia"/>
                      <w:sz w:val="21"/>
                      <w:szCs w:val="21"/>
                    </w:rPr>
                    <w:t>南</w:t>
                  </w:r>
                </w:p>
              </w:tc>
              <w:tc>
                <w:tcPr>
                  <w:tcW w:w="174" w:type="pct"/>
                  <w:shd w:val="clear" w:color="auto" w:fill="FFFFFF"/>
                  <w:tcMar>
                    <w:top w:w="0" w:type="dxa"/>
                    <w:left w:w="0" w:type="dxa"/>
                    <w:bottom w:w="0" w:type="dxa"/>
                    <w:right w:w="0" w:type="dxa"/>
                  </w:tcMar>
                  <w:vAlign w:val="center"/>
                </w:tcPr>
                <w:p w14:paraId="4F458F62">
                  <w:pPr>
                    <w:jc w:val="center"/>
                    <w:rPr>
                      <w:rFonts w:eastAsiaTheme="minorEastAsia"/>
                      <w:sz w:val="21"/>
                      <w:szCs w:val="21"/>
                    </w:rPr>
                  </w:pPr>
                  <w:r>
                    <w:rPr>
                      <w:rFonts w:eastAsiaTheme="minorEastAsia"/>
                      <w:sz w:val="21"/>
                      <w:szCs w:val="21"/>
                    </w:rPr>
                    <w:t>西</w:t>
                  </w:r>
                </w:p>
              </w:tc>
              <w:tc>
                <w:tcPr>
                  <w:tcW w:w="177" w:type="pct"/>
                  <w:shd w:val="clear" w:color="auto" w:fill="FFFFFF"/>
                  <w:tcMar>
                    <w:top w:w="0" w:type="dxa"/>
                    <w:left w:w="0" w:type="dxa"/>
                    <w:bottom w:w="0" w:type="dxa"/>
                    <w:right w:w="0" w:type="dxa"/>
                  </w:tcMar>
                  <w:vAlign w:val="center"/>
                </w:tcPr>
                <w:p w14:paraId="56B62BE5">
                  <w:pPr>
                    <w:jc w:val="center"/>
                    <w:rPr>
                      <w:rFonts w:eastAsiaTheme="minorEastAsia"/>
                      <w:sz w:val="21"/>
                      <w:szCs w:val="21"/>
                    </w:rPr>
                  </w:pPr>
                  <w:r>
                    <w:rPr>
                      <w:rFonts w:eastAsiaTheme="minorEastAsia"/>
                      <w:sz w:val="21"/>
                      <w:szCs w:val="21"/>
                    </w:rPr>
                    <w:t>北</w:t>
                  </w:r>
                </w:p>
              </w:tc>
              <w:tc>
                <w:tcPr>
                  <w:tcW w:w="214" w:type="pct"/>
                  <w:vMerge w:val="continue"/>
                  <w:shd w:val="clear" w:color="auto" w:fill="FFFFFF"/>
                  <w:tcMar>
                    <w:top w:w="0" w:type="dxa"/>
                    <w:left w:w="0" w:type="dxa"/>
                    <w:bottom w:w="0" w:type="dxa"/>
                    <w:right w:w="0" w:type="dxa"/>
                  </w:tcMar>
                  <w:vAlign w:val="center"/>
                </w:tcPr>
                <w:p w14:paraId="1AD188DB">
                  <w:pPr>
                    <w:jc w:val="center"/>
                    <w:rPr>
                      <w:rFonts w:eastAsiaTheme="minorEastAsia"/>
                      <w:sz w:val="21"/>
                      <w:szCs w:val="21"/>
                    </w:rPr>
                  </w:pPr>
                </w:p>
              </w:tc>
              <w:tc>
                <w:tcPr>
                  <w:tcW w:w="174" w:type="pct"/>
                  <w:shd w:val="clear" w:color="auto" w:fill="FFFFFF"/>
                  <w:tcMar>
                    <w:top w:w="0" w:type="dxa"/>
                    <w:left w:w="0" w:type="dxa"/>
                    <w:bottom w:w="0" w:type="dxa"/>
                    <w:right w:w="0" w:type="dxa"/>
                  </w:tcMar>
                  <w:vAlign w:val="center"/>
                </w:tcPr>
                <w:p w14:paraId="1C131054">
                  <w:pPr>
                    <w:jc w:val="center"/>
                    <w:rPr>
                      <w:rFonts w:eastAsiaTheme="minorEastAsia"/>
                      <w:sz w:val="21"/>
                      <w:szCs w:val="21"/>
                    </w:rPr>
                  </w:pPr>
                  <w:r>
                    <w:rPr>
                      <w:rFonts w:eastAsiaTheme="minorEastAsia"/>
                      <w:sz w:val="21"/>
                      <w:szCs w:val="21"/>
                    </w:rPr>
                    <w:t>东</w:t>
                  </w:r>
                </w:p>
              </w:tc>
              <w:tc>
                <w:tcPr>
                  <w:tcW w:w="174" w:type="pct"/>
                  <w:shd w:val="clear" w:color="auto" w:fill="FFFFFF"/>
                  <w:tcMar>
                    <w:top w:w="0" w:type="dxa"/>
                    <w:left w:w="0" w:type="dxa"/>
                    <w:bottom w:w="0" w:type="dxa"/>
                    <w:right w:w="0" w:type="dxa"/>
                  </w:tcMar>
                  <w:vAlign w:val="center"/>
                </w:tcPr>
                <w:p w14:paraId="6C49C83F">
                  <w:pPr>
                    <w:jc w:val="center"/>
                    <w:rPr>
                      <w:rFonts w:eastAsiaTheme="minorEastAsia"/>
                      <w:sz w:val="21"/>
                      <w:szCs w:val="21"/>
                    </w:rPr>
                  </w:pPr>
                  <w:r>
                    <w:rPr>
                      <w:rFonts w:eastAsiaTheme="minorEastAsia"/>
                      <w:sz w:val="21"/>
                      <w:szCs w:val="21"/>
                    </w:rPr>
                    <w:t>南</w:t>
                  </w:r>
                </w:p>
              </w:tc>
              <w:tc>
                <w:tcPr>
                  <w:tcW w:w="174" w:type="pct"/>
                  <w:shd w:val="clear" w:color="auto" w:fill="FFFFFF"/>
                  <w:tcMar>
                    <w:top w:w="0" w:type="dxa"/>
                    <w:left w:w="0" w:type="dxa"/>
                    <w:bottom w:w="0" w:type="dxa"/>
                    <w:right w:w="0" w:type="dxa"/>
                  </w:tcMar>
                  <w:vAlign w:val="center"/>
                </w:tcPr>
                <w:p w14:paraId="5A287119">
                  <w:pPr>
                    <w:jc w:val="center"/>
                    <w:rPr>
                      <w:rFonts w:eastAsiaTheme="minorEastAsia"/>
                      <w:sz w:val="21"/>
                      <w:szCs w:val="21"/>
                    </w:rPr>
                  </w:pPr>
                  <w:r>
                    <w:rPr>
                      <w:rFonts w:eastAsiaTheme="minorEastAsia"/>
                      <w:sz w:val="21"/>
                      <w:szCs w:val="21"/>
                    </w:rPr>
                    <w:t>西</w:t>
                  </w:r>
                </w:p>
              </w:tc>
              <w:tc>
                <w:tcPr>
                  <w:tcW w:w="177" w:type="pct"/>
                  <w:shd w:val="clear" w:color="auto" w:fill="FFFFFF"/>
                  <w:tcMar>
                    <w:top w:w="0" w:type="dxa"/>
                    <w:left w:w="0" w:type="dxa"/>
                    <w:bottom w:w="0" w:type="dxa"/>
                    <w:right w:w="0" w:type="dxa"/>
                  </w:tcMar>
                  <w:vAlign w:val="center"/>
                </w:tcPr>
                <w:p w14:paraId="3368CD64">
                  <w:pPr>
                    <w:jc w:val="center"/>
                    <w:rPr>
                      <w:rFonts w:eastAsiaTheme="minorEastAsia"/>
                      <w:sz w:val="21"/>
                      <w:szCs w:val="21"/>
                    </w:rPr>
                  </w:pPr>
                  <w:r>
                    <w:rPr>
                      <w:rFonts w:eastAsiaTheme="minorEastAsia"/>
                      <w:sz w:val="21"/>
                      <w:szCs w:val="21"/>
                    </w:rPr>
                    <w:t>北</w:t>
                  </w:r>
                </w:p>
              </w:tc>
              <w:tc>
                <w:tcPr>
                  <w:tcW w:w="171" w:type="pct"/>
                  <w:shd w:val="clear" w:color="auto" w:fill="FFFFFF"/>
                  <w:tcMar>
                    <w:top w:w="0" w:type="dxa"/>
                    <w:left w:w="0" w:type="dxa"/>
                    <w:bottom w:w="0" w:type="dxa"/>
                    <w:right w:w="0" w:type="dxa"/>
                  </w:tcMar>
                  <w:vAlign w:val="center"/>
                </w:tcPr>
                <w:p w14:paraId="735EEE32">
                  <w:pPr>
                    <w:jc w:val="center"/>
                    <w:rPr>
                      <w:rFonts w:eastAsiaTheme="minorEastAsia"/>
                      <w:sz w:val="21"/>
                      <w:szCs w:val="21"/>
                    </w:rPr>
                  </w:pPr>
                  <w:r>
                    <w:rPr>
                      <w:rFonts w:eastAsiaTheme="minorEastAsia"/>
                      <w:sz w:val="21"/>
                      <w:szCs w:val="21"/>
                    </w:rPr>
                    <w:t>东</w:t>
                  </w:r>
                </w:p>
              </w:tc>
              <w:tc>
                <w:tcPr>
                  <w:tcW w:w="171" w:type="pct"/>
                  <w:shd w:val="clear" w:color="auto" w:fill="FFFFFF"/>
                  <w:tcMar>
                    <w:top w:w="0" w:type="dxa"/>
                    <w:left w:w="0" w:type="dxa"/>
                    <w:bottom w:w="0" w:type="dxa"/>
                    <w:right w:w="0" w:type="dxa"/>
                  </w:tcMar>
                  <w:vAlign w:val="center"/>
                </w:tcPr>
                <w:p w14:paraId="3F50D861">
                  <w:pPr>
                    <w:jc w:val="center"/>
                    <w:rPr>
                      <w:rFonts w:eastAsiaTheme="minorEastAsia"/>
                      <w:sz w:val="21"/>
                      <w:szCs w:val="21"/>
                    </w:rPr>
                  </w:pPr>
                  <w:r>
                    <w:rPr>
                      <w:rFonts w:eastAsiaTheme="minorEastAsia"/>
                      <w:sz w:val="21"/>
                      <w:szCs w:val="21"/>
                    </w:rPr>
                    <w:t>南</w:t>
                  </w:r>
                </w:p>
              </w:tc>
              <w:tc>
                <w:tcPr>
                  <w:tcW w:w="171" w:type="pct"/>
                  <w:shd w:val="clear" w:color="auto" w:fill="FFFFFF"/>
                  <w:tcMar>
                    <w:top w:w="0" w:type="dxa"/>
                    <w:left w:w="0" w:type="dxa"/>
                    <w:bottom w:w="0" w:type="dxa"/>
                    <w:right w:w="0" w:type="dxa"/>
                  </w:tcMar>
                  <w:vAlign w:val="center"/>
                </w:tcPr>
                <w:p w14:paraId="0C7A6B5A">
                  <w:pPr>
                    <w:jc w:val="center"/>
                    <w:rPr>
                      <w:rFonts w:eastAsiaTheme="minorEastAsia"/>
                      <w:sz w:val="21"/>
                      <w:szCs w:val="21"/>
                    </w:rPr>
                  </w:pPr>
                  <w:r>
                    <w:rPr>
                      <w:rFonts w:eastAsiaTheme="minorEastAsia"/>
                      <w:sz w:val="21"/>
                      <w:szCs w:val="21"/>
                    </w:rPr>
                    <w:t>西</w:t>
                  </w:r>
                </w:p>
              </w:tc>
              <w:tc>
                <w:tcPr>
                  <w:tcW w:w="140" w:type="pct"/>
                  <w:shd w:val="clear" w:color="auto" w:fill="FFFFFF"/>
                  <w:tcMar>
                    <w:top w:w="0" w:type="dxa"/>
                    <w:left w:w="0" w:type="dxa"/>
                    <w:bottom w:w="0" w:type="dxa"/>
                    <w:right w:w="0" w:type="dxa"/>
                  </w:tcMar>
                  <w:vAlign w:val="center"/>
                </w:tcPr>
                <w:p w14:paraId="1F4CA8DB">
                  <w:pPr>
                    <w:jc w:val="center"/>
                    <w:rPr>
                      <w:rFonts w:eastAsiaTheme="minorEastAsia"/>
                      <w:sz w:val="21"/>
                      <w:szCs w:val="21"/>
                    </w:rPr>
                  </w:pPr>
                  <w:r>
                    <w:rPr>
                      <w:rFonts w:eastAsiaTheme="minorEastAsia"/>
                      <w:sz w:val="21"/>
                      <w:szCs w:val="21"/>
                    </w:rPr>
                    <w:t>北</w:t>
                  </w:r>
                </w:p>
              </w:tc>
              <w:tc>
                <w:tcPr>
                  <w:tcW w:w="135" w:type="pct"/>
                  <w:shd w:val="clear" w:color="auto" w:fill="FFFFFF"/>
                  <w:tcMar>
                    <w:top w:w="0" w:type="dxa"/>
                    <w:left w:w="0" w:type="dxa"/>
                    <w:bottom w:w="0" w:type="dxa"/>
                    <w:right w:w="0" w:type="dxa"/>
                  </w:tcMar>
                  <w:vAlign w:val="center"/>
                </w:tcPr>
                <w:p w14:paraId="34F6FEF3">
                  <w:pPr>
                    <w:jc w:val="center"/>
                    <w:rPr>
                      <w:rFonts w:eastAsiaTheme="minorEastAsia"/>
                      <w:sz w:val="21"/>
                      <w:szCs w:val="21"/>
                    </w:rPr>
                  </w:pPr>
                  <w:r>
                    <w:rPr>
                      <w:rFonts w:eastAsiaTheme="minorEastAsia"/>
                      <w:sz w:val="21"/>
                      <w:szCs w:val="21"/>
                    </w:rPr>
                    <w:t>建筑物外距离</w:t>
                  </w:r>
                </w:p>
              </w:tc>
            </w:tr>
            <w:tr w14:paraId="5742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12" w:type="pct"/>
                  <w:shd w:val="clear" w:color="auto" w:fill="FFFFFF"/>
                  <w:tcMar>
                    <w:top w:w="0" w:type="dxa"/>
                    <w:left w:w="0" w:type="dxa"/>
                    <w:bottom w:w="0" w:type="dxa"/>
                    <w:right w:w="0" w:type="dxa"/>
                  </w:tcMar>
                  <w:vAlign w:val="center"/>
                </w:tcPr>
                <w:p w14:paraId="307E3F87">
                  <w:pPr>
                    <w:jc w:val="center"/>
                    <w:rPr>
                      <w:rFonts w:eastAsiaTheme="minorEastAsia"/>
                      <w:sz w:val="21"/>
                      <w:szCs w:val="21"/>
                    </w:rPr>
                  </w:pPr>
                  <w:r>
                    <w:rPr>
                      <w:rFonts w:eastAsiaTheme="minorEastAsia"/>
                      <w:sz w:val="21"/>
                      <w:szCs w:val="21"/>
                    </w:rPr>
                    <w:t>1</w:t>
                  </w:r>
                </w:p>
              </w:tc>
              <w:tc>
                <w:tcPr>
                  <w:tcW w:w="212" w:type="pct"/>
                  <w:shd w:val="clear" w:color="auto" w:fill="FFFFFF"/>
                  <w:tcMar>
                    <w:top w:w="0" w:type="dxa"/>
                    <w:left w:w="0" w:type="dxa"/>
                    <w:bottom w:w="0" w:type="dxa"/>
                    <w:right w:w="0" w:type="dxa"/>
                  </w:tcMar>
                  <w:vAlign w:val="center"/>
                </w:tcPr>
                <w:p w14:paraId="6879A863">
                  <w:pPr>
                    <w:jc w:val="center"/>
                    <w:rPr>
                      <w:rFonts w:hint="default" w:eastAsiaTheme="minorEastAsia"/>
                      <w:sz w:val="21"/>
                      <w:szCs w:val="21"/>
                      <w:lang w:val="en-US" w:eastAsia="zh-CN"/>
                    </w:rPr>
                  </w:pPr>
                  <w:r>
                    <w:rPr>
                      <w:rFonts w:hint="eastAsia" w:eastAsiaTheme="minorEastAsia"/>
                      <w:sz w:val="21"/>
                      <w:szCs w:val="21"/>
                      <w:lang w:val="en-US" w:eastAsia="zh-CN"/>
                    </w:rPr>
                    <w:t>5#厂房</w:t>
                  </w:r>
                </w:p>
              </w:tc>
              <w:tc>
                <w:tcPr>
                  <w:tcW w:w="212" w:type="pct"/>
                  <w:shd w:val="clear" w:color="auto" w:fill="FFFFFF"/>
                  <w:tcMar>
                    <w:top w:w="0" w:type="dxa"/>
                    <w:left w:w="0" w:type="dxa"/>
                    <w:bottom w:w="0" w:type="dxa"/>
                    <w:right w:w="0" w:type="dxa"/>
                  </w:tcMar>
                  <w:vAlign w:val="center"/>
                </w:tcPr>
                <w:p w14:paraId="4B776141">
                  <w:pPr>
                    <w:jc w:val="center"/>
                    <w:rPr>
                      <w:rFonts w:eastAsiaTheme="minorEastAsia"/>
                      <w:sz w:val="21"/>
                      <w:szCs w:val="21"/>
                    </w:rPr>
                  </w:pPr>
                  <w:r>
                    <w:rPr>
                      <w:rFonts w:eastAsiaTheme="minorEastAsia"/>
                      <w:sz w:val="21"/>
                      <w:szCs w:val="21"/>
                    </w:rPr>
                    <w:t>大切机</w:t>
                  </w:r>
                </w:p>
              </w:tc>
              <w:tc>
                <w:tcPr>
                  <w:tcW w:w="212" w:type="pct"/>
                  <w:shd w:val="clear" w:color="auto" w:fill="FFFFFF"/>
                  <w:tcMar>
                    <w:top w:w="0" w:type="dxa"/>
                    <w:left w:w="0" w:type="dxa"/>
                    <w:bottom w:w="0" w:type="dxa"/>
                    <w:right w:w="0" w:type="dxa"/>
                  </w:tcMar>
                  <w:vAlign w:val="center"/>
                </w:tcPr>
                <w:p w14:paraId="03694580">
                  <w:pPr>
                    <w:jc w:val="center"/>
                    <w:rPr>
                      <w:rFonts w:eastAsiaTheme="minorEastAsia"/>
                      <w:sz w:val="21"/>
                      <w:szCs w:val="21"/>
                    </w:rPr>
                  </w:pPr>
                  <w:r>
                    <w:rPr>
                      <w:rFonts w:eastAsiaTheme="minorEastAsia"/>
                      <w:sz w:val="21"/>
                      <w:szCs w:val="21"/>
                    </w:rPr>
                    <w:t>/</w:t>
                  </w:r>
                </w:p>
              </w:tc>
              <w:tc>
                <w:tcPr>
                  <w:tcW w:w="286" w:type="pct"/>
                  <w:shd w:val="clear" w:color="auto" w:fill="FFFFFF"/>
                  <w:tcMar>
                    <w:top w:w="0" w:type="dxa"/>
                    <w:left w:w="0" w:type="dxa"/>
                    <w:bottom w:w="0" w:type="dxa"/>
                    <w:right w:w="0" w:type="dxa"/>
                  </w:tcMar>
                  <w:vAlign w:val="center"/>
                </w:tcPr>
                <w:p w14:paraId="1BEFA713">
                  <w:pPr>
                    <w:jc w:val="center"/>
                    <w:rPr>
                      <w:rFonts w:eastAsiaTheme="minorEastAsia"/>
                      <w:sz w:val="21"/>
                      <w:szCs w:val="21"/>
                    </w:rPr>
                  </w:pPr>
                  <w:r>
                    <w:rPr>
                      <w:rFonts w:eastAsiaTheme="minorEastAsia"/>
                      <w:sz w:val="21"/>
                      <w:szCs w:val="21"/>
                    </w:rPr>
                    <w:t>75</w:t>
                  </w:r>
                </w:p>
              </w:tc>
              <w:tc>
                <w:tcPr>
                  <w:tcW w:w="212" w:type="pct"/>
                  <w:vMerge w:val="restart"/>
                  <w:shd w:val="clear" w:color="auto" w:fill="FFFFFF"/>
                  <w:tcMar>
                    <w:top w:w="0" w:type="dxa"/>
                    <w:left w:w="0" w:type="dxa"/>
                    <w:bottom w:w="0" w:type="dxa"/>
                    <w:right w:w="0" w:type="dxa"/>
                  </w:tcMar>
                  <w:vAlign w:val="center"/>
                </w:tcPr>
                <w:p w14:paraId="0A0301E0">
                  <w:pPr>
                    <w:jc w:val="center"/>
                    <w:rPr>
                      <w:rFonts w:eastAsiaTheme="minorEastAsia"/>
                      <w:sz w:val="21"/>
                      <w:szCs w:val="21"/>
                    </w:rPr>
                  </w:pPr>
                  <w:r>
                    <w:rPr>
                      <w:rFonts w:eastAsiaTheme="minorEastAsia"/>
                      <w:sz w:val="21"/>
                      <w:szCs w:val="21"/>
                    </w:rPr>
                    <w:t>隔声、减振</w:t>
                  </w:r>
                </w:p>
              </w:tc>
              <w:tc>
                <w:tcPr>
                  <w:tcW w:w="204" w:type="pct"/>
                  <w:shd w:val="clear" w:color="auto" w:fill="FFFFFF"/>
                  <w:tcMar>
                    <w:top w:w="0" w:type="dxa"/>
                    <w:left w:w="0" w:type="dxa"/>
                    <w:bottom w:w="0" w:type="dxa"/>
                    <w:right w:w="0" w:type="dxa"/>
                  </w:tcMar>
                  <w:vAlign w:val="center"/>
                </w:tcPr>
                <w:p w14:paraId="11918D9D">
                  <w:pPr>
                    <w:jc w:val="center"/>
                    <w:rPr>
                      <w:rFonts w:eastAsiaTheme="minorEastAsia"/>
                      <w:sz w:val="21"/>
                      <w:szCs w:val="21"/>
                    </w:rPr>
                  </w:pPr>
                  <w:r>
                    <w:rPr>
                      <w:rFonts w:eastAsiaTheme="minorEastAsia"/>
                      <w:sz w:val="21"/>
                      <w:szCs w:val="21"/>
                    </w:rPr>
                    <w:t>15</w:t>
                  </w:r>
                </w:p>
              </w:tc>
              <w:tc>
                <w:tcPr>
                  <w:tcW w:w="205" w:type="pct"/>
                  <w:shd w:val="clear" w:color="auto" w:fill="FFFFFF"/>
                  <w:tcMar>
                    <w:top w:w="0" w:type="dxa"/>
                    <w:left w:w="0" w:type="dxa"/>
                    <w:bottom w:w="0" w:type="dxa"/>
                    <w:right w:w="0" w:type="dxa"/>
                  </w:tcMar>
                  <w:vAlign w:val="center"/>
                </w:tcPr>
                <w:p w14:paraId="6489DD44">
                  <w:pPr>
                    <w:jc w:val="center"/>
                    <w:rPr>
                      <w:rFonts w:eastAsiaTheme="minorEastAsia"/>
                      <w:sz w:val="21"/>
                      <w:szCs w:val="21"/>
                    </w:rPr>
                  </w:pPr>
                  <w:r>
                    <w:rPr>
                      <w:rFonts w:eastAsiaTheme="minorEastAsia"/>
                      <w:sz w:val="21"/>
                      <w:szCs w:val="21"/>
                    </w:rPr>
                    <w:t>-38.7</w:t>
                  </w:r>
                </w:p>
              </w:tc>
              <w:tc>
                <w:tcPr>
                  <w:tcW w:w="134" w:type="pct"/>
                  <w:shd w:val="clear" w:color="auto" w:fill="FFFFFF"/>
                  <w:tcMar>
                    <w:top w:w="0" w:type="dxa"/>
                    <w:left w:w="0" w:type="dxa"/>
                    <w:bottom w:w="0" w:type="dxa"/>
                    <w:right w:w="0" w:type="dxa"/>
                  </w:tcMar>
                  <w:vAlign w:val="center"/>
                </w:tcPr>
                <w:p w14:paraId="356F5467">
                  <w:pPr>
                    <w:jc w:val="center"/>
                    <w:rPr>
                      <w:rFonts w:eastAsiaTheme="minorEastAsia"/>
                      <w:sz w:val="21"/>
                      <w:szCs w:val="21"/>
                    </w:rPr>
                  </w:pPr>
                  <w:r>
                    <w:rPr>
                      <w:rFonts w:eastAsiaTheme="minorEastAsia"/>
                      <w:sz w:val="21"/>
                      <w:szCs w:val="21"/>
                    </w:rPr>
                    <w:t>1.2</w:t>
                  </w:r>
                </w:p>
              </w:tc>
              <w:tc>
                <w:tcPr>
                  <w:tcW w:w="174" w:type="pct"/>
                  <w:shd w:val="clear" w:color="auto" w:fill="FFFFFF"/>
                  <w:tcMar>
                    <w:top w:w="0" w:type="dxa"/>
                    <w:left w:w="0" w:type="dxa"/>
                    <w:bottom w:w="0" w:type="dxa"/>
                    <w:right w:w="0" w:type="dxa"/>
                  </w:tcMar>
                  <w:vAlign w:val="center"/>
                </w:tcPr>
                <w:p w14:paraId="1B1064BA">
                  <w:pPr>
                    <w:jc w:val="center"/>
                    <w:rPr>
                      <w:rFonts w:eastAsiaTheme="minorEastAsia"/>
                      <w:sz w:val="21"/>
                      <w:szCs w:val="21"/>
                    </w:rPr>
                  </w:pPr>
                  <w:r>
                    <w:rPr>
                      <w:rFonts w:eastAsiaTheme="minorEastAsia"/>
                      <w:sz w:val="21"/>
                      <w:szCs w:val="21"/>
                    </w:rPr>
                    <w:t>20.3</w:t>
                  </w:r>
                </w:p>
              </w:tc>
              <w:tc>
                <w:tcPr>
                  <w:tcW w:w="174" w:type="pct"/>
                  <w:shd w:val="clear" w:color="auto" w:fill="FFFFFF"/>
                  <w:tcMar>
                    <w:top w:w="0" w:type="dxa"/>
                    <w:left w:w="0" w:type="dxa"/>
                    <w:bottom w:w="0" w:type="dxa"/>
                    <w:right w:w="0" w:type="dxa"/>
                  </w:tcMar>
                  <w:vAlign w:val="center"/>
                </w:tcPr>
                <w:p w14:paraId="3C34550F">
                  <w:pPr>
                    <w:jc w:val="center"/>
                    <w:rPr>
                      <w:rFonts w:eastAsiaTheme="minorEastAsia"/>
                      <w:sz w:val="21"/>
                      <w:szCs w:val="21"/>
                    </w:rPr>
                  </w:pPr>
                  <w:r>
                    <w:rPr>
                      <w:rFonts w:eastAsiaTheme="minorEastAsia"/>
                      <w:sz w:val="21"/>
                      <w:szCs w:val="21"/>
                    </w:rPr>
                    <w:t>35.9</w:t>
                  </w:r>
                </w:p>
              </w:tc>
              <w:tc>
                <w:tcPr>
                  <w:tcW w:w="174" w:type="pct"/>
                  <w:shd w:val="clear" w:color="auto" w:fill="FFFFFF"/>
                  <w:tcMar>
                    <w:top w:w="0" w:type="dxa"/>
                    <w:left w:w="0" w:type="dxa"/>
                    <w:bottom w:w="0" w:type="dxa"/>
                    <w:right w:w="0" w:type="dxa"/>
                  </w:tcMar>
                  <w:vAlign w:val="center"/>
                </w:tcPr>
                <w:p w14:paraId="6194BEBC">
                  <w:pPr>
                    <w:jc w:val="center"/>
                    <w:rPr>
                      <w:rFonts w:eastAsiaTheme="minorEastAsia"/>
                      <w:sz w:val="21"/>
                      <w:szCs w:val="21"/>
                    </w:rPr>
                  </w:pPr>
                  <w:r>
                    <w:rPr>
                      <w:rFonts w:eastAsiaTheme="minorEastAsia"/>
                      <w:sz w:val="21"/>
                      <w:szCs w:val="21"/>
                    </w:rPr>
                    <w:t>25.5</w:t>
                  </w:r>
                </w:p>
              </w:tc>
              <w:tc>
                <w:tcPr>
                  <w:tcW w:w="177" w:type="pct"/>
                  <w:shd w:val="clear" w:color="auto" w:fill="FFFFFF"/>
                  <w:tcMar>
                    <w:top w:w="0" w:type="dxa"/>
                    <w:left w:w="0" w:type="dxa"/>
                    <w:bottom w:w="0" w:type="dxa"/>
                    <w:right w:w="0" w:type="dxa"/>
                  </w:tcMar>
                  <w:vAlign w:val="center"/>
                </w:tcPr>
                <w:p w14:paraId="723CE396">
                  <w:pPr>
                    <w:jc w:val="center"/>
                    <w:rPr>
                      <w:rFonts w:eastAsiaTheme="minorEastAsia"/>
                      <w:sz w:val="21"/>
                      <w:szCs w:val="21"/>
                    </w:rPr>
                  </w:pPr>
                  <w:r>
                    <w:rPr>
                      <w:rFonts w:eastAsiaTheme="minorEastAsia"/>
                      <w:sz w:val="21"/>
                      <w:szCs w:val="21"/>
                    </w:rPr>
                    <w:t>14.9</w:t>
                  </w:r>
                </w:p>
              </w:tc>
              <w:tc>
                <w:tcPr>
                  <w:tcW w:w="174" w:type="pct"/>
                  <w:shd w:val="clear" w:color="auto" w:fill="FFFFFF"/>
                  <w:tcMar>
                    <w:top w:w="0" w:type="dxa"/>
                    <w:left w:w="0" w:type="dxa"/>
                    <w:bottom w:w="0" w:type="dxa"/>
                    <w:right w:w="0" w:type="dxa"/>
                  </w:tcMar>
                  <w:vAlign w:val="center"/>
                </w:tcPr>
                <w:p w14:paraId="68804172">
                  <w:pPr>
                    <w:jc w:val="center"/>
                    <w:rPr>
                      <w:rFonts w:eastAsiaTheme="minorEastAsia"/>
                      <w:sz w:val="21"/>
                      <w:szCs w:val="21"/>
                    </w:rPr>
                  </w:pPr>
                  <w:r>
                    <w:rPr>
                      <w:rFonts w:eastAsiaTheme="minorEastAsia"/>
                      <w:sz w:val="21"/>
                      <w:szCs w:val="21"/>
                    </w:rPr>
                    <w:t>60.5</w:t>
                  </w:r>
                </w:p>
              </w:tc>
              <w:tc>
                <w:tcPr>
                  <w:tcW w:w="174" w:type="pct"/>
                  <w:shd w:val="clear" w:color="auto" w:fill="FFFFFF"/>
                  <w:tcMar>
                    <w:top w:w="0" w:type="dxa"/>
                    <w:left w:w="0" w:type="dxa"/>
                    <w:bottom w:w="0" w:type="dxa"/>
                    <w:right w:w="0" w:type="dxa"/>
                  </w:tcMar>
                  <w:vAlign w:val="center"/>
                </w:tcPr>
                <w:p w14:paraId="5CFC98EA">
                  <w:pPr>
                    <w:jc w:val="center"/>
                    <w:rPr>
                      <w:rFonts w:eastAsiaTheme="minorEastAsia"/>
                      <w:sz w:val="21"/>
                      <w:szCs w:val="21"/>
                    </w:rPr>
                  </w:pPr>
                  <w:r>
                    <w:rPr>
                      <w:rFonts w:eastAsiaTheme="minorEastAsia"/>
                      <w:sz w:val="21"/>
                      <w:szCs w:val="21"/>
                    </w:rPr>
                    <w:t>60.5</w:t>
                  </w:r>
                </w:p>
              </w:tc>
              <w:tc>
                <w:tcPr>
                  <w:tcW w:w="174" w:type="pct"/>
                  <w:shd w:val="clear" w:color="auto" w:fill="FFFFFF"/>
                  <w:tcMar>
                    <w:top w:w="0" w:type="dxa"/>
                    <w:left w:w="0" w:type="dxa"/>
                    <w:bottom w:w="0" w:type="dxa"/>
                    <w:right w:w="0" w:type="dxa"/>
                  </w:tcMar>
                  <w:vAlign w:val="center"/>
                </w:tcPr>
                <w:p w14:paraId="2BEF2D61">
                  <w:pPr>
                    <w:jc w:val="center"/>
                    <w:rPr>
                      <w:rFonts w:eastAsiaTheme="minorEastAsia"/>
                      <w:sz w:val="21"/>
                      <w:szCs w:val="21"/>
                    </w:rPr>
                  </w:pPr>
                  <w:r>
                    <w:rPr>
                      <w:rFonts w:eastAsiaTheme="minorEastAsia"/>
                      <w:sz w:val="21"/>
                      <w:szCs w:val="21"/>
                    </w:rPr>
                    <w:t>60.5</w:t>
                  </w:r>
                </w:p>
              </w:tc>
              <w:tc>
                <w:tcPr>
                  <w:tcW w:w="177" w:type="pct"/>
                  <w:shd w:val="clear" w:color="auto" w:fill="FFFFFF"/>
                  <w:tcMar>
                    <w:top w:w="0" w:type="dxa"/>
                    <w:left w:w="0" w:type="dxa"/>
                    <w:bottom w:w="0" w:type="dxa"/>
                    <w:right w:w="0" w:type="dxa"/>
                  </w:tcMar>
                  <w:vAlign w:val="center"/>
                </w:tcPr>
                <w:p w14:paraId="1E05219D">
                  <w:pPr>
                    <w:jc w:val="center"/>
                    <w:rPr>
                      <w:rFonts w:eastAsiaTheme="minorEastAsia"/>
                      <w:sz w:val="21"/>
                      <w:szCs w:val="21"/>
                    </w:rPr>
                  </w:pPr>
                  <w:r>
                    <w:rPr>
                      <w:rFonts w:eastAsiaTheme="minorEastAsia"/>
                      <w:sz w:val="21"/>
                      <w:szCs w:val="21"/>
                    </w:rPr>
                    <w:t>60.6</w:t>
                  </w:r>
                </w:p>
              </w:tc>
              <w:tc>
                <w:tcPr>
                  <w:tcW w:w="214" w:type="pct"/>
                  <w:vMerge w:val="restart"/>
                  <w:shd w:val="clear" w:color="auto" w:fill="FFFFFF"/>
                  <w:tcMar>
                    <w:top w:w="0" w:type="dxa"/>
                    <w:left w:w="0" w:type="dxa"/>
                    <w:bottom w:w="0" w:type="dxa"/>
                    <w:right w:w="0" w:type="dxa"/>
                  </w:tcMar>
                  <w:vAlign w:val="center"/>
                </w:tcPr>
                <w:p w14:paraId="40883CFF">
                  <w:pPr>
                    <w:jc w:val="center"/>
                    <w:rPr>
                      <w:rFonts w:hint="eastAsia" w:eastAsiaTheme="minorEastAsia"/>
                      <w:sz w:val="21"/>
                      <w:szCs w:val="21"/>
                    </w:rPr>
                  </w:pPr>
                  <w:r>
                    <w:rPr>
                      <w:rFonts w:hint="eastAsia" w:eastAsiaTheme="minorEastAsia"/>
                      <w:sz w:val="21"/>
                      <w:szCs w:val="21"/>
                    </w:rPr>
                    <w:t>8h</w:t>
                  </w:r>
                </w:p>
                <w:p w14:paraId="4327AC8A">
                  <w:pPr>
                    <w:jc w:val="center"/>
                    <w:rPr>
                      <w:rFonts w:eastAsiaTheme="minorEastAsia"/>
                      <w:sz w:val="21"/>
                      <w:szCs w:val="21"/>
                    </w:rPr>
                  </w:pPr>
                </w:p>
              </w:tc>
              <w:tc>
                <w:tcPr>
                  <w:tcW w:w="174" w:type="pct"/>
                  <w:shd w:val="clear" w:color="auto" w:fill="FFFFFF"/>
                  <w:tcMar>
                    <w:top w:w="0" w:type="dxa"/>
                    <w:left w:w="0" w:type="dxa"/>
                    <w:bottom w:w="0" w:type="dxa"/>
                    <w:right w:w="0" w:type="dxa"/>
                  </w:tcMar>
                  <w:vAlign w:val="center"/>
                </w:tcPr>
                <w:p w14:paraId="4A1814D9">
                  <w:pPr>
                    <w:jc w:val="center"/>
                    <w:rPr>
                      <w:rFonts w:eastAsiaTheme="minorEastAsia"/>
                      <w:sz w:val="21"/>
                      <w:szCs w:val="21"/>
                    </w:rPr>
                  </w:pPr>
                  <w:r>
                    <w:rPr>
                      <w:rFonts w:eastAsiaTheme="minorEastAsia"/>
                      <w:sz w:val="21"/>
                      <w:szCs w:val="21"/>
                    </w:rPr>
                    <w:t>16.0</w:t>
                  </w:r>
                </w:p>
              </w:tc>
              <w:tc>
                <w:tcPr>
                  <w:tcW w:w="174" w:type="pct"/>
                  <w:shd w:val="clear" w:color="auto" w:fill="FFFFFF"/>
                  <w:tcMar>
                    <w:top w:w="0" w:type="dxa"/>
                    <w:left w:w="0" w:type="dxa"/>
                    <w:bottom w:w="0" w:type="dxa"/>
                    <w:right w:w="0" w:type="dxa"/>
                  </w:tcMar>
                  <w:vAlign w:val="center"/>
                </w:tcPr>
                <w:p w14:paraId="09887D9D">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4" w:type="pct"/>
                  <w:shd w:val="clear" w:color="auto" w:fill="FFFFFF"/>
                  <w:tcMar>
                    <w:top w:w="0" w:type="dxa"/>
                    <w:left w:w="0" w:type="dxa"/>
                    <w:bottom w:w="0" w:type="dxa"/>
                    <w:right w:w="0" w:type="dxa"/>
                  </w:tcMar>
                  <w:vAlign w:val="center"/>
                </w:tcPr>
                <w:p w14:paraId="281D9552">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7" w:type="pct"/>
                  <w:shd w:val="clear" w:color="auto" w:fill="FFFFFF"/>
                  <w:tcMar>
                    <w:top w:w="0" w:type="dxa"/>
                    <w:left w:w="0" w:type="dxa"/>
                    <w:bottom w:w="0" w:type="dxa"/>
                    <w:right w:w="0" w:type="dxa"/>
                  </w:tcMar>
                  <w:vAlign w:val="center"/>
                </w:tcPr>
                <w:p w14:paraId="4BAF82A1">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1" w:type="pct"/>
                  <w:shd w:val="clear" w:color="auto" w:fill="FFFFFF"/>
                  <w:tcMar>
                    <w:top w:w="0" w:type="dxa"/>
                    <w:left w:w="0" w:type="dxa"/>
                    <w:bottom w:w="0" w:type="dxa"/>
                    <w:right w:w="0" w:type="dxa"/>
                  </w:tcMar>
                  <w:vAlign w:val="center"/>
                </w:tcPr>
                <w:p w14:paraId="4AB2FF66">
                  <w:pPr>
                    <w:jc w:val="center"/>
                    <w:rPr>
                      <w:rFonts w:eastAsiaTheme="minorEastAsia"/>
                      <w:sz w:val="21"/>
                      <w:szCs w:val="21"/>
                    </w:rPr>
                  </w:pPr>
                  <w:r>
                    <w:rPr>
                      <w:rFonts w:eastAsiaTheme="minorEastAsia"/>
                      <w:sz w:val="21"/>
                      <w:szCs w:val="21"/>
                    </w:rPr>
                    <w:t>44.5</w:t>
                  </w:r>
                </w:p>
              </w:tc>
              <w:tc>
                <w:tcPr>
                  <w:tcW w:w="171" w:type="pct"/>
                  <w:shd w:val="clear" w:color="auto" w:fill="FFFFFF"/>
                  <w:tcMar>
                    <w:top w:w="0" w:type="dxa"/>
                    <w:left w:w="0" w:type="dxa"/>
                    <w:bottom w:w="0" w:type="dxa"/>
                    <w:right w:w="0" w:type="dxa"/>
                  </w:tcMar>
                  <w:vAlign w:val="center"/>
                </w:tcPr>
                <w:p w14:paraId="780E9F21">
                  <w:pPr>
                    <w:jc w:val="center"/>
                    <w:rPr>
                      <w:rFonts w:eastAsiaTheme="minorEastAsia"/>
                      <w:sz w:val="21"/>
                      <w:szCs w:val="21"/>
                    </w:rPr>
                  </w:pPr>
                  <w:r>
                    <w:rPr>
                      <w:rFonts w:eastAsiaTheme="minorEastAsia"/>
                      <w:sz w:val="21"/>
                      <w:szCs w:val="21"/>
                    </w:rPr>
                    <w:t>19.5</w:t>
                  </w:r>
                </w:p>
              </w:tc>
              <w:tc>
                <w:tcPr>
                  <w:tcW w:w="171" w:type="pct"/>
                  <w:shd w:val="clear" w:color="auto" w:fill="FFFFFF"/>
                  <w:tcMar>
                    <w:top w:w="0" w:type="dxa"/>
                    <w:left w:w="0" w:type="dxa"/>
                    <w:bottom w:w="0" w:type="dxa"/>
                    <w:right w:w="0" w:type="dxa"/>
                  </w:tcMar>
                  <w:vAlign w:val="center"/>
                </w:tcPr>
                <w:p w14:paraId="0C5BD243">
                  <w:pPr>
                    <w:jc w:val="center"/>
                    <w:rPr>
                      <w:rFonts w:eastAsiaTheme="minorEastAsia"/>
                      <w:sz w:val="21"/>
                      <w:szCs w:val="21"/>
                    </w:rPr>
                  </w:pPr>
                  <w:r>
                    <w:rPr>
                      <w:rFonts w:eastAsiaTheme="minorEastAsia"/>
                      <w:sz w:val="21"/>
                      <w:szCs w:val="21"/>
                    </w:rPr>
                    <w:t>19.5</w:t>
                  </w:r>
                </w:p>
              </w:tc>
              <w:tc>
                <w:tcPr>
                  <w:tcW w:w="140" w:type="pct"/>
                  <w:shd w:val="clear" w:color="auto" w:fill="FFFFFF"/>
                  <w:tcMar>
                    <w:top w:w="0" w:type="dxa"/>
                    <w:left w:w="0" w:type="dxa"/>
                    <w:bottom w:w="0" w:type="dxa"/>
                    <w:right w:w="0" w:type="dxa"/>
                  </w:tcMar>
                  <w:vAlign w:val="center"/>
                </w:tcPr>
                <w:p w14:paraId="5052E930">
                  <w:pPr>
                    <w:jc w:val="center"/>
                    <w:rPr>
                      <w:rFonts w:eastAsiaTheme="minorEastAsia"/>
                      <w:sz w:val="21"/>
                      <w:szCs w:val="21"/>
                    </w:rPr>
                  </w:pPr>
                  <w:r>
                    <w:rPr>
                      <w:rFonts w:eastAsiaTheme="minorEastAsia"/>
                      <w:sz w:val="21"/>
                      <w:szCs w:val="21"/>
                    </w:rPr>
                    <w:t>19.6</w:t>
                  </w:r>
                </w:p>
              </w:tc>
              <w:tc>
                <w:tcPr>
                  <w:tcW w:w="135" w:type="pct"/>
                  <w:shd w:val="clear" w:color="auto" w:fill="FFFFFF"/>
                  <w:tcMar>
                    <w:top w:w="0" w:type="dxa"/>
                    <w:left w:w="0" w:type="dxa"/>
                    <w:bottom w:w="0" w:type="dxa"/>
                    <w:right w:w="0" w:type="dxa"/>
                  </w:tcMar>
                  <w:vAlign w:val="center"/>
                </w:tcPr>
                <w:p w14:paraId="29F56243">
                  <w:pPr>
                    <w:jc w:val="center"/>
                    <w:rPr>
                      <w:rFonts w:eastAsiaTheme="minorEastAsia"/>
                      <w:sz w:val="21"/>
                      <w:szCs w:val="21"/>
                    </w:rPr>
                  </w:pPr>
                  <w:r>
                    <w:rPr>
                      <w:rFonts w:eastAsiaTheme="minorEastAsia"/>
                      <w:sz w:val="21"/>
                      <w:szCs w:val="21"/>
                    </w:rPr>
                    <w:t>1</w:t>
                  </w:r>
                </w:p>
              </w:tc>
            </w:tr>
            <w:tr w14:paraId="326F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12" w:type="pct"/>
                  <w:shd w:val="clear" w:color="auto" w:fill="FFFFFF"/>
                  <w:tcMar>
                    <w:top w:w="0" w:type="dxa"/>
                    <w:left w:w="0" w:type="dxa"/>
                    <w:bottom w:w="0" w:type="dxa"/>
                    <w:right w:w="0" w:type="dxa"/>
                  </w:tcMar>
                  <w:vAlign w:val="center"/>
                </w:tcPr>
                <w:p w14:paraId="01206D97">
                  <w:pPr>
                    <w:jc w:val="center"/>
                    <w:rPr>
                      <w:rFonts w:eastAsiaTheme="minorEastAsia"/>
                      <w:sz w:val="21"/>
                      <w:szCs w:val="21"/>
                    </w:rPr>
                  </w:pPr>
                  <w:r>
                    <w:rPr>
                      <w:rFonts w:eastAsiaTheme="minorEastAsia"/>
                      <w:sz w:val="21"/>
                      <w:szCs w:val="21"/>
                    </w:rPr>
                    <w:t>2</w:t>
                  </w:r>
                </w:p>
              </w:tc>
              <w:tc>
                <w:tcPr>
                  <w:tcW w:w="212" w:type="pct"/>
                  <w:shd w:val="clear" w:color="auto" w:fill="FFFFFF"/>
                  <w:tcMar>
                    <w:top w:w="0" w:type="dxa"/>
                    <w:left w:w="0" w:type="dxa"/>
                    <w:bottom w:w="0" w:type="dxa"/>
                    <w:right w:w="0" w:type="dxa"/>
                  </w:tcMar>
                  <w:vAlign w:val="center"/>
                </w:tcPr>
                <w:p w14:paraId="6C923108">
                  <w:pPr>
                    <w:jc w:val="center"/>
                    <w:rPr>
                      <w:rFonts w:hint="default" w:eastAsiaTheme="minorEastAsia"/>
                      <w:sz w:val="21"/>
                      <w:szCs w:val="21"/>
                      <w:lang w:val="en-US" w:eastAsia="zh-CN"/>
                    </w:rPr>
                  </w:pPr>
                  <w:r>
                    <w:rPr>
                      <w:rFonts w:hint="eastAsia" w:eastAsiaTheme="minorEastAsia"/>
                      <w:sz w:val="21"/>
                      <w:szCs w:val="21"/>
                      <w:lang w:val="en-US" w:eastAsia="zh-CN"/>
                    </w:rPr>
                    <w:t>4#厂房</w:t>
                  </w:r>
                </w:p>
              </w:tc>
              <w:tc>
                <w:tcPr>
                  <w:tcW w:w="212" w:type="pct"/>
                  <w:shd w:val="clear" w:color="auto" w:fill="FFFFFF"/>
                  <w:tcMar>
                    <w:top w:w="0" w:type="dxa"/>
                    <w:left w:w="0" w:type="dxa"/>
                    <w:bottom w:w="0" w:type="dxa"/>
                    <w:right w:w="0" w:type="dxa"/>
                  </w:tcMar>
                  <w:vAlign w:val="center"/>
                </w:tcPr>
                <w:p w14:paraId="0669DDF0">
                  <w:pPr>
                    <w:jc w:val="center"/>
                    <w:rPr>
                      <w:rFonts w:eastAsiaTheme="minorEastAsia"/>
                      <w:sz w:val="21"/>
                      <w:szCs w:val="21"/>
                    </w:rPr>
                  </w:pPr>
                  <w:r>
                    <w:rPr>
                      <w:rFonts w:eastAsiaTheme="minorEastAsia"/>
                      <w:sz w:val="21"/>
                      <w:szCs w:val="21"/>
                    </w:rPr>
                    <w:t>小切机</w:t>
                  </w:r>
                </w:p>
              </w:tc>
              <w:tc>
                <w:tcPr>
                  <w:tcW w:w="212" w:type="pct"/>
                  <w:shd w:val="clear" w:color="auto" w:fill="FFFFFF"/>
                  <w:tcMar>
                    <w:top w:w="0" w:type="dxa"/>
                    <w:left w:w="0" w:type="dxa"/>
                    <w:bottom w:w="0" w:type="dxa"/>
                    <w:right w:w="0" w:type="dxa"/>
                  </w:tcMar>
                  <w:vAlign w:val="center"/>
                </w:tcPr>
                <w:p w14:paraId="2CBBA100">
                  <w:pPr>
                    <w:jc w:val="center"/>
                    <w:rPr>
                      <w:rFonts w:eastAsiaTheme="minorEastAsia"/>
                      <w:sz w:val="21"/>
                      <w:szCs w:val="21"/>
                    </w:rPr>
                  </w:pPr>
                  <w:r>
                    <w:rPr>
                      <w:rFonts w:eastAsiaTheme="minorEastAsia"/>
                      <w:sz w:val="21"/>
                      <w:szCs w:val="21"/>
                    </w:rPr>
                    <w:t>/</w:t>
                  </w:r>
                </w:p>
              </w:tc>
              <w:tc>
                <w:tcPr>
                  <w:tcW w:w="286" w:type="pct"/>
                  <w:shd w:val="clear" w:color="auto" w:fill="FFFFFF"/>
                  <w:tcMar>
                    <w:top w:w="0" w:type="dxa"/>
                    <w:left w:w="0" w:type="dxa"/>
                    <w:bottom w:w="0" w:type="dxa"/>
                    <w:right w:w="0" w:type="dxa"/>
                  </w:tcMar>
                  <w:vAlign w:val="center"/>
                </w:tcPr>
                <w:p w14:paraId="16F8D128">
                  <w:pPr>
                    <w:jc w:val="center"/>
                    <w:rPr>
                      <w:rFonts w:eastAsiaTheme="minorEastAsia"/>
                      <w:sz w:val="21"/>
                      <w:szCs w:val="21"/>
                    </w:rPr>
                  </w:pPr>
                  <w:r>
                    <w:rPr>
                      <w:rFonts w:eastAsiaTheme="minorEastAsia"/>
                      <w:sz w:val="21"/>
                      <w:szCs w:val="21"/>
                    </w:rPr>
                    <w:t>75</w:t>
                  </w:r>
                </w:p>
              </w:tc>
              <w:tc>
                <w:tcPr>
                  <w:tcW w:w="212" w:type="pct"/>
                  <w:vMerge w:val="continue"/>
                  <w:shd w:val="clear" w:color="auto" w:fill="FFFFFF"/>
                  <w:tcMar>
                    <w:top w:w="0" w:type="dxa"/>
                    <w:left w:w="0" w:type="dxa"/>
                    <w:bottom w:w="0" w:type="dxa"/>
                    <w:right w:w="0" w:type="dxa"/>
                  </w:tcMar>
                  <w:vAlign w:val="center"/>
                </w:tcPr>
                <w:p w14:paraId="4027485E">
                  <w:pPr>
                    <w:jc w:val="center"/>
                    <w:rPr>
                      <w:rFonts w:eastAsiaTheme="minorEastAsia"/>
                      <w:sz w:val="21"/>
                      <w:szCs w:val="21"/>
                    </w:rPr>
                  </w:pPr>
                </w:p>
              </w:tc>
              <w:tc>
                <w:tcPr>
                  <w:tcW w:w="204" w:type="pct"/>
                  <w:shd w:val="clear" w:color="auto" w:fill="FFFFFF"/>
                  <w:tcMar>
                    <w:top w:w="0" w:type="dxa"/>
                    <w:left w:w="0" w:type="dxa"/>
                    <w:bottom w:w="0" w:type="dxa"/>
                    <w:right w:w="0" w:type="dxa"/>
                  </w:tcMar>
                  <w:vAlign w:val="center"/>
                </w:tcPr>
                <w:p w14:paraId="20D8BAB8">
                  <w:pPr>
                    <w:jc w:val="center"/>
                    <w:rPr>
                      <w:rFonts w:eastAsiaTheme="minorEastAsia"/>
                      <w:sz w:val="21"/>
                      <w:szCs w:val="21"/>
                    </w:rPr>
                  </w:pPr>
                  <w:r>
                    <w:rPr>
                      <w:rFonts w:eastAsiaTheme="minorEastAsia"/>
                      <w:sz w:val="21"/>
                      <w:szCs w:val="21"/>
                    </w:rPr>
                    <w:t>1.1</w:t>
                  </w:r>
                </w:p>
              </w:tc>
              <w:tc>
                <w:tcPr>
                  <w:tcW w:w="205" w:type="pct"/>
                  <w:shd w:val="clear" w:color="auto" w:fill="FFFFFF"/>
                  <w:tcMar>
                    <w:top w:w="0" w:type="dxa"/>
                    <w:left w:w="0" w:type="dxa"/>
                    <w:bottom w:w="0" w:type="dxa"/>
                    <w:right w:w="0" w:type="dxa"/>
                  </w:tcMar>
                  <w:vAlign w:val="center"/>
                </w:tcPr>
                <w:p w14:paraId="0130B53D">
                  <w:pPr>
                    <w:jc w:val="center"/>
                    <w:rPr>
                      <w:rFonts w:eastAsiaTheme="minorEastAsia"/>
                      <w:sz w:val="21"/>
                      <w:szCs w:val="21"/>
                    </w:rPr>
                  </w:pPr>
                  <w:r>
                    <w:rPr>
                      <w:rFonts w:eastAsiaTheme="minorEastAsia"/>
                      <w:sz w:val="21"/>
                      <w:szCs w:val="21"/>
                    </w:rPr>
                    <w:t>-39.8</w:t>
                  </w:r>
                </w:p>
              </w:tc>
              <w:tc>
                <w:tcPr>
                  <w:tcW w:w="134" w:type="pct"/>
                  <w:shd w:val="clear" w:color="auto" w:fill="FFFFFF"/>
                  <w:tcMar>
                    <w:top w:w="0" w:type="dxa"/>
                    <w:left w:w="0" w:type="dxa"/>
                    <w:bottom w:w="0" w:type="dxa"/>
                    <w:right w:w="0" w:type="dxa"/>
                  </w:tcMar>
                  <w:vAlign w:val="center"/>
                </w:tcPr>
                <w:p w14:paraId="38F67CA5">
                  <w:pPr>
                    <w:jc w:val="center"/>
                    <w:rPr>
                      <w:rFonts w:eastAsiaTheme="minorEastAsia"/>
                      <w:sz w:val="21"/>
                      <w:szCs w:val="21"/>
                    </w:rPr>
                  </w:pPr>
                  <w:r>
                    <w:rPr>
                      <w:rFonts w:eastAsiaTheme="minorEastAsia"/>
                      <w:sz w:val="21"/>
                      <w:szCs w:val="21"/>
                    </w:rPr>
                    <w:t>1.2</w:t>
                  </w:r>
                </w:p>
              </w:tc>
              <w:tc>
                <w:tcPr>
                  <w:tcW w:w="174" w:type="pct"/>
                  <w:shd w:val="clear" w:color="auto" w:fill="FFFFFF"/>
                  <w:tcMar>
                    <w:top w:w="0" w:type="dxa"/>
                    <w:left w:w="0" w:type="dxa"/>
                    <w:bottom w:w="0" w:type="dxa"/>
                    <w:right w:w="0" w:type="dxa"/>
                  </w:tcMar>
                  <w:vAlign w:val="center"/>
                </w:tcPr>
                <w:p w14:paraId="3A943814">
                  <w:pPr>
                    <w:jc w:val="center"/>
                    <w:rPr>
                      <w:rFonts w:eastAsiaTheme="minorEastAsia"/>
                      <w:sz w:val="21"/>
                      <w:szCs w:val="21"/>
                    </w:rPr>
                  </w:pPr>
                  <w:r>
                    <w:rPr>
                      <w:rFonts w:eastAsiaTheme="minorEastAsia"/>
                      <w:sz w:val="21"/>
                      <w:szCs w:val="21"/>
                    </w:rPr>
                    <w:t>27.3</w:t>
                  </w:r>
                </w:p>
              </w:tc>
              <w:tc>
                <w:tcPr>
                  <w:tcW w:w="174" w:type="pct"/>
                  <w:shd w:val="clear" w:color="auto" w:fill="FFFFFF"/>
                  <w:tcMar>
                    <w:top w:w="0" w:type="dxa"/>
                    <w:left w:w="0" w:type="dxa"/>
                    <w:bottom w:w="0" w:type="dxa"/>
                    <w:right w:w="0" w:type="dxa"/>
                  </w:tcMar>
                  <w:vAlign w:val="center"/>
                </w:tcPr>
                <w:p w14:paraId="20EB9EB8">
                  <w:pPr>
                    <w:jc w:val="center"/>
                    <w:rPr>
                      <w:rFonts w:eastAsiaTheme="minorEastAsia"/>
                      <w:sz w:val="21"/>
                      <w:szCs w:val="21"/>
                    </w:rPr>
                  </w:pPr>
                  <w:r>
                    <w:rPr>
                      <w:rFonts w:eastAsiaTheme="minorEastAsia"/>
                      <w:sz w:val="21"/>
                      <w:szCs w:val="21"/>
                    </w:rPr>
                    <w:t>24.0</w:t>
                  </w:r>
                </w:p>
              </w:tc>
              <w:tc>
                <w:tcPr>
                  <w:tcW w:w="174" w:type="pct"/>
                  <w:shd w:val="clear" w:color="auto" w:fill="FFFFFF"/>
                  <w:tcMar>
                    <w:top w:w="0" w:type="dxa"/>
                    <w:left w:w="0" w:type="dxa"/>
                    <w:bottom w:w="0" w:type="dxa"/>
                    <w:right w:w="0" w:type="dxa"/>
                  </w:tcMar>
                  <w:vAlign w:val="center"/>
                </w:tcPr>
                <w:p w14:paraId="65A169C0">
                  <w:pPr>
                    <w:jc w:val="center"/>
                    <w:rPr>
                      <w:rFonts w:eastAsiaTheme="minorEastAsia"/>
                      <w:sz w:val="21"/>
                      <w:szCs w:val="21"/>
                    </w:rPr>
                  </w:pPr>
                  <w:r>
                    <w:rPr>
                      <w:rFonts w:eastAsiaTheme="minorEastAsia"/>
                      <w:sz w:val="21"/>
                      <w:szCs w:val="21"/>
                    </w:rPr>
                    <w:t>13.8</w:t>
                  </w:r>
                </w:p>
              </w:tc>
              <w:tc>
                <w:tcPr>
                  <w:tcW w:w="177" w:type="pct"/>
                  <w:shd w:val="clear" w:color="auto" w:fill="FFFFFF"/>
                  <w:tcMar>
                    <w:top w:w="0" w:type="dxa"/>
                    <w:left w:w="0" w:type="dxa"/>
                    <w:bottom w:w="0" w:type="dxa"/>
                    <w:right w:w="0" w:type="dxa"/>
                  </w:tcMar>
                  <w:vAlign w:val="center"/>
                </w:tcPr>
                <w:p w14:paraId="28488EAF">
                  <w:pPr>
                    <w:jc w:val="center"/>
                    <w:rPr>
                      <w:rFonts w:eastAsiaTheme="minorEastAsia"/>
                      <w:sz w:val="21"/>
                      <w:szCs w:val="21"/>
                    </w:rPr>
                  </w:pPr>
                  <w:r>
                    <w:rPr>
                      <w:rFonts w:eastAsiaTheme="minorEastAsia"/>
                      <w:sz w:val="21"/>
                      <w:szCs w:val="21"/>
                    </w:rPr>
                    <w:t>26.1</w:t>
                  </w:r>
                </w:p>
              </w:tc>
              <w:tc>
                <w:tcPr>
                  <w:tcW w:w="174" w:type="pct"/>
                  <w:shd w:val="clear" w:color="auto" w:fill="FFFFFF"/>
                  <w:tcMar>
                    <w:top w:w="0" w:type="dxa"/>
                    <w:left w:w="0" w:type="dxa"/>
                    <w:bottom w:w="0" w:type="dxa"/>
                    <w:right w:w="0" w:type="dxa"/>
                  </w:tcMar>
                  <w:vAlign w:val="center"/>
                </w:tcPr>
                <w:p w14:paraId="646A48CA">
                  <w:pPr>
                    <w:jc w:val="center"/>
                    <w:rPr>
                      <w:rFonts w:eastAsiaTheme="minorEastAsia"/>
                      <w:sz w:val="21"/>
                      <w:szCs w:val="21"/>
                    </w:rPr>
                  </w:pPr>
                  <w:r>
                    <w:rPr>
                      <w:rFonts w:eastAsiaTheme="minorEastAsia"/>
                      <w:sz w:val="21"/>
                      <w:szCs w:val="21"/>
                    </w:rPr>
                    <w:t>60.5</w:t>
                  </w:r>
                </w:p>
              </w:tc>
              <w:tc>
                <w:tcPr>
                  <w:tcW w:w="174" w:type="pct"/>
                  <w:shd w:val="clear" w:color="auto" w:fill="FFFFFF"/>
                  <w:tcMar>
                    <w:top w:w="0" w:type="dxa"/>
                    <w:left w:w="0" w:type="dxa"/>
                    <w:bottom w:w="0" w:type="dxa"/>
                    <w:right w:w="0" w:type="dxa"/>
                  </w:tcMar>
                  <w:vAlign w:val="center"/>
                </w:tcPr>
                <w:p w14:paraId="23E88C2F">
                  <w:pPr>
                    <w:jc w:val="center"/>
                    <w:rPr>
                      <w:rFonts w:eastAsiaTheme="minorEastAsia"/>
                      <w:sz w:val="21"/>
                      <w:szCs w:val="21"/>
                    </w:rPr>
                  </w:pPr>
                  <w:r>
                    <w:rPr>
                      <w:rFonts w:eastAsiaTheme="minorEastAsia"/>
                      <w:sz w:val="21"/>
                      <w:szCs w:val="21"/>
                    </w:rPr>
                    <w:t>60.5</w:t>
                  </w:r>
                </w:p>
              </w:tc>
              <w:tc>
                <w:tcPr>
                  <w:tcW w:w="174" w:type="pct"/>
                  <w:shd w:val="clear" w:color="auto" w:fill="FFFFFF"/>
                  <w:tcMar>
                    <w:top w:w="0" w:type="dxa"/>
                    <w:left w:w="0" w:type="dxa"/>
                    <w:bottom w:w="0" w:type="dxa"/>
                    <w:right w:w="0" w:type="dxa"/>
                  </w:tcMar>
                  <w:vAlign w:val="center"/>
                </w:tcPr>
                <w:p w14:paraId="73CE825E">
                  <w:pPr>
                    <w:jc w:val="center"/>
                    <w:rPr>
                      <w:rFonts w:eastAsiaTheme="minorEastAsia"/>
                      <w:sz w:val="21"/>
                      <w:szCs w:val="21"/>
                    </w:rPr>
                  </w:pPr>
                  <w:r>
                    <w:rPr>
                      <w:rFonts w:eastAsiaTheme="minorEastAsia"/>
                      <w:sz w:val="21"/>
                      <w:szCs w:val="21"/>
                    </w:rPr>
                    <w:t>60.6</w:t>
                  </w:r>
                </w:p>
              </w:tc>
              <w:tc>
                <w:tcPr>
                  <w:tcW w:w="177" w:type="pct"/>
                  <w:shd w:val="clear" w:color="auto" w:fill="FFFFFF"/>
                  <w:tcMar>
                    <w:top w:w="0" w:type="dxa"/>
                    <w:left w:w="0" w:type="dxa"/>
                    <w:bottom w:w="0" w:type="dxa"/>
                    <w:right w:w="0" w:type="dxa"/>
                  </w:tcMar>
                  <w:vAlign w:val="center"/>
                </w:tcPr>
                <w:p w14:paraId="51A96AE1">
                  <w:pPr>
                    <w:jc w:val="center"/>
                    <w:rPr>
                      <w:rFonts w:eastAsiaTheme="minorEastAsia"/>
                      <w:sz w:val="21"/>
                      <w:szCs w:val="21"/>
                    </w:rPr>
                  </w:pPr>
                  <w:r>
                    <w:rPr>
                      <w:rFonts w:eastAsiaTheme="minorEastAsia"/>
                      <w:sz w:val="21"/>
                      <w:szCs w:val="21"/>
                    </w:rPr>
                    <w:t>60.5</w:t>
                  </w:r>
                </w:p>
              </w:tc>
              <w:tc>
                <w:tcPr>
                  <w:tcW w:w="214" w:type="pct"/>
                  <w:vMerge w:val="continue"/>
                  <w:shd w:val="clear" w:color="auto" w:fill="FFFFFF"/>
                  <w:tcMar>
                    <w:top w:w="0" w:type="dxa"/>
                    <w:left w:w="0" w:type="dxa"/>
                    <w:bottom w:w="0" w:type="dxa"/>
                    <w:right w:w="0" w:type="dxa"/>
                  </w:tcMar>
                  <w:vAlign w:val="center"/>
                </w:tcPr>
                <w:p w14:paraId="4EF1A81F">
                  <w:pPr>
                    <w:jc w:val="center"/>
                    <w:rPr>
                      <w:rFonts w:eastAsiaTheme="minorEastAsia"/>
                      <w:sz w:val="21"/>
                      <w:szCs w:val="21"/>
                    </w:rPr>
                  </w:pPr>
                </w:p>
              </w:tc>
              <w:tc>
                <w:tcPr>
                  <w:tcW w:w="174" w:type="pct"/>
                  <w:shd w:val="clear" w:color="auto" w:fill="FFFFFF"/>
                  <w:tcMar>
                    <w:top w:w="0" w:type="dxa"/>
                    <w:left w:w="0" w:type="dxa"/>
                    <w:bottom w:w="0" w:type="dxa"/>
                    <w:right w:w="0" w:type="dxa"/>
                  </w:tcMar>
                  <w:vAlign w:val="center"/>
                </w:tcPr>
                <w:p w14:paraId="1FBA1C66">
                  <w:pPr>
                    <w:jc w:val="center"/>
                    <w:rPr>
                      <w:rFonts w:eastAsiaTheme="minorEastAsia"/>
                      <w:sz w:val="21"/>
                      <w:szCs w:val="21"/>
                    </w:rPr>
                  </w:pPr>
                  <w:r>
                    <w:rPr>
                      <w:rFonts w:eastAsiaTheme="minorEastAsia"/>
                      <w:sz w:val="21"/>
                      <w:szCs w:val="21"/>
                    </w:rPr>
                    <w:t>16.0</w:t>
                  </w:r>
                </w:p>
              </w:tc>
              <w:tc>
                <w:tcPr>
                  <w:tcW w:w="174" w:type="pct"/>
                  <w:shd w:val="clear" w:color="auto" w:fill="FFFFFF"/>
                  <w:tcMar>
                    <w:top w:w="0" w:type="dxa"/>
                    <w:left w:w="0" w:type="dxa"/>
                    <w:bottom w:w="0" w:type="dxa"/>
                    <w:right w:w="0" w:type="dxa"/>
                  </w:tcMar>
                  <w:vAlign w:val="center"/>
                </w:tcPr>
                <w:p w14:paraId="04083A31">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4" w:type="pct"/>
                  <w:shd w:val="clear" w:color="auto" w:fill="FFFFFF"/>
                  <w:tcMar>
                    <w:top w:w="0" w:type="dxa"/>
                    <w:left w:w="0" w:type="dxa"/>
                    <w:bottom w:w="0" w:type="dxa"/>
                    <w:right w:w="0" w:type="dxa"/>
                  </w:tcMar>
                  <w:vAlign w:val="center"/>
                </w:tcPr>
                <w:p w14:paraId="6A359965">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7" w:type="pct"/>
                  <w:shd w:val="clear" w:color="auto" w:fill="FFFFFF"/>
                  <w:tcMar>
                    <w:top w:w="0" w:type="dxa"/>
                    <w:left w:w="0" w:type="dxa"/>
                    <w:bottom w:w="0" w:type="dxa"/>
                    <w:right w:w="0" w:type="dxa"/>
                  </w:tcMar>
                  <w:vAlign w:val="center"/>
                </w:tcPr>
                <w:p w14:paraId="5FC752FC">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1" w:type="pct"/>
                  <w:shd w:val="clear" w:color="auto" w:fill="FFFFFF"/>
                  <w:tcMar>
                    <w:top w:w="0" w:type="dxa"/>
                    <w:left w:w="0" w:type="dxa"/>
                    <w:bottom w:w="0" w:type="dxa"/>
                    <w:right w:w="0" w:type="dxa"/>
                  </w:tcMar>
                  <w:vAlign w:val="center"/>
                </w:tcPr>
                <w:p w14:paraId="3E0B0EEB">
                  <w:pPr>
                    <w:jc w:val="center"/>
                    <w:rPr>
                      <w:rFonts w:eastAsiaTheme="minorEastAsia"/>
                      <w:sz w:val="21"/>
                      <w:szCs w:val="21"/>
                    </w:rPr>
                  </w:pPr>
                  <w:r>
                    <w:rPr>
                      <w:rFonts w:eastAsiaTheme="minorEastAsia"/>
                      <w:sz w:val="21"/>
                      <w:szCs w:val="21"/>
                    </w:rPr>
                    <w:t>44.5</w:t>
                  </w:r>
                </w:p>
              </w:tc>
              <w:tc>
                <w:tcPr>
                  <w:tcW w:w="171" w:type="pct"/>
                  <w:shd w:val="clear" w:color="auto" w:fill="FFFFFF"/>
                  <w:tcMar>
                    <w:top w:w="0" w:type="dxa"/>
                    <w:left w:w="0" w:type="dxa"/>
                    <w:bottom w:w="0" w:type="dxa"/>
                    <w:right w:w="0" w:type="dxa"/>
                  </w:tcMar>
                  <w:vAlign w:val="center"/>
                </w:tcPr>
                <w:p w14:paraId="7B565A2B">
                  <w:pPr>
                    <w:jc w:val="center"/>
                    <w:rPr>
                      <w:rFonts w:eastAsiaTheme="minorEastAsia"/>
                      <w:sz w:val="21"/>
                      <w:szCs w:val="21"/>
                    </w:rPr>
                  </w:pPr>
                  <w:r>
                    <w:rPr>
                      <w:rFonts w:eastAsiaTheme="minorEastAsia"/>
                      <w:sz w:val="21"/>
                      <w:szCs w:val="21"/>
                    </w:rPr>
                    <w:t>19.5</w:t>
                  </w:r>
                </w:p>
              </w:tc>
              <w:tc>
                <w:tcPr>
                  <w:tcW w:w="171" w:type="pct"/>
                  <w:shd w:val="clear" w:color="auto" w:fill="FFFFFF"/>
                  <w:tcMar>
                    <w:top w:w="0" w:type="dxa"/>
                    <w:left w:w="0" w:type="dxa"/>
                    <w:bottom w:w="0" w:type="dxa"/>
                    <w:right w:w="0" w:type="dxa"/>
                  </w:tcMar>
                  <w:vAlign w:val="center"/>
                </w:tcPr>
                <w:p w14:paraId="76C7B550">
                  <w:pPr>
                    <w:jc w:val="center"/>
                    <w:rPr>
                      <w:rFonts w:eastAsiaTheme="minorEastAsia"/>
                      <w:sz w:val="21"/>
                      <w:szCs w:val="21"/>
                    </w:rPr>
                  </w:pPr>
                  <w:r>
                    <w:rPr>
                      <w:rFonts w:eastAsiaTheme="minorEastAsia"/>
                      <w:sz w:val="21"/>
                      <w:szCs w:val="21"/>
                    </w:rPr>
                    <w:t>19.6</w:t>
                  </w:r>
                </w:p>
              </w:tc>
              <w:tc>
                <w:tcPr>
                  <w:tcW w:w="140" w:type="pct"/>
                  <w:shd w:val="clear" w:color="auto" w:fill="FFFFFF"/>
                  <w:tcMar>
                    <w:top w:w="0" w:type="dxa"/>
                    <w:left w:w="0" w:type="dxa"/>
                    <w:bottom w:w="0" w:type="dxa"/>
                    <w:right w:w="0" w:type="dxa"/>
                  </w:tcMar>
                  <w:vAlign w:val="center"/>
                </w:tcPr>
                <w:p w14:paraId="51D61829">
                  <w:pPr>
                    <w:jc w:val="center"/>
                    <w:rPr>
                      <w:rFonts w:eastAsiaTheme="minorEastAsia"/>
                      <w:sz w:val="21"/>
                      <w:szCs w:val="21"/>
                    </w:rPr>
                  </w:pPr>
                  <w:r>
                    <w:rPr>
                      <w:rFonts w:eastAsiaTheme="minorEastAsia"/>
                      <w:sz w:val="21"/>
                      <w:szCs w:val="21"/>
                    </w:rPr>
                    <w:t>19.5</w:t>
                  </w:r>
                </w:p>
              </w:tc>
              <w:tc>
                <w:tcPr>
                  <w:tcW w:w="135" w:type="pct"/>
                  <w:shd w:val="clear" w:color="auto" w:fill="FFFFFF"/>
                  <w:tcMar>
                    <w:top w:w="0" w:type="dxa"/>
                    <w:left w:w="0" w:type="dxa"/>
                    <w:bottom w:w="0" w:type="dxa"/>
                    <w:right w:w="0" w:type="dxa"/>
                  </w:tcMar>
                  <w:vAlign w:val="center"/>
                </w:tcPr>
                <w:p w14:paraId="719237A9">
                  <w:pPr>
                    <w:jc w:val="center"/>
                    <w:rPr>
                      <w:rFonts w:eastAsiaTheme="minorEastAsia"/>
                      <w:sz w:val="21"/>
                      <w:szCs w:val="21"/>
                    </w:rPr>
                  </w:pPr>
                  <w:r>
                    <w:rPr>
                      <w:rFonts w:eastAsiaTheme="minorEastAsia"/>
                      <w:sz w:val="21"/>
                      <w:szCs w:val="21"/>
                    </w:rPr>
                    <w:t>1</w:t>
                  </w:r>
                </w:p>
              </w:tc>
            </w:tr>
            <w:tr w14:paraId="3E9D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12" w:type="pct"/>
                  <w:shd w:val="clear" w:color="auto" w:fill="FFFFFF"/>
                  <w:tcMar>
                    <w:top w:w="0" w:type="dxa"/>
                    <w:left w:w="0" w:type="dxa"/>
                    <w:bottom w:w="0" w:type="dxa"/>
                    <w:right w:w="0" w:type="dxa"/>
                  </w:tcMar>
                  <w:vAlign w:val="center"/>
                </w:tcPr>
                <w:p w14:paraId="56AFD3DD">
                  <w:pPr>
                    <w:jc w:val="center"/>
                    <w:rPr>
                      <w:rFonts w:eastAsiaTheme="minorEastAsia"/>
                      <w:sz w:val="21"/>
                      <w:szCs w:val="21"/>
                    </w:rPr>
                  </w:pPr>
                  <w:r>
                    <w:rPr>
                      <w:rFonts w:eastAsiaTheme="minorEastAsia"/>
                      <w:sz w:val="21"/>
                      <w:szCs w:val="21"/>
                    </w:rPr>
                    <w:t>3</w:t>
                  </w:r>
                </w:p>
              </w:tc>
              <w:tc>
                <w:tcPr>
                  <w:tcW w:w="212" w:type="pct"/>
                  <w:shd w:val="clear" w:color="auto" w:fill="FFFFFF"/>
                  <w:tcMar>
                    <w:top w:w="0" w:type="dxa"/>
                    <w:left w:w="0" w:type="dxa"/>
                    <w:bottom w:w="0" w:type="dxa"/>
                    <w:right w:w="0" w:type="dxa"/>
                  </w:tcMar>
                  <w:vAlign w:val="center"/>
                </w:tcPr>
                <w:p w14:paraId="5A33370D">
                  <w:pPr>
                    <w:jc w:val="center"/>
                    <w:rPr>
                      <w:rFonts w:hint="default" w:eastAsiaTheme="minorEastAsia"/>
                      <w:sz w:val="21"/>
                      <w:szCs w:val="21"/>
                      <w:lang w:val="en-US" w:eastAsia="zh-CN"/>
                    </w:rPr>
                  </w:pPr>
                  <w:r>
                    <w:rPr>
                      <w:rFonts w:hint="eastAsia" w:eastAsiaTheme="minorEastAsia"/>
                      <w:sz w:val="21"/>
                      <w:szCs w:val="21"/>
                      <w:lang w:val="en-US" w:eastAsia="zh-CN"/>
                    </w:rPr>
                    <w:t>3#厂房</w:t>
                  </w:r>
                </w:p>
              </w:tc>
              <w:tc>
                <w:tcPr>
                  <w:tcW w:w="212" w:type="pct"/>
                  <w:shd w:val="clear" w:color="auto" w:fill="FFFFFF"/>
                  <w:tcMar>
                    <w:top w:w="0" w:type="dxa"/>
                    <w:left w:w="0" w:type="dxa"/>
                    <w:bottom w:w="0" w:type="dxa"/>
                    <w:right w:w="0" w:type="dxa"/>
                  </w:tcMar>
                  <w:vAlign w:val="center"/>
                </w:tcPr>
                <w:p w14:paraId="1ACCDCE8">
                  <w:pPr>
                    <w:jc w:val="center"/>
                    <w:rPr>
                      <w:rFonts w:eastAsiaTheme="minorEastAsia"/>
                      <w:sz w:val="21"/>
                      <w:szCs w:val="21"/>
                    </w:rPr>
                  </w:pPr>
                  <w:r>
                    <w:rPr>
                      <w:rFonts w:eastAsiaTheme="minorEastAsia"/>
                      <w:sz w:val="21"/>
                      <w:szCs w:val="21"/>
                    </w:rPr>
                    <w:t>浮雕机</w:t>
                  </w:r>
                </w:p>
              </w:tc>
              <w:tc>
                <w:tcPr>
                  <w:tcW w:w="212" w:type="pct"/>
                  <w:shd w:val="clear" w:color="auto" w:fill="FFFFFF"/>
                  <w:tcMar>
                    <w:top w:w="0" w:type="dxa"/>
                    <w:left w:w="0" w:type="dxa"/>
                    <w:bottom w:w="0" w:type="dxa"/>
                    <w:right w:w="0" w:type="dxa"/>
                  </w:tcMar>
                  <w:vAlign w:val="center"/>
                </w:tcPr>
                <w:p w14:paraId="06D35FAC">
                  <w:pPr>
                    <w:jc w:val="center"/>
                    <w:rPr>
                      <w:rFonts w:eastAsiaTheme="minorEastAsia"/>
                      <w:sz w:val="21"/>
                      <w:szCs w:val="21"/>
                    </w:rPr>
                  </w:pPr>
                  <w:r>
                    <w:rPr>
                      <w:rFonts w:eastAsiaTheme="minorEastAsia"/>
                      <w:sz w:val="21"/>
                      <w:szCs w:val="21"/>
                    </w:rPr>
                    <w:t>/</w:t>
                  </w:r>
                </w:p>
              </w:tc>
              <w:tc>
                <w:tcPr>
                  <w:tcW w:w="286" w:type="pct"/>
                  <w:shd w:val="clear" w:color="auto" w:fill="FFFFFF"/>
                  <w:tcMar>
                    <w:top w:w="0" w:type="dxa"/>
                    <w:left w:w="0" w:type="dxa"/>
                    <w:bottom w:w="0" w:type="dxa"/>
                    <w:right w:w="0" w:type="dxa"/>
                  </w:tcMar>
                  <w:vAlign w:val="center"/>
                </w:tcPr>
                <w:p w14:paraId="3B8EFA10">
                  <w:pPr>
                    <w:jc w:val="center"/>
                    <w:rPr>
                      <w:rFonts w:eastAsiaTheme="minorEastAsia"/>
                      <w:sz w:val="21"/>
                      <w:szCs w:val="21"/>
                    </w:rPr>
                  </w:pPr>
                  <w:r>
                    <w:rPr>
                      <w:rFonts w:eastAsiaTheme="minorEastAsia"/>
                      <w:sz w:val="21"/>
                      <w:szCs w:val="21"/>
                    </w:rPr>
                    <w:t>75</w:t>
                  </w:r>
                </w:p>
              </w:tc>
              <w:tc>
                <w:tcPr>
                  <w:tcW w:w="212" w:type="pct"/>
                  <w:vMerge w:val="continue"/>
                  <w:shd w:val="clear" w:color="auto" w:fill="FFFFFF"/>
                  <w:tcMar>
                    <w:top w:w="0" w:type="dxa"/>
                    <w:left w:w="0" w:type="dxa"/>
                    <w:bottom w:w="0" w:type="dxa"/>
                    <w:right w:w="0" w:type="dxa"/>
                  </w:tcMar>
                  <w:vAlign w:val="center"/>
                </w:tcPr>
                <w:p w14:paraId="768F8063">
                  <w:pPr>
                    <w:jc w:val="center"/>
                    <w:rPr>
                      <w:rFonts w:eastAsiaTheme="minorEastAsia"/>
                      <w:sz w:val="21"/>
                      <w:szCs w:val="21"/>
                    </w:rPr>
                  </w:pPr>
                </w:p>
              </w:tc>
              <w:tc>
                <w:tcPr>
                  <w:tcW w:w="204" w:type="pct"/>
                  <w:shd w:val="clear" w:color="auto" w:fill="FFFFFF"/>
                  <w:tcMar>
                    <w:top w:w="0" w:type="dxa"/>
                    <w:left w:w="0" w:type="dxa"/>
                    <w:bottom w:w="0" w:type="dxa"/>
                    <w:right w:w="0" w:type="dxa"/>
                  </w:tcMar>
                  <w:vAlign w:val="center"/>
                </w:tcPr>
                <w:p w14:paraId="0B8BBF12">
                  <w:pPr>
                    <w:jc w:val="center"/>
                    <w:rPr>
                      <w:rFonts w:eastAsiaTheme="minorEastAsia"/>
                      <w:sz w:val="21"/>
                      <w:szCs w:val="21"/>
                    </w:rPr>
                  </w:pPr>
                  <w:r>
                    <w:rPr>
                      <w:rFonts w:eastAsiaTheme="minorEastAsia"/>
                      <w:sz w:val="21"/>
                      <w:szCs w:val="21"/>
                    </w:rPr>
                    <w:t>-10.1</w:t>
                  </w:r>
                </w:p>
              </w:tc>
              <w:tc>
                <w:tcPr>
                  <w:tcW w:w="205" w:type="pct"/>
                  <w:shd w:val="clear" w:color="auto" w:fill="FFFFFF"/>
                  <w:tcMar>
                    <w:top w:w="0" w:type="dxa"/>
                    <w:left w:w="0" w:type="dxa"/>
                    <w:bottom w:w="0" w:type="dxa"/>
                    <w:right w:w="0" w:type="dxa"/>
                  </w:tcMar>
                  <w:vAlign w:val="center"/>
                </w:tcPr>
                <w:p w14:paraId="6C85F1AF">
                  <w:pPr>
                    <w:jc w:val="center"/>
                    <w:rPr>
                      <w:rFonts w:eastAsiaTheme="minorEastAsia"/>
                      <w:sz w:val="21"/>
                      <w:szCs w:val="21"/>
                    </w:rPr>
                  </w:pPr>
                  <w:r>
                    <w:rPr>
                      <w:rFonts w:eastAsiaTheme="minorEastAsia"/>
                      <w:sz w:val="21"/>
                      <w:szCs w:val="21"/>
                    </w:rPr>
                    <w:t>-27.5</w:t>
                  </w:r>
                </w:p>
              </w:tc>
              <w:tc>
                <w:tcPr>
                  <w:tcW w:w="134" w:type="pct"/>
                  <w:shd w:val="clear" w:color="auto" w:fill="FFFFFF"/>
                  <w:tcMar>
                    <w:top w:w="0" w:type="dxa"/>
                    <w:left w:w="0" w:type="dxa"/>
                    <w:bottom w:w="0" w:type="dxa"/>
                    <w:right w:w="0" w:type="dxa"/>
                  </w:tcMar>
                  <w:vAlign w:val="center"/>
                </w:tcPr>
                <w:p w14:paraId="1DDDC238">
                  <w:pPr>
                    <w:jc w:val="center"/>
                    <w:rPr>
                      <w:rFonts w:eastAsiaTheme="minorEastAsia"/>
                      <w:sz w:val="21"/>
                      <w:szCs w:val="21"/>
                    </w:rPr>
                  </w:pPr>
                  <w:r>
                    <w:rPr>
                      <w:rFonts w:eastAsiaTheme="minorEastAsia"/>
                      <w:sz w:val="21"/>
                      <w:szCs w:val="21"/>
                    </w:rPr>
                    <w:t>1.2</w:t>
                  </w:r>
                </w:p>
              </w:tc>
              <w:tc>
                <w:tcPr>
                  <w:tcW w:w="174" w:type="pct"/>
                  <w:shd w:val="clear" w:color="auto" w:fill="FFFFFF"/>
                  <w:tcMar>
                    <w:top w:w="0" w:type="dxa"/>
                    <w:left w:w="0" w:type="dxa"/>
                    <w:bottom w:w="0" w:type="dxa"/>
                    <w:right w:w="0" w:type="dxa"/>
                  </w:tcMar>
                  <w:vAlign w:val="center"/>
                </w:tcPr>
                <w:p w14:paraId="1EEDCAE8">
                  <w:pPr>
                    <w:jc w:val="center"/>
                    <w:rPr>
                      <w:rFonts w:eastAsiaTheme="minorEastAsia"/>
                      <w:sz w:val="21"/>
                      <w:szCs w:val="21"/>
                    </w:rPr>
                  </w:pPr>
                  <w:r>
                    <w:rPr>
                      <w:rFonts w:eastAsiaTheme="minorEastAsia"/>
                      <w:sz w:val="21"/>
                      <w:szCs w:val="21"/>
                    </w:rPr>
                    <w:t>29.8</w:t>
                  </w:r>
                </w:p>
              </w:tc>
              <w:tc>
                <w:tcPr>
                  <w:tcW w:w="174" w:type="pct"/>
                  <w:shd w:val="clear" w:color="auto" w:fill="FFFFFF"/>
                  <w:tcMar>
                    <w:top w:w="0" w:type="dxa"/>
                    <w:left w:w="0" w:type="dxa"/>
                    <w:bottom w:w="0" w:type="dxa"/>
                    <w:right w:w="0" w:type="dxa"/>
                  </w:tcMar>
                  <w:vAlign w:val="center"/>
                </w:tcPr>
                <w:p w14:paraId="72C748CF">
                  <w:pPr>
                    <w:jc w:val="center"/>
                    <w:rPr>
                      <w:rFonts w:eastAsiaTheme="minorEastAsia"/>
                      <w:sz w:val="21"/>
                      <w:szCs w:val="21"/>
                    </w:rPr>
                  </w:pPr>
                  <w:r>
                    <w:rPr>
                      <w:rFonts w:eastAsiaTheme="minorEastAsia"/>
                      <w:sz w:val="21"/>
                      <w:szCs w:val="21"/>
                    </w:rPr>
                    <w:t>22.1</w:t>
                  </w:r>
                </w:p>
              </w:tc>
              <w:tc>
                <w:tcPr>
                  <w:tcW w:w="174" w:type="pct"/>
                  <w:shd w:val="clear" w:color="auto" w:fill="FFFFFF"/>
                  <w:tcMar>
                    <w:top w:w="0" w:type="dxa"/>
                    <w:left w:w="0" w:type="dxa"/>
                    <w:bottom w:w="0" w:type="dxa"/>
                    <w:right w:w="0" w:type="dxa"/>
                  </w:tcMar>
                  <w:vAlign w:val="center"/>
                </w:tcPr>
                <w:p w14:paraId="79E616F9">
                  <w:pPr>
                    <w:jc w:val="center"/>
                    <w:rPr>
                      <w:rFonts w:eastAsiaTheme="minorEastAsia"/>
                      <w:sz w:val="21"/>
                      <w:szCs w:val="21"/>
                    </w:rPr>
                  </w:pPr>
                  <w:r>
                    <w:rPr>
                      <w:rFonts w:eastAsiaTheme="minorEastAsia"/>
                      <w:sz w:val="21"/>
                      <w:szCs w:val="21"/>
                    </w:rPr>
                    <w:t>12.5</w:t>
                  </w:r>
                </w:p>
              </w:tc>
              <w:tc>
                <w:tcPr>
                  <w:tcW w:w="177" w:type="pct"/>
                  <w:shd w:val="clear" w:color="auto" w:fill="FFFFFF"/>
                  <w:tcMar>
                    <w:top w:w="0" w:type="dxa"/>
                    <w:left w:w="0" w:type="dxa"/>
                    <w:bottom w:w="0" w:type="dxa"/>
                    <w:right w:w="0" w:type="dxa"/>
                  </w:tcMar>
                  <w:vAlign w:val="center"/>
                </w:tcPr>
                <w:p w14:paraId="2FFBBD7A">
                  <w:pPr>
                    <w:jc w:val="center"/>
                    <w:rPr>
                      <w:rFonts w:eastAsiaTheme="minorEastAsia"/>
                      <w:sz w:val="21"/>
                      <w:szCs w:val="21"/>
                    </w:rPr>
                  </w:pPr>
                  <w:r>
                    <w:rPr>
                      <w:rFonts w:eastAsiaTheme="minorEastAsia"/>
                      <w:sz w:val="21"/>
                      <w:szCs w:val="21"/>
                    </w:rPr>
                    <w:t>26.6</w:t>
                  </w:r>
                </w:p>
              </w:tc>
              <w:tc>
                <w:tcPr>
                  <w:tcW w:w="174" w:type="pct"/>
                  <w:shd w:val="clear" w:color="auto" w:fill="FFFFFF"/>
                  <w:tcMar>
                    <w:top w:w="0" w:type="dxa"/>
                    <w:left w:w="0" w:type="dxa"/>
                    <w:bottom w:w="0" w:type="dxa"/>
                    <w:right w:w="0" w:type="dxa"/>
                  </w:tcMar>
                  <w:vAlign w:val="center"/>
                </w:tcPr>
                <w:p w14:paraId="2F2A0524">
                  <w:pPr>
                    <w:jc w:val="center"/>
                    <w:rPr>
                      <w:rFonts w:eastAsiaTheme="minorEastAsia"/>
                      <w:sz w:val="21"/>
                      <w:szCs w:val="21"/>
                    </w:rPr>
                  </w:pPr>
                  <w:r>
                    <w:rPr>
                      <w:rFonts w:eastAsiaTheme="minorEastAsia"/>
                      <w:sz w:val="21"/>
                      <w:szCs w:val="21"/>
                    </w:rPr>
                    <w:t>60.5</w:t>
                  </w:r>
                </w:p>
              </w:tc>
              <w:tc>
                <w:tcPr>
                  <w:tcW w:w="174" w:type="pct"/>
                  <w:shd w:val="clear" w:color="auto" w:fill="FFFFFF"/>
                  <w:tcMar>
                    <w:top w:w="0" w:type="dxa"/>
                    <w:left w:w="0" w:type="dxa"/>
                    <w:bottom w:w="0" w:type="dxa"/>
                    <w:right w:w="0" w:type="dxa"/>
                  </w:tcMar>
                  <w:vAlign w:val="center"/>
                </w:tcPr>
                <w:p w14:paraId="614EE227">
                  <w:pPr>
                    <w:jc w:val="center"/>
                    <w:rPr>
                      <w:rFonts w:eastAsiaTheme="minorEastAsia"/>
                      <w:sz w:val="21"/>
                      <w:szCs w:val="21"/>
                    </w:rPr>
                  </w:pPr>
                  <w:r>
                    <w:rPr>
                      <w:rFonts w:eastAsiaTheme="minorEastAsia"/>
                      <w:sz w:val="21"/>
                      <w:szCs w:val="21"/>
                    </w:rPr>
                    <w:t>60.5</w:t>
                  </w:r>
                </w:p>
              </w:tc>
              <w:tc>
                <w:tcPr>
                  <w:tcW w:w="174" w:type="pct"/>
                  <w:shd w:val="clear" w:color="auto" w:fill="FFFFFF"/>
                  <w:tcMar>
                    <w:top w:w="0" w:type="dxa"/>
                    <w:left w:w="0" w:type="dxa"/>
                    <w:bottom w:w="0" w:type="dxa"/>
                    <w:right w:w="0" w:type="dxa"/>
                  </w:tcMar>
                  <w:vAlign w:val="center"/>
                </w:tcPr>
                <w:p w14:paraId="111560E3">
                  <w:pPr>
                    <w:jc w:val="center"/>
                    <w:rPr>
                      <w:rFonts w:eastAsiaTheme="minorEastAsia"/>
                      <w:sz w:val="21"/>
                      <w:szCs w:val="21"/>
                    </w:rPr>
                  </w:pPr>
                  <w:r>
                    <w:rPr>
                      <w:rFonts w:eastAsiaTheme="minorEastAsia"/>
                      <w:sz w:val="21"/>
                      <w:szCs w:val="21"/>
                    </w:rPr>
                    <w:t>60.6</w:t>
                  </w:r>
                </w:p>
              </w:tc>
              <w:tc>
                <w:tcPr>
                  <w:tcW w:w="177" w:type="pct"/>
                  <w:shd w:val="clear" w:color="auto" w:fill="FFFFFF"/>
                  <w:tcMar>
                    <w:top w:w="0" w:type="dxa"/>
                    <w:left w:w="0" w:type="dxa"/>
                    <w:bottom w:w="0" w:type="dxa"/>
                    <w:right w:w="0" w:type="dxa"/>
                  </w:tcMar>
                  <w:vAlign w:val="center"/>
                </w:tcPr>
                <w:p w14:paraId="1BAE6154">
                  <w:pPr>
                    <w:jc w:val="center"/>
                    <w:rPr>
                      <w:rFonts w:eastAsiaTheme="minorEastAsia"/>
                      <w:sz w:val="21"/>
                      <w:szCs w:val="21"/>
                    </w:rPr>
                  </w:pPr>
                  <w:r>
                    <w:rPr>
                      <w:rFonts w:eastAsiaTheme="minorEastAsia"/>
                      <w:sz w:val="21"/>
                      <w:szCs w:val="21"/>
                    </w:rPr>
                    <w:t>60.5</w:t>
                  </w:r>
                </w:p>
              </w:tc>
              <w:tc>
                <w:tcPr>
                  <w:tcW w:w="214" w:type="pct"/>
                  <w:vMerge w:val="continue"/>
                  <w:shd w:val="clear" w:color="auto" w:fill="FFFFFF"/>
                  <w:tcMar>
                    <w:top w:w="0" w:type="dxa"/>
                    <w:left w:w="0" w:type="dxa"/>
                    <w:bottom w:w="0" w:type="dxa"/>
                    <w:right w:w="0" w:type="dxa"/>
                  </w:tcMar>
                  <w:vAlign w:val="center"/>
                </w:tcPr>
                <w:p w14:paraId="6DF70686">
                  <w:pPr>
                    <w:jc w:val="center"/>
                    <w:rPr>
                      <w:rFonts w:eastAsiaTheme="minorEastAsia"/>
                      <w:sz w:val="21"/>
                      <w:szCs w:val="21"/>
                    </w:rPr>
                  </w:pPr>
                </w:p>
              </w:tc>
              <w:tc>
                <w:tcPr>
                  <w:tcW w:w="174" w:type="pct"/>
                  <w:shd w:val="clear" w:color="auto" w:fill="FFFFFF"/>
                  <w:tcMar>
                    <w:top w:w="0" w:type="dxa"/>
                    <w:left w:w="0" w:type="dxa"/>
                    <w:bottom w:w="0" w:type="dxa"/>
                    <w:right w:w="0" w:type="dxa"/>
                  </w:tcMar>
                  <w:vAlign w:val="center"/>
                </w:tcPr>
                <w:p w14:paraId="1A0E2836">
                  <w:pPr>
                    <w:jc w:val="center"/>
                    <w:rPr>
                      <w:rFonts w:eastAsiaTheme="minorEastAsia"/>
                      <w:sz w:val="21"/>
                      <w:szCs w:val="21"/>
                    </w:rPr>
                  </w:pPr>
                  <w:r>
                    <w:rPr>
                      <w:rFonts w:eastAsiaTheme="minorEastAsia"/>
                      <w:sz w:val="21"/>
                      <w:szCs w:val="21"/>
                    </w:rPr>
                    <w:t>16.0</w:t>
                  </w:r>
                </w:p>
              </w:tc>
              <w:tc>
                <w:tcPr>
                  <w:tcW w:w="174" w:type="pct"/>
                  <w:shd w:val="clear" w:color="auto" w:fill="FFFFFF"/>
                  <w:tcMar>
                    <w:top w:w="0" w:type="dxa"/>
                    <w:left w:w="0" w:type="dxa"/>
                    <w:bottom w:w="0" w:type="dxa"/>
                    <w:right w:w="0" w:type="dxa"/>
                  </w:tcMar>
                  <w:vAlign w:val="center"/>
                </w:tcPr>
                <w:p w14:paraId="281DA711">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4" w:type="pct"/>
                  <w:shd w:val="clear" w:color="auto" w:fill="FFFFFF"/>
                  <w:tcMar>
                    <w:top w:w="0" w:type="dxa"/>
                    <w:left w:w="0" w:type="dxa"/>
                    <w:bottom w:w="0" w:type="dxa"/>
                    <w:right w:w="0" w:type="dxa"/>
                  </w:tcMar>
                  <w:vAlign w:val="center"/>
                </w:tcPr>
                <w:p w14:paraId="503B7E0D">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7" w:type="pct"/>
                  <w:shd w:val="clear" w:color="auto" w:fill="FFFFFF"/>
                  <w:tcMar>
                    <w:top w:w="0" w:type="dxa"/>
                    <w:left w:w="0" w:type="dxa"/>
                    <w:bottom w:w="0" w:type="dxa"/>
                    <w:right w:w="0" w:type="dxa"/>
                  </w:tcMar>
                  <w:vAlign w:val="center"/>
                </w:tcPr>
                <w:p w14:paraId="3C07F51A">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1" w:type="pct"/>
                  <w:shd w:val="clear" w:color="auto" w:fill="FFFFFF"/>
                  <w:tcMar>
                    <w:top w:w="0" w:type="dxa"/>
                    <w:left w:w="0" w:type="dxa"/>
                    <w:bottom w:w="0" w:type="dxa"/>
                    <w:right w:w="0" w:type="dxa"/>
                  </w:tcMar>
                  <w:vAlign w:val="center"/>
                </w:tcPr>
                <w:p w14:paraId="4AF93923">
                  <w:pPr>
                    <w:jc w:val="center"/>
                    <w:rPr>
                      <w:rFonts w:eastAsiaTheme="minorEastAsia"/>
                      <w:sz w:val="21"/>
                      <w:szCs w:val="21"/>
                    </w:rPr>
                  </w:pPr>
                  <w:r>
                    <w:rPr>
                      <w:rFonts w:eastAsiaTheme="minorEastAsia"/>
                      <w:sz w:val="21"/>
                      <w:szCs w:val="21"/>
                    </w:rPr>
                    <w:t>44.5</w:t>
                  </w:r>
                </w:p>
              </w:tc>
              <w:tc>
                <w:tcPr>
                  <w:tcW w:w="171" w:type="pct"/>
                  <w:shd w:val="clear" w:color="auto" w:fill="FFFFFF"/>
                  <w:tcMar>
                    <w:top w:w="0" w:type="dxa"/>
                    <w:left w:w="0" w:type="dxa"/>
                    <w:bottom w:w="0" w:type="dxa"/>
                    <w:right w:w="0" w:type="dxa"/>
                  </w:tcMar>
                  <w:vAlign w:val="center"/>
                </w:tcPr>
                <w:p w14:paraId="7BE6E612">
                  <w:pPr>
                    <w:jc w:val="center"/>
                    <w:rPr>
                      <w:rFonts w:eastAsiaTheme="minorEastAsia"/>
                      <w:sz w:val="21"/>
                      <w:szCs w:val="21"/>
                    </w:rPr>
                  </w:pPr>
                  <w:r>
                    <w:rPr>
                      <w:rFonts w:eastAsiaTheme="minorEastAsia"/>
                      <w:sz w:val="21"/>
                      <w:szCs w:val="21"/>
                    </w:rPr>
                    <w:t>19.5</w:t>
                  </w:r>
                </w:p>
              </w:tc>
              <w:tc>
                <w:tcPr>
                  <w:tcW w:w="171" w:type="pct"/>
                  <w:shd w:val="clear" w:color="auto" w:fill="FFFFFF"/>
                  <w:tcMar>
                    <w:top w:w="0" w:type="dxa"/>
                    <w:left w:w="0" w:type="dxa"/>
                    <w:bottom w:w="0" w:type="dxa"/>
                    <w:right w:w="0" w:type="dxa"/>
                  </w:tcMar>
                  <w:vAlign w:val="center"/>
                </w:tcPr>
                <w:p w14:paraId="3484F9D5">
                  <w:pPr>
                    <w:jc w:val="center"/>
                    <w:rPr>
                      <w:rFonts w:eastAsiaTheme="minorEastAsia"/>
                      <w:sz w:val="21"/>
                      <w:szCs w:val="21"/>
                    </w:rPr>
                  </w:pPr>
                  <w:r>
                    <w:rPr>
                      <w:rFonts w:eastAsiaTheme="minorEastAsia"/>
                      <w:sz w:val="21"/>
                      <w:szCs w:val="21"/>
                    </w:rPr>
                    <w:t>19.6</w:t>
                  </w:r>
                </w:p>
              </w:tc>
              <w:tc>
                <w:tcPr>
                  <w:tcW w:w="140" w:type="pct"/>
                  <w:shd w:val="clear" w:color="auto" w:fill="FFFFFF"/>
                  <w:tcMar>
                    <w:top w:w="0" w:type="dxa"/>
                    <w:left w:w="0" w:type="dxa"/>
                    <w:bottom w:w="0" w:type="dxa"/>
                    <w:right w:w="0" w:type="dxa"/>
                  </w:tcMar>
                  <w:vAlign w:val="center"/>
                </w:tcPr>
                <w:p w14:paraId="7C91F834">
                  <w:pPr>
                    <w:jc w:val="center"/>
                    <w:rPr>
                      <w:rFonts w:eastAsiaTheme="minorEastAsia"/>
                      <w:sz w:val="21"/>
                      <w:szCs w:val="21"/>
                    </w:rPr>
                  </w:pPr>
                  <w:r>
                    <w:rPr>
                      <w:rFonts w:eastAsiaTheme="minorEastAsia"/>
                      <w:sz w:val="21"/>
                      <w:szCs w:val="21"/>
                    </w:rPr>
                    <w:t>19.5</w:t>
                  </w:r>
                </w:p>
              </w:tc>
              <w:tc>
                <w:tcPr>
                  <w:tcW w:w="135" w:type="pct"/>
                  <w:shd w:val="clear" w:color="auto" w:fill="FFFFFF"/>
                  <w:tcMar>
                    <w:top w:w="0" w:type="dxa"/>
                    <w:left w:w="0" w:type="dxa"/>
                    <w:bottom w:w="0" w:type="dxa"/>
                    <w:right w:w="0" w:type="dxa"/>
                  </w:tcMar>
                  <w:vAlign w:val="center"/>
                </w:tcPr>
                <w:p w14:paraId="6F1C2777">
                  <w:pPr>
                    <w:jc w:val="center"/>
                    <w:rPr>
                      <w:rFonts w:eastAsiaTheme="minorEastAsia"/>
                      <w:sz w:val="21"/>
                      <w:szCs w:val="21"/>
                    </w:rPr>
                  </w:pPr>
                  <w:r>
                    <w:rPr>
                      <w:rFonts w:eastAsiaTheme="minorEastAsia"/>
                      <w:sz w:val="21"/>
                      <w:szCs w:val="21"/>
                    </w:rPr>
                    <w:t>1</w:t>
                  </w:r>
                </w:p>
              </w:tc>
            </w:tr>
            <w:tr w14:paraId="743C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12" w:type="pct"/>
                  <w:shd w:val="clear" w:color="auto" w:fill="FFFFFF"/>
                  <w:tcMar>
                    <w:top w:w="0" w:type="dxa"/>
                    <w:left w:w="0" w:type="dxa"/>
                    <w:bottom w:w="0" w:type="dxa"/>
                    <w:right w:w="0" w:type="dxa"/>
                  </w:tcMar>
                  <w:vAlign w:val="center"/>
                </w:tcPr>
                <w:p w14:paraId="5145C14D">
                  <w:pPr>
                    <w:jc w:val="center"/>
                    <w:rPr>
                      <w:rFonts w:eastAsiaTheme="minorEastAsia"/>
                      <w:sz w:val="21"/>
                      <w:szCs w:val="21"/>
                    </w:rPr>
                  </w:pPr>
                  <w:r>
                    <w:rPr>
                      <w:rFonts w:eastAsiaTheme="minorEastAsia"/>
                      <w:sz w:val="21"/>
                      <w:szCs w:val="21"/>
                    </w:rPr>
                    <w:t>4</w:t>
                  </w:r>
                </w:p>
              </w:tc>
              <w:tc>
                <w:tcPr>
                  <w:tcW w:w="212" w:type="pct"/>
                  <w:shd w:val="clear" w:color="auto" w:fill="FFFFFF"/>
                  <w:tcMar>
                    <w:top w:w="0" w:type="dxa"/>
                    <w:left w:w="0" w:type="dxa"/>
                    <w:bottom w:w="0" w:type="dxa"/>
                    <w:right w:w="0" w:type="dxa"/>
                  </w:tcMar>
                  <w:vAlign w:val="center"/>
                </w:tcPr>
                <w:p w14:paraId="28C8875C">
                  <w:pPr>
                    <w:jc w:val="center"/>
                    <w:rPr>
                      <w:rFonts w:eastAsiaTheme="minorEastAsia"/>
                      <w:sz w:val="21"/>
                      <w:szCs w:val="21"/>
                    </w:rPr>
                  </w:pPr>
                  <w:r>
                    <w:rPr>
                      <w:rFonts w:hint="eastAsia" w:eastAsiaTheme="minorEastAsia"/>
                      <w:sz w:val="21"/>
                      <w:szCs w:val="21"/>
                      <w:lang w:val="en-US" w:eastAsia="zh-CN"/>
                    </w:rPr>
                    <w:t>3#厂房</w:t>
                  </w:r>
                </w:p>
              </w:tc>
              <w:tc>
                <w:tcPr>
                  <w:tcW w:w="212" w:type="pct"/>
                  <w:shd w:val="clear" w:color="auto" w:fill="FFFFFF"/>
                  <w:tcMar>
                    <w:top w:w="0" w:type="dxa"/>
                    <w:left w:w="0" w:type="dxa"/>
                    <w:bottom w:w="0" w:type="dxa"/>
                    <w:right w:w="0" w:type="dxa"/>
                  </w:tcMar>
                  <w:vAlign w:val="center"/>
                </w:tcPr>
                <w:p w14:paraId="6274B9FF">
                  <w:pPr>
                    <w:jc w:val="center"/>
                    <w:rPr>
                      <w:rFonts w:eastAsiaTheme="minorEastAsia"/>
                      <w:sz w:val="21"/>
                      <w:szCs w:val="21"/>
                    </w:rPr>
                  </w:pPr>
                  <w:r>
                    <w:rPr>
                      <w:rFonts w:eastAsiaTheme="minorEastAsia"/>
                      <w:sz w:val="21"/>
                      <w:szCs w:val="21"/>
                    </w:rPr>
                    <w:t>平雕机</w:t>
                  </w:r>
                </w:p>
              </w:tc>
              <w:tc>
                <w:tcPr>
                  <w:tcW w:w="212" w:type="pct"/>
                  <w:shd w:val="clear" w:color="auto" w:fill="FFFFFF"/>
                  <w:tcMar>
                    <w:top w:w="0" w:type="dxa"/>
                    <w:left w:w="0" w:type="dxa"/>
                    <w:bottom w:w="0" w:type="dxa"/>
                    <w:right w:w="0" w:type="dxa"/>
                  </w:tcMar>
                  <w:vAlign w:val="center"/>
                </w:tcPr>
                <w:p w14:paraId="09E695AE">
                  <w:pPr>
                    <w:jc w:val="center"/>
                    <w:rPr>
                      <w:rFonts w:eastAsiaTheme="minorEastAsia"/>
                      <w:sz w:val="21"/>
                      <w:szCs w:val="21"/>
                    </w:rPr>
                  </w:pPr>
                  <w:r>
                    <w:rPr>
                      <w:rFonts w:eastAsiaTheme="minorEastAsia"/>
                      <w:sz w:val="21"/>
                      <w:szCs w:val="21"/>
                    </w:rPr>
                    <w:t>/</w:t>
                  </w:r>
                </w:p>
              </w:tc>
              <w:tc>
                <w:tcPr>
                  <w:tcW w:w="286" w:type="pct"/>
                  <w:shd w:val="clear" w:color="auto" w:fill="FFFFFF"/>
                  <w:tcMar>
                    <w:top w:w="0" w:type="dxa"/>
                    <w:left w:w="0" w:type="dxa"/>
                    <w:bottom w:w="0" w:type="dxa"/>
                    <w:right w:w="0" w:type="dxa"/>
                  </w:tcMar>
                  <w:vAlign w:val="center"/>
                </w:tcPr>
                <w:p w14:paraId="46816DB3">
                  <w:pPr>
                    <w:jc w:val="center"/>
                    <w:rPr>
                      <w:rFonts w:eastAsiaTheme="minorEastAsia"/>
                      <w:sz w:val="21"/>
                      <w:szCs w:val="21"/>
                    </w:rPr>
                  </w:pPr>
                  <w:r>
                    <w:rPr>
                      <w:rFonts w:eastAsiaTheme="minorEastAsia"/>
                      <w:sz w:val="21"/>
                      <w:szCs w:val="21"/>
                    </w:rPr>
                    <w:t>80</w:t>
                  </w:r>
                </w:p>
              </w:tc>
              <w:tc>
                <w:tcPr>
                  <w:tcW w:w="212" w:type="pct"/>
                  <w:vMerge w:val="continue"/>
                  <w:shd w:val="clear" w:color="auto" w:fill="FFFFFF"/>
                  <w:tcMar>
                    <w:top w:w="0" w:type="dxa"/>
                    <w:left w:w="0" w:type="dxa"/>
                    <w:bottom w:w="0" w:type="dxa"/>
                    <w:right w:w="0" w:type="dxa"/>
                  </w:tcMar>
                  <w:vAlign w:val="center"/>
                </w:tcPr>
                <w:p w14:paraId="60F4CC1D">
                  <w:pPr>
                    <w:jc w:val="center"/>
                    <w:rPr>
                      <w:rFonts w:eastAsiaTheme="minorEastAsia"/>
                      <w:sz w:val="21"/>
                      <w:szCs w:val="21"/>
                    </w:rPr>
                  </w:pPr>
                </w:p>
              </w:tc>
              <w:tc>
                <w:tcPr>
                  <w:tcW w:w="204" w:type="pct"/>
                  <w:shd w:val="clear" w:color="auto" w:fill="FFFFFF"/>
                  <w:tcMar>
                    <w:top w:w="0" w:type="dxa"/>
                    <w:left w:w="0" w:type="dxa"/>
                    <w:bottom w:w="0" w:type="dxa"/>
                    <w:right w:w="0" w:type="dxa"/>
                  </w:tcMar>
                  <w:vAlign w:val="center"/>
                </w:tcPr>
                <w:p w14:paraId="24FEDDA4">
                  <w:pPr>
                    <w:jc w:val="center"/>
                    <w:rPr>
                      <w:rFonts w:eastAsiaTheme="minorEastAsia"/>
                      <w:sz w:val="21"/>
                      <w:szCs w:val="21"/>
                    </w:rPr>
                  </w:pPr>
                  <w:r>
                    <w:rPr>
                      <w:rFonts w:eastAsiaTheme="minorEastAsia"/>
                      <w:sz w:val="21"/>
                      <w:szCs w:val="21"/>
                    </w:rPr>
                    <w:t>-1.1</w:t>
                  </w:r>
                </w:p>
              </w:tc>
              <w:tc>
                <w:tcPr>
                  <w:tcW w:w="205" w:type="pct"/>
                  <w:shd w:val="clear" w:color="auto" w:fill="FFFFFF"/>
                  <w:tcMar>
                    <w:top w:w="0" w:type="dxa"/>
                    <w:left w:w="0" w:type="dxa"/>
                    <w:bottom w:w="0" w:type="dxa"/>
                    <w:right w:w="0" w:type="dxa"/>
                  </w:tcMar>
                  <w:vAlign w:val="center"/>
                </w:tcPr>
                <w:p w14:paraId="6378D880">
                  <w:pPr>
                    <w:jc w:val="center"/>
                    <w:rPr>
                      <w:rFonts w:eastAsiaTheme="minorEastAsia"/>
                      <w:sz w:val="21"/>
                      <w:szCs w:val="21"/>
                    </w:rPr>
                  </w:pPr>
                  <w:r>
                    <w:rPr>
                      <w:rFonts w:eastAsiaTheme="minorEastAsia"/>
                      <w:sz w:val="21"/>
                      <w:szCs w:val="21"/>
                    </w:rPr>
                    <w:t>-19</w:t>
                  </w:r>
                </w:p>
              </w:tc>
              <w:tc>
                <w:tcPr>
                  <w:tcW w:w="134" w:type="pct"/>
                  <w:shd w:val="clear" w:color="auto" w:fill="FFFFFF"/>
                  <w:tcMar>
                    <w:top w:w="0" w:type="dxa"/>
                    <w:left w:w="0" w:type="dxa"/>
                    <w:bottom w:w="0" w:type="dxa"/>
                    <w:right w:w="0" w:type="dxa"/>
                  </w:tcMar>
                  <w:vAlign w:val="center"/>
                </w:tcPr>
                <w:p w14:paraId="06F8A4A6">
                  <w:pPr>
                    <w:jc w:val="center"/>
                    <w:rPr>
                      <w:rFonts w:eastAsiaTheme="minorEastAsia"/>
                      <w:sz w:val="21"/>
                      <w:szCs w:val="21"/>
                    </w:rPr>
                  </w:pPr>
                  <w:r>
                    <w:rPr>
                      <w:rFonts w:eastAsiaTheme="minorEastAsia"/>
                      <w:sz w:val="21"/>
                      <w:szCs w:val="21"/>
                    </w:rPr>
                    <w:t>1.2</w:t>
                  </w:r>
                </w:p>
              </w:tc>
              <w:tc>
                <w:tcPr>
                  <w:tcW w:w="174" w:type="pct"/>
                  <w:shd w:val="clear" w:color="auto" w:fill="FFFFFF"/>
                  <w:tcMar>
                    <w:top w:w="0" w:type="dxa"/>
                    <w:left w:w="0" w:type="dxa"/>
                    <w:bottom w:w="0" w:type="dxa"/>
                    <w:right w:w="0" w:type="dxa"/>
                  </w:tcMar>
                  <w:vAlign w:val="center"/>
                </w:tcPr>
                <w:p w14:paraId="059FC0D5">
                  <w:pPr>
                    <w:jc w:val="center"/>
                    <w:rPr>
                      <w:rFonts w:eastAsiaTheme="minorEastAsia"/>
                      <w:sz w:val="21"/>
                      <w:szCs w:val="21"/>
                    </w:rPr>
                  </w:pPr>
                  <w:r>
                    <w:rPr>
                      <w:rFonts w:eastAsiaTheme="minorEastAsia"/>
                      <w:sz w:val="21"/>
                      <w:szCs w:val="21"/>
                    </w:rPr>
                    <w:t>19.5</w:t>
                  </w:r>
                </w:p>
              </w:tc>
              <w:tc>
                <w:tcPr>
                  <w:tcW w:w="174" w:type="pct"/>
                  <w:shd w:val="clear" w:color="auto" w:fill="FFFFFF"/>
                  <w:tcMar>
                    <w:top w:w="0" w:type="dxa"/>
                    <w:left w:w="0" w:type="dxa"/>
                    <w:bottom w:w="0" w:type="dxa"/>
                    <w:right w:w="0" w:type="dxa"/>
                  </w:tcMar>
                  <w:vAlign w:val="center"/>
                </w:tcPr>
                <w:p w14:paraId="10096F5E">
                  <w:pPr>
                    <w:jc w:val="center"/>
                    <w:rPr>
                      <w:rFonts w:eastAsiaTheme="minorEastAsia"/>
                      <w:sz w:val="21"/>
                      <w:szCs w:val="21"/>
                    </w:rPr>
                  </w:pPr>
                  <w:r>
                    <w:rPr>
                      <w:rFonts w:eastAsiaTheme="minorEastAsia"/>
                      <w:sz w:val="21"/>
                      <w:szCs w:val="21"/>
                    </w:rPr>
                    <w:t>34.4</w:t>
                  </w:r>
                </w:p>
              </w:tc>
              <w:tc>
                <w:tcPr>
                  <w:tcW w:w="174" w:type="pct"/>
                  <w:shd w:val="clear" w:color="auto" w:fill="FFFFFF"/>
                  <w:tcMar>
                    <w:top w:w="0" w:type="dxa"/>
                    <w:left w:w="0" w:type="dxa"/>
                    <w:bottom w:w="0" w:type="dxa"/>
                    <w:right w:w="0" w:type="dxa"/>
                  </w:tcMar>
                  <w:vAlign w:val="center"/>
                </w:tcPr>
                <w:p w14:paraId="6014BBE3">
                  <w:pPr>
                    <w:jc w:val="center"/>
                    <w:rPr>
                      <w:rFonts w:eastAsiaTheme="minorEastAsia"/>
                      <w:sz w:val="21"/>
                      <w:szCs w:val="21"/>
                    </w:rPr>
                  </w:pPr>
                  <w:r>
                    <w:rPr>
                      <w:rFonts w:eastAsiaTheme="minorEastAsia"/>
                      <w:sz w:val="21"/>
                      <w:szCs w:val="21"/>
                    </w:rPr>
                    <w:t>24.8</w:t>
                  </w:r>
                </w:p>
              </w:tc>
              <w:tc>
                <w:tcPr>
                  <w:tcW w:w="177" w:type="pct"/>
                  <w:shd w:val="clear" w:color="auto" w:fill="FFFFFF"/>
                  <w:tcMar>
                    <w:top w:w="0" w:type="dxa"/>
                    <w:left w:w="0" w:type="dxa"/>
                    <w:bottom w:w="0" w:type="dxa"/>
                    <w:right w:w="0" w:type="dxa"/>
                  </w:tcMar>
                  <w:vAlign w:val="center"/>
                </w:tcPr>
                <w:p w14:paraId="6815BCD7">
                  <w:pPr>
                    <w:jc w:val="center"/>
                    <w:rPr>
                      <w:rFonts w:eastAsiaTheme="minorEastAsia"/>
                      <w:sz w:val="21"/>
                      <w:szCs w:val="21"/>
                    </w:rPr>
                  </w:pPr>
                  <w:r>
                    <w:rPr>
                      <w:rFonts w:eastAsiaTheme="minorEastAsia"/>
                      <w:sz w:val="21"/>
                      <w:szCs w:val="21"/>
                    </w:rPr>
                    <w:t>14.2</w:t>
                  </w:r>
                </w:p>
              </w:tc>
              <w:tc>
                <w:tcPr>
                  <w:tcW w:w="174" w:type="pct"/>
                  <w:shd w:val="clear" w:color="auto" w:fill="FFFFFF"/>
                  <w:tcMar>
                    <w:top w:w="0" w:type="dxa"/>
                    <w:left w:w="0" w:type="dxa"/>
                    <w:bottom w:w="0" w:type="dxa"/>
                    <w:right w:w="0" w:type="dxa"/>
                  </w:tcMar>
                  <w:vAlign w:val="center"/>
                </w:tcPr>
                <w:p w14:paraId="5DEA85D8">
                  <w:pPr>
                    <w:jc w:val="center"/>
                    <w:rPr>
                      <w:rFonts w:eastAsiaTheme="minorEastAsia"/>
                      <w:sz w:val="21"/>
                      <w:szCs w:val="21"/>
                    </w:rPr>
                  </w:pPr>
                  <w:r>
                    <w:rPr>
                      <w:rFonts w:eastAsiaTheme="minorEastAsia"/>
                      <w:sz w:val="21"/>
                      <w:szCs w:val="21"/>
                    </w:rPr>
                    <w:t>65.6</w:t>
                  </w:r>
                </w:p>
              </w:tc>
              <w:tc>
                <w:tcPr>
                  <w:tcW w:w="174" w:type="pct"/>
                  <w:shd w:val="clear" w:color="auto" w:fill="FFFFFF"/>
                  <w:tcMar>
                    <w:top w:w="0" w:type="dxa"/>
                    <w:left w:w="0" w:type="dxa"/>
                    <w:bottom w:w="0" w:type="dxa"/>
                    <w:right w:w="0" w:type="dxa"/>
                  </w:tcMar>
                  <w:vAlign w:val="center"/>
                </w:tcPr>
                <w:p w14:paraId="1219C521">
                  <w:pPr>
                    <w:jc w:val="center"/>
                    <w:rPr>
                      <w:rFonts w:eastAsiaTheme="minorEastAsia"/>
                      <w:sz w:val="21"/>
                      <w:szCs w:val="21"/>
                    </w:rPr>
                  </w:pPr>
                  <w:r>
                    <w:rPr>
                      <w:rFonts w:eastAsiaTheme="minorEastAsia"/>
                      <w:sz w:val="21"/>
                      <w:szCs w:val="21"/>
                    </w:rPr>
                    <w:t>65.5</w:t>
                  </w:r>
                </w:p>
              </w:tc>
              <w:tc>
                <w:tcPr>
                  <w:tcW w:w="174" w:type="pct"/>
                  <w:shd w:val="clear" w:color="auto" w:fill="FFFFFF"/>
                  <w:tcMar>
                    <w:top w:w="0" w:type="dxa"/>
                    <w:left w:w="0" w:type="dxa"/>
                    <w:bottom w:w="0" w:type="dxa"/>
                    <w:right w:w="0" w:type="dxa"/>
                  </w:tcMar>
                  <w:vAlign w:val="center"/>
                </w:tcPr>
                <w:p w14:paraId="1BC86688">
                  <w:pPr>
                    <w:jc w:val="center"/>
                    <w:rPr>
                      <w:rFonts w:eastAsiaTheme="minorEastAsia"/>
                      <w:sz w:val="21"/>
                      <w:szCs w:val="21"/>
                    </w:rPr>
                  </w:pPr>
                  <w:r>
                    <w:rPr>
                      <w:rFonts w:eastAsiaTheme="minorEastAsia"/>
                      <w:sz w:val="21"/>
                      <w:szCs w:val="21"/>
                    </w:rPr>
                    <w:t>65.5</w:t>
                  </w:r>
                </w:p>
              </w:tc>
              <w:tc>
                <w:tcPr>
                  <w:tcW w:w="177" w:type="pct"/>
                  <w:shd w:val="clear" w:color="auto" w:fill="FFFFFF"/>
                  <w:tcMar>
                    <w:top w:w="0" w:type="dxa"/>
                    <w:left w:w="0" w:type="dxa"/>
                    <w:bottom w:w="0" w:type="dxa"/>
                    <w:right w:w="0" w:type="dxa"/>
                  </w:tcMar>
                  <w:vAlign w:val="center"/>
                </w:tcPr>
                <w:p w14:paraId="7385F7E5">
                  <w:pPr>
                    <w:jc w:val="center"/>
                    <w:rPr>
                      <w:rFonts w:eastAsiaTheme="minorEastAsia"/>
                      <w:sz w:val="21"/>
                      <w:szCs w:val="21"/>
                    </w:rPr>
                  </w:pPr>
                  <w:r>
                    <w:rPr>
                      <w:rFonts w:eastAsiaTheme="minorEastAsia"/>
                      <w:sz w:val="21"/>
                      <w:szCs w:val="21"/>
                    </w:rPr>
                    <w:t>65.6</w:t>
                  </w:r>
                </w:p>
              </w:tc>
              <w:tc>
                <w:tcPr>
                  <w:tcW w:w="214" w:type="pct"/>
                  <w:vMerge w:val="continue"/>
                  <w:shd w:val="clear" w:color="auto" w:fill="FFFFFF"/>
                  <w:tcMar>
                    <w:top w:w="0" w:type="dxa"/>
                    <w:left w:w="0" w:type="dxa"/>
                    <w:bottom w:w="0" w:type="dxa"/>
                    <w:right w:w="0" w:type="dxa"/>
                  </w:tcMar>
                  <w:vAlign w:val="center"/>
                </w:tcPr>
                <w:p w14:paraId="6F10966F">
                  <w:pPr>
                    <w:jc w:val="center"/>
                    <w:rPr>
                      <w:rFonts w:eastAsiaTheme="minorEastAsia"/>
                      <w:sz w:val="21"/>
                      <w:szCs w:val="21"/>
                    </w:rPr>
                  </w:pPr>
                </w:p>
              </w:tc>
              <w:tc>
                <w:tcPr>
                  <w:tcW w:w="174" w:type="pct"/>
                  <w:shd w:val="clear" w:color="auto" w:fill="FFFFFF"/>
                  <w:tcMar>
                    <w:top w:w="0" w:type="dxa"/>
                    <w:left w:w="0" w:type="dxa"/>
                    <w:bottom w:w="0" w:type="dxa"/>
                    <w:right w:w="0" w:type="dxa"/>
                  </w:tcMar>
                  <w:vAlign w:val="center"/>
                </w:tcPr>
                <w:p w14:paraId="67A9EBAC">
                  <w:pPr>
                    <w:jc w:val="center"/>
                    <w:rPr>
                      <w:rFonts w:eastAsiaTheme="minorEastAsia"/>
                      <w:sz w:val="21"/>
                      <w:szCs w:val="21"/>
                    </w:rPr>
                  </w:pPr>
                  <w:r>
                    <w:rPr>
                      <w:rFonts w:eastAsiaTheme="minorEastAsia"/>
                      <w:sz w:val="21"/>
                      <w:szCs w:val="21"/>
                    </w:rPr>
                    <w:t>16.0</w:t>
                  </w:r>
                </w:p>
              </w:tc>
              <w:tc>
                <w:tcPr>
                  <w:tcW w:w="174" w:type="pct"/>
                  <w:shd w:val="clear" w:color="auto" w:fill="FFFFFF"/>
                  <w:tcMar>
                    <w:top w:w="0" w:type="dxa"/>
                    <w:left w:w="0" w:type="dxa"/>
                    <w:bottom w:w="0" w:type="dxa"/>
                    <w:right w:w="0" w:type="dxa"/>
                  </w:tcMar>
                  <w:vAlign w:val="center"/>
                </w:tcPr>
                <w:p w14:paraId="1A510281">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4" w:type="pct"/>
                  <w:shd w:val="clear" w:color="auto" w:fill="FFFFFF"/>
                  <w:tcMar>
                    <w:top w:w="0" w:type="dxa"/>
                    <w:left w:w="0" w:type="dxa"/>
                    <w:bottom w:w="0" w:type="dxa"/>
                    <w:right w:w="0" w:type="dxa"/>
                  </w:tcMar>
                  <w:vAlign w:val="center"/>
                </w:tcPr>
                <w:p w14:paraId="706D31C4">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7" w:type="pct"/>
                  <w:shd w:val="clear" w:color="auto" w:fill="FFFFFF"/>
                  <w:tcMar>
                    <w:top w:w="0" w:type="dxa"/>
                    <w:left w:w="0" w:type="dxa"/>
                    <w:bottom w:w="0" w:type="dxa"/>
                    <w:right w:w="0" w:type="dxa"/>
                  </w:tcMar>
                  <w:vAlign w:val="center"/>
                </w:tcPr>
                <w:p w14:paraId="67FE30C5">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1" w:type="pct"/>
                  <w:shd w:val="clear" w:color="auto" w:fill="FFFFFF"/>
                  <w:tcMar>
                    <w:top w:w="0" w:type="dxa"/>
                    <w:left w:w="0" w:type="dxa"/>
                    <w:bottom w:w="0" w:type="dxa"/>
                    <w:right w:w="0" w:type="dxa"/>
                  </w:tcMar>
                  <w:vAlign w:val="center"/>
                </w:tcPr>
                <w:p w14:paraId="6BC031F8">
                  <w:pPr>
                    <w:jc w:val="center"/>
                    <w:rPr>
                      <w:rFonts w:eastAsiaTheme="minorEastAsia"/>
                      <w:sz w:val="21"/>
                      <w:szCs w:val="21"/>
                    </w:rPr>
                  </w:pPr>
                  <w:r>
                    <w:rPr>
                      <w:rFonts w:eastAsiaTheme="minorEastAsia"/>
                      <w:sz w:val="21"/>
                      <w:szCs w:val="21"/>
                    </w:rPr>
                    <w:t>49.6</w:t>
                  </w:r>
                </w:p>
              </w:tc>
              <w:tc>
                <w:tcPr>
                  <w:tcW w:w="171" w:type="pct"/>
                  <w:shd w:val="clear" w:color="auto" w:fill="FFFFFF"/>
                  <w:tcMar>
                    <w:top w:w="0" w:type="dxa"/>
                    <w:left w:w="0" w:type="dxa"/>
                    <w:bottom w:w="0" w:type="dxa"/>
                    <w:right w:w="0" w:type="dxa"/>
                  </w:tcMar>
                  <w:vAlign w:val="center"/>
                </w:tcPr>
                <w:p w14:paraId="7D99B468">
                  <w:pPr>
                    <w:jc w:val="center"/>
                    <w:rPr>
                      <w:rFonts w:eastAsiaTheme="minorEastAsia"/>
                      <w:sz w:val="21"/>
                      <w:szCs w:val="21"/>
                    </w:rPr>
                  </w:pPr>
                  <w:r>
                    <w:rPr>
                      <w:rFonts w:eastAsiaTheme="minorEastAsia"/>
                      <w:sz w:val="21"/>
                      <w:szCs w:val="21"/>
                    </w:rPr>
                    <w:t>24.5</w:t>
                  </w:r>
                </w:p>
              </w:tc>
              <w:tc>
                <w:tcPr>
                  <w:tcW w:w="171" w:type="pct"/>
                  <w:shd w:val="clear" w:color="auto" w:fill="FFFFFF"/>
                  <w:tcMar>
                    <w:top w:w="0" w:type="dxa"/>
                    <w:left w:w="0" w:type="dxa"/>
                    <w:bottom w:w="0" w:type="dxa"/>
                    <w:right w:w="0" w:type="dxa"/>
                  </w:tcMar>
                  <w:vAlign w:val="center"/>
                </w:tcPr>
                <w:p w14:paraId="222D1899">
                  <w:pPr>
                    <w:jc w:val="center"/>
                    <w:rPr>
                      <w:rFonts w:eastAsiaTheme="minorEastAsia"/>
                      <w:sz w:val="21"/>
                      <w:szCs w:val="21"/>
                    </w:rPr>
                  </w:pPr>
                  <w:r>
                    <w:rPr>
                      <w:rFonts w:eastAsiaTheme="minorEastAsia"/>
                      <w:sz w:val="21"/>
                      <w:szCs w:val="21"/>
                    </w:rPr>
                    <w:t>24.5</w:t>
                  </w:r>
                </w:p>
              </w:tc>
              <w:tc>
                <w:tcPr>
                  <w:tcW w:w="140" w:type="pct"/>
                  <w:shd w:val="clear" w:color="auto" w:fill="FFFFFF"/>
                  <w:tcMar>
                    <w:top w:w="0" w:type="dxa"/>
                    <w:left w:w="0" w:type="dxa"/>
                    <w:bottom w:w="0" w:type="dxa"/>
                    <w:right w:w="0" w:type="dxa"/>
                  </w:tcMar>
                  <w:vAlign w:val="center"/>
                </w:tcPr>
                <w:p w14:paraId="413A1CD3">
                  <w:pPr>
                    <w:jc w:val="center"/>
                    <w:rPr>
                      <w:rFonts w:eastAsiaTheme="minorEastAsia"/>
                      <w:sz w:val="21"/>
                      <w:szCs w:val="21"/>
                    </w:rPr>
                  </w:pPr>
                  <w:r>
                    <w:rPr>
                      <w:rFonts w:eastAsiaTheme="minorEastAsia"/>
                      <w:sz w:val="21"/>
                      <w:szCs w:val="21"/>
                    </w:rPr>
                    <w:t>24.6</w:t>
                  </w:r>
                </w:p>
              </w:tc>
              <w:tc>
                <w:tcPr>
                  <w:tcW w:w="135" w:type="pct"/>
                  <w:shd w:val="clear" w:color="auto" w:fill="FFFFFF"/>
                  <w:tcMar>
                    <w:top w:w="0" w:type="dxa"/>
                    <w:left w:w="0" w:type="dxa"/>
                    <w:bottom w:w="0" w:type="dxa"/>
                    <w:right w:w="0" w:type="dxa"/>
                  </w:tcMar>
                  <w:vAlign w:val="center"/>
                </w:tcPr>
                <w:p w14:paraId="0E67E9FD">
                  <w:pPr>
                    <w:jc w:val="center"/>
                    <w:rPr>
                      <w:rFonts w:eastAsiaTheme="minorEastAsia"/>
                      <w:sz w:val="21"/>
                      <w:szCs w:val="21"/>
                    </w:rPr>
                  </w:pPr>
                  <w:r>
                    <w:rPr>
                      <w:rFonts w:eastAsiaTheme="minorEastAsia"/>
                      <w:sz w:val="21"/>
                      <w:szCs w:val="21"/>
                    </w:rPr>
                    <w:t>1</w:t>
                  </w:r>
                </w:p>
              </w:tc>
            </w:tr>
            <w:tr w14:paraId="7D71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12" w:type="pct"/>
                  <w:shd w:val="clear" w:color="auto" w:fill="FFFFFF"/>
                  <w:tcMar>
                    <w:top w:w="0" w:type="dxa"/>
                    <w:left w:w="0" w:type="dxa"/>
                    <w:bottom w:w="0" w:type="dxa"/>
                    <w:right w:w="0" w:type="dxa"/>
                  </w:tcMar>
                  <w:vAlign w:val="center"/>
                </w:tcPr>
                <w:p w14:paraId="783EE0A6">
                  <w:pPr>
                    <w:jc w:val="center"/>
                    <w:rPr>
                      <w:rFonts w:eastAsiaTheme="minorEastAsia"/>
                      <w:sz w:val="21"/>
                      <w:szCs w:val="21"/>
                    </w:rPr>
                  </w:pPr>
                  <w:r>
                    <w:rPr>
                      <w:rFonts w:eastAsiaTheme="minorEastAsia"/>
                      <w:sz w:val="21"/>
                      <w:szCs w:val="21"/>
                    </w:rPr>
                    <w:t>5</w:t>
                  </w:r>
                </w:p>
              </w:tc>
              <w:tc>
                <w:tcPr>
                  <w:tcW w:w="212" w:type="pct"/>
                  <w:shd w:val="clear" w:color="auto" w:fill="FFFFFF"/>
                  <w:tcMar>
                    <w:top w:w="0" w:type="dxa"/>
                    <w:left w:w="0" w:type="dxa"/>
                    <w:bottom w:w="0" w:type="dxa"/>
                    <w:right w:w="0" w:type="dxa"/>
                  </w:tcMar>
                  <w:vAlign w:val="center"/>
                </w:tcPr>
                <w:p w14:paraId="10BE8282">
                  <w:pPr>
                    <w:jc w:val="center"/>
                    <w:rPr>
                      <w:rFonts w:eastAsiaTheme="minorEastAsia"/>
                      <w:sz w:val="21"/>
                      <w:szCs w:val="21"/>
                    </w:rPr>
                  </w:pPr>
                  <w:r>
                    <w:rPr>
                      <w:rFonts w:hint="eastAsia" w:eastAsiaTheme="minorEastAsia"/>
                      <w:sz w:val="21"/>
                      <w:szCs w:val="21"/>
                      <w:lang w:val="en-US" w:eastAsia="zh-CN"/>
                    </w:rPr>
                    <w:t>3#厂房</w:t>
                  </w:r>
                </w:p>
              </w:tc>
              <w:tc>
                <w:tcPr>
                  <w:tcW w:w="212" w:type="pct"/>
                  <w:shd w:val="clear" w:color="auto" w:fill="FFFFFF"/>
                  <w:tcMar>
                    <w:top w:w="0" w:type="dxa"/>
                    <w:left w:w="0" w:type="dxa"/>
                    <w:bottom w:w="0" w:type="dxa"/>
                    <w:right w:w="0" w:type="dxa"/>
                  </w:tcMar>
                  <w:vAlign w:val="center"/>
                </w:tcPr>
                <w:p w14:paraId="6C6F436C">
                  <w:pPr>
                    <w:jc w:val="center"/>
                    <w:rPr>
                      <w:rFonts w:eastAsiaTheme="minorEastAsia"/>
                      <w:sz w:val="21"/>
                      <w:szCs w:val="21"/>
                    </w:rPr>
                  </w:pPr>
                  <w:r>
                    <w:rPr>
                      <w:rFonts w:hint="eastAsia" w:eastAsiaTheme="minorEastAsia"/>
                      <w:sz w:val="21"/>
                      <w:szCs w:val="21"/>
                      <w:lang w:eastAsia="zh-CN"/>
                    </w:rPr>
                    <w:t>磨光</w:t>
                  </w:r>
                  <w:r>
                    <w:rPr>
                      <w:rFonts w:eastAsiaTheme="minorEastAsia"/>
                      <w:sz w:val="21"/>
                      <w:szCs w:val="21"/>
                    </w:rPr>
                    <w:t>机</w:t>
                  </w:r>
                </w:p>
              </w:tc>
              <w:tc>
                <w:tcPr>
                  <w:tcW w:w="212" w:type="pct"/>
                  <w:shd w:val="clear" w:color="auto" w:fill="FFFFFF"/>
                  <w:tcMar>
                    <w:top w:w="0" w:type="dxa"/>
                    <w:left w:w="0" w:type="dxa"/>
                    <w:bottom w:w="0" w:type="dxa"/>
                    <w:right w:w="0" w:type="dxa"/>
                  </w:tcMar>
                  <w:vAlign w:val="center"/>
                </w:tcPr>
                <w:p w14:paraId="654AD0F7">
                  <w:pPr>
                    <w:jc w:val="center"/>
                    <w:rPr>
                      <w:rFonts w:eastAsiaTheme="minorEastAsia"/>
                      <w:sz w:val="21"/>
                      <w:szCs w:val="21"/>
                    </w:rPr>
                  </w:pPr>
                  <w:r>
                    <w:rPr>
                      <w:rFonts w:eastAsiaTheme="minorEastAsia"/>
                      <w:sz w:val="21"/>
                      <w:szCs w:val="21"/>
                    </w:rPr>
                    <w:t>/</w:t>
                  </w:r>
                </w:p>
              </w:tc>
              <w:tc>
                <w:tcPr>
                  <w:tcW w:w="286" w:type="pct"/>
                  <w:shd w:val="clear" w:color="auto" w:fill="FFFFFF"/>
                  <w:tcMar>
                    <w:top w:w="0" w:type="dxa"/>
                    <w:left w:w="0" w:type="dxa"/>
                    <w:bottom w:w="0" w:type="dxa"/>
                    <w:right w:w="0" w:type="dxa"/>
                  </w:tcMar>
                  <w:vAlign w:val="center"/>
                </w:tcPr>
                <w:p w14:paraId="1654EEDD">
                  <w:pPr>
                    <w:jc w:val="center"/>
                    <w:rPr>
                      <w:rFonts w:eastAsiaTheme="minorEastAsia"/>
                      <w:sz w:val="21"/>
                      <w:szCs w:val="21"/>
                    </w:rPr>
                  </w:pPr>
                  <w:r>
                    <w:rPr>
                      <w:rFonts w:eastAsiaTheme="minorEastAsia"/>
                      <w:sz w:val="21"/>
                      <w:szCs w:val="21"/>
                    </w:rPr>
                    <w:t>70</w:t>
                  </w:r>
                </w:p>
              </w:tc>
              <w:tc>
                <w:tcPr>
                  <w:tcW w:w="212" w:type="pct"/>
                  <w:vMerge w:val="continue"/>
                  <w:shd w:val="clear" w:color="auto" w:fill="FFFFFF"/>
                  <w:tcMar>
                    <w:top w:w="0" w:type="dxa"/>
                    <w:left w:w="0" w:type="dxa"/>
                    <w:bottom w:w="0" w:type="dxa"/>
                    <w:right w:w="0" w:type="dxa"/>
                  </w:tcMar>
                  <w:vAlign w:val="center"/>
                </w:tcPr>
                <w:p w14:paraId="030380AF">
                  <w:pPr>
                    <w:jc w:val="center"/>
                    <w:rPr>
                      <w:rFonts w:eastAsiaTheme="minorEastAsia"/>
                      <w:sz w:val="21"/>
                      <w:szCs w:val="21"/>
                    </w:rPr>
                  </w:pPr>
                </w:p>
              </w:tc>
              <w:tc>
                <w:tcPr>
                  <w:tcW w:w="204" w:type="pct"/>
                  <w:shd w:val="clear" w:color="auto" w:fill="FFFFFF"/>
                  <w:tcMar>
                    <w:top w:w="0" w:type="dxa"/>
                    <w:left w:w="0" w:type="dxa"/>
                    <w:bottom w:w="0" w:type="dxa"/>
                    <w:right w:w="0" w:type="dxa"/>
                  </w:tcMar>
                  <w:vAlign w:val="center"/>
                </w:tcPr>
                <w:p w14:paraId="4E521E69">
                  <w:pPr>
                    <w:jc w:val="center"/>
                    <w:rPr>
                      <w:rFonts w:eastAsiaTheme="minorEastAsia"/>
                      <w:sz w:val="21"/>
                      <w:szCs w:val="21"/>
                    </w:rPr>
                  </w:pPr>
                  <w:r>
                    <w:rPr>
                      <w:rFonts w:eastAsiaTheme="minorEastAsia"/>
                      <w:sz w:val="21"/>
                      <w:szCs w:val="21"/>
                    </w:rPr>
                    <w:t>-19.2</w:t>
                  </w:r>
                </w:p>
              </w:tc>
              <w:tc>
                <w:tcPr>
                  <w:tcW w:w="205" w:type="pct"/>
                  <w:shd w:val="clear" w:color="auto" w:fill="FFFFFF"/>
                  <w:tcMar>
                    <w:top w:w="0" w:type="dxa"/>
                    <w:left w:w="0" w:type="dxa"/>
                    <w:bottom w:w="0" w:type="dxa"/>
                    <w:right w:w="0" w:type="dxa"/>
                  </w:tcMar>
                  <w:vAlign w:val="center"/>
                </w:tcPr>
                <w:p w14:paraId="62D4D569">
                  <w:pPr>
                    <w:jc w:val="center"/>
                    <w:rPr>
                      <w:rFonts w:eastAsiaTheme="minorEastAsia"/>
                      <w:sz w:val="21"/>
                      <w:szCs w:val="21"/>
                    </w:rPr>
                  </w:pPr>
                  <w:r>
                    <w:rPr>
                      <w:rFonts w:eastAsiaTheme="minorEastAsia"/>
                      <w:sz w:val="21"/>
                      <w:szCs w:val="21"/>
                    </w:rPr>
                    <w:t>-12</w:t>
                  </w:r>
                </w:p>
              </w:tc>
              <w:tc>
                <w:tcPr>
                  <w:tcW w:w="134" w:type="pct"/>
                  <w:shd w:val="clear" w:color="auto" w:fill="FFFFFF"/>
                  <w:tcMar>
                    <w:top w:w="0" w:type="dxa"/>
                    <w:left w:w="0" w:type="dxa"/>
                    <w:bottom w:w="0" w:type="dxa"/>
                    <w:right w:w="0" w:type="dxa"/>
                  </w:tcMar>
                  <w:vAlign w:val="center"/>
                </w:tcPr>
                <w:p w14:paraId="2BCE3DE5">
                  <w:pPr>
                    <w:jc w:val="center"/>
                    <w:rPr>
                      <w:rFonts w:eastAsiaTheme="minorEastAsia"/>
                      <w:sz w:val="21"/>
                      <w:szCs w:val="21"/>
                    </w:rPr>
                  </w:pPr>
                  <w:r>
                    <w:rPr>
                      <w:rFonts w:eastAsiaTheme="minorEastAsia"/>
                      <w:sz w:val="21"/>
                      <w:szCs w:val="21"/>
                    </w:rPr>
                    <w:t>1.2</w:t>
                  </w:r>
                </w:p>
              </w:tc>
              <w:tc>
                <w:tcPr>
                  <w:tcW w:w="174" w:type="pct"/>
                  <w:shd w:val="clear" w:color="auto" w:fill="FFFFFF"/>
                  <w:tcMar>
                    <w:top w:w="0" w:type="dxa"/>
                    <w:left w:w="0" w:type="dxa"/>
                    <w:bottom w:w="0" w:type="dxa"/>
                    <w:right w:w="0" w:type="dxa"/>
                  </w:tcMar>
                  <w:vAlign w:val="center"/>
                </w:tcPr>
                <w:p w14:paraId="79933AFB">
                  <w:pPr>
                    <w:jc w:val="center"/>
                    <w:rPr>
                      <w:rFonts w:eastAsiaTheme="minorEastAsia"/>
                      <w:sz w:val="21"/>
                      <w:szCs w:val="21"/>
                    </w:rPr>
                  </w:pPr>
                  <w:r>
                    <w:rPr>
                      <w:rFonts w:eastAsiaTheme="minorEastAsia"/>
                      <w:sz w:val="21"/>
                      <w:szCs w:val="21"/>
                    </w:rPr>
                    <w:t>38.2</w:t>
                  </w:r>
                </w:p>
              </w:tc>
              <w:tc>
                <w:tcPr>
                  <w:tcW w:w="174" w:type="pct"/>
                  <w:shd w:val="clear" w:color="auto" w:fill="FFFFFF"/>
                  <w:tcMar>
                    <w:top w:w="0" w:type="dxa"/>
                    <w:left w:w="0" w:type="dxa"/>
                    <w:bottom w:w="0" w:type="dxa"/>
                    <w:right w:w="0" w:type="dxa"/>
                  </w:tcMar>
                  <w:vAlign w:val="center"/>
                </w:tcPr>
                <w:p w14:paraId="7E6DFDA8">
                  <w:pPr>
                    <w:jc w:val="center"/>
                    <w:rPr>
                      <w:rFonts w:eastAsiaTheme="minorEastAsia"/>
                      <w:sz w:val="21"/>
                      <w:szCs w:val="21"/>
                    </w:rPr>
                  </w:pPr>
                  <w:r>
                    <w:rPr>
                      <w:rFonts w:eastAsiaTheme="minorEastAsia"/>
                      <w:sz w:val="21"/>
                      <w:szCs w:val="21"/>
                    </w:rPr>
                    <w:t>23.8</w:t>
                  </w:r>
                </w:p>
              </w:tc>
              <w:tc>
                <w:tcPr>
                  <w:tcW w:w="174" w:type="pct"/>
                  <w:shd w:val="clear" w:color="auto" w:fill="FFFFFF"/>
                  <w:tcMar>
                    <w:top w:w="0" w:type="dxa"/>
                    <w:left w:w="0" w:type="dxa"/>
                    <w:bottom w:w="0" w:type="dxa"/>
                    <w:right w:w="0" w:type="dxa"/>
                  </w:tcMar>
                  <w:vAlign w:val="center"/>
                </w:tcPr>
                <w:p w14:paraId="45A0BC31">
                  <w:pPr>
                    <w:jc w:val="center"/>
                    <w:rPr>
                      <w:rFonts w:eastAsiaTheme="minorEastAsia"/>
                      <w:sz w:val="21"/>
                      <w:szCs w:val="21"/>
                    </w:rPr>
                  </w:pPr>
                  <w:r>
                    <w:rPr>
                      <w:rFonts w:eastAsiaTheme="minorEastAsia"/>
                      <w:sz w:val="21"/>
                      <w:szCs w:val="21"/>
                    </w:rPr>
                    <w:t>14.8</w:t>
                  </w:r>
                </w:p>
              </w:tc>
              <w:tc>
                <w:tcPr>
                  <w:tcW w:w="177" w:type="pct"/>
                  <w:shd w:val="clear" w:color="auto" w:fill="FFFFFF"/>
                  <w:tcMar>
                    <w:top w:w="0" w:type="dxa"/>
                    <w:left w:w="0" w:type="dxa"/>
                    <w:bottom w:w="0" w:type="dxa"/>
                    <w:right w:w="0" w:type="dxa"/>
                  </w:tcMar>
                  <w:vAlign w:val="center"/>
                </w:tcPr>
                <w:p w14:paraId="253B3580">
                  <w:pPr>
                    <w:jc w:val="center"/>
                    <w:rPr>
                      <w:rFonts w:eastAsiaTheme="minorEastAsia"/>
                      <w:sz w:val="21"/>
                      <w:szCs w:val="21"/>
                    </w:rPr>
                  </w:pPr>
                  <w:r>
                    <w:rPr>
                      <w:rFonts w:eastAsiaTheme="minorEastAsia"/>
                      <w:sz w:val="21"/>
                      <w:szCs w:val="21"/>
                    </w:rPr>
                    <w:t>23.4</w:t>
                  </w:r>
                </w:p>
              </w:tc>
              <w:tc>
                <w:tcPr>
                  <w:tcW w:w="174" w:type="pct"/>
                  <w:shd w:val="clear" w:color="auto" w:fill="FFFFFF"/>
                  <w:tcMar>
                    <w:top w:w="0" w:type="dxa"/>
                    <w:left w:w="0" w:type="dxa"/>
                    <w:bottom w:w="0" w:type="dxa"/>
                    <w:right w:w="0" w:type="dxa"/>
                  </w:tcMar>
                  <w:vAlign w:val="center"/>
                </w:tcPr>
                <w:p w14:paraId="2D1D2970">
                  <w:pPr>
                    <w:jc w:val="center"/>
                    <w:rPr>
                      <w:rFonts w:eastAsiaTheme="minorEastAsia"/>
                      <w:sz w:val="21"/>
                      <w:szCs w:val="21"/>
                    </w:rPr>
                  </w:pPr>
                  <w:r>
                    <w:rPr>
                      <w:rFonts w:eastAsiaTheme="minorEastAsia"/>
                      <w:sz w:val="21"/>
                      <w:szCs w:val="21"/>
                    </w:rPr>
                    <w:t>55.5</w:t>
                  </w:r>
                </w:p>
              </w:tc>
              <w:tc>
                <w:tcPr>
                  <w:tcW w:w="174" w:type="pct"/>
                  <w:shd w:val="clear" w:color="auto" w:fill="FFFFFF"/>
                  <w:tcMar>
                    <w:top w:w="0" w:type="dxa"/>
                    <w:left w:w="0" w:type="dxa"/>
                    <w:bottom w:w="0" w:type="dxa"/>
                    <w:right w:w="0" w:type="dxa"/>
                  </w:tcMar>
                  <w:vAlign w:val="center"/>
                </w:tcPr>
                <w:p w14:paraId="2DD8DC55">
                  <w:pPr>
                    <w:jc w:val="center"/>
                    <w:rPr>
                      <w:rFonts w:eastAsiaTheme="minorEastAsia"/>
                      <w:sz w:val="21"/>
                      <w:szCs w:val="21"/>
                    </w:rPr>
                  </w:pPr>
                  <w:r>
                    <w:rPr>
                      <w:rFonts w:eastAsiaTheme="minorEastAsia"/>
                      <w:sz w:val="21"/>
                      <w:szCs w:val="21"/>
                    </w:rPr>
                    <w:t>55.5</w:t>
                  </w:r>
                </w:p>
              </w:tc>
              <w:tc>
                <w:tcPr>
                  <w:tcW w:w="174" w:type="pct"/>
                  <w:shd w:val="clear" w:color="auto" w:fill="FFFFFF"/>
                  <w:tcMar>
                    <w:top w:w="0" w:type="dxa"/>
                    <w:left w:w="0" w:type="dxa"/>
                    <w:bottom w:w="0" w:type="dxa"/>
                    <w:right w:w="0" w:type="dxa"/>
                  </w:tcMar>
                  <w:vAlign w:val="center"/>
                </w:tcPr>
                <w:p w14:paraId="7261A566">
                  <w:pPr>
                    <w:jc w:val="center"/>
                    <w:rPr>
                      <w:rFonts w:eastAsiaTheme="minorEastAsia"/>
                      <w:sz w:val="21"/>
                      <w:szCs w:val="21"/>
                    </w:rPr>
                  </w:pPr>
                  <w:r>
                    <w:rPr>
                      <w:rFonts w:eastAsiaTheme="minorEastAsia"/>
                      <w:sz w:val="21"/>
                      <w:szCs w:val="21"/>
                    </w:rPr>
                    <w:t>55.6</w:t>
                  </w:r>
                </w:p>
              </w:tc>
              <w:tc>
                <w:tcPr>
                  <w:tcW w:w="177" w:type="pct"/>
                  <w:shd w:val="clear" w:color="auto" w:fill="FFFFFF"/>
                  <w:tcMar>
                    <w:top w:w="0" w:type="dxa"/>
                    <w:left w:w="0" w:type="dxa"/>
                    <w:bottom w:w="0" w:type="dxa"/>
                    <w:right w:w="0" w:type="dxa"/>
                  </w:tcMar>
                  <w:vAlign w:val="center"/>
                </w:tcPr>
                <w:p w14:paraId="7484D915">
                  <w:pPr>
                    <w:jc w:val="center"/>
                    <w:rPr>
                      <w:rFonts w:eastAsiaTheme="minorEastAsia"/>
                      <w:sz w:val="21"/>
                      <w:szCs w:val="21"/>
                    </w:rPr>
                  </w:pPr>
                  <w:r>
                    <w:rPr>
                      <w:rFonts w:eastAsiaTheme="minorEastAsia"/>
                      <w:sz w:val="21"/>
                      <w:szCs w:val="21"/>
                    </w:rPr>
                    <w:t>55.5</w:t>
                  </w:r>
                </w:p>
              </w:tc>
              <w:tc>
                <w:tcPr>
                  <w:tcW w:w="214" w:type="pct"/>
                  <w:vMerge w:val="continue"/>
                  <w:shd w:val="clear" w:color="auto" w:fill="FFFFFF"/>
                  <w:tcMar>
                    <w:top w:w="0" w:type="dxa"/>
                    <w:left w:w="0" w:type="dxa"/>
                    <w:bottom w:w="0" w:type="dxa"/>
                    <w:right w:w="0" w:type="dxa"/>
                  </w:tcMar>
                  <w:vAlign w:val="center"/>
                </w:tcPr>
                <w:p w14:paraId="266D617F">
                  <w:pPr>
                    <w:jc w:val="center"/>
                    <w:rPr>
                      <w:rFonts w:eastAsiaTheme="minorEastAsia"/>
                      <w:sz w:val="21"/>
                      <w:szCs w:val="21"/>
                    </w:rPr>
                  </w:pPr>
                </w:p>
              </w:tc>
              <w:tc>
                <w:tcPr>
                  <w:tcW w:w="174" w:type="pct"/>
                  <w:shd w:val="clear" w:color="auto" w:fill="FFFFFF"/>
                  <w:tcMar>
                    <w:top w:w="0" w:type="dxa"/>
                    <w:left w:w="0" w:type="dxa"/>
                    <w:bottom w:w="0" w:type="dxa"/>
                    <w:right w:w="0" w:type="dxa"/>
                  </w:tcMar>
                  <w:vAlign w:val="center"/>
                </w:tcPr>
                <w:p w14:paraId="58B05F29">
                  <w:pPr>
                    <w:jc w:val="center"/>
                    <w:rPr>
                      <w:rFonts w:eastAsiaTheme="minorEastAsia"/>
                      <w:sz w:val="21"/>
                      <w:szCs w:val="21"/>
                    </w:rPr>
                  </w:pPr>
                  <w:r>
                    <w:rPr>
                      <w:rFonts w:eastAsiaTheme="minorEastAsia"/>
                      <w:sz w:val="21"/>
                      <w:szCs w:val="21"/>
                    </w:rPr>
                    <w:t>16.0</w:t>
                  </w:r>
                </w:p>
              </w:tc>
              <w:tc>
                <w:tcPr>
                  <w:tcW w:w="174" w:type="pct"/>
                  <w:shd w:val="clear" w:color="auto" w:fill="FFFFFF"/>
                  <w:tcMar>
                    <w:top w:w="0" w:type="dxa"/>
                    <w:left w:w="0" w:type="dxa"/>
                    <w:bottom w:w="0" w:type="dxa"/>
                    <w:right w:w="0" w:type="dxa"/>
                  </w:tcMar>
                  <w:vAlign w:val="center"/>
                </w:tcPr>
                <w:p w14:paraId="4FF414DD">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4" w:type="pct"/>
                  <w:shd w:val="clear" w:color="auto" w:fill="FFFFFF"/>
                  <w:tcMar>
                    <w:top w:w="0" w:type="dxa"/>
                    <w:left w:w="0" w:type="dxa"/>
                    <w:bottom w:w="0" w:type="dxa"/>
                    <w:right w:w="0" w:type="dxa"/>
                  </w:tcMar>
                  <w:vAlign w:val="center"/>
                </w:tcPr>
                <w:p w14:paraId="2681352D">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7" w:type="pct"/>
                  <w:shd w:val="clear" w:color="auto" w:fill="FFFFFF"/>
                  <w:tcMar>
                    <w:top w:w="0" w:type="dxa"/>
                    <w:left w:w="0" w:type="dxa"/>
                    <w:bottom w:w="0" w:type="dxa"/>
                    <w:right w:w="0" w:type="dxa"/>
                  </w:tcMar>
                  <w:vAlign w:val="center"/>
                </w:tcPr>
                <w:p w14:paraId="6B7ABE80">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1" w:type="pct"/>
                  <w:shd w:val="clear" w:color="auto" w:fill="FFFFFF"/>
                  <w:tcMar>
                    <w:top w:w="0" w:type="dxa"/>
                    <w:left w:w="0" w:type="dxa"/>
                    <w:bottom w:w="0" w:type="dxa"/>
                    <w:right w:w="0" w:type="dxa"/>
                  </w:tcMar>
                  <w:vAlign w:val="center"/>
                </w:tcPr>
                <w:p w14:paraId="6482FA18">
                  <w:pPr>
                    <w:jc w:val="center"/>
                    <w:rPr>
                      <w:rFonts w:eastAsiaTheme="minorEastAsia"/>
                      <w:sz w:val="21"/>
                      <w:szCs w:val="21"/>
                    </w:rPr>
                  </w:pPr>
                  <w:r>
                    <w:rPr>
                      <w:rFonts w:eastAsiaTheme="minorEastAsia"/>
                      <w:sz w:val="21"/>
                      <w:szCs w:val="21"/>
                    </w:rPr>
                    <w:t>39.5</w:t>
                  </w:r>
                </w:p>
              </w:tc>
              <w:tc>
                <w:tcPr>
                  <w:tcW w:w="171" w:type="pct"/>
                  <w:shd w:val="clear" w:color="auto" w:fill="FFFFFF"/>
                  <w:tcMar>
                    <w:top w:w="0" w:type="dxa"/>
                    <w:left w:w="0" w:type="dxa"/>
                    <w:bottom w:w="0" w:type="dxa"/>
                    <w:right w:w="0" w:type="dxa"/>
                  </w:tcMar>
                  <w:vAlign w:val="center"/>
                </w:tcPr>
                <w:p w14:paraId="39F94EDE">
                  <w:pPr>
                    <w:jc w:val="center"/>
                    <w:rPr>
                      <w:rFonts w:eastAsiaTheme="minorEastAsia"/>
                      <w:sz w:val="21"/>
                      <w:szCs w:val="21"/>
                    </w:rPr>
                  </w:pPr>
                  <w:r>
                    <w:rPr>
                      <w:rFonts w:eastAsiaTheme="minorEastAsia"/>
                      <w:sz w:val="21"/>
                      <w:szCs w:val="21"/>
                    </w:rPr>
                    <w:t>14.5</w:t>
                  </w:r>
                </w:p>
              </w:tc>
              <w:tc>
                <w:tcPr>
                  <w:tcW w:w="171" w:type="pct"/>
                  <w:shd w:val="clear" w:color="auto" w:fill="FFFFFF"/>
                  <w:tcMar>
                    <w:top w:w="0" w:type="dxa"/>
                    <w:left w:w="0" w:type="dxa"/>
                    <w:bottom w:w="0" w:type="dxa"/>
                    <w:right w:w="0" w:type="dxa"/>
                  </w:tcMar>
                  <w:vAlign w:val="center"/>
                </w:tcPr>
                <w:p w14:paraId="03D4A3C4">
                  <w:pPr>
                    <w:jc w:val="center"/>
                    <w:rPr>
                      <w:rFonts w:eastAsiaTheme="minorEastAsia"/>
                      <w:sz w:val="21"/>
                      <w:szCs w:val="21"/>
                    </w:rPr>
                  </w:pPr>
                  <w:r>
                    <w:rPr>
                      <w:rFonts w:eastAsiaTheme="minorEastAsia"/>
                      <w:sz w:val="21"/>
                      <w:szCs w:val="21"/>
                    </w:rPr>
                    <w:t>14.6</w:t>
                  </w:r>
                </w:p>
              </w:tc>
              <w:tc>
                <w:tcPr>
                  <w:tcW w:w="140" w:type="pct"/>
                  <w:shd w:val="clear" w:color="auto" w:fill="FFFFFF"/>
                  <w:tcMar>
                    <w:top w:w="0" w:type="dxa"/>
                    <w:left w:w="0" w:type="dxa"/>
                    <w:bottom w:w="0" w:type="dxa"/>
                    <w:right w:w="0" w:type="dxa"/>
                  </w:tcMar>
                  <w:vAlign w:val="center"/>
                </w:tcPr>
                <w:p w14:paraId="557C2F40">
                  <w:pPr>
                    <w:jc w:val="center"/>
                    <w:rPr>
                      <w:rFonts w:eastAsiaTheme="minorEastAsia"/>
                      <w:sz w:val="21"/>
                      <w:szCs w:val="21"/>
                    </w:rPr>
                  </w:pPr>
                  <w:r>
                    <w:rPr>
                      <w:rFonts w:eastAsiaTheme="minorEastAsia"/>
                      <w:sz w:val="21"/>
                      <w:szCs w:val="21"/>
                    </w:rPr>
                    <w:t>14.5</w:t>
                  </w:r>
                </w:p>
              </w:tc>
              <w:tc>
                <w:tcPr>
                  <w:tcW w:w="135" w:type="pct"/>
                  <w:shd w:val="clear" w:color="auto" w:fill="FFFFFF"/>
                  <w:tcMar>
                    <w:top w:w="0" w:type="dxa"/>
                    <w:left w:w="0" w:type="dxa"/>
                    <w:bottom w:w="0" w:type="dxa"/>
                    <w:right w:w="0" w:type="dxa"/>
                  </w:tcMar>
                  <w:vAlign w:val="center"/>
                </w:tcPr>
                <w:p w14:paraId="022FE98B">
                  <w:pPr>
                    <w:jc w:val="center"/>
                    <w:rPr>
                      <w:rFonts w:eastAsiaTheme="minorEastAsia"/>
                      <w:sz w:val="21"/>
                      <w:szCs w:val="21"/>
                    </w:rPr>
                  </w:pPr>
                  <w:r>
                    <w:rPr>
                      <w:rFonts w:eastAsiaTheme="minorEastAsia"/>
                      <w:sz w:val="21"/>
                      <w:szCs w:val="21"/>
                    </w:rPr>
                    <w:t>1</w:t>
                  </w:r>
                </w:p>
              </w:tc>
            </w:tr>
            <w:tr w14:paraId="1236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12" w:type="pct"/>
                  <w:shd w:val="clear" w:color="auto" w:fill="FFFFFF"/>
                  <w:tcMar>
                    <w:top w:w="0" w:type="dxa"/>
                    <w:left w:w="0" w:type="dxa"/>
                    <w:bottom w:w="0" w:type="dxa"/>
                    <w:right w:w="0" w:type="dxa"/>
                  </w:tcMar>
                  <w:vAlign w:val="center"/>
                </w:tcPr>
                <w:p w14:paraId="163EB1C0">
                  <w:pPr>
                    <w:jc w:val="center"/>
                    <w:rPr>
                      <w:rFonts w:eastAsiaTheme="minorEastAsia"/>
                      <w:sz w:val="21"/>
                      <w:szCs w:val="21"/>
                    </w:rPr>
                  </w:pPr>
                  <w:r>
                    <w:rPr>
                      <w:rFonts w:eastAsiaTheme="minorEastAsia"/>
                      <w:sz w:val="21"/>
                      <w:szCs w:val="21"/>
                    </w:rPr>
                    <w:t>6</w:t>
                  </w:r>
                </w:p>
              </w:tc>
              <w:tc>
                <w:tcPr>
                  <w:tcW w:w="212" w:type="pct"/>
                  <w:shd w:val="clear" w:color="auto" w:fill="FFFFFF"/>
                  <w:tcMar>
                    <w:top w:w="0" w:type="dxa"/>
                    <w:left w:w="0" w:type="dxa"/>
                    <w:bottom w:w="0" w:type="dxa"/>
                    <w:right w:w="0" w:type="dxa"/>
                  </w:tcMar>
                  <w:vAlign w:val="center"/>
                </w:tcPr>
                <w:p w14:paraId="5A05A4B1">
                  <w:pPr>
                    <w:jc w:val="center"/>
                    <w:rPr>
                      <w:rFonts w:hint="eastAsia" w:eastAsiaTheme="minorEastAsia"/>
                      <w:sz w:val="21"/>
                      <w:szCs w:val="21"/>
                      <w:lang w:eastAsia="zh-CN"/>
                    </w:rPr>
                  </w:pPr>
                  <w:r>
                    <w:rPr>
                      <w:rFonts w:hint="eastAsia" w:eastAsiaTheme="minorEastAsia"/>
                      <w:sz w:val="21"/>
                      <w:szCs w:val="21"/>
                      <w:lang w:val="en-US" w:eastAsia="zh-CN"/>
                    </w:rPr>
                    <w:t>/</w:t>
                  </w:r>
                </w:p>
              </w:tc>
              <w:tc>
                <w:tcPr>
                  <w:tcW w:w="212" w:type="pct"/>
                  <w:shd w:val="clear" w:color="auto" w:fill="FFFFFF"/>
                  <w:tcMar>
                    <w:top w:w="0" w:type="dxa"/>
                    <w:left w:w="0" w:type="dxa"/>
                    <w:bottom w:w="0" w:type="dxa"/>
                    <w:right w:w="0" w:type="dxa"/>
                  </w:tcMar>
                  <w:vAlign w:val="center"/>
                </w:tcPr>
                <w:p w14:paraId="01ADD957">
                  <w:pPr>
                    <w:jc w:val="center"/>
                    <w:rPr>
                      <w:rFonts w:eastAsiaTheme="minorEastAsia"/>
                      <w:sz w:val="21"/>
                      <w:szCs w:val="21"/>
                    </w:rPr>
                  </w:pPr>
                  <w:r>
                    <w:rPr>
                      <w:rFonts w:eastAsiaTheme="minorEastAsia"/>
                      <w:sz w:val="21"/>
                      <w:szCs w:val="21"/>
                    </w:rPr>
                    <w:t>行吊</w:t>
                  </w:r>
                </w:p>
              </w:tc>
              <w:tc>
                <w:tcPr>
                  <w:tcW w:w="212" w:type="pct"/>
                  <w:shd w:val="clear" w:color="auto" w:fill="FFFFFF"/>
                  <w:tcMar>
                    <w:top w:w="0" w:type="dxa"/>
                    <w:left w:w="0" w:type="dxa"/>
                    <w:bottom w:w="0" w:type="dxa"/>
                    <w:right w:w="0" w:type="dxa"/>
                  </w:tcMar>
                  <w:vAlign w:val="center"/>
                </w:tcPr>
                <w:p w14:paraId="3DEE06C4">
                  <w:pPr>
                    <w:jc w:val="center"/>
                    <w:rPr>
                      <w:rFonts w:eastAsiaTheme="minorEastAsia"/>
                      <w:sz w:val="21"/>
                      <w:szCs w:val="21"/>
                    </w:rPr>
                  </w:pPr>
                  <w:r>
                    <w:rPr>
                      <w:rFonts w:eastAsiaTheme="minorEastAsia"/>
                      <w:sz w:val="21"/>
                      <w:szCs w:val="21"/>
                    </w:rPr>
                    <w:t>/</w:t>
                  </w:r>
                </w:p>
              </w:tc>
              <w:tc>
                <w:tcPr>
                  <w:tcW w:w="286" w:type="pct"/>
                  <w:shd w:val="clear" w:color="auto" w:fill="FFFFFF"/>
                  <w:tcMar>
                    <w:top w:w="0" w:type="dxa"/>
                    <w:left w:w="0" w:type="dxa"/>
                    <w:bottom w:w="0" w:type="dxa"/>
                    <w:right w:w="0" w:type="dxa"/>
                  </w:tcMar>
                  <w:vAlign w:val="center"/>
                </w:tcPr>
                <w:p w14:paraId="5C46FCBD">
                  <w:pPr>
                    <w:jc w:val="center"/>
                    <w:rPr>
                      <w:rFonts w:eastAsiaTheme="minorEastAsia"/>
                      <w:sz w:val="21"/>
                      <w:szCs w:val="21"/>
                    </w:rPr>
                  </w:pPr>
                  <w:r>
                    <w:rPr>
                      <w:rFonts w:eastAsiaTheme="minorEastAsia"/>
                      <w:sz w:val="21"/>
                      <w:szCs w:val="21"/>
                    </w:rPr>
                    <w:t>70</w:t>
                  </w:r>
                </w:p>
              </w:tc>
              <w:tc>
                <w:tcPr>
                  <w:tcW w:w="212" w:type="pct"/>
                  <w:vMerge w:val="continue"/>
                  <w:shd w:val="clear" w:color="auto" w:fill="FFFFFF"/>
                  <w:tcMar>
                    <w:top w:w="0" w:type="dxa"/>
                    <w:left w:w="0" w:type="dxa"/>
                    <w:bottom w:w="0" w:type="dxa"/>
                    <w:right w:w="0" w:type="dxa"/>
                  </w:tcMar>
                  <w:vAlign w:val="center"/>
                </w:tcPr>
                <w:p w14:paraId="16693114">
                  <w:pPr>
                    <w:jc w:val="center"/>
                    <w:rPr>
                      <w:rFonts w:eastAsiaTheme="minorEastAsia"/>
                      <w:sz w:val="21"/>
                      <w:szCs w:val="21"/>
                    </w:rPr>
                  </w:pPr>
                </w:p>
              </w:tc>
              <w:tc>
                <w:tcPr>
                  <w:tcW w:w="204" w:type="pct"/>
                  <w:shd w:val="clear" w:color="auto" w:fill="FFFFFF"/>
                  <w:tcMar>
                    <w:top w:w="0" w:type="dxa"/>
                    <w:left w:w="0" w:type="dxa"/>
                    <w:bottom w:w="0" w:type="dxa"/>
                    <w:right w:w="0" w:type="dxa"/>
                  </w:tcMar>
                  <w:vAlign w:val="center"/>
                </w:tcPr>
                <w:p w14:paraId="00C3932D">
                  <w:pPr>
                    <w:jc w:val="center"/>
                    <w:rPr>
                      <w:rFonts w:eastAsiaTheme="minorEastAsia"/>
                      <w:sz w:val="21"/>
                      <w:szCs w:val="21"/>
                    </w:rPr>
                  </w:pPr>
                  <w:r>
                    <w:rPr>
                      <w:rFonts w:eastAsiaTheme="minorEastAsia"/>
                      <w:sz w:val="21"/>
                      <w:szCs w:val="21"/>
                    </w:rPr>
                    <w:t>-13.9</w:t>
                  </w:r>
                </w:p>
              </w:tc>
              <w:tc>
                <w:tcPr>
                  <w:tcW w:w="205" w:type="pct"/>
                  <w:shd w:val="clear" w:color="auto" w:fill="FFFFFF"/>
                  <w:tcMar>
                    <w:top w:w="0" w:type="dxa"/>
                    <w:left w:w="0" w:type="dxa"/>
                    <w:bottom w:w="0" w:type="dxa"/>
                    <w:right w:w="0" w:type="dxa"/>
                  </w:tcMar>
                  <w:vAlign w:val="center"/>
                </w:tcPr>
                <w:p w14:paraId="4EBB4E3F">
                  <w:pPr>
                    <w:jc w:val="center"/>
                    <w:rPr>
                      <w:rFonts w:eastAsiaTheme="minorEastAsia"/>
                      <w:sz w:val="21"/>
                      <w:szCs w:val="21"/>
                    </w:rPr>
                  </w:pPr>
                  <w:r>
                    <w:rPr>
                      <w:rFonts w:eastAsiaTheme="minorEastAsia"/>
                      <w:sz w:val="21"/>
                      <w:szCs w:val="21"/>
                    </w:rPr>
                    <w:t>0.3</w:t>
                  </w:r>
                </w:p>
              </w:tc>
              <w:tc>
                <w:tcPr>
                  <w:tcW w:w="134" w:type="pct"/>
                  <w:shd w:val="clear" w:color="auto" w:fill="FFFFFF"/>
                  <w:tcMar>
                    <w:top w:w="0" w:type="dxa"/>
                    <w:left w:w="0" w:type="dxa"/>
                    <w:bottom w:w="0" w:type="dxa"/>
                    <w:right w:w="0" w:type="dxa"/>
                  </w:tcMar>
                  <w:vAlign w:val="center"/>
                </w:tcPr>
                <w:p w14:paraId="75A546CB">
                  <w:pPr>
                    <w:jc w:val="center"/>
                    <w:rPr>
                      <w:rFonts w:eastAsiaTheme="minorEastAsia"/>
                      <w:sz w:val="21"/>
                      <w:szCs w:val="21"/>
                    </w:rPr>
                  </w:pPr>
                  <w:r>
                    <w:rPr>
                      <w:rFonts w:eastAsiaTheme="minorEastAsia"/>
                      <w:sz w:val="21"/>
                      <w:szCs w:val="21"/>
                    </w:rPr>
                    <w:t>1.2</w:t>
                  </w:r>
                </w:p>
              </w:tc>
              <w:tc>
                <w:tcPr>
                  <w:tcW w:w="174" w:type="pct"/>
                  <w:shd w:val="clear" w:color="auto" w:fill="FFFFFF"/>
                  <w:tcMar>
                    <w:top w:w="0" w:type="dxa"/>
                    <w:left w:w="0" w:type="dxa"/>
                    <w:bottom w:w="0" w:type="dxa"/>
                    <w:right w:w="0" w:type="dxa"/>
                  </w:tcMar>
                  <w:vAlign w:val="center"/>
                </w:tcPr>
                <w:p w14:paraId="28FE7819">
                  <w:pPr>
                    <w:jc w:val="center"/>
                    <w:rPr>
                      <w:rFonts w:eastAsiaTheme="minorEastAsia"/>
                      <w:sz w:val="21"/>
                      <w:szCs w:val="21"/>
                    </w:rPr>
                  </w:pPr>
                  <w:r>
                    <w:rPr>
                      <w:rFonts w:eastAsiaTheme="minorEastAsia"/>
                      <w:sz w:val="21"/>
                      <w:szCs w:val="21"/>
                    </w:rPr>
                    <w:t>37.5</w:t>
                  </w:r>
                </w:p>
              </w:tc>
              <w:tc>
                <w:tcPr>
                  <w:tcW w:w="174" w:type="pct"/>
                  <w:shd w:val="clear" w:color="auto" w:fill="FFFFFF"/>
                  <w:tcMar>
                    <w:top w:w="0" w:type="dxa"/>
                    <w:left w:w="0" w:type="dxa"/>
                    <w:bottom w:w="0" w:type="dxa"/>
                    <w:right w:w="0" w:type="dxa"/>
                  </w:tcMar>
                  <w:vAlign w:val="center"/>
                </w:tcPr>
                <w:p w14:paraId="49C334CF">
                  <w:pPr>
                    <w:jc w:val="center"/>
                    <w:rPr>
                      <w:rFonts w:eastAsiaTheme="minorEastAsia"/>
                      <w:sz w:val="21"/>
                      <w:szCs w:val="21"/>
                    </w:rPr>
                  </w:pPr>
                  <w:r>
                    <w:rPr>
                      <w:rFonts w:eastAsiaTheme="minorEastAsia"/>
                      <w:sz w:val="21"/>
                      <w:szCs w:val="21"/>
                    </w:rPr>
                    <w:t>35.3</w:t>
                  </w:r>
                </w:p>
              </w:tc>
              <w:tc>
                <w:tcPr>
                  <w:tcW w:w="174" w:type="pct"/>
                  <w:shd w:val="clear" w:color="auto" w:fill="FFFFFF"/>
                  <w:tcMar>
                    <w:top w:w="0" w:type="dxa"/>
                    <w:left w:w="0" w:type="dxa"/>
                    <w:bottom w:w="0" w:type="dxa"/>
                    <w:right w:w="0" w:type="dxa"/>
                  </w:tcMar>
                  <w:vAlign w:val="center"/>
                </w:tcPr>
                <w:p w14:paraId="25B0F770">
                  <w:pPr>
                    <w:jc w:val="center"/>
                    <w:rPr>
                      <w:rFonts w:eastAsiaTheme="minorEastAsia"/>
                      <w:sz w:val="21"/>
                      <w:szCs w:val="21"/>
                    </w:rPr>
                  </w:pPr>
                  <w:r>
                    <w:rPr>
                      <w:rFonts w:eastAsiaTheme="minorEastAsia"/>
                      <w:sz w:val="21"/>
                      <w:szCs w:val="21"/>
                    </w:rPr>
                    <w:t>12.2</w:t>
                  </w:r>
                </w:p>
              </w:tc>
              <w:tc>
                <w:tcPr>
                  <w:tcW w:w="177" w:type="pct"/>
                  <w:shd w:val="clear" w:color="auto" w:fill="FFFFFF"/>
                  <w:tcMar>
                    <w:top w:w="0" w:type="dxa"/>
                    <w:left w:w="0" w:type="dxa"/>
                    <w:bottom w:w="0" w:type="dxa"/>
                    <w:right w:w="0" w:type="dxa"/>
                  </w:tcMar>
                  <w:vAlign w:val="center"/>
                </w:tcPr>
                <w:p w14:paraId="36F9361E">
                  <w:pPr>
                    <w:jc w:val="center"/>
                    <w:rPr>
                      <w:rFonts w:eastAsiaTheme="minorEastAsia"/>
                      <w:sz w:val="21"/>
                      <w:szCs w:val="21"/>
                    </w:rPr>
                  </w:pPr>
                  <w:r>
                    <w:rPr>
                      <w:rFonts w:eastAsiaTheme="minorEastAsia"/>
                      <w:sz w:val="21"/>
                      <w:szCs w:val="21"/>
                    </w:rPr>
                    <w:t>11.3</w:t>
                  </w:r>
                </w:p>
              </w:tc>
              <w:tc>
                <w:tcPr>
                  <w:tcW w:w="174" w:type="pct"/>
                  <w:shd w:val="clear" w:color="auto" w:fill="FFFFFF"/>
                  <w:tcMar>
                    <w:top w:w="0" w:type="dxa"/>
                    <w:left w:w="0" w:type="dxa"/>
                    <w:bottom w:w="0" w:type="dxa"/>
                    <w:right w:w="0" w:type="dxa"/>
                  </w:tcMar>
                  <w:vAlign w:val="center"/>
                </w:tcPr>
                <w:p w14:paraId="75154104">
                  <w:pPr>
                    <w:jc w:val="center"/>
                    <w:rPr>
                      <w:rFonts w:eastAsiaTheme="minorEastAsia"/>
                      <w:sz w:val="21"/>
                      <w:szCs w:val="21"/>
                    </w:rPr>
                  </w:pPr>
                  <w:r>
                    <w:rPr>
                      <w:rFonts w:eastAsiaTheme="minorEastAsia"/>
                      <w:sz w:val="21"/>
                      <w:szCs w:val="21"/>
                    </w:rPr>
                    <w:t>55.5</w:t>
                  </w:r>
                </w:p>
              </w:tc>
              <w:tc>
                <w:tcPr>
                  <w:tcW w:w="174" w:type="pct"/>
                  <w:shd w:val="clear" w:color="auto" w:fill="FFFFFF"/>
                  <w:tcMar>
                    <w:top w:w="0" w:type="dxa"/>
                    <w:left w:w="0" w:type="dxa"/>
                    <w:bottom w:w="0" w:type="dxa"/>
                    <w:right w:w="0" w:type="dxa"/>
                  </w:tcMar>
                  <w:vAlign w:val="center"/>
                </w:tcPr>
                <w:p w14:paraId="3A19A5A0">
                  <w:pPr>
                    <w:jc w:val="center"/>
                    <w:rPr>
                      <w:rFonts w:eastAsiaTheme="minorEastAsia"/>
                      <w:sz w:val="21"/>
                      <w:szCs w:val="21"/>
                    </w:rPr>
                  </w:pPr>
                  <w:r>
                    <w:rPr>
                      <w:rFonts w:eastAsiaTheme="minorEastAsia"/>
                      <w:sz w:val="21"/>
                      <w:szCs w:val="21"/>
                    </w:rPr>
                    <w:t>55.5</w:t>
                  </w:r>
                </w:p>
              </w:tc>
              <w:tc>
                <w:tcPr>
                  <w:tcW w:w="174" w:type="pct"/>
                  <w:shd w:val="clear" w:color="auto" w:fill="FFFFFF"/>
                  <w:tcMar>
                    <w:top w:w="0" w:type="dxa"/>
                    <w:left w:w="0" w:type="dxa"/>
                    <w:bottom w:w="0" w:type="dxa"/>
                    <w:right w:w="0" w:type="dxa"/>
                  </w:tcMar>
                  <w:vAlign w:val="center"/>
                </w:tcPr>
                <w:p w14:paraId="4A11C539">
                  <w:pPr>
                    <w:jc w:val="center"/>
                    <w:rPr>
                      <w:rFonts w:eastAsiaTheme="minorEastAsia"/>
                      <w:sz w:val="21"/>
                      <w:szCs w:val="21"/>
                    </w:rPr>
                  </w:pPr>
                  <w:r>
                    <w:rPr>
                      <w:rFonts w:eastAsiaTheme="minorEastAsia"/>
                      <w:sz w:val="21"/>
                      <w:szCs w:val="21"/>
                    </w:rPr>
                    <w:t>55.6</w:t>
                  </w:r>
                </w:p>
              </w:tc>
              <w:tc>
                <w:tcPr>
                  <w:tcW w:w="177" w:type="pct"/>
                  <w:shd w:val="clear" w:color="auto" w:fill="FFFFFF"/>
                  <w:tcMar>
                    <w:top w:w="0" w:type="dxa"/>
                    <w:left w:w="0" w:type="dxa"/>
                    <w:bottom w:w="0" w:type="dxa"/>
                    <w:right w:w="0" w:type="dxa"/>
                  </w:tcMar>
                  <w:vAlign w:val="center"/>
                </w:tcPr>
                <w:p w14:paraId="4A860D8E">
                  <w:pPr>
                    <w:jc w:val="center"/>
                    <w:rPr>
                      <w:rFonts w:eastAsiaTheme="minorEastAsia"/>
                      <w:sz w:val="21"/>
                      <w:szCs w:val="21"/>
                    </w:rPr>
                  </w:pPr>
                  <w:r>
                    <w:rPr>
                      <w:rFonts w:eastAsiaTheme="minorEastAsia"/>
                      <w:sz w:val="21"/>
                      <w:szCs w:val="21"/>
                    </w:rPr>
                    <w:t>55.6</w:t>
                  </w:r>
                </w:p>
              </w:tc>
              <w:tc>
                <w:tcPr>
                  <w:tcW w:w="214" w:type="pct"/>
                  <w:vMerge w:val="continue"/>
                  <w:shd w:val="clear" w:color="auto" w:fill="FFFFFF"/>
                  <w:tcMar>
                    <w:top w:w="0" w:type="dxa"/>
                    <w:left w:w="0" w:type="dxa"/>
                    <w:bottom w:w="0" w:type="dxa"/>
                    <w:right w:w="0" w:type="dxa"/>
                  </w:tcMar>
                  <w:vAlign w:val="center"/>
                </w:tcPr>
                <w:p w14:paraId="317AD532">
                  <w:pPr>
                    <w:jc w:val="center"/>
                    <w:rPr>
                      <w:rFonts w:eastAsiaTheme="minorEastAsia"/>
                      <w:sz w:val="21"/>
                      <w:szCs w:val="21"/>
                    </w:rPr>
                  </w:pPr>
                </w:p>
              </w:tc>
              <w:tc>
                <w:tcPr>
                  <w:tcW w:w="174" w:type="pct"/>
                  <w:shd w:val="clear" w:color="auto" w:fill="FFFFFF"/>
                  <w:tcMar>
                    <w:top w:w="0" w:type="dxa"/>
                    <w:left w:w="0" w:type="dxa"/>
                    <w:bottom w:w="0" w:type="dxa"/>
                    <w:right w:w="0" w:type="dxa"/>
                  </w:tcMar>
                  <w:vAlign w:val="center"/>
                </w:tcPr>
                <w:p w14:paraId="78C69C9B">
                  <w:pPr>
                    <w:jc w:val="center"/>
                    <w:rPr>
                      <w:rFonts w:eastAsiaTheme="minorEastAsia"/>
                      <w:sz w:val="21"/>
                      <w:szCs w:val="21"/>
                    </w:rPr>
                  </w:pPr>
                  <w:r>
                    <w:rPr>
                      <w:rFonts w:eastAsiaTheme="minorEastAsia"/>
                      <w:sz w:val="21"/>
                      <w:szCs w:val="21"/>
                    </w:rPr>
                    <w:t>16.0</w:t>
                  </w:r>
                </w:p>
              </w:tc>
              <w:tc>
                <w:tcPr>
                  <w:tcW w:w="174" w:type="pct"/>
                  <w:shd w:val="clear" w:color="auto" w:fill="FFFFFF"/>
                  <w:tcMar>
                    <w:top w:w="0" w:type="dxa"/>
                    <w:left w:w="0" w:type="dxa"/>
                    <w:bottom w:w="0" w:type="dxa"/>
                    <w:right w:w="0" w:type="dxa"/>
                  </w:tcMar>
                  <w:vAlign w:val="center"/>
                </w:tcPr>
                <w:p w14:paraId="60A069FB">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4" w:type="pct"/>
                  <w:shd w:val="clear" w:color="auto" w:fill="FFFFFF"/>
                  <w:tcMar>
                    <w:top w:w="0" w:type="dxa"/>
                    <w:left w:w="0" w:type="dxa"/>
                    <w:bottom w:w="0" w:type="dxa"/>
                    <w:right w:w="0" w:type="dxa"/>
                  </w:tcMar>
                  <w:vAlign w:val="center"/>
                </w:tcPr>
                <w:p w14:paraId="63CAB194">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7" w:type="pct"/>
                  <w:shd w:val="clear" w:color="auto" w:fill="FFFFFF"/>
                  <w:tcMar>
                    <w:top w:w="0" w:type="dxa"/>
                    <w:left w:w="0" w:type="dxa"/>
                    <w:bottom w:w="0" w:type="dxa"/>
                    <w:right w:w="0" w:type="dxa"/>
                  </w:tcMar>
                  <w:vAlign w:val="center"/>
                </w:tcPr>
                <w:p w14:paraId="4FDE48A7">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1" w:type="pct"/>
                  <w:shd w:val="clear" w:color="auto" w:fill="FFFFFF"/>
                  <w:tcMar>
                    <w:top w:w="0" w:type="dxa"/>
                    <w:left w:w="0" w:type="dxa"/>
                    <w:bottom w:w="0" w:type="dxa"/>
                    <w:right w:w="0" w:type="dxa"/>
                  </w:tcMar>
                  <w:vAlign w:val="center"/>
                </w:tcPr>
                <w:p w14:paraId="158C4AED">
                  <w:pPr>
                    <w:jc w:val="center"/>
                    <w:rPr>
                      <w:rFonts w:eastAsiaTheme="minorEastAsia"/>
                      <w:sz w:val="21"/>
                      <w:szCs w:val="21"/>
                    </w:rPr>
                  </w:pPr>
                  <w:r>
                    <w:rPr>
                      <w:rFonts w:eastAsiaTheme="minorEastAsia"/>
                      <w:sz w:val="21"/>
                      <w:szCs w:val="21"/>
                    </w:rPr>
                    <w:t>39.5</w:t>
                  </w:r>
                </w:p>
              </w:tc>
              <w:tc>
                <w:tcPr>
                  <w:tcW w:w="171" w:type="pct"/>
                  <w:shd w:val="clear" w:color="auto" w:fill="FFFFFF"/>
                  <w:tcMar>
                    <w:top w:w="0" w:type="dxa"/>
                    <w:left w:w="0" w:type="dxa"/>
                    <w:bottom w:w="0" w:type="dxa"/>
                    <w:right w:w="0" w:type="dxa"/>
                  </w:tcMar>
                  <w:vAlign w:val="center"/>
                </w:tcPr>
                <w:p w14:paraId="22348CA5">
                  <w:pPr>
                    <w:jc w:val="center"/>
                    <w:rPr>
                      <w:rFonts w:eastAsiaTheme="minorEastAsia"/>
                      <w:sz w:val="21"/>
                      <w:szCs w:val="21"/>
                    </w:rPr>
                  </w:pPr>
                  <w:r>
                    <w:rPr>
                      <w:rFonts w:eastAsiaTheme="minorEastAsia"/>
                      <w:sz w:val="21"/>
                      <w:szCs w:val="21"/>
                    </w:rPr>
                    <w:t>14.5</w:t>
                  </w:r>
                </w:p>
              </w:tc>
              <w:tc>
                <w:tcPr>
                  <w:tcW w:w="171" w:type="pct"/>
                  <w:shd w:val="clear" w:color="auto" w:fill="FFFFFF"/>
                  <w:tcMar>
                    <w:top w:w="0" w:type="dxa"/>
                    <w:left w:w="0" w:type="dxa"/>
                    <w:bottom w:w="0" w:type="dxa"/>
                    <w:right w:w="0" w:type="dxa"/>
                  </w:tcMar>
                  <w:vAlign w:val="center"/>
                </w:tcPr>
                <w:p w14:paraId="014851BE">
                  <w:pPr>
                    <w:jc w:val="center"/>
                    <w:rPr>
                      <w:rFonts w:eastAsiaTheme="minorEastAsia"/>
                      <w:sz w:val="21"/>
                      <w:szCs w:val="21"/>
                    </w:rPr>
                  </w:pPr>
                  <w:r>
                    <w:rPr>
                      <w:rFonts w:eastAsiaTheme="minorEastAsia"/>
                      <w:sz w:val="21"/>
                      <w:szCs w:val="21"/>
                    </w:rPr>
                    <w:t>14.6</w:t>
                  </w:r>
                </w:p>
              </w:tc>
              <w:tc>
                <w:tcPr>
                  <w:tcW w:w="140" w:type="pct"/>
                  <w:shd w:val="clear" w:color="auto" w:fill="FFFFFF"/>
                  <w:tcMar>
                    <w:top w:w="0" w:type="dxa"/>
                    <w:left w:w="0" w:type="dxa"/>
                    <w:bottom w:w="0" w:type="dxa"/>
                    <w:right w:w="0" w:type="dxa"/>
                  </w:tcMar>
                  <w:vAlign w:val="center"/>
                </w:tcPr>
                <w:p w14:paraId="43B4C4EC">
                  <w:pPr>
                    <w:jc w:val="center"/>
                    <w:rPr>
                      <w:rFonts w:eastAsiaTheme="minorEastAsia"/>
                      <w:sz w:val="21"/>
                      <w:szCs w:val="21"/>
                    </w:rPr>
                  </w:pPr>
                  <w:r>
                    <w:rPr>
                      <w:rFonts w:eastAsiaTheme="minorEastAsia"/>
                      <w:sz w:val="21"/>
                      <w:szCs w:val="21"/>
                    </w:rPr>
                    <w:t>14.6</w:t>
                  </w:r>
                </w:p>
              </w:tc>
              <w:tc>
                <w:tcPr>
                  <w:tcW w:w="135" w:type="pct"/>
                  <w:shd w:val="clear" w:color="auto" w:fill="FFFFFF"/>
                  <w:tcMar>
                    <w:top w:w="0" w:type="dxa"/>
                    <w:left w:w="0" w:type="dxa"/>
                    <w:bottom w:w="0" w:type="dxa"/>
                    <w:right w:w="0" w:type="dxa"/>
                  </w:tcMar>
                  <w:vAlign w:val="center"/>
                </w:tcPr>
                <w:p w14:paraId="4854D10E">
                  <w:pPr>
                    <w:jc w:val="center"/>
                    <w:rPr>
                      <w:rFonts w:eastAsiaTheme="minorEastAsia"/>
                      <w:sz w:val="21"/>
                      <w:szCs w:val="21"/>
                    </w:rPr>
                  </w:pPr>
                  <w:r>
                    <w:rPr>
                      <w:rFonts w:eastAsiaTheme="minorEastAsia"/>
                      <w:sz w:val="21"/>
                      <w:szCs w:val="21"/>
                    </w:rPr>
                    <w:t>1</w:t>
                  </w:r>
                </w:p>
              </w:tc>
            </w:tr>
            <w:tr w14:paraId="29B6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12" w:type="pct"/>
                  <w:shd w:val="clear" w:color="auto" w:fill="FFFFFF"/>
                  <w:tcMar>
                    <w:top w:w="0" w:type="dxa"/>
                    <w:left w:w="0" w:type="dxa"/>
                    <w:bottom w:w="0" w:type="dxa"/>
                    <w:right w:w="0" w:type="dxa"/>
                  </w:tcMar>
                  <w:vAlign w:val="center"/>
                </w:tcPr>
                <w:p w14:paraId="383E5BDD">
                  <w:pPr>
                    <w:jc w:val="center"/>
                    <w:rPr>
                      <w:rFonts w:eastAsiaTheme="minorEastAsia"/>
                      <w:sz w:val="21"/>
                      <w:szCs w:val="21"/>
                    </w:rPr>
                  </w:pPr>
                  <w:r>
                    <w:rPr>
                      <w:rFonts w:eastAsiaTheme="minorEastAsia"/>
                      <w:sz w:val="21"/>
                      <w:szCs w:val="21"/>
                    </w:rPr>
                    <w:t>7</w:t>
                  </w:r>
                </w:p>
              </w:tc>
              <w:tc>
                <w:tcPr>
                  <w:tcW w:w="212" w:type="pct"/>
                  <w:shd w:val="clear" w:color="auto" w:fill="FFFFFF"/>
                  <w:tcMar>
                    <w:top w:w="0" w:type="dxa"/>
                    <w:left w:w="0" w:type="dxa"/>
                    <w:bottom w:w="0" w:type="dxa"/>
                    <w:right w:w="0" w:type="dxa"/>
                  </w:tcMar>
                  <w:vAlign w:val="center"/>
                </w:tcPr>
                <w:p w14:paraId="0A87B721">
                  <w:pPr>
                    <w:jc w:val="center"/>
                    <w:rPr>
                      <w:rFonts w:eastAsiaTheme="minorEastAsia"/>
                      <w:sz w:val="21"/>
                      <w:szCs w:val="21"/>
                    </w:rPr>
                  </w:pPr>
                  <w:r>
                    <w:rPr>
                      <w:rFonts w:hint="eastAsia" w:eastAsiaTheme="minorEastAsia"/>
                      <w:sz w:val="21"/>
                      <w:szCs w:val="21"/>
                      <w:lang w:val="en-US" w:eastAsia="zh-CN"/>
                    </w:rPr>
                    <w:t>2#厂房</w:t>
                  </w:r>
                </w:p>
              </w:tc>
              <w:tc>
                <w:tcPr>
                  <w:tcW w:w="212" w:type="pct"/>
                  <w:shd w:val="clear" w:color="auto" w:fill="FFFFFF"/>
                  <w:tcMar>
                    <w:top w:w="0" w:type="dxa"/>
                    <w:left w:w="0" w:type="dxa"/>
                    <w:bottom w:w="0" w:type="dxa"/>
                    <w:right w:w="0" w:type="dxa"/>
                  </w:tcMar>
                  <w:vAlign w:val="center"/>
                </w:tcPr>
                <w:p w14:paraId="0E2D94F5">
                  <w:pPr>
                    <w:jc w:val="center"/>
                    <w:rPr>
                      <w:rFonts w:eastAsiaTheme="minorEastAsia"/>
                      <w:sz w:val="21"/>
                      <w:szCs w:val="21"/>
                    </w:rPr>
                  </w:pPr>
                  <w:r>
                    <w:rPr>
                      <w:rFonts w:eastAsiaTheme="minorEastAsia"/>
                      <w:sz w:val="21"/>
                      <w:szCs w:val="21"/>
                    </w:rPr>
                    <w:t>破碎机</w:t>
                  </w:r>
                </w:p>
              </w:tc>
              <w:tc>
                <w:tcPr>
                  <w:tcW w:w="212" w:type="pct"/>
                  <w:shd w:val="clear" w:color="auto" w:fill="FFFFFF"/>
                  <w:tcMar>
                    <w:top w:w="0" w:type="dxa"/>
                    <w:left w:w="0" w:type="dxa"/>
                    <w:bottom w:w="0" w:type="dxa"/>
                    <w:right w:w="0" w:type="dxa"/>
                  </w:tcMar>
                  <w:vAlign w:val="center"/>
                </w:tcPr>
                <w:p w14:paraId="0518D8E9">
                  <w:pPr>
                    <w:jc w:val="center"/>
                    <w:rPr>
                      <w:rFonts w:eastAsiaTheme="minorEastAsia"/>
                      <w:sz w:val="21"/>
                      <w:szCs w:val="21"/>
                    </w:rPr>
                  </w:pPr>
                  <w:r>
                    <w:rPr>
                      <w:rFonts w:eastAsiaTheme="minorEastAsia"/>
                      <w:sz w:val="21"/>
                      <w:szCs w:val="21"/>
                    </w:rPr>
                    <w:t>/</w:t>
                  </w:r>
                </w:p>
              </w:tc>
              <w:tc>
                <w:tcPr>
                  <w:tcW w:w="286" w:type="pct"/>
                  <w:shd w:val="clear" w:color="auto" w:fill="FFFFFF"/>
                  <w:tcMar>
                    <w:top w:w="0" w:type="dxa"/>
                    <w:left w:w="0" w:type="dxa"/>
                    <w:bottom w:w="0" w:type="dxa"/>
                    <w:right w:w="0" w:type="dxa"/>
                  </w:tcMar>
                  <w:vAlign w:val="center"/>
                </w:tcPr>
                <w:p w14:paraId="7859BE3E">
                  <w:pPr>
                    <w:jc w:val="center"/>
                    <w:rPr>
                      <w:rFonts w:eastAsiaTheme="minorEastAsia"/>
                      <w:sz w:val="21"/>
                      <w:szCs w:val="21"/>
                    </w:rPr>
                  </w:pPr>
                  <w:r>
                    <w:rPr>
                      <w:rFonts w:eastAsiaTheme="minorEastAsia"/>
                      <w:sz w:val="21"/>
                      <w:szCs w:val="21"/>
                    </w:rPr>
                    <w:t>90</w:t>
                  </w:r>
                </w:p>
              </w:tc>
              <w:tc>
                <w:tcPr>
                  <w:tcW w:w="212" w:type="pct"/>
                  <w:vMerge w:val="continue"/>
                  <w:shd w:val="clear" w:color="auto" w:fill="FFFFFF"/>
                  <w:tcMar>
                    <w:top w:w="0" w:type="dxa"/>
                    <w:left w:w="0" w:type="dxa"/>
                    <w:bottom w:w="0" w:type="dxa"/>
                    <w:right w:w="0" w:type="dxa"/>
                  </w:tcMar>
                  <w:vAlign w:val="center"/>
                </w:tcPr>
                <w:p w14:paraId="69C8B721">
                  <w:pPr>
                    <w:jc w:val="center"/>
                    <w:rPr>
                      <w:rFonts w:eastAsiaTheme="minorEastAsia"/>
                      <w:sz w:val="21"/>
                      <w:szCs w:val="21"/>
                    </w:rPr>
                  </w:pPr>
                </w:p>
              </w:tc>
              <w:tc>
                <w:tcPr>
                  <w:tcW w:w="204" w:type="pct"/>
                  <w:shd w:val="clear" w:color="auto" w:fill="FFFFFF"/>
                  <w:tcMar>
                    <w:top w:w="0" w:type="dxa"/>
                    <w:left w:w="0" w:type="dxa"/>
                    <w:bottom w:w="0" w:type="dxa"/>
                    <w:right w:w="0" w:type="dxa"/>
                  </w:tcMar>
                  <w:vAlign w:val="center"/>
                </w:tcPr>
                <w:p w14:paraId="24542BFF">
                  <w:pPr>
                    <w:jc w:val="center"/>
                    <w:rPr>
                      <w:rFonts w:eastAsiaTheme="minorEastAsia"/>
                      <w:sz w:val="21"/>
                      <w:szCs w:val="21"/>
                    </w:rPr>
                  </w:pPr>
                  <w:r>
                    <w:rPr>
                      <w:rFonts w:eastAsiaTheme="minorEastAsia"/>
                      <w:sz w:val="21"/>
                      <w:szCs w:val="21"/>
                    </w:rPr>
                    <w:t>-34.7</w:t>
                  </w:r>
                </w:p>
              </w:tc>
              <w:tc>
                <w:tcPr>
                  <w:tcW w:w="205" w:type="pct"/>
                  <w:shd w:val="clear" w:color="auto" w:fill="FFFFFF"/>
                  <w:tcMar>
                    <w:top w:w="0" w:type="dxa"/>
                    <w:left w:w="0" w:type="dxa"/>
                    <w:bottom w:w="0" w:type="dxa"/>
                    <w:right w:w="0" w:type="dxa"/>
                  </w:tcMar>
                  <w:vAlign w:val="center"/>
                </w:tcPr>
                <w:p w14:paraId="20A5CA2A">
                  <w:pPr>
                    <w:jc w:val="center"/>
                    <w:rPr>
                      <w:rFonts w:eastAsiaTheme="minorEastAsia"/>
                      <w:sz w:val="21"/>
                      <w:szCs w:val="21"/>
                    </w:rPr>
                  </w:pPr>
                  <w:r>
                    <w:rPr>
                      <w:rFonts w:eastAsiaTheme="minorEastAsia"/>
                      <w:sz w:val="21"/>
                      <w:szCs w:val="21"/>
                    </w:rPr>
                    <w:t>6.1</w:t>
                  </w:r>
                </w:p>
              </w:tc>
              <w:tc>
                <w:tcPr>
                  <w:tcW w:w="134" w:type="pct"/>
                  <w:shd w:val="clear" w:color="auto" w:fill="FFFFFF"/>
                  <w:tcMar>
                    <w:top w:w="0" w:type="dxa"/>
                    <w:left w:w="0" w:type="dxa"/>
                    <w:bottom w:w="0" w:type="dxa"/>
                    <w:right w:w="0" w:type="dxa"/>
                  </w:tcMar>
                  <w:vAlign w:val="center"/>
                </w:tcPr>
                <w:p w14:paraId="0CA0D03E">
                  <w:pPr>
                    <w:jc w:val="center"/>
                    <w:rPr>
                      <w:rFonts w:eastAsiaTheme="minorEastAsia"/>
                      <w:sz w:val="21"/>
                      <w:szCs w:val="21"/>
                    </w:rPr>
                  </w:pPr>
                  <w:r>
                    <w:rPr>
                      <w:rFonts w:eastAsiaTheme="minorEastAsia"/>
                      <w:sz w:val="21"/>
                      <w:szCs w:val="21"/>
                    </w:rPr>
                    <w:t>1.2</w:t>
                  </w:r>
                </w:p>
              </w:tc>
              <w:tc>
                <w:tcPr>
                  <w:tcW w:w="174" w:type="pct"/>
                  <w:shd w:val="clear" w:color="auto" w:fill="FFFFFF"/>
                  <w:tcMar>
                    <w:top w:w="0" w:type="dxa"/>
                    <w:left w:w="0" w:type="dxa"/>
                    <w:bottom w:w="0" w:type="dxa"/>
                    <w:right w:w="0" w:type="dxa"/>
                  </w:tcMar>
                  <w:vAlign w:val="center"/>
                </w:tcPr>
                <w:p w14:paraId="3171076A">
                  <w:pPr>
                    <w:jc w:val="center"/>
                    <w:rPr>
                      <w:rFonts w:eastAsiaTheme="minorEastAsia"/>
                      <w:sz w:val="21"/>
                      <w:szCs w:val="21"/>
                    </w:rPr>
                  </w:pPr>
                  <w:r>
                    <w:rPr>
                      <w:rFonts w:eastAsiaTheme="minorEastAsia"/>
                      <w:sz w:val="21"/>
                      <w:szCs w:val="21"/>
                    </w:rPr>
                    <w:t>58.6</w:t>
                  </w:r>
                </w:p>
              </w:tc>
              <w:tc>
                <w:tcPr>
                  <w:tcW w:w="174" w:type="pct"/>
                  <w:shd w:val="clear" w:color="auto" w:fill="FFFFFF"/>
                  <w:tcMar>
                    <w:top w:w="0" w:type="dxa"/>
                    <w:left w:w="0" w:type="dxa"/>
                    <w:bottom w:w="0" w:type="dxa"/>
                    <w:right w:w="0" w:type="dxa"/>
                  </w:tcMar>
                  <w:vAlign w:val="center"/>
                </w:tcPr>
                <w:p w14:paraId="40D1D62F">
                  <w:pPr>
                    <w:jc w:val="center"/>
                    <w:rPr>
                      <w:rFonts w:eastAsiaTheme="minorEastAsia"/>
                      <w:sz w:val="21"/>
                      <w:szCs w:val="21"/>
                    </w:rPr>
                  </w:pPr>
                  <w:r>
                    <w:rPr>
                      <w:rFonts w:eastAsiaTheme="minorEastAsia"/>
                      <w:sz w:val="21"/>
                      <w:szCs w:val="21"/>
                    </w:rPr>
                    <w:t>21.8</w:t>
                  </w:r>
                </w:p>
              </w:tc>
              <w:tc>
                <w:tcPr>
                  <w:tcW w:w="174" w:type="pct"/>
                  <w:shd w:val="clear" w:color="auto" w:fill="FFFFFF"/>
                  <w:tcMar>
                    <w:top w:w="0" w:type="dxa"/>
                    <w:left w:w="0" w:type="dxa"/>
                    <w:bottom w:w="0" w:type="dxa"/>
                    <w:right w:w="0" w:type="dxa"/>
                  </w:tcMar>
                  <w:vAlign w:val="center"/>
                </w:tcPr>
                <w:p w14:paraId="7EF84E1F">
                  <w:pPr>
                    <w:jc w:val="center"/>
                    <w:rPr>
                      <w:rFonts w:eastAsiaTheme="minorEastAsia"/>
                      <w:sz w:val="21"/>
                      <w:szCs w:val="21"/>
                    </w:rPr>
                  </w:pPr>
                  <w:r>
                    <w:rPr>
                      <w:rFonts w:eastAsiaTheme="minorEastAsia"/>
                      <w:sz w:val="21"/>
                      <w:szCs w:val="21"/>
                    </w:rPr>
                    <w:t>5.6</w:t>
                  </w:r>
                </w:p>
              </w:tc>
              <w:tc>
                <w:tcPr>
                  <w:tcW w:w="177" w:type="pct"/>
                  <w:shd w:val="clear" w:color="auto" w:fill="FFFFFF"/>
                  <w:tcMar>
                    <w:top w:w="0" w:type="dxa"/>
                    <w:left w:w="0" w:type="dxa"/>
                    <w:bottom w:w="0" w:type="dxa"/>
                    <w:right w:w="0" w:type="dxa"/>
                  </w:tcMar>
                  <w:vAlign w:val="center"/>
                </w:tcPr>
                <w:p w14:paraId="19FAFFE2">
                  <w:pPr>
                    <w:jc w:val="center"/>
                    <w:rPr>
                      <w:rFonts w:eastAsiaTheme="minorEastAsia"/>
                      <w:sz w:val="21"/>
                      <w:szCs w:val="21"/>
                    </w:rPr>
                  </w:pPr>
                  <w:r>
                    <w:rPr>
                      <w:rFonts w:eastAsiaTheme="minorEastAsia"/>
                      <w:sz w:val="21"/>
                      <w:szCs w:val="21"/>
                    </w:rPr>
                    <w:t>21.1</w:t>
                  </w:r>
                </w:p>
              </w:tc>
              <w:tc>
                <w:tcPr>
                  <w:tcW w:w="174" w:type="pct"/>
                  <w:shd w:val="clear" w:color="auto" w:fill="FFFFFF"/>
                  <w:tcMar>
                    <w:top w:w="0" w:type="dxa"/>
                    <w:left w:w="0" w:type="dxa"/>
                    <w:bottom w:w="0" w:type="dxa"/>
                    <w:right w:w="0" w:type="dxa"/>
                  </w:tcMar>
                  <w:vAlign w:val="center"/>
                </w:tcPr>
                <w:p w14:paraId="774E0C8B">
                  <w:pPr>
                    <w:jc w:val="center"/>
                    <w:rPr>
                      <w:rFonts w:eastAsiaTheme="minorEastAsia"/>
                      <w:sz w:val="21"/>
                      <w:szCs w:val="21"/>
                    </w:rPr>
                  </w:pPr>
                  <w:r>
                    <w:rPr>
                      <w:rFonts w:eastAsiaTheme="minorEastAsia"/>
                      <w:sz w:val="21"/>
                      <w:szCs w:val="21"/>
                    </w:rPr>
                    <w:t>75.5</w:t>
                  </w:r>
                </w:p>
              </w:tc>
              <w:tc>
                <w:tcPr>
                  <w:tcW w:w="174" w:type="pct"/>
                  <w:shd w:val="clear" w:color="auto" w:fill="FFFFFF"/>
                  <w:tcMar>
                    <w:top w:w="0" w:type="dxa"/>
                    <w:left w:w="0" w:type="dxa"/>
                    <w:bottom w:w="0" w:type="dxa"/>
                    <w:right w:w="0" w:type="dxa"/>
                  </w:tcMar>
                  <w:vAlign w:val="center"/>
                </w:tcPr>
                <w:p w14:paraId="1A617680">
                  <w:pPr>
                    <w:jc w:val="center"/>
                    <w:rPr>
                      <w:rFonts w:eastAsiaTheme="minorEastAsia"/>
                      <w:sz w:val="21"/>
                      <w:szCs w:val="21"/>
                    </w:rPr>
                  </w:pPr>
                  <w:r>
                    <w:rPr>
                      <w:rFonts w:eastAsiaTheme="minorEastAsia"/>
                      <w:sz w:val="21"/>
                      <w:szCs w:val="21"/>
                    </w:rPr>
                    <w:t>75.5</w:t>
                  </w:r>
                </w:p>
              </w:tc>
              <w:tc>
                <w:tcPr>
                  <w:tcW w:w="174" w:type="pct"/>
                  <w:shd w:val="clear" w:color="auto" w:fill="FFFFFF"/>
                  <w:tcMar>
                    <w:top w:w="0" w:type="dxa"/>
                    <w:left w:w="0" w:type="dxa"/>
                    <w:bottom w:w="0" w:type="dxa"/>
                    <w:right w:w="0" w:type="dxa"/>
                  </w:tcMar>
                  <w:vAlign w:val="center"/>
                </w:tcPr>
                <w:p w14:paraId="63FA21D5">
                  <w:pPr>
                    <w:jc w:val="center"/>
                    <w:rPr>
                      <w:rFonts w:eastAsiaTheme="minorEastAsia"/>
                      <w:sz w:val="21"/>
                      <w:szCs w:val="21"/>
                    </w:rPr>
                  </w:pPr>
                  <w:r>
                    <w:rPr>
                      <w:rFonts w:eastAsiaTheme="minorEastAsia"/>
                      <w:sz w:val="21"/>
                      <w:szCs w:val="21"/>
                    </w:rPr>
                    <w:t>75.8</w:t>
                  </w:r>
                </w:p>
              </w:tc>
              <w:tc>
                <w:tcPr>
                  <w:tcW w:w="177" w:type="pct"/>
                  <w:shd w:val="clear" w:color="auto" w:fill="FFFFFF"/>
                  <w:tcMar>
                    <w:top w:w="0" w:type="dxa"/>
                    <w:left w:w="0" w:type="dxa"/>
                    <w:bottom w:w="0" w:type="dxa"/>
                    <w:right w:w="0" w:type="dxa"/>
                  </w:tcMar>
                  <w:vAlign w:val="center"/>
                </w:tcPr>
                <w:p w14:paraId="55C3B807">
                  <w:pPr>
                    <w:jc w:val="center"/>
                    <w:rPr>
                      <w:rFonts w:eastAsiaTheme="minorEastAsia"/>
                      <w:sz w:val="21"/>
                      <w:szCs w:val="21"/>
                    </w:rPr>
                  </w:pPr>
                  <w:r>
                    <w:rPr>
                      <w:rFonts w:eastAsiaTheme="minorEastAsia"/>
                      <w:sz w:val="21"/>
                      <w:szCs w:val="21"/>
                    </w:rPr>
                    <w:t>75.5</w:t>
                  </w:r>
                </w:p>
              </w:tc>
              <w:tc>
                <w:tcPr>
                  <w:tcW w:w="214" w:type="pct"/>
                  <w:vMerge w:val="continue"/>
                  <w:shd w:val="clear" w:color="auto" w:fill="FFFFFF"/>
                  <w:tcMar>
                    <w:top w:w="0" w:type="dxa"/>
                    <w:left w:w="0" w:type="dxa"/>
                    <w:bottom w:w="0" w:type="dxa"/>
                    <w:right w:w="0" w:type="dxa"/>
                  </w:tcMar>
                  <w:vAlign w:val="center"/>
                </w:tcPr>
                <w:p w14:paraId="497B6B6A">
                  <w:pPr>
                    <w:jc w:val="center"/>
                    <w:rPr>
                      <w:rFonts w:eastAsiaTheme="minorEastAsia"/>
                      <w:sz w:val="21"/>
                      <w:szCs w:val="21"/>
                    </w:rPr>
                  </w:pPr>
                </w:p>
              </w:tc>
              <w:tc>
                <w:tcPr>
                  <w:tcW w:w="174" w:type="pct"/>
                  <w:shd w:val="clear" w:color="auto" w:fill="FFFFFF"/>
                  <w:tcMar>
                    <w:top w:w="0" w:type="dxa"/>
                    <w:left w:w="0" w:type="dxa"/>
                    <w:bottom w:w="0" w:type="dxa"/>
                    <w:right w:w="0" w:type="dxa"/>
                  </w:tcMar>
                  <w:vAlign w:val="center"/>
                </w:tcPr>
                <w:p w14:paraId="768EFEA8">
                  <w:pPr>
                    <w:jc w:val="center"/>
                    <w:rPr>
                      <w:rFonts w:eastAsiaTheme="minorEastAsia"/>
                      <w:sz w:val="21"/>
                      <w:szCs w:val="21"/>
                    </w:rPr>
                  </w:pPr>
                  <w:r>
                    <w:rPr>
                      <w:rFonts w:eastAsiaTheme="minorEastAsia"/>
                      <w:sz w:val="21"/>
                      <w:szCs w:val="21"/>
                    </w:rPr>
                    <w:t>16.0</w:t>
                  </w:r>
                </w:p>
              </w:tc>
              <w:tc>
                <w:tcPr>
                  <w:tcW w:w="174" w:type="pct"/>
                  <w:shd w:val="clear" w:color="auto" w:fill="FFFFFF"/>
                  <w:tcMar>
                    <w:top w:w="0" w:type="dxa"/>
                    <w:left w:w="0" w:type="dxa"/>
                    <w:bottom w:w="0" w:type="dxa"/>
                    <w:right w:w="0" w:type="dxa"/>
                  </w:tcMar>
                  <w:vAlign w:val="center"/>
                </w:tcPr>
                <w:p w14:paraId="2E7ADE5B">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4" w:type="pct"/>
                  <w:shd w:val="clear" w:color="auto" w:fill="FFFFFF"/>
                  <w:tcMar>
                    <w:top w:w="0" w:type="dxa"/>
                    <w:left w:w="0" w:type="dxa"/>
                    <w:bottom w:w="0" w:type="dxa"/>
                    <w:right w:w="0" w:type="dxa"/>
                  </w:tcMar>
                  <w:vAlign w:val="center"/>
                </w:tcPr>
                <w:p w14:paraId="16780F8F">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7" w:type="pct"/>
                  <w:shd w:val="clear" w:color="auto" w:fill="FFFFFF"/>
                  <w:tcMar>
                    <w:top w:w="0" w:type="dxa"/>
                    <w:left w:w="0" w:type="dxa"/>
                    <w:bottom w:w="0" w:type="dxa"/>
                    <w:right w:w="0" w:type="dxa"/>
                  </w:tcMar>
                  <w:vAlign w:val="center"/>
                </w:tcPr>
                <w:p w14:paraId="6FDDF21F">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1" w:type="pct"/>
                  <w:shd w:val="clear" w:color="auto" w:fill="FFFFFF"/>
                  <w:tcMar>
                    <w:top w:w="0" w:type="dxa"/>
                    <w:left w:w="0" w:type="dxa"/>
                    <w:bottom w:w="0" w:type="dxa"/>
                    <w:right w:w="0" w:type="dxa"/>
                  </w:tcMar>
                  <w:vAlign w:val="center"/>
                </w:tcPr>
                <w:p w14:paraId="6F209E2F">
                  <w:pPr>
                    <w:jc w:val="center"/>
                    <w:rPr>
                      <w:rFonts w:eastAsiaTheme="minorEastAsia"/>
                      <w:sz w:val="21"/>
                      <w:szCs w:val="21"/>
                    </w:rPr>
                  </w:pPr>
                  <w:r>
                    <w:rPr>
                      <w:rFonts w:eastAsiaTheme="minorEastAsia"/>
                      <w:sz w:val="21"/>
                      <w:szCs w:val="21"/>
                    </w:rPr>
                    <w:t>59.5</w:t>
                  </w:r>
                </w:p>
              </w:tc>
              <w:tc>
                <w:tcPr>
                  <w:tcW w:w="171" w:type="pct"/>
                  <w:shd w:val="clear" w:color="auto" w:fill="FFFFFF"/>
                  <w:tcMar>
                    <w:top w:w="0" w:type="dxa"/>
                    <w:left w:w="0" w:type="dxa"/>
                    <w:bottom w:w="0" w:type="dxa"/>
                    <w:right w:w="0" w:type="dxa"/>
                  </w:tcMar>
                  <w:vAlign w:val="center"/>
                </w:tcPr>
                <w:p w14:paraId="6971B663">
                  <w:pPr>
                    <w:jc w:val="center"/>
                    <w:rPr>
                      <w:rFonts w:eastAsiaTheme="minorEastAsia"/>
                      <w:sz w:val="21"/>
                      <w:szCs w:val="21"/>
                    </w:rPr>
                  </w:pPr>
                  <w:r>
                    <w:rPr>
                      <w:rFonts w:eastAsiaTheme="minorEastAsia"/>
                      <w:sz w:val="21"/>
                      <w:szCs w:val="21"/>
                    </w:rPr>
                    <w:t>34.5</w:t>
                  </w:r>
                </w:p>
              </w:tc>
              <w:tc>
                <w:tcPr>
                  <w:tcW w:w="171" w:type="pct"/>
                  <w:shd w:val="clear" w:color="auto" w:fill="FFFFFF"/>
                  <w:tcMar>
                    <w:top w:w="0" w:type="dxa"/>
                    <w:left w:w="0" w:type="dxa"/>
                    <w:bottom w:w="0" w:type="dxa"/>
                    <w:right w:w="0" w:type="dxa"/>
                  </w:tcMar>
                  <w:vAlign w:val="center"/>
                </w:tcPr>
                <w:p w14:paraId="0C695682">
                  <w:pPr>
                    <w:jc w:val="center"/>
                    <w:rPr>
                      <w:rFonts w:eastAsiaTheme="minorEastAsia"/>
                      <w:sz w:val="21"/>
                      <w:szCs w:val="21"/>
                    </w:rPr>
                  </w:pPr>
                  <w:r>
                    <w:rPr>
                      <w:rFonts w:eastAsiaTheme="minorEastAsia"/>
                      <w:sz w:val="21"/>
                      <w:szCs w:val="21"/>
                    </w:rPr>
                    <w:t>34.8</w:t>
                  </w:r>
                </w:p>
              </w:tc>
              <w:tc>
                <w:tcPr>
                  <w:tcW w:w="140" w:type="pct"/>
                  <w:shd w:val="clear" w:color="auto" w:fill="FFFFFF"/>
                  <w:tcMar>
                    <w:top w:w="0" w:type="dxa"/>
                    <w:left w:w="0" w:type="dxa"/>
                    <w:bottom w:w="0" w:type="dxa"/>
                    <w:right w:w="0" w:type="dxa"/>
                  </w:tcMar>
                  <w:vAlign w:val="center"/>
                </w:tcPr>
                <w:p w14:paraId="635FED2A">
                  <w:pPr>
                    <w:jc w:val="center"/>
                    <w:rPr>
                      <w:rFonts w:eastAsiaTheme="minorEastAsia"/>
                      <w:sz w:val="21"/>
                      <w:szCs w:val="21"/>
                    </w:rPr>
                  </w:pPr>
                  <w:r>
                    <w:rPr>
                      <w:rFonts w:eastAsiaTheme="minorEastAsia"/>
                      <w:sz w:val="21"/>
                      <w:szCs w:val="21"/>
                    </w:rPr>
                    <w:t>34.5</w:t>
                  </w:r>
                </w:p>
              </w:tc>
              <w:tc>
                <w:tcPr>
                  <w:tcW w:w="135" w:type="pct"/>
                  <w:shd w:val="clear" w:color="auto" w:fill="FFFFFF"/>
                  <w:tcMar>
                    <w:top w:w="0" w:type="dxa"/>
                    <w:left w:w="0" w:type="dxa"/>
                    <w:bottom w:w="0" w:type="dxa"/>
                    <w:right w:w="0" w:type="dxa"/>
                  </w:tcMar>
                  <w:vAlign w:val="center"/>
                </w:tcPr>
                <w:p w14:paraId="75F8B7E9">
                  <w:pPr>
                    <w:jc w:val="center"/>
                    <w:rPr>
                      <w:rFonts w:eastAsiaTheme="minorEastAsia"/>
                      <w:sz w:val="21"/>
                      <w:szCs w:val="21"/>
                    </w:rPr>
                  </w:pPr>
                  <w:r>
                    <w:rPr>
                      <w:rFonts w:eastAsiaTheme="minorEastAsia"/>
                      <w:sz w:val="21"/>
                      <w:szCs w:val="21"/>
                    </w:rPr>
                    <w:t>1</w:t>
                  </w:r>
                </w:p>
              </w:tc>
            </w:tr>
            <w:tr w14:paraId="6826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12" w:type="pct"/>
                  <w:shd w:val="clear" w:color="auto" w:fill="FFFFFF"/>
                  <w:tcMar>
                    <w:top w:w="0" w:type="dxa"/>
                    <w:left w:w="0" w:type="dxa"/>
                    <w:bottom w:w="0" w:type="dxa"/>
                    <w:right w:w="0" w:type="dxa"/>
                  </w:tcMar>
                  <w:vAlign w:val="center"/>
                </w:tcPr>
                <w:p w14:paraId="67E10116">
                  <w:pPr>
                    <w:jc w:val="center"/>
                    <w:rPr>
                      <w:rFonts w:eastAsiaTheme="minorEastAsia"/>
                      <w:sz w:val="21"/>
                      <w:szCs w:val="21"/>
                    </w:rPr>
                  </w:pPr>
                  <w:r>
                    <w:rPr>
                      <w:rFonts w:eastAsiaTheme="minorEastAsia"/>
                      <w:sz w:val="21"/>
                      <w:szCs w:val="21"/>
                    </w:rPr>
                    <w:t>8</w:t>
                  </w:r>
                </w:p>
              </w:tc>
              <w:tc>
                <w:tcPr>
                  <w:tcW w:w="212" w:type="pct"/>
                  <w:shd w:val="clear" w:color="auto" w:fill="FFFFFF"/>
                  <w:tcMar>
                    <w:top w:w="0" w:type="dxa"/>
                    <w:left w:w="0" w:type="dxa"/>
                    <w:bottom w:w="0" w:type="dxa"/>
                    <w:right w:w="0" w:type="dxa"/>
                  </w:tcMar>
                  <w:vAlign w:val="center"/>
                </w:tcPr>
                <w:p w14:paraId="352732DC">
                  <w:pPr>
                    <w:jc w:val="center"/>
                    <w:rPr>
                      <w:rFonts w:eastAsiaTheme="minorEastAsia"/>
                      <w:sz w:val="21"/>
                      <w:szCs w:val="21"/>
                    </w:rPr>
                  </w:pPr>
                  <w:r>
                    <w:rPr>
                      <w:rFonts w:hint="eastAsia" w:eastAsiaTheme="minorEastAsia"/>
                      <w:sz w:val="21"/>
                      <w:szCs w:val="21"/>
                      <w:lang w:val="en-US" w:eastAsia="zh-CN"/>
                    </w:rPr>
                    <w:t>2#厂房</w:t>
                  </w:r>
                </w:p>
              </w:tc>
              <w:tc>
                <w:tcPr>
                  <w:tcW w:w="212" w:type="pct"/>
                  <w:shd w:val="clear" w:color="auto" w:fill="FFFFFF"/>
                  <w:tcMar>
                    <w:top w:w="0" w:type="dxa"/>
                    <w:left w:w="0" w:type="dxa"/>
                    <w:bottom w:w="0" w:type="dxa"/>
                    <w:right w:w="0" w:type="dxa"/>
                  </w:tcMar>
                  <w:vAlign w:val="center"/>
                </w:tcPr>
                <w:p w14:paraId="6A2297AF">
                  <w:pPr>
                    <w:jc w:val="center"/>
                    <w:rPr>
                      <w:rFonts w:eastAsiaTheme="minorEastAsia"/>
                      <w:sz w:val="21"/>
                      <w:szCs w:val="21"/>
                    </w:rPr>
                  </w:pPr>
                  <w:r>
                    <w:rPr>
                      <w:rFonts w:eastAsiaTheme="minorEastAsia"/>
                      <w:sz w:val="21"/>
                      <w:szCs w:val="21"/>
                    </w:rPr>
                    <w:t>搅拌机</w:t>
                  </w:r>
                </w:p>
              </w:tc>
              <w:tc>
                <w:tcPr>
                  <w:tcW w:w="212" w:type="pct"/>
                  <w:shd w:val="clear" w:color="auto" w:fill="FFFFFF"/>
                  <w:tcMar>
                    <w:top w:w="0" w:type="dxa"/>
                    <w:left w:w="0" w:type="dxa"/>
                    <w:bottom w:w="0" w:type="dxa"/>
                    <w:right w:w="0" w:type="dxa"/>
                  </w:tcMar>
                  <w:vAlign w:val="center"/>
                </w:tcPr>
                <w:p w14:paraId="21CFF9F9">
                  <w:pPr>
                    <w:jc w:val="center"/>
                    <w:rPr>
                      <w:rFonts w:eastAsiaTheme="minorEastAsia"/>
                      <w:sz w:val="21"/>
                      <w:szCs w:val="21"/>
                    </w:rPr>
                  </w:pPr>
                  <w:r>
                    <w:rPr>
                      <w:rFonts w:eastAsiaTheme="minorEastAsia"/>
                      <w:sz w:val="21"/>
                      <w:szCs w:val="21"/>
                    </w:rPr>
                    <w:t>/</w:t>
                  </w:r>
                </w:p>
              </w:tc>
              <w:tc>
                <w:tcPr>
                  <w:tcW w:w="286" w:type="pct"/>
                  <w:shd w:val="clear" w:color="auto" w:fill="FFFFFF"/>
                  <w:tcMar>
                    <w:top w:w="0" w:type="dxa"/>
                    <w:left w:w="0" w:type="dxa"/>
                    <w:bottom w:w="0" w:type="dxa"/>
                    <w:right w:w="0" w:type="dxa"/>
                  </w:tcMar>
                  <w:vAlign w:val="center"/>
                </w:tcPr>
                <w:p w14:paraId="45151829">
                  <w:pPr>
                    <w:jc w:val="center"/>
                    <w:rPr>
                      <w:rFonts w:eastAsiaTheme="minorEastAsia"/>
                      <w:sz w:val="21"/>
                      <w:szCs w:val="21"/>
                    </w:rPr>
                  </w:pPr>
                  <w:r>
                    <w:rPr>
                      <w:rFonts w:eastAsiaTheme="minorEastAsia"/>
                      <w:sz w:val="21"/>
                      <w:szCs w:val="21"/>
                    </w:rPr>
                    <w:t>80</w:t>
                  </w:r>
                </w:p>
              </w:tc>
              <w:tc>
                <w:tcPr>
                  <w:tcW w:w="212" w:type="pct"/>
                  <w:vMerge w:val="continue"/>
                  <w:shd w:val="clear" w:color="auto" w:fill="FFFFFF"/>
                  <w:tcMar>
                    <w:top w:w="0" w:type="dxa"/>
                    <w:left w:w="0" w:type="dxa"/>
                    <w:bottom w:w="0" w:type="dxa"/>
                    <w:right w:w="0" w:type="dxa"/>
                  </w:tcMar>
                  <w:vAlign w:val="center"/>
                </w:tcPr>
                <w:p w14:paraId="4D27435E">
                  <w:pPr>
                    <w:jc w:val="center"/>
                    <w:rPr>
                      <w:rFonts w:eastAsiaTheme="minorEastAsia"/>
                      <w:sz w:val="21"/>
                      <w:szCs w:val="21"/>
                    </w:rPr>
                  </w:pPr>
                </w:p>
              </w:tc>
              <w:tc>
                <w:tcPr>
                  <w:tcW w:w="204" w:type="pct"/>
                  <w:shd w:val="clear" w:color="auto" w:fill="FFFFFF"/>
                  <w:tcMar>
                    <w:top w:w="0" w:type="dxa"/>
                    <w:left w:w="0" w:type="dxa"/>
                    <w:bottom w:w="0" w:type="dxa"/>
                    <w:right w:w="0" w:type="dxa"/>
                  </w:tcMar>
                  <w:vAlign w:val="center"/>
                </w:tcPr>
                <w:p w14:paraId="6910ABE0">
                  <w:pPr>
                    <w:jc w:val="center"/>
                    <w:rPr>
                      <w:rFonts w:eastAsiaTheme="minorEastAsia"/>
                      <w:sz w:val="21"/>
                      <w:szCs w:val="21"/>
                    </w:rPr>
                  </w:pPr>
                  <w:r>
                    <w:rPr>
                      <w:rFonts w:eastAsiaTheme="minorEastAsia"/>
                      <w:sz w:val="21"/>
                      <w:szCs w:val="21"/>
                    </w:rPr>
                    <w:t>-25.1</w:t>
                  </w:r>
                </w:p>
              </w:tc>
              <w:tc>
                <w:tcPr>
                  <w:tcW w:w="205" w:type="pct"/>
                  <w:shd w:val="clear" w:color="auto" w:fill="FFFFFF"/>
                  <w:tcMar>
                    <w:top w:w="0" w:type="dxa"/>
                    <w:left w:w="0" w:type="dxa"/>
                    <w:bottom w:w="0" w:type="dxa"/>
                    <w:right w:w="0" w:type="dxa"/>
                  </w:tcMar>
                  <w:vAlign w:val="center"/>
                </w:tcPr>
                <w:p w14:paraId="2B0CE769">
                  <w:pPr>
                    <w:jc w:val="center"/>
                    <w:rPr>
                      <w:rFonts w:eastAsiaTheme="minorEastAsia"/>
                      <w:sz w:val="21"/>
                      <w:szCs w:val="21"/>
                    </w:rPr>
                  </w:pPr>
                  <w:r>
                    <w:rPr>
                      <w:rFonts w:eastAsiaTheme="minorEastAsia"/>
                      <w:sz w:val="21"/>
                      <w:szCs w:val="21"/>
                    </w:rPr>
                    <w:t>17.4</w:t>
                  </w:r>
                </w:p>
              </w:tc>
              <w:tc>
                <w:tcPr>
                  <w:tcW w:w="134" w:type="pct"/>
                  <w:shd w:val="clear" w:color="auto" w:fill="FFFFFF"/>
                  <w:tcMar>
                    <w:top w:w="0" w:type="dxa"/>
                    <w:left w:w="0" w:type="dxa"/>
                    <w:bottom w:w="0" w:type="dxa"/>
                    <w:right w:w="0" w:type="dxa"/>
                  </w:tcMar>
                  <w:vAlign w:val="center"/>
                </w:tcPr>
                <w:p w14:paraId="027247AC">
                  <w:pPr>
                    <w:jc w:val="center"/>
                    <w:rPr>
                      <w:rFonts w:eastAsiaTheme="minorEastAsia"/>
                      <w:sz w:val="21"/>
                      <w:szCs w:val="21"/>
                    </w:rPr>
                  </w:pPr>
                  <w:r>
                    <w:rPr>
                      <w:rFonts w:eastAsiaTheme="minorEastAsia"/>
                      <w:sz w:val="21"/>
                      <w:szCs w:val="21"/>
                    </w:rPr>
                    <w:t>1.2</w:t>
                  </w:r>
                </w:p>
              </w:tc>
              <w:tc>
                <w:tcPr>
                  <w:tcW w:w="174" w:type="pct"/>
                  <w:shd w:val="clear" w:color="auto" w:fill="FFFFFF"/>
                  <w:tcMar>
                    <w:top w:w="0" w:type="dxa"/>
                    <w:left w:w="0" w:type="dxa"/>
                    <w:bottom w:w="0" w:type="dxa"/>
                    <w:right w:w="0" w:type="dxa"/>
                  </w:tcMar>
                  <w:vAlign w:val="center"/>
                </w:tcPr>
                <w:p w14:paraId="5B342D98">
                  <w:pPr>
                    <w:jc w:val="center"/>
                    <w:rPr>
                      <w:rFonts w:eastAsiaTheme="minorEastAsia"/>
                      <w:sz w:val="21"/>
                      <w:szCs w:val="21"/>
                    </w:rPr>
                  </w:pPr>
                  <w:r>
                    <w:rPr>
                      <w:rFonts w:eastAsiaTheme="minorEastAsia"/>
                      <w:sz w:val="21"/>
                      <w:szCs w:val="21"/>
                    </w:rPr>
                    <w:t>56.5</w:t>
                  </w:r>
                </w:p>
              </w:tc>
              <w:tc>
                <w:tcPr>
                  <w:tcW w:w="174" w:type="pct"/>
                  <w:shd w:val="clear" w:color="auto" w:fill="FFFFFF"/>
                  <w:tcMar>
                    <w:top w:w="0" w:type="dxa"/>
                    <w:left w:w="0" w:type="dxa"/>
                    <w:bottom w:w="0" w:type="dxa"/>
                    <w:right w:w="0" w:type="dxa"/>
                  </w:tcMar>
                  <w:vAlign w:val="center"/>
                </w:tcPr>
                <w:p w14:paraId="50207EE9">
                  <w:pPr>
                    <w:jc w:val="center"/>
                    <w:rPr>
                      <w:rFonts w:eastAsiaTheme="minorEastAsia"/>
                      <w:sz w:val="21"/>
                      <w:szCs w:val="21"/>
                    </w:rPr>
                  </w:pPr>
                  <w:r>
                    <w:rPr>
                      <w:rFonts w:eastAsiaTheme="minorEastAsia"/>
                      <w:sz w:val="21"/>
                      <w:szCs w:val="21"/>
                    </w:rPr>
                    <w:t>36.2</w:t>
                  </w:r>
                </w:p>
              </w:tc>
              <w:tc>
                <w:tcPr>
                  <w:tcW w:w="174" w:type="pct"/>
                  <w:shd w:val="clear" w:color="auto" w:fill="FFFFFF"/>
                  <w:tcMar>
                    <w:top w:w="0" w:type="dxa"/>
                    <w:left w:w="0" w:type="dxa"/>
                    <w:bottom w:w="0" w:type="dxa"/>
                    <w:right w:w="0" w:type="dxa"/>
                  </w:tcMar>
                  <w:vAlign w:val="center"/>
                </w:tcPr>
                <w:p w14:paraId="27FBEB4B">
                  <w:pPr>
                    <w:jc w:val="center"/>
                    <w:rPr>
                      <w:rFonts w:eastAsiaTheme="minorEastAsia"/>
                      <w:sz w:val="21"/>
                      <w:szCs w:val="21"/>
                    </w:rPr>
                  </w:pPr>
                  <w:r>
                    <w:rPr>
                      <w:rFonts w:eastAsiaTheme="minorEastAsia"/>
                      <w:sz w:val="21"/>
                      <w:szCs w:val="21"/>
                    </w:rPr>
                    <w:t>8.1</w:t>
                  </w:r>
                </w:p>
              </w:tc>
              <w:tc>
                <w:tcPr>
                  <w:tcW w:w="177" w:type="pct"/>
                  <w:shd w:val="clear" w:color="auto" w:fill="FFFFFF"/>
                  <w:tcMar>
                    <w:top w:w="0" w:type="dxa"/>
                    <w:left w:w="0" w:type="dxa"/>
                    <w:bottom w:w="0" w:type="dxa"/>
                    <w:right w:w="0" w:type="dxa"/>
                  </w:tcMar>
                  <w:vAlign w:val="center"/>
                </w:tcPr>
                <w:p w14:paraId="1FE476A3">
                  <w:pPr>
                    <w:jc w:val="center"/>
                    <w:rPr>
                      <w:rFonts w:eastAsiaTheme="minorEastAsia"/>
                      <w:sz w:val="21"/>
                      <w:szCs w:val="21"/>
                    </w:rPr>
                  </w:pPr>
                  <w:r>
                    <w:rPr>
                      <w:rFonts w:eastAsiaTheme="minorEastAsia"/>
                      <w:sz w:val="21"/>
                      <w:szCs w:val="21"/>
                    </w:rPr>
                    <w:t>8.7</w:t>
                  </w:r>
                </w:p>
              </w:tc>
              <w:tc>
                <w:tcPr>
                  <w:tcW w:w="174" w:type="pct"/>
                  <w:shd w:val="clear" w:color="auto" w:fill="FFFFFF"/>
                  <w:tcMar>
                    <w:top w:w="0" w:type="dxa"/>
                    <w:left w:w="0" w:type="dxa"/>
                    <w:bottom w:w="0" w:type="dxa"/>
                    <w:right w:w="0" w:type="dxa"/>
                  </w:tcMar>
                  <w:vAlign w:val="center"/>
                </w:tcPr>
                <w:p w14:paraId="7C6623AB">
                  <w:pPr>
                    <w:jc w:val="center"/>
                    <w:rPr>
                      <w:rFonts w:eastAsiaTheme="minorEastAsia"/>
                      <w:sz w:val="21"/>
                      <w:szCs w:val="21"/>
                    </w:rPr>
                  </w:pPr>
                  <w:r>
                    <w:rPr>
                      <w:rFonts w:eastAsiaTheme="minorEastAsia"/>
                      <w:sz w:val="21"/>
                      <w:szCs w:val="21"/>
                    </w:rPr>
                    <w:t>65.5</w:t>
                  </w:r>
                </w:p>
              </w:tc>
              <w:tc>
                <w:tcPr>
                  <w:tcW w:w="174" w:type="pct"/>
                  <w:shd w:val="clear" w:color="auto" w:fill="FFFFFF"/>
                  <w:tcMar>
                    <w:top w:w="0" w:type="dxa"/>
                    <w:left w:w="0" w:type="dxa"/>
                    <w:bottom w:w="0" w:type="dxa"/>
                    <w:right w:w="0" w:type="dxa"/>
                  </w:tcMar>
                  <w:vAlign w:val="center"/>
                </w:tcPr>
                <w:p w14:paraId="6E426BC3">
                  <w:pPr>
                    <w:jc w:val="center"/>
                    <w:rPr>
                      <w:rFonts w:eastAsiaTheme="minorEastAsia"/>
                      <w:sz w:val="21"/>
                      <w:szCs w:val="21"/>
                    </w:rPr>
                  </w:pPr>
                  <w:r>
                    <w:rPr>
                      <w:rFonts w:eastAsiaTheme="minorEastAsia"/>
                      <w:sz w:val="21"/>
                      <w:szCs w:val="21"/>
                    </w:rPr>
                    <w:t>65.5</w:t>
                  </w:r>
                </w:p>
              </w:tc>
              <w:tc>
                <w:tcPr>
                  <w:tcW w:w="174" w:type="pct"/>
                  <w:shd w:val="clear" w:color="auto" w:fill="FFFFFF"/>
                  <w:tcMar>
                    <w:top w:w="0" w:type="dxa"/>
                    <w:left w:w="0" w:type="dxa"/>
                    <w:bottom w:w="0" w:type="dxa"/>
                    <w:right w:w="0" w:type="dxa"/>
                  </w:tcMar>
                  <w:vAlign w:val="center"/>
                </w:tcPr>
                <w:p w14:paraId="6005D5C1">
                  <w:pPr>
                    <w:jc w:val="center"/>
                    <w:rPr>
                      <w:rFonts w:eastAsiaTheme="minorEastAsia"/>
                      <w:sz w:val="21"/>
                      <w:szCs w:val="21"/>
                    </w:rPr>
                  </w:pPr>
                  <w:r>
                    <w:rPr>
                      <w:rFonts w:eastAsiaTheme="minorEastAsia"/>
                      <w:sz w:val="21"/>
                      <w:szCs w:val="21"/>
                    </w:rPr>
                    <w:t>65.7</w:t>
                  </w:r>
                </w:p>
              </w:tc>
              <w:tc>
                <w:tcPr>
                  <w:tcW w:w="177" w:type="pct"/>
                  <w:shd w:val="clear" w:color="auto" w:fill="FFFFFF"/>
                  <w:tcMar>
                    <w:top w:w="0" w:type="dxa"/>
                    <w:left w:w="0" w:type="dxa"/>
                    <w:bottom w:w="0" w:type="dxa"/>
                    <w:right w:w="0" w:type="dxa"/>
                  </w:tcMar>
                  <w:vAlign w:val="center"/>
                </w:tcPr>
                <w:p w14:paraId="2D8CC605">
                  <w:pPr>
                    <w:jc w:val="center"/>
                    <w:rPr>
                      <w:rFonts w:eastAsiaTheme="minorEastAsia"/>
                      <w:sz w:val="21"/>
                      <w:szCs w:val="21"/>
                    </w:rPr>
                  </w:pPr>
                  <w:r>
                    <w:rPr>
                      <w:rFonts w:eastAsiaTheme="minorEastAsia"/>
                      <w:sz w:val="21"/>
                      <w:szCs w:val="21"/>
                    </w:rPr>
                    <w:t>65.7</w:t>
                  </w:r>
                </w:p>
              </w:tc>
              <w:tc>
                <w:tcPr>
                  <w:tcW w:w="214" w:type="pct"/>
                  <w:vMerge w:val="continue"/>
                  <w:shd w:val="clear" w:color="auto" w:fill="FFFFFF"/>
                  <w:tcMar>
                    <w:top w:w="0" w:type="dxa"/>
                    <w:left w:w="0" w:type="dxa"/>
                    <w:bottom w:w="0" w:type="dxa"/>
                    <w:right w:w="0" w:type="dxa"/>
                  </w:tcMar>
                  <w:vAlign w:val="center"/>
                </w:tcPr>
                <w:p w14:paraId="22893CA4">
                  <w:pPr>
                    <w:jc w:val="center"/>
                    <w:rPr>
                      <w:rFonts w:eastAsiaTheme="minorEastAsia"/>
                      <w:sz w:val="21"/>
                      <w:szCs w:val="21"/>
                    </w:rPr>
                  </w:pPr>
                </w:p>
              </w:tc>
              <w:tc>
                <w:tcPr>
                  <w:tcW w:w="174" w:type="pct"/>
                  <w:shd w:val="clear" w:color="auto" w:fill="FFFFFF"/>
                  <w:tcMar>
                    <w:top w:w="0" w:type="dxa"/>
                    <w:left w:w="0" w:type="dxa"/>
                    <w:bottom w:w="0" w:type="dxa"/>
                    <w:right w:w="0" w:type="dxa"/>
                  </w:tcMar>
                  <w:vAlign w:val="center"/>
                </w:tcPr>
                <w:p w14:paraId="125D20E5">
                  <w:pPr>
                    <w:jc w:val="center"/>
                    <w:rPr>
                      <w:rFonts w:eastAsiaTheme="minorEastAsia"/>
                      <w:sz w:val="21"/>
                      <w:szCs w:val="21"/>
                    </w:rPr>
                  </w:pPr>
                  <w:r>
                    <w:rPr>
                      <w:rFonts w:eastAsiaTheme="minorEastAsia"/>
                      <w:sz w:val="21"/>
                      <w:szCs w:val="21"/>
                    </w:rPr>
                    <w:t>16.0</w:t>
                  </w:r>
                </w:p>
              </w:tc>
              <w:tc>
                <w:tcPr>
                  <w:tcW w:w="174" w:type="pct"/>
                  <w:shd w:val="clear" w:color="auto" w:fill="FFFFFF"/>
                  <w:tcMar>
                    <w:top w:w="0" w:type="dxa"/>
                    <w:left w:w="0" w:type="dxa"/>
                    <w:bottom w:w="0" w:type="dxa"/>
                    <w:right w:w="0" w:type="dxa"/>
                  </w:tcMar>
                  <w:vAlign w:val="center"/>
                </w:tcPr>
                <w:p w14:paraId="4B435294">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4" w:type="pct"/>
                  <w:shd w:val="clear" w:color="auto" w:fill="FFFFFF"/>
                  <w:tcMar>
                    <w:top w:w="0" w:type="dxa"/>
                    <w:left w:w="0" w:type="dxa"/>
                    <w:bottom w:w="0" w:type="dxa"/>
                    <w:right w:w="0" w:type="dxa"/>
                  </w:tcMar>
                  <w:vAlign w:val="center"/>
                </w:tcPr>
                <w:p w14:paraId="5865290D">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7" w:type="pct"/>
                  <w:shd w:val="clear" w:color="auto" w:fill="FFFFFF"/>
                  <w:tcMar>
                    <w:top w:w="0" w:type="dxa"/>
                    <w:left w:w="0" w:type="dxa"/>
                    <w:bottom w:w="0" w:type="dxa"/>
                    <w:right w:w="0" w:type="dxa"/>
                  </w:tcMar>
                  <w:vAlign w:val="center"/>
                </w:tcPr>
                <w:p w14:paraId="17478A67">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1" w:type="pct"/>
                  <w:shd w:val="clear" w:color="auto" w:fill="FFFFFF"/>
                  <w:tcMar>
                    <w:top w:w="0" w:type="dxa"/>
                    <w:left w:w="0" w:type="dxa"/>
                    <w:bottom w:w="0" w:type="dxa"/>
                    <w:right w:w="0" w:type="dxa"/>
                  </w:tcMar>
                  <w:vAlign w:val="center"/>
                </w:tcPr>
                <w:p w14:paraId="6D1B09D7">
                  <w:pPr>
                    <w:jc w:val="center"/>
                    <w:rPr>
                      <w:rFonts w:eastAsiaTheme="minorEastAsia"/>
                      <w:sz w:val="21"/>
                      <w:szCs w:val="21"/>
                    </w:rPr>
                  </w:pPr>
                  <w:r>
                    <w:rPr>
                      <w:rFonts w:eastAsiaTheme="minorEastAsia"/>
                      <w:sz w:val="21"/>
                      <w:szCs w:val="21"/>
                    </w:rPr>
                    <w:t>49.5</w:t>
                  </w:r>
                </w:p>
              </w:tc>
              <w:tc>
                <w:tcPr>
                  <w:tcW w:w="171" w:type="pct"/>
                  <w:shd w:val="clear" w:color="auto" w:fill="FFFFFF"/>
                  <w:tcMar>
                    <w:top w:w="0" w:type="dxa"/>
                    <w:left w:w="0" w:type="dxa"/>
                    <w:bottom w:w="0" w:type="dxa"/>
                    <w:right w:w="0" w:type="dxa"/>
                  </w:tcMar>
                  <w:vAlign w:val="center"/>
                </w:tcPr>
                <w:p w14:paraId="75684D39">
                  <w:pPr>
                    <w:jc w:val="center"/>
                    <w:rPr>
                      <w:rFonts w:eastAsiaTheme="minorEastAsia"/>
                      <w:sz w:val="21"/>
                      <w:szCs w:val="21"/>
                    </w:rPr>
                  </w:pPr>
                  <w:r>
                    <w:rPr>
                      <w:rFonts w:eastAsiaTheme="minorEastAsia"/>
                      <w:sz w:val="21"/>
                      <w:szCs w:val="21"/>
                    </w:rPr>
                    <w:t>24.5</w:t>
                  </w:r>
                </w:p>
              </w:tc>
              <w:tc>
                <w:tcPr>
                  <w:tcW w:w="171" w:type="pct"/>
                  <w:shd w:val="clear" w:color="auto" w:fill="FFFFFF"/>
                  <w:tcMar>
                    <w:top w:w="0" w:type="dxa"/>
                    <w:left w:w="0" w:type="dxa"/>
                    <w:bottom w:w="0" w:type="dxa"/>
                    <w:right w:w="0" w:type="dxa"/>
                  </w:tcMar>
                  <w:vAlign w:val="center"/>
                </w:tcPr>
                <w:p w14:paraId="16CC065A">
                  <w:pPr>
                    <w:jc w:val="center"/>
                    <w:rPr>
                      <w:rFonts w:eastAsiaTheme="minorEastAsia"/>
                      <w:sz w:val="21"/>
                      <w:szCs w:val="21"/>
                    </w:rPr>
                  </w:pPr>
                  <w:r>
                    <w:rPr>
                      <w:rFonts w:eastAsiaTheme="minorEastAsia"/>
                      <w:sz w:val="21"/>
                      <w:szCs w:val="21"/>
                    </w:rPr>
                    <w:t>24.7</w:t>
                  </w:r>
                </w:p>
              </w:tc>
              <w:tc>
                <w:tcPr>
                  <w:tcW w:w="140" w:type="pct"/>
                  <w:shd w:val="clear" w:color="auto" w:fill="FFFFFF"/>
                  <w:tcMar>
                    <w:top w:w="0" w:type="dxa"/>
                    <w:left w:w="0" w:type="dxa"/>
                    <w:bottom w:w="0" w:type="dxa"/>
                    <w:right w:w="0" w:type="dxa"/>
                  </w:tcMar>
                  <w:vAlign w:val="center"/>
                </w:tcPr>
                <w:p w14:paraId="3114B9A1">
                  <w:pPr>
                    <w:jc w:val="center"/>
                    <w:rPr>
                      <w:rFonts w:eastAsiaTheme="minorEastAsia"/>
                      <w:sz w:val="21"/>
                      <w:szCs w:val="21"/>
                    </w:rPr>
                  </w:pPr>
                  <w:r>
                    <w:rPr>
                      <w:rFonts w:eastAsiaTheme="minorEastAsia"/>
                      <w:sz w:val="21"/>
                      <w:szCs w:val="21"/>
                    </w:rPr>
                    <w:t>24.7</w:t>
                  </w:r>
                </w:p>
              </w:tc>
              <w:tc>
                <w:tcPr>
                  <w:tcW w:w="135" w:type="pct"/>
                  <w:shd w:val="clear" w:color="auto" w:fill="FFFFFF"/>
                  <w:tcMar>
                    <w:top w:w="0" w:type="dxa"/>
                    <w:left w:w="0" w:type="dxa"/>
                    <w:bottom w:w="0" w:type="dxa"/>
                    <w:right w:w="0" w:type="dxa"/>
                  </w:tcMar>
                  <w:vAlign w:val="center"/>
                </w:tcPr>
                <w:p w14:paraId="7DDE3D89">
                  <w:pPr>
                    <w:jc w:val="center"/>
                    <w:rPr>
                      <w:rFonts w:eastAsiaTheme="minorEastAsia"/>
                      <w:sz w:val="21"/>
                      <w:szCs w:val="21"/>
                    </w:rPr>
                  </w:pPr>
                  <w:r>
                    <w:rPr>
                      <w:rFonts w:eastAsiaTheme="minorEastAsia"/>
                      <w:sz w:val="21"/>
                      <w:szCs w:val="21"/>
                    </w:rPr>
                    <w:t>1</w:t>
                  </w:r>
                </w:p>
              </w:tc>
            </w:tr>
            <w:tr w14:paraId="6015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857" w:hRule="atLeast"/>
                <w:jc w:val="center"/>
              </w:trPr>
              <w:tc>
                <w:tcPr>
                  <w:tcW w:w="212" w:type="pct"/>
                  <w:shd w:val="clear" w:color="auto" w:fill="FFFFFF"/>
                  <w:tcMar>
                    <w:top w:w="0" w:type="dxa"/>
                    <w:left w:w="0" w:type="dxa"/>
                    <w:bottom w:w="0" w:type="dxa"/>
                    <w:right w:w="0" w:type="dxa"/>
                  </w:tcMar>
                  <w:vAlign w:val="center"/>
                </w:tcPr>
                <w:p w14:paraId="5BA85306">
                  <w:pPr>
                    <w:jc w:val="center"/>
                    <w:rPr>
                      <w:rFonts w:eastAsiaTheme="minorEastAsia"/>
                      <w:sz w:val="21"/>
                      <w:szCs w:val="21"/>
                    </w:rPr>
                  </w:pPr>
                  <w:r>
                    <w:rPr>
                      <w:rFonts w:eastAsiaTheme="minorEastAsia"/>
                      <w:sz w:val="21"/>
                      <w:szCs w:val="21"/>
                    </w:rPr>
                    <w:t>9</w:t>
                  </w:r>
                </w:p>
              </w:tc>
              <w:tc>
                <w:tcPr>
                  <w:tcW w:w="212" w:type="pct"/>
                  <w:shd w:val="clear" w:color="auto" w:fill="FFFFFF"/>
                  <w:tcMar>
                    <w:top w:w="0" w:type="dxa"/>
                    <w:left w:w="0" w:type="dxa"/>
                    <w:bottom w:w="0" w:type="dxa"/>
                    <w:right w:w="0" w:type="dxa"/>
                  </w:tcMar>
                  <w:vAlign w:val="center"/>
                </w:tcPr>
                <w:p w14:paraId="044ED30A">
                  <w:pPr>
                    <w:jc w:val="center"/>
                    <w:rPr>
                      <w:rFonts w:eastAsiaTheme="minorEastAsia"/>
                      <w:sz w:val="21"/>
                      <w:szCs w:val="21"/>
                    </w:rPr>
                  </w:pPr>
                  <w:r>
                    <w:rPr>
                      <w:rFonts w:hint="eastAsia" w:eastAsiaTheme="minorEastAsia"/>
                      <w:sz w:val="21"/>
                      <w:szCs w:val="21"/>
                      <w:lang w:val="en-US" w:eastAsia="zh-CN"/>
                    </w:rPr>
                    <w:t>2#厂房</w:t>
                  </w:r>
                </w:p>
              </w:tc>
              <w:tc>
                <w:tcPr>
                  <w:tcW w:w="212" w:type="pct"/>
                  <w:shd w:val="clear" w:color="auto" w:fill="FFFFFF"/>
                  <w:tcMar>
                    <w:top w:w="0" w:type="dxa"/>
                    <w:left w:w="0" w:type="dxa"/>
                    <w:bottom w:w="0" w:type="dxa"/>
                    <w:right w:w="0" w:type="dxa"/>
                  </w:tcMar>
                  <w:vAlign w:val="center"/>
                </w:tcPr>
                <w:p w14:paraId="7942D852">
                  <w:pPr>
                    <w:jc w:val="center"/>
                    <w:rPr>
                      <w:rFonts w:eastAsiaTheme="minorEastAsia"/>
                      <w:sz w:val="21"/>
                      <w:szCs w:val="21"/>
                    </w:rPr>
                  </w:pPr>
                  <w:r>
                    <w:rPr>
                      <w:rFonts w:eastAsiaTheme="minorEastAsia"/>
                      <w:sz w:val="21"/>
                      <w:szCs w:val="21"/>
                    </w:rPr>
                    <w:t>颜色搅拌机</w:t>
                  </w:r>
                </w:p>
              </w:tc>
              <w:tc>
                <w:tcPr>
                  <w:tcW w:w="212" w:type="pct"/>
                  <w:shd w:val="clear" w:color="auto" w:fill="FFFFFF"/>
                  <w:tcMar>
                    <w:top w:w="0" w:type="dxa"/>
                    <w:left w:w="0" w:type="dxa"/>
                    <w:bottom w:w="0" w:type="dxa"/>
                    <w:right w:w="0" w:type="dxa"/>
                  </w:tcMar>
                  <w:vAlign w:val="center"/>
                </w:tcPr>
                <w:p w14:paraId="44144D55">
                  <w:pPr>
                    <w:jc w:val="center"/>
                    <w:rPr>
                      <w:rFonts w:eastAsiaTheme="minorEastAsia"/>
                      <w:sz w:val="21"/>
                      <w:szCs w:val="21"/>
                    </w:rPr>
                  </w:pPr>
                  <w:r>
                    <w:rPr>
                      <w:rFonts w:eastAsiaTheme="minorEastAsia"/>
                      <w:sz w:val="21"/>
                      <w:szCs w:val="21"/>
                    </w:rPr>
                    <w:t>/</w:t>
                  </w:r>
                </w:p>
              </w:tc>
              <w:tc>
                <w:tcPr>
                  <w:tcW w:w="286" w:type="pct"/>
                  <w:shd w:val="clear" w:color="auto" w:fill="FFFFFF"/>
                  <w:tcMar>
                    <w:top w:w="0" w:type="dxa"/>
                    <w:left w:w="0" w:type="dxa"/>
                    <w:bottom w:w="0" w:type="dxa"/>
                    <w:right w:w="0" w:type="dxa"/>
                  </w:tcMar>
                  <w:vAlign w:val="center"/>
                </w:tcPr>
                <w:p w14:paraId="00847290">
                  <w:pPr>
                    <w:jc w:val="center"/>
                    <w:rPr>
                      <w:rFonts w:eastAsiaTheme="minorEastAsia"/>
                      <w:sz w:val="21"/>
                      <w:szCs w:val="21"/>
                    </w:rPr>
                  </w:pPr>
                  <w:r>
                    <w:rPr>
                      <w:rFonts w:eastAsiaTheme="minorEastAsia"/>
                      <w:sz w:val="21"/>
                      <w:szCs w:val="21"/>
                    </w:rPr>
                    <w:t>80</w:t>
                  </w:r>
                </w:p>
              </w:tc>
              <w:tc>
                <w:tcPr>
                  <w:tcW w:w="212" w:type="pct"/>
                  <w:vMerge w:val="continue"/>
                  <w:shd w:val="clear" w:color="auto" w:fill="FFFFFF"/>
                  <w:tcMar>
                    <w:top w:w="0" w:type="dxa"/>
                    <w:left w:w="0" w:type="dxa"/>
                    <w:bottom w:w="0" w:type="dxa"/>
                    <w:right w:w="0" w:type="dxa"/>
                  </w:tcMar>
                  <w:vAlign w:val="center"/>
                </w:tcPr>
                <w:p w14:paraId="6941464B">
                  <w:pPr>
                    <w:jc w:val="center"/>
                    <w:rPr>
                      <w:rFonts w:eastAsiaTheme="minorEastAsia"/>
                      <w:sz w:val="21"/>
                      <w:szCs w:val="21"/>
                    </w:rPr>
                  </w:pPr>
                </w:p>
              </w:tc>
              <w:tc>
                <w:tcPr>
                  <w:tcW w:w="204" w:type="pct"/>
                  <w:shd w:val="clear" w:color="auto" w:fill="FFFFFF"/>
                  <w:tcMar>
                    <w:top w:w="0" w:type="dxa"/>
                    <w:left w:w="0" w:type="dxa"/>
                    <w:bottom w:w="0" w:type="dxa"/>
                    <w:right w:w="0" w:type="dxa"/>
                  </w:tcMar>
                  <w:vAlign w:val="center"/>
                </w:tcPr>
                <w:p w14:paraId="310C1217">
                  <w:pPr>
                    <w:jc w:val="center"/>
                    <w:rPr>
                      <w:rFonts w:eastAsiaTheme="minorEastAsia"/>
                      <w:sz w:val="21"/>
                      <w:szCs w:val="21"/>
                    </w:rPr>
                  </w:pPr>
                  <w:r>
                    <w:rPr>
                      <w:rFonts w:eastAsiaTheme="minorEastAsia"/>
                      <w:sz w:val="21"/>
                      <w:szCs w:val="21"/>
                    </w:rPr>
                    <w:t>-36.3</w:t>
                  </w:r>
                </w:p>
              </w:tc>
              <w:tc>
                <w:tcPr>
                  <w:tcW w:w="205" w:type="pct"/>
                  <w:shd w:val="clear" w:color="auto" w:fill="FFFFFF"/>
                  <w:tcMar>
                    <w:top w:w="0" w:type="dxa"/>
                    <w:left w:w="0" w:type="dxa"/>
                    <w:bottom w:w="0" w:type="dxa"/>
                    <w:right w:w="0" w:type="dxa"/>
                  </w:tcMar>
                  <w:vAlign w:val="center"/>
                </w:tcPr>
                <w:p w14:paraId="2CA3AD34">
                  <w:pPr>
                    <w:jc w:val="center"/>
                    <w:rPr>
                      <w:rFonts w:eastAsiaTheme="minorEastAsia"/>
                      <w:sz w:val="21"/>
                      <w:szCs w:val="21"/>
                    </w:rPr>
                  </w:pPr>
                  <w:r>
                    <w:rPr>
                      <w:rFonts w:eastAsiaTheme="minorEastAsia"/>
                      <w:sz w:val="21"/>
                      <w:szCs w:val="21"/>
                    </w:rPr>
                    <w:t>17.9</w:t>
                  </w:r>
                </w:p>
              </w:tc>
              <w:tc>
                <w:tcPr>
                  <w:tcW w:w="134" w:type="pct"/>
                  <w:shd w:val="clear" w:color="auto" w:fill="FFFFFF"/>
                  <w:tcMar>
                    <w:top w:w="0" w:type="dxa"/>
                    <w:left w:w="0" w:type="dxa"/>
                    <w:bottom w:w="0" w:type="dxa"/>
                    <w:right w:w="0" w:type="dxa"/>
                  </w:tcMar>
                  <w:vAlign w:val="center"/>
                </w:tcPr>
                <w:p w14:paraId="30B3F118">
                  <w:pPr>
                    <w:jc w:val="center"/>
                    <w:rPr>
                      <w:rFonts w:eastAsiaTheme="minorEastAsia"/>
                      <w:sz w:val="21"/>
                      <w:szCs w:val="21"/>
                    </w:rPr>
                  </w:pPr>
                  <w:r>
                    <w:rPr>
                      <w:rFonts w:eastAsiaTheme="minorEastAsia"/>
                      <w:sz w:val="21"/>
                      <w:szCs w:val="21"/>
                    </w:rPr>
                    <w:t>1.2</w:t>
                  </w:r>
                </w:p>
              </w:tc>
              <w:tc>
                <w:tcPr>
                  <w:tcW w:w="174" w:type="pct"/>
                  <w:shd w:val="clear" w:color="auto" w:fill="FFFFFF"/>
                  <w:tcMar>
                    <w:top w:w="0" w:type="dxa"/>
                    <w:left w:w="0" w:type="dxa"/>
                    <w:bottom w:w="0" w:type="dxa"/>
                    <w:right w:w="0" w:type="dxa"/>
                  </w:tcMar>
                  <w:vAlign w:val="center"/>
                </w:tcPr>
                <w:p w14:paraId="0445629B">
                  <w:pPr>
                    <w:jc w:val="center"/>
                    <w:rPr>
                      <w:rFonts w:eastAsiaTheme="minorEastAsia"/>
                      <w:sz w:val="21"/>
                      <w:szCs w:val="21"/>
                    </w:rPr>
                  </w:pPr>
                  <w:r>
                    <w:rPr>
                      <w:rFonts w:eastAsiaTheme="minorEastAsia"/>
                      <w:sz w:val="21"/>
                      <w:szCs w:val="21"/>
                    </w:rPr>
                    <w:t>65.8</w:t>
                  </w:r>
                </w:p>
              </w:tc>
              <w:tc>
                <w:tcPr>
                  <w:tcW w:w="174" w:type="pct"/>
                  <w:shd w:val="clear" w:color="auto" w:fill="FFFFFF"/>
                  <w:tcMar>
                    <w:top w:w="0" w:type="dxa"/>
                    <w:left w:w="0" w:type="dxa"/>
                    <w:bottom w:w="0" w:type="dxa"/>
                    <w:right w:w="0" w:type="dxa"/>
                  </w:tcMar>
                  <w:vAlign w:val="center"/>
                </w:tcPr>
                <w:p w14:paraId="524AA072">
                  <w:pPr>
                    <w:jc w:val="center"/>
                    <w:rPr>
                      <w:rFonts w:eastAsiaTheme="minorEastAsia"/>
                      <w:sz w:val="21"/>
                      <w:szCs w:val="21"/>
                    </w:rPr>
                  </w:pPr>
                  <w:r>
                    <w:rPr>
                      <w:rFonts w:eastAsiaTheme="minorEastAsia"/>
                      <w:sz w:val="21"/>
                      <w:szCs w:val="21"/>
                    </w:rPr>
                    <w:t>27.4</w:t>
                  </w:r>
                </w:p>
              </w:tc>
              <w:tc>
                <w:tcPr>
                  <w:tcW w:w="174" w:type="pct"/>
                  <w:shd w:val="clear" w:color="auto" w:fill="FFFFFF"/>
                  <w:tcMar>
                    <w:top w:w="0" w:type="dxa"/>
                    <w:left w:w="0" w:type="dxa"/>
                    <w:bottom w:w="0" w:type="dxa"/>
                    <w:right w:w="0" w:type="dxa"/>
                  </w:tcMar>
                  <w:vAlign w:val="center"/>
                </w:tcPr>
                <w:p w14:paraId="2F53B57B">
                  <w:pPr>
                    <w:jc w:val="center"/>
                    <w:rPr>
                      <w:rFonts w:eastAsiaTheme="minorEastAsia"/>
                      <w:sz w:val="21"/>
                      <w:szCs w:val="21"/>
                    </w:rPr>
                  </w:pPr>
                  <w:r>
                    <w:rPr>
                      <w:rFonts w:eastAsiaTheme="minorEastAsia"/>
                      <w:sz w:val="21"/>
                      <w:szCs w:val="21"/>
                    </w:rPr>
                    <w:t>15.7</w:t>
                  </w:r>
                </w:p>
              </w:tc>
              <w:tc>
                <w:tcPr>
                  <w:tcW w:w="177" w:type="pct"/>
                  <w:shd w:val="clear" w:color="auto" w:fill="FFFFFF"/>
                  <w:tcMar>
                    <w:top w:w="0" w:type="dxa"/>
                    <w:left w:w="0" w:type="dxa"/>
                    <w:bottom w:w="0" w:type="dxa"/>
                    <w:right w:w="0" w:type="dxa"/>
                  </w:tcMar>
                  <w:vAlign w:val="center"/>
                </w:tcPr>
                <w:p w14:paraId="19F6BE1B">
                  <w:pPr>
                    <w:jc w:val="center"/>
                    <w:rPr>
                      <w:rFonts w:eastAsiaTheme="minorEastAsia"/>
                      <w:sz w:val="21"/>
                      <w:szCs w:val="21"/>
                    </w:rPr>
                  </w:pPr>
                  <w:r>
                    <w:rPr>
                      <w:rFonts w:eastAsiaTheme="minorEastAsia"/>
                      <w:sz w:val="21"/>
                      <w:szCs w:val="21"/>
                    </w:rPr>
                    <w:t>12.9</w:t>
                  </w:r>
                </w:p>
              </w:tc>
              <w:tc>
                <w:tcPr>
                  <w:tcW w:w="174" w:type="pct"/>
                  <w:shd w:val="clear" w:color="auto" w:fill="FFFFFF"/>
                  <w:tcMar>
                    <w:top w:w="0" w:type="dxa"/>
                    <w:left w:w="0" w:type="dxa"/>
                    <w:bottom w:w="0" w:type="dxa"/>
                    <w:right w:w="0" w:type="dxa"/>
                  </w:tcMar>
                  <w:vAlign w:val="center"/>
                </w:tcPr>
                <w:p w14:paraId="2E075C38">
                  <w:pPr>
                    <w:jc w:val="center"/>
                    <w:rPr>
                      <w:rFonts w:eastAsiaTheme="minorEastAsia"/>
                      <w:sz w:val="21"/>
                      <w:szCs w:val="21"/>
                    </w:rPr>
                  </w:pPr>
                  <w:r>
                    <w:rPr>
                      <w:rFonts w:eastAsiaTheme="minorEastAsia"/>
                      <w:sz w:val="21"/>
                      <w:szCs w:val="21"/>
                    </w:rPr>
                    <w:t>65.5</w:t>
                  </w:r>
                </w:p>
              </w:tc>
              <w:tc>
                <w:tcPr>
                  <w:tcW w:w="174" w:type="pct"/>
                  <w:shd w:val="clear" w:color="auto" w:fill="FFFFFF"/>
                  <w:tcMar>
                    <w:top w:w="0" w:type="dxa"/>
                    <w:left w:w="0" w:type="dxa"/>
                    <w:bottom w:w="0" w:type="dxa"/>
                    <w:right w:w="0" w:type="dxa"/>
                  </w:tcMar>
                  <w:vAlign w:val="center"/>
                </w:tcPr>
                <w:p w14:paraId="04390302">
                  <w:pPr>
                    <w:jc w:val="center"/>
                    <w:rPr>
                      <w:rFonts w:eastAsiaTheme="minorEastAsia"/>
                      <w:sz w:val="21"/>
                      <w:szCs w:val="21"/>
                    </w:rPr>
                  </w:pPr>
                  <w:r>
                    <w:rPr>
                      <w:rFonts w:eastAsiaTheme="minorEastAsia"/>
                      <w:sz w:val="21"/>
                      <w:szCs w:val="21"/>
                    </w:rPr>
                    <w:t>65.5</w:t>
                  </w:r>
                </w:p>
              </w:tc>
              <w:tc>
                <w:tcPr>
                  <w:tcW w:w="174" w:type="pct"/>
                  <w:shd w:val="clear" w:color="auto" w:fill="FFFFFF"/>
                  <w:tcMar>
                    <w:top w:w="0" w:type="dxa"/>
                    <w:left w:w="0" w:type="dxa"/>
                    <w:bottom w:w="0" w:type="dxa"/>
                    <w:right w:w="0" w:type="dxa"/>
                  </w:tcMar>
                  <w:vAlign w:val="center"/>
                </w:tcPr>
                <w:p w14:paraId="1261F230">
                  <w:pPr>
                    <w:jc w:val="center"/>
                    <w:rPr>
                      <w:rFonts w:eastAsiaTheme="minorEastAsia"/>
                      <w:sz w:val="21"/>
                      <w:szCs w:val="21"/>
                    </w:rPr>
                  </w:pPr>
                  <w:r>
                    <w:rPr>
                      <w:rFonts w:eastAsiaTheme="minorEastAsia"/>
                      <w:sz w:val="21"/>
                      <w:szCs w:val="21"/>
                    </w:rPr>
                    <w:t>65.6</w:t>
                  </w:r>
                </w:p>
              </w:tc>
              <w:tc>
                <w:tcPr>
                  <w:tcW w:w="177" w:type="pct"/>
                  <w:shd w:val="clear" w:color="auto" w:fill="FFFFFF"/>
                  <w:tcMar>
                    <w:top w:w="0" w:type="dxa"/>
                    <w:left w:w="0" w:type="dxa"/>
                    <w:bottom w:w="0" w:type="dxa"/>
                    <w:right w:w="0" w:type="dxa"/>
                  </w:tcMar>
                  <w:vAlign w:val="center"/>
                </w:tcPr>
                <w:p w14:paraId="218BA79C">
                  <w:pPr>
                    <w:jc w:val="center"/>
                    <w:rPr>
                      <w:rFonts w:eastAsiaTheme="minorEastAsia"/>
                      <w:sz w:val="21"/>
                      <w:szCs w:val="21"/>
                    </w:rPr>
                  </w:pPr>
                  <w:r>
                    <w:rPr>
                      <w:rFonts w:eastAsiaTheme="minorEastAsia"/>
                      <w:sz w:val="21"/>
                      <w:szCs w:val="21"/>
                    </w:rPr>
                    <w:t>65.6</w:t>
                  </w:r>
                </w:p>
              </w:tc>
              <w:tc>
                <w:tcPr>
                  <w:tcW w:w="214" w:type="pct"/>
                  <w:vMerge w:val="continue"/>
                  <w:shd w:val="clear" w:color="auto" w:fill="FFFFFF"/>
                  <w:tcMar>
                    <w:top w:w="0" w:type="dxa"/>
                    <w:left w:w="0" w:type="dxa"/>
                    <w:bottom w:w="0" w:type="dxa"/>
                    <w:right w:w="0" w:type="dxa"/>
                  </w:tcMar>
                  <w:vAlign w:val="center"/>
                </w:tcPr>
                <w:p w14:paraId="421583D7">
                  <w:pPr>
                    <w:jc w:val="center"/>
                    <w:rPr>
                      <w:rFonts w:eastAsiaTheme="minorEastAsia"/>
                      <w:sz w:val="21"/>
                      <w:szCs w:val="21"/>
                    </w:rPr>
                  </w:pPr>
                </w:p>
              </w:tc>
              <w:tc>
                <w:tcPr>
                  <w:tcW w:w="174" w:type="pct"/>
                  <w:shd w:val="clear" w:color="auto" w:fill="FFFFFF"/>
                  <w:tcMar>
                    <w:top w:w="0" w:type="dxa"/>
                    <w:left w:w="0" w:type="dxa"/>
                    <w:bottom w:w="0" w:type="dxa"/>
                    <w:right w:w="0" w:type="dxa"/>
                  </w:tcMar>
                  <w:vAlign w:val="center"/>
                </w:tcPr>
                <w:p w14:paraId="6346F206">
                  <w:pPr>
                    <w:jc w:val="center"/>
                    <w:rPr>
                      <w:rFonts w:eastAsiaTheme="minorEastAsia"/>
                      <w:sz w:val="21"/>
                      <w:szCs w:val="21"/>
                    </w:rPr>
                  </w:pPr>
                  <w:r>
                    <w:rPr>
                      <w:rFonts w:eastAsiaTheme="minorEastAsia"/>
                      <w:sz w:val="21"/>
                      <w:szCs w:val="21"/>
                    </w:rPr>
                    <w:t>16.0</w:t>
                  </w:r>
                </w:p>
              </w:tc>
              <w:tc>
                <w:tcPr>
                  <w:tcW w:w="174" w:type="pct"/>
                  <w:shd w:val="clear" w:color="auto" w:fill="FFFFFF"/>
                  <w:tcMar>
                    <w:top w:w="0" w:type="dxa"/>
                    <w:left w:w="0" w:type="dxa"/>
                    <w:bottom w:w="0" w:type="dxa"/>
                    <w:right w:w="0" w:type="dxa"/>
                  </w:tcMar>
                  <w:vAlign w:val="center"/>
                </w:tcPr>
                <w:p w14:paraId="0584B0C8">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4" w:type="pct"/>
                  <w:shd w:val="clear" w:color="auto" w:fill="FFFFFF"/>
                  <w:tcMar>
                    <w:top w:w="0" w:type="dxa"/>
                    <w:left w:w="0" w:type="dxa"/>
                    <w:bottom w:w="0" w:type="dxa"/>
                    <w:right w:w="0" w:type="dxa"/>
                  </w:tcMar>
                  <w:vAlign w:val="center"/>
                </w:tcPr>
                <w:p w14:paraId="1BB8DD97">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7" w:type="pct"/>
                  <w:shd w:val="clear" w:color="auto" w:fill="FFFFFF"/>
                  <w:tcMar>
                    <w:top w:w="0" w:type="dxa"/>
                    <w:left w:w="0" w:type="dxa"/>
                    <w:bottom w:w="0" w:type="dxa"/>
                    <w:right w:w="0" w:type="dxa"/>
                  </w:tcMar>
                  <w:vAlign w:val="center"/>
                </w:tcPr>
                <w:p w14:paraId="07CA899D">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1" w:type="pct"/>
                  <w:shd w:val="clear" w:color="auto" w:fill="FFFFFF"/>
                  <w:tcMar>
                    <w:top w:w="0" w:type="dxa"/>
                    <w:left w:w="0" w:type="dxa"/>
                    <w:bottom w:w="0" w:type="dxa"/>
                    <w:right w:w="0" w:type="dxa"/>
                  </w:tcMar>
                  <w:vAlign w:val="center"/>
                </w:tcPr>
                <w:p w14:paraId="1AF7448B">
                  <w:pPr>
                    <w:jc w:val="center"/>
                    <w:rPr>
                      <w:rFonts w:eastAsiaTheme="minorEastAsia"/>
                      <w:sz w:val="21"/>
                      <w:szCs w:val="21"/>
                    </w:rPr>
                  </w:pPr>
                  <w:r>
                    <w:rPr>
                      <w:rFonts w:eastAsiaTheme="minorEastAsia"/>
                      <w:sz w:val="21"/>
                      <w:szCs w:val="21"/>
                    </w:rPr>
                    <w:t>49.5</w:t>
                  </w:r>
                </w:p>
              </w:tc>
              <w:tc>
                <w:tcPr>
                  <w:tcW w:w="171" w:type="pct"/>
                  <w:shd w:val="clear" w:color="auto" w:fill="FFFFFF"/>
                  <w:tcMar>
                    <w:top w:w="0" w:type="dxa"/>
                    <w:left w:w="0" w:type="dxa"/>
                    <w:bottom w:w="0" w:type="dxa"/>
                    <w:right w:w="0" w:type="dxa"/>
                  </w:tcMar>
                  <w:vAlign w:val="center"/>
                </w:tcPr>
                <w:p w14:paraId="2FFAB214">
                  <w:pPr>
                    <w:jc w:val="center"/>
                    <w:rPr>
                      <w:rFonts w:eastAsiaTheme="minorEastAsia"/>
                      <w:sz w:val="21"/>
                      <w:szCs w:val="21"/>
                    </w:rPr>
                  </w:pPr>
                  <w:r>
                    <w:rPr>
                      <w:rFonts w:eastAsiaTheme="minorEastAsia"/>
                      <w:sz w:val="21"/>
                      <w:szCs w:val="21"/>
                    </w:rPr>
                    <w:t>24.5</w:t>
                  </w:r>
                </w:p>
              </w:tc>
              <w:tc>
                <w:tcPr>
                  <w:tcW w:w="171" w:type="pct"/>
                  <w:shd w:val="clear" w:color="auto" w:fill="FFFFFF"/>
                  <w:tcMar>
                    <w:top w:w="0" w:type="dxa"/>
                    <w:left w:w="0" w:type="dxa"/>
                    <w:bottom w:w="0" w:type="dxa"/>
                    <w:right w:w="0" w:type="dxa"/>
                  </w:tcMar>
                  <w:vAlign w:val="center"/>
                </w:tcPr>
                <w:p w14:paraId="44C77096">
                  <w:pPr>
                    <w:jc w:val="center"/>
                    <w:rPr>
                      <w:rFonts w:eastAsiaTheme="minorEastAsia"/>
                      <w:sz w:val="21"/>
                      <w:szCs w:val="21"/>
                    </w:rPr>
                  </w:pPr>
                  <w:r>
                    <w:rPr>
                      <w:rFonts w:eastAsiaTheme="minorEastAsia"/>
                      <w:sz w:val="21"/>
                      <w:szCs w:val="21"/>
                    </w:rPr>
                    <w:t>24.6</w:t>
                  </w:r>
                </w:p>
              </w:tc>
              <w:tc>
                <w:tcPr>
                  <w:tcW w:w="140" w:type="pct"/>
                  <w:shd w:val="clear" w:color="auto" w:fill="FFFFFF"/>
                  <w:tcMar>
                    <w:top w:w="0" w:type="dxa"/>
                    <w:left w:w="0" w:type="dxa"/>
                    <w:bottom w:w="0" w:type="dxa"/>
                    <w:right w:w="0" w:type="dxa"/>
                  </w:tcMar>
                  <w:vAlign w:val="center"/>
                </w:tcPr>
                <w:p w14:paraId="45BA908F">
                  <w:pPr>
                    <w:jc w:val="center"/>
                    <w:rPr>
                      <w:rFonts w:eastAsiaTheme="minorEastAsia"/>
                      <w:sz w:val="21"/>
                      <w:szCs w:val="21"/>
                    </w:rPr>
                  </w:pPr>
                  <w:r>
                    <w:rPr>
                      <w:rFonts w:eastAsiaTheme="minorEastAsia"/>
                      <w:sz w:val="21"/>
                      <w:szCs w:val="21"/>
                    </w:rPr>
                    <w:t>24.6</w:t>
                  </w:r>
                </w:p>
              </w:tc>
              <w:tc>
                <w:tcPr>
                  <w:tcW w:w="135" w:type="pct"/>
                  <w:shd w:val="clear" w:color="auto" w:fill="FFFFFF"/>
                  <w:tcMar>
                    <w:top w:w="0" w:type="dxa"/>
                    <w:left w:w="0" w:type="dxa"/>
                    <w:bottom w:w="0" w:type="dxa"/>
                    <w:right w:w="0" w:type="dxa"/>
                  </w:tcMar>
                  <w:vAlign w:val="center"/>
                </w:tcPr>
                <w:p w14:paraId="58D16FDC">
                  <w:pPr>
                    <w:jc w:val="center"/>
                    <w:rPr>
                      <w:rFonts w:eastAsiaTheme="minorEastAsia"/>
                      <w:sz w:val="21"/>
                      <w:szCs w:val="21"/>
                    </w:rPr>
                  </w:pPr>
                  <w:r>
                    <w:rPr>
                      <w:rFonts w:eastAsiaTheme="minorEastAsia"/>
                      <w:sz w:val="21"/>
                      <w:szCs w:val="21"/>
                    </w:rPr>
                    <w:t>1</w:t>
                  </w:r>
                </w:p>
              </w:tc>
            </w:tr>
            <w:tr w14:paraId="0AE8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12" w:type="pct"/>
                  <w:shd w:val="clear" w:color="auto" w:fill="FFFFFF"/>
                  <w:tcMar>
                    <w:top w:w="0" w:type="dxa"/>
                    <w:left w:w="0" w:type="dxa"/>
                    <w:bottom w:w="0" w:type="dxa"/>
                    <w:right w:w="0" w:type="dxa"/>
                  </w:tcMar>
                  <w:vAlign w:val="center"/>
                </w:tcPr>
                <w:p w14:paraId="261148A6">
                  <w:pPr>
                    <w:jc w:val="center"/>
                    <w:rPr>
                      <w:rFonts w:eastAsiaTheme="minorEastAsia"/>
                      <w:sz w:val="21"/>
                      <w:szCs w:val="21"/>
                    </w:rPr>
                  </w:pPr>
                  <w:r>
                    <w:rPr>
                      <w:rFonts w:eastAsiaTheme="minorEastAsia"/>
                      <w:sz w:val="21"/>
                      <w:szCs w:val="21"/>
                    </w:rPr>
                    <w:t>10</w:t>
                  </w:r>
                </w:p>
              </w:tc>
              <w:tc>
                <w:tcPr>
                  <w:tcW w:w="212" w:type="pct"/>
                  <w:shd w:val="clear" w:color="auto" w:fill="FFFFFF"/>
                  <w:tcMar>
                    <w:top w:w="0" w:type="dxa"/>
                    <w:left w:w="0" w:type="dxa"/>
                    <w:bottom w:w="0" w:type="dxa"/>
                    <w:right w:w="0" w:type="dxa"/>
                  </w:tcMar>
                  <w:vAlign w:val="center"/>
                </w:tcPr>
                <w:p w14:paraId="7B972E6D">
                  <w:pPr>
                    <w:jc w:val="center"/>
                    <w:rPr>
                      <w:rFonts w:eastAsiaTheme="minorEastAsia"/>
                      <w:sz w:val="21"/>
                      <w:szCs w:val="21"/>
                    </w:rPr>
                  </w:pPr>
                  <w:r>
                    <w:rPr>
                      <w:rFonts w:hint="eastAsia" w:eastAsiaTheme="minorEastAsia"/>
                      <w:sz w:val="21"/>
                      <w:szCs w:val="21"/>
                      <w:lang w:val="en-US" w:eastAsia="zh-CN"/>
                    </w:rPr>
                    <w:t>2#厂房</w:t>
                  </w:r>
                </w:p>
              </w:tc>
              <w:tc>
                <w:tcPr>
                  <w:tcW w:w="212" w:type="pct"/>
                  <w:shd w:val="clear" w:color="auto" w:fill="FFFFFF"/>
                  <w:tcMar>
                    <w:top w:w="0" w:type="dxa"/>
                    <w:left w:w="0" w:type="dxa"/>
                    <w:bottom w:w="0" w:type="dxa"/>
                    <w:right w:w="0" w:type="dxa"/>
                  </w:tcMar>
                  <w:vAlign w:val="center"/>
                </w:tcPr>
                <w:p w14:paraId="6AEC853E">
                  <w:pPr>
                    <w:jc w:val="center"/>
                    <w:rPr>
                      <w:rFonts w:eastAsiaTheme="minorEastAsia"/>
                      <w:sz w:val="21"/>
                      <w:szCs w:val="21"/>
                    </w:rPr>
                  </w:pPr>
                  <w:r>
                    <w:rPr>
                      <w:rFonts w:eastAsiaTheme="minorEastAsia"/>
                      <w:sz w:val="21"/>
                      <w:szCs w:val="21"/>
                    </w:rPr>
                    <w:t>自动砌块成型机</w:t>
                  </w:r>
                </w:p>
              </w:tc>
              <w:tc>
                <w:tcPr>
                  <w:tcW w:w="212" w:type="pct"/>
                  <w:shd w:val="clear" w:color="auto" w:fill="FFFFFF"/>
                  <w:tcMar>
                    <w:top w:w="0" w:type="dxa"/>
                    <w:left w:w="0" w:type="dxa"/>
                    <w:bottom w:w="0" w:type="dxa"/>
                    <w:right w:w="0" w:type="dxa"/>
                  </w:tcMar>
                  <w:vAlign w:val="center"/>
                </w:tcPr>
                <w:p w14:paraId="0C6C0726">
                  <w:pPr>
                    <w:jc w:val="center"/>
                    <w:rPr>
                      <w:rFonts w:eastAsiaTheme="minorEastAsia"/>
                      <w:sz w:val="21"/>
                      <w:szCs w:val="21"/>
                    </w:rPr>
                  </w:pPr>
                  <w:r>
                    <w:rPr>
                      <w:rFonts w:eastAsiaTheme="minorEastAsia"/>
                      <w:sz w:val="21"/>
                      <w:szCs w:val="21"/>
                    </w:rPr>
                    <w:t>/</w:t>
                  </w:r>
                </w:p>
              </w:tc>
              <w:tc>
                <w:tcPr>
                  <w:tcW w:w="286" w:type="pct"/>
                  <w:shd w:val="clear" w:color="auto" w:fill="FFFFFF"/>
                  <w:tcMar>
                    <w:top w:w="0" w:type="dxa"/>
                    <w:left w:w="0" w:type="dxa"/>
                    <w:bottom w:w="0" w:type="dxa"/>
                    <w:right w:w="0" w:type="dxa"/>
                  </w:tcMar>
                  <w:vAlign w:val="center"/>
                </w:tcPr>
                <w:p w14:paraId="720DD833">
                  <w:pPr>
                    <w:jc w:val="center"/>
                    <w:rPr>
                      <w:rFonts w:eastAsiaTheme="minorEastAsia"/>
                      <w:sz w:val="21"/>
                      <w:szCs w:val="21"/>
                    </w:rPr>
                  </w:pPr>
                  <w:r>
                    <w:rPr>
                      <w:rFonts w:eastAsiaTheme="minorEastAsia"/>
                      <w:sz w:val="21"/>
                      <w:szCs w:val="21"/>
                    </w:rPr>
                    <w:t>85</w:t>
                  </w:r>
                </w:p>
              </w:tc>
              <w:tc>
                <w:tcPr>
                  <w:tcW w:w="212" w:type="pct"/>
                  <w:vMerge w:val="continue"/>
                  <w:shd w:val="clear" w:color="auto" w:fill="FFFFFF"/>
                  <w:tcMar>
                    <w:top w:w="0" w:type="dxa"/>
                    <w:left w:w="0" w:type="dxa"/>
                    <w:bottom w:w="0" w:type="dxa"/>
                    <w:right w:w="0" w:type="dxa"/>
                  </w:tcMar>
                  <w:vAlign w:val="center"/>
                </w:tcPr>
                <w:p w14:paraId="4F86A9B7">
                  <w:pPr>
                    <w:jc w:val="center"/>
                    <w:rPr>
                      <w:rFonts w:eastAsiaTheme="minorEastAsia"/>
                      <w:sz w:val="21"/>
                      <w:szCs w:val="21"/>
                    </w:rPr>
                  </w:pPr>
                </w:p>
              </w:tc>
              <w:tc>
                <w:tcPr>
                  <w:tcW w:w="204" w:type="pct"/>
                  <w:shd w:val="clear" w:color="auto" w:fill="FFFFFF"/>
                  <w:tcMar>
                    <w:top w:w="0" w:type="dxa"/>
                    <w:left w:w="0" w:type="dxa"/>
                    <w:bottom w:w="0" w:type="dxa"/>
                    <w:right w:w="0" w:type="dxa"/>
                  </w:tcMar>
                  <w:vAlign w:val="center"/>
                </w:tcPr>
                <w:p w14:paraId="79332B1A">
                  <w:pPr>
                    <w:jc w:val="center"/>
                    <w:rPr>
                      <w:rFonts w:eastAsiaTheme="minorEastAsia"/>
                      <w:sz w:val="21"/>
                      <w:szCs w:val="21"/>
                    </w:rPr>
                  </w:pPr>
                  <w:r>
                    <w:rPr>
                      <w:rFonts w:eastAsiaTheme="minorEastAsia"/>
                      <w:sz w:val="21"/>
                      <w:szCs w:val="21"/>
                    </w:rPr>
                    <w:t>-33.7</w:t>
                  </w:r>
                </w:p>
              </w:tc>
              <w:tc>
                <w:tcPr>
                  <w:tcW w:w="205" w:type="pct"/>
                  <w:shd w:val="clear" w:color="auto" w:fill="FFFFFF"/>
                  <w:tcMar>
                    <w:top w:w="0" w:type="dxa"/>
                    <w:left w:w="0" w:type="dxa"/>
                    <w:bottom w:w="0" w:type="dxa"/>
                    <w:right w:w="0" w:type="dxa"/>
                  </w:tcMar>
                  <w:vAlign w:val="center"/>
                </w:tcPr>
                <w:p w14:paraId="197076A0">
                  <w:pPr>
                    <w:jc w:val="center"/>
                    <w:rPr>
                      <w:rFonts w:eastAsiaTheme="minorEastAsia"/>
                      <w:sz w:val="21"/>
                      <w:szCs w:val="21"/>
                    </w:rPr>
                  </w:pPr>
                  <w:r>
                    <w:rPr>
                      <w:rFonts w:eastAsiaTheme="minorEastAsia"/>
                      <w:sz w:val="21"/>
                      <w:szCs w:val="21"/>
                    </w:rPr>
                    <w:t>29.6</w:t>
                  </w:r>
                </w:p>
              </w:tc>
              <w:tc>
                <w:tcPr>
                  <w:tcW w:w="134" w:type="pct"/>
                  <w:shd w:val="clear" w:color="auto" w:fill="FFFFFF"/>
                  <w:tcMar>
                    <w:top w:w="0" w:type="dxa"/>
                    <w:left w:w="0" w:type="dxa"/>
                    <w:bottom w:w="0" w:type="dxa"/>
                    <w:right w:w="0" w:type="dxa"/>
                  </w:tcMar>
                  <w:vAlign w:val="center"/>
                </w:tcPr>
                <w:p w14:paraId="56BA6FC0">
                  <w:pPr>
                    <w:jc w:val="center"/>
                    <w:rPr>
                      <w:rFonts w:eastAsiaTheme="minorEastAsia"/>
                      <w:sz w:val="21"/>
                      <w:szCs w:val="21"/>
                    </w:rPr>
                  </w:pPr>
                  <w:r>
                    <w:rPr>
                      <w:rFonts w:eastAsiaTheme="minorEastAsia"/>
                      <w:sz w:val="21"/>
                      <w:szCs w:val="21"/>
                    </w:rPr>
                    <w:t>1.2</w:t>
                  </w:r>
                </w:p>
              </w:tc>
              <w:tc>
                <w:tcPr>
                  <w:tcW w:w="174" w:type="pct"/>
                  <w:shd w:val="clear" w:color="auto" w:fill="FFFFFF"/>
                  <w:tcMar>
                    <w:top w:w="0" w:type="dxa"/>
                    <w:left w:w="0" w:type="dxa"/>
                    <w:bottom w:w="0" w:type="dxa"/>
                    <w:right w:w="0" w:type="dxa"/>
                  </w:tcMar>
                  <w:vAlign w:val="center"/>
                </w:tcPr>
                <w:p w14:paraId="7087C7DD">
                  <w:pPr>
                    <w:jc w:val="center"/>
                    <w:rPr>
                      <w:rFonts w:eastAsiaTheme="minorEastAsia"/>
                      <w:sz w:val="21"/>
                      <w:szCs w:val="21"/>
                    </w:rPr>
                  </w:pPr>
                  <w:r>
                    <w:rPr>
                      <w:rFonts w:eastAsiaTheme="minorEastAsia"/>
                      <w:sz w:val="21"/>
                      <w:szCs w:val="21"/>
                    </w:rPr>
                    <w:t>71.0</w:t>
                  </w:r>
                </w:p>
              </w:tc>
              <w:tc>
                <w:tcPr>
                  <w:tcW w:w="174" w:type="pct"/>
                  <w:shd w:val="clear" w:color="auto" w:fill="FFFFFF"/>
                  <w:tcMar>
                    <w:top w:w="0" w:type="dxa"/>
                    <w:left w:w="0" w:type="dxa"/>
                    <w:bottom w:w="0" w:type="dxa"/>
                    <w:right w:w="0" w:type="dxa"/>
                  </w:tcMar>
                  <w:vAlign w:val="center"/>
                </w:tcPr>
                <w:p w14:paraId="0EF170AF">
                  <w:pPr>
                    <w:jc w:val="center"/>
                    <w:rPr>
                      <w:rFonts w:eastAsiaTheme="minorEastAsia"/>
                      <w:sz w:val="21"/>
                      <w:szCs w:val="21"/>
                    </w:rPr>
                  </w:pPr>
                  <w:r>
                    <w:rPr>
                      <w:rFonts w:eastAsiaTheme="minorEastAsia"/>
                      <w:sz w:val="21"/>
                      <w:szCs w:val="21"/>
                    </w:rPr>
                    <w:t>36.4</w:t>
                  </w:r>
                </w:p>
              </w:tc>
              <w:tc>
                <w:tcPr>
                  <w:tcW w:w="174" w:type="pct"/>
                  <w:shd w:val="clear" w:color="auto" w:fill="FFFFFF"/>
                  <w:tcMar>
                    <w:top w:w="0" w:type="dxa"/>
                    <w:left w:w="0" w:type="dxa"/>
                    <w:bottom w:w="0" w:type="dxa"/>
                    <w:right w:w="0" w:type="dxa"/>
                  </w:tcMar>
                  <w:vAlign w:val="center"/>
                </w:tcPr>
                <w:p w14:paraId="240D3B64">
                  <w:pPr>
                    <w:jc w:val="center"/>
                    <w:rPr>
                      <w:rFonts w:eastAsiaTheme="minorEastAsia"/>
                      <w:sz w:val="21"/>
                      <w:szCs w:val="21"/>
                    </w:rPr>
                  </w:pPr>
                  <w:r>
                    <w:rPr>
                      <w:rFonts w:eastAsiaTheme="minorEastAsia"/>
                      <w:sz w:val="21"/>
                      <w:szCs w:val="21"/>
                    </w:rPr>
                    <w:t>22.9</w:t>
                  </w:r>
                </w:p>
              </w:tc>
              <w:tc>
                <w:tcPr>
                  <w:tcW w:w="177" w:type="pct"/>
                  <w:shd w:val="clear" w:color="auto" w:fill="FFFFFF"/>
                  <w:tcMar>
                    <w:top w:w="0" w:type="dxa"/>
                    <w:left w:w="0" w:type="dxa"/>
                    <w:bottom w:w="0" w:type="dxa"/>
                    <w:right w:w="0" w:type="dxa"/>
                  </w:tcMar>
                  <w:vAlign w:val="center"/>
                </w:tcPr>
                <w:p w14:paraId="6EE07268">
                  <w:pPr>
                    <w:jc w:val="center"/>
                    <w:rPr>
                      <w:rFonts w:eastAsiaTheme="minorEastAsia"/>
                      <w:sz w:val="21"/>
                      <w:szCs w:val="21"/>
                    </w:rPr>
                  </w:pPr>
                  <w:r>
                    <w:rPr>
                      <w:rFonts w:eastAsiaTheme="minorEastAsia"/>
                      <w:sz w:val="21"/>
                      <w:szCs w:val="21"/>
                    </w:rPr>
                    <w:t>7.3</w:t>
                  </w:r>
                </w:p>
              </w:tc>
              <w:tc>
                <w:tcPr>
                  <w:tcW w:w="174" w:type="pct"/>
                  <w:shd w:val="clear" w:color="auto" w:fill="FFFFFF"/>
                  <w:tcMar>
                    <w:top w:w="0" w:type="dxa"/>
                    <w:left w:w="0" w:type="dxa"/>
                    <w:bottom w:w="0" w:type="dxa"/>
                    <w:right w:w="0" w:type="dxa"/>
                  </w:tcMar>
                  <w:vAlign w:val="center"/>
                </w:tcPr>
                <w:p w14:paraId="0C885A90">
                  <w:pPr>
                    <w:jc w:val="center"/>
                    <w:rPr>
                      <w:rFonts w:eastAsiaTheme="minorEastAsia"/>
                      <w:sz w:val="21"/>
                      <w:szCs w:val="21"/>
                    </w:rPr>
                  </w:pPr>
                  <w:r>
                    <w:rPr>
                      <w:rFonts w:eastAsiaTheme="minorEastAsia"/>
                      <w:sz w:val="21"/>
                      <w:szCs w:val="21"/>
                    </w:rPr>
                    <w:t>70.5</w:t>
                  </w:r>
                </w:p>
              </w:tc>
              <w:tc>
                <w:tcPr>
                  <w:tcW w:w="174" w:type="pct"/>
                  <w:shd w:val="clear" w:color="auto" w:fill="FFFFFF"/>
                  <w:tcMar>
                    <w:top w:w="0" w:type="dxa"/>
                    <w:left w:w="0" w:type="dxa"/>
                    <w:bottom w:w="0" w:type="dxa"/>
                    <w:right w:w="0" w:type="dxa"/>
                  </w:tcMar>
                  <w:vAlign w:val="center"/>
                </w:tcPr>
                <w:p w14:paraId="56DB6FB3">
                  <w:pPr>
                    <w:jc w:val="center"/>
                    <w:rPr>
                      <w:rFonts w:eastAsiaTheme="minorEastAsia"/>
                      <w:sz w:val="21"/>
                      <w:szCs w:val="21"/>
                    </w:rPr>
                  </w:pPr>
                  <w:r>
                    <w:rPr>
                      <w:rFonts w:eastAsiaTheme="minorEastAsia"/>
                      <w:sz w:val="21"/>
                      <w:szCs w:val="21"/>
                    </w:rPr>
                    <w:t>70.5</w:t>
                  </w:r>
                </w:p>
              </w:tc>
              <w:tc>
                <w:tcPr>
                  <w:tcW w:w="174" w:type="pct"/>
                  <w:shd w:val="clear" w:color="auto" w:fill="FFFFFF"/>
                  <w:tcMar>
                    <w:top w:w="0" w:type="dxa"/>
                    <w:left w:w="0" w:type="dxa"/>
                    <w:bottom w:w="0" w:type="dxa"/>
                    <w:right w:w="0" w:type="dxa"/>
                  </w:tcMar>
                  <w:vAlign w:val="center"/>
                </w:tcPr>
                <w:p w14:paraId="34DB0C8A">
                  <w:pPr>
                    <w:jc w:val="center"/>
                    <w:rPr>
                      <w:rFonts w:eastAsiaTheme="minorEastAsia"/>
                      <w:sz w:val="21"/>
                      <w:szCs w:val="21"/>
                    </w:rPr>
                  </w:pPr>
                  <w:r>
                    <w:rPr>
                      <w:rFonts w:eastAsiaTheme="minorEastAsia"/>
                      <w:sz w:val="21"/>
                      <w:szCs w:val="21"/>
                    </w:rPr>
                    <w:t>70.5</w:t>
                  </w:r>
                </w:p>
              </w:tc>
              <w:tc>
                <w:tcPr>
                  <w:tcW w:w="177" w:type="pct"/>
                  <w:shd w:val="clear" w:color="auto" w:fill="FFFFFF"/>
                  <w:tcMar>
                    <w:top w:w="0" w:type="dxa"/>
                    <w:left w:w="0" w:type="dxa"/>
                    <w:bottom w:w="0" w:type="dxa"/>
                    <w:right w:w="0" w:type="dxa"/>
                  </w:tcMar>
                  <w:vAlign w:val="center"/>
                </w:tcPr>
                <w:p w14:paraId="79DCAB19">
                  <w:pPr>
                    <w:jc w:val="center"/>
                    <w:rPr>
                      <w:rFonts w:eastAsiaTheme="minorEastAsia"/>
                      <w:sz w:val="21"/>
                      <w:szCs w:val="21"/>
                    </w:rPr>
                  </w:pPr>
                  <w:r>
                    <w:rPr>
                      <w:rFonts w:eastAsiaTheme="minorEastAsia"/>
                      <w:sz w:val="21"/>
                      <w:szCs w:val="21"/>
                    </w:rPr>
                    <w:t>70.7</w:t>
                  </w:r>
                </w:p>
              </w:tc>
              <w:tc>
                <w:tcPr>
                  <w:tcW w:w="214" w:type="pct"/>
                  <w:vMerge w:val="continue"/>
                  <w:shd w:val="clear" w:color="auto" w:fill="FFFFFF"/>
                  <w:tcMar>
                    <w:top w:w="0" w:type="dxa"/>
                    <w:left w:w="0" w:type="dxa"/>
                    <w:bottom w:w="0" w:type="dxa"/>
                    <w:right w:w="0" w:type="dxa"/>
                  </w:tcMar>
                  <w:vAlign w:val="center"/>
                </w:tcPr>
                <w:p w14:paraId="5D120D35">
                  <w:pPr>
                    <w:jc w:val="center"/>
                    <w:rPr>
                      <w:rFonts w:eastAsiaTheme="minorEastAsia"/>
                      <w:sz w:val="21"/>
                      <w:szCs w:val="21"/>
                    </w:rPr>
                  </w:pPr>
                </w:p>
              </w:tc>
              <w:tc>
                <w:tcPr>
                  <w:tcW w:w="174" w:type="pct"/>
                  <w:shd w:val="clear" w:color="auto" w:fill="FFFFFF"/>
                  <w:tcMar>
                    <w:top w:w="0" w:type="dxa"/>
                    <w:left w:w="0" w:type="dxa"/>
                    <w:bottom w:w="0" w:type="dxa"/>
                    <w:right w:w="0" w:type="dxa"/>
                  </w:tcMar>
                  <w:vAlign w:val="center"/>
                </w:tcPr>
                <w:p w14:paraId="3E544E28">
                  <w:pPr>
                    <w:jc w:val="center"/>
                    <w:rPr>
                      <w:rFonts w:eastAsiaTheme="minorEastAsia"/>
                      <w:sz w:val="21"/>
                      <w:szCs w:val="21"/>
                    </w:rPr>
                  </w:pPr>
                  <w:r>
                    <w:rPr>
                      <w:rFonts w:eastAsiaTheme="minorEastAsia"/>
                      <w:sz w:val="21"/>
                      <w:szCs w:val="21"/>
                    </w:rPr>
                    <w:t>16.0</w:t>
                  </w:r>
                </w:p>
              </w:tc>
              <w:tc>
                <w:tcPr>
                  <w:tcW w:w="174" w:type="pct"/>
                  <w:shd w:val="clear" w:color="auto" w:fill="FFFFFF"/>
                  <w:tcMar>
                    <w:top w:w="0" w:type="dxa"/>
                    <w:left w:w="0" w:type="dxa"/>
                    <w:bottom w:w="0" w:type="dxa"/>
                    <w:right w:w="0" w:type="dxa"/>
                  </w:tcMar>
                  <w:vAlign w:val="center"/>
                </w:tcPr>
                <w:p w14:paraId="321EE732">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4" w:type="pct"/>
                  <w:shd w:val="clear" w:color="auto" w:fill="FFFFFF"/>
                  <w:tcMar>
                    <w:top w:w="0" w:type="dxa"/>
                    <w:left w:w="0" w:type="dxa"/>
                    <w:bottom w:w="0" w:type="dxa"/>
                    <w:right w:w="0" w:type="dxa"/>
                  </w:tcMar>
                  <w:vAlign w:val="center"/>
                </w:tcPr>
                <w:p w14:paraId="6D5A5B5B">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7" w:type="pct"/>
                  <w:shd w:val="clear" w:color="auto" w:fill="FFFFFF"/>
                  <w:tcMar>
                    <w:top w:w="0" w:type="dxa"/>
                    <w:left w:w="0" w:type="dxa"/>
                    <w:bottom w:w="0" w:type="dxa"/>
                    <w:right w:w="0" w:type="dxa"/>
                  </w:tcMar>
                  <w:vAlign w:val="center"/>
                </w:tcPr>
                <w:p w14:paraId="68A87209">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1" w:type="pct"/>
                  <w:shd w:val="clear" w:color="auto" w:fill="FFFFFF"/>
                  <w:tcMar>
                    <w:top w:w="0" w:type="dxa"/>
                    <w:left w:w="0" w:type="dxa"/>
                    <w:bottom w:w="0" w:type="dxa"/>
                    <w:right w:w="0" w:type="dxa"/>
                  </w:tcMar>
                  <w:vAlign w:val="center"/>
                </w:tcPr>
                <w:p w14:paraId="4D35C066">
                  <w:pPr>
                    <w:jc w:val="center"/>
                    <w:rPr>
                      <w:rFonts w:eastAsiaTheme="minorEastAsia"/>
                      <w:sz w:val="21"/>
                      <w:szCs w:val="21"/>
                    </w:rPr>
                  </w:pPr>
                  <w:r>
                    <w:rPr>
                      <w:rFonts w:eastAsiaTheme="minorEastAsia"/>
                      <w:sz w:val="21"/>
                      <w:szCs w:val="21"/>
                    </w:rPr>
                    <w:t>54.5</w:t>
                  </w:r>
                </w:p>
              </w:tc>
              <w:tc>
                <w:tcPr>
                  <w:tcW w:w="171" w:type="pct"/>
                  <w:shd w:val="clear" w:color="auto" w:fill="FFFFFF"/>
                  <w:tcMar>
                    <w:top w:w="0" w:type="dxa"/>
                    <w:left w:w="0" w:type="dxa"/>
                    <w:bottom w:w="0" w:type="dxa"/>
                    <w:right w:w="0" w:type="dxa"/>
                  </w:tcMar>
                  <w:vAlign w:val="center"/>
                </w:tcPr>
                <w:p w14:paraId="2AE9EEA1">
                  <w:pPr>
                    <w:jc w:val="center"/>
                    <w:rPr>
                      <w:rFonts w:eastAsiaTheme="minorEastAsia"/>
                      <w:sz w:val="21"/>
                      <w:szCs w:val="21"/>
                    </w:rPr>
                  </w:pPr>
                  <w:r>
                    <w:rPr>
                      <w:rFonts w:eastAsiaTheme="minorEastAsia"/>
                      <w:sz w:val="21"/>
                      <w:szCs w:val="21"/>
                    </w:rPr>
                    <w:t>29.5</w:t>
                  </w:r>
                </w:p>
              </w:tc>
              <w:tc>
                <w:tcPr>
                  <w:tcW w:w="171" w:type="pct"/>
                  <w:shd w:val="clear" w:color="auto" w:fill="FFFFFF"/>
                  <w:tcMar>
                    <w:top w:w="0" w:type="dxa"/>
                    <w:left w:w="0" w:type="dxa"/>
                    <w:bottom w:w="0" w:type="dxa"/>
                    <w:right w:w="0" w:type="dxa"/>
                  </w:tcMar>
                  <w:vAlign w:val="center"/>
                </w:tcPr>
                <w:p w14:paraId="61A8F83F">
                  <w:pPr>
                    <w:jc w:val="center"/>
                    <w:rPr>
                      <w:rFonts w:eastAsiaTheme="minorEastAsia"/>
                      <w:sz w:val="21"/>
                      <w:szCs w:val="21"/>
                    </w:rPr>
                  </w:pPr>
                  <w:r>
                    <w:rPr>
                      <w:rFonts w:eastAsiaTheme="minorEastAsia"/>
                      <w:sz w:val="21"/>
                      <w:szCs w:val="21"/>
                    </w:rPr>
                    <w:t>29.5</w:t>
                  </w:r>
                </w:p>
              </w:tc>
              <w:tc>
                <w:tcPr>
                  <w:tcW w:w="140" w:type="pct"/>
                  <w:shd w:val="clear" w:color="auto" w:fill="FFFFFF"/>
                  <w:tcMar>
                    <w:top w:w="0" w:type="dxa"/>
                    <w:left w:w="0" w:type="dxa"/>
                    <w:bottom w:w="0" w:type="dxa"/>
                    <w:right w:w="0" w:type="dxa"/>
                  </w:tcMar>
                  <w:vAlign w:val="center"/>
                </w:tcPr>
                <w:p w14:paraId="2CD53B89">
                  <w:pPr>
                    <w:jc w:val="center"/>
                    <w:rPr>
                      <w:rFonts w:eastAsiaTheme="minorEastAsia"/>
                      <w:sz w:val="21"/>
                      <w:szCs w:val="21"/>
                    </w:rPr>
                  </w:pPr>
                  <w:r>
                    <w:rPr>
                      <w:rFonts w:eastAsiaTheme="minorEastAsia"/>
                      <w:sz w:val="21"/>
                      <w:szCs w:val="21"/>
                    </w:rPr>
                    <w:t>29.7</w:t>
                  </w:r>
                </w:p>
              </w:tc>
              <w:tc>
                <w:tcPr>
                  <w:tcW w:w="135" w:type="pct"/>
                  <w:shd w:val="clear" w:color="auto" w:fill="FFFFFF"/>
                  <w:tcMar>
                    <w:top w:w="0" w:type="dxa"/>
                    <w:left w:w="0" w:type="dxa"/>
                    <w:bottom w:w="0" w:type="dxa"/>
                    <w:right w:w="0" w:type="dxa"/>
                  </w:tcMar>
                  <w:vAlign w:val="center"/>
                </w:tcPr>
                <w:p w14:paraId="40C7BA17">
                  <w:pPr>
                    <w:jc w:val="center"/>
                    <w:rPr>
                      <w:rFonts w:eastAsiaTheme="minorEastAsia"/>
                      <w:sz w:val="21"/>
                      <w:szCs w:val="21"/>
                    </w:rPr>
                  </w:pPr>
                  <w:r>
                    <w:rPr>
                      <w:rFonts w:eastAsiaTheme="minorEastAsia"/>
                      <w:sz w:val="21"/>
                      <w:szCs w:val="21"/>
                    </w:rPr>
                    <w:t>1</w:t>
                  </w:r>
                </w:p>
              </w:tc>
            </w:tr>
            <w:tr w14:paraId="7223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00" w:hRule="atLeast"/>
                <w:jc w:val="center"/>
              </w:trPr>
              <w:tc>
                <w:tcPr>
                  <w:tcW w:w="212" w:type="pct"/>
                  <w:shd w:val="clear" w:color="auto" w:fill="FFFFFF"/>
                  <w:tcMar>
                    <w:top w:w="0" w:type="dxa"/>
                    <w:left w:w="0" w:type="dxa"/>
                    <w:bottom w:w="0" w:type="dxa"/>
                    <w:right w:w="0" w:type="dxa"/>
                  </w:tcMar>
                  <w:vAlign w:val="center"/>
                </w:tcPr>
                <w:p w14:paraId="266C9627">
                  <w:pPr>
                    <w:jc w:val="center"/>
                    <w:rPr>
                      <w:rFonts w:eastAsiaTheme="minorEastAsia"/>
                      <w:sz w:val="21"/>
                      <w:szCs w:val="21"/>
                    </w:rPr>
                  </w:pPr>
                  <w:r>
                    <w:rPr>
                      <w:rFonts w:eastAsiaTheme="minorEastAsia"/>
                      <w:sz w:val="21"/>
                      <w:szCs w:val="21"/>
                    </w:rPr>
                    <w:t>11</w:t>
                  </w:r>
                </w:p>
              </w:tc>
              <w:tc>
                <w:tcPr>
                  <w:tcW w:w="212" w:type="pct"/>
                  <w:shd w:val="clear" w:color="auto" w:fill="FFFFFF"/>
                  <w:tcMar>
                    <w:top w:w="0" w:type="dxa"/>
                    <w:left w:w="0" w:type="dxa"/>
                    <w:bottom w:w="0" w:type="dxa"/>
                    <w:right w:w="0" w:type="dxa"/>
                  </w:tcMar>
                  <w:vAlign w:val="center"/>
                </w:tcPr>
                <w:p w14:paraId="45F8B8B6">
                  <w:pPr>
                    <w:jc w:val="center"/>
                    <w:rPr>
                      <w:rFonts w:eastAsiaTheme="minorEastAsia"/>
                      <w:sz w:val="21"/>
                      <w:szCs w:val="21"/>
                    </w:rPr>
                  </w:pPr>
                  <w:r>
                    <w:rPr>
                      <w:rFonts w:hint="eastAsia" w:eastAsiaTheme="minorEastAsia"/>
                      <w:sz w:val="21"/>
                      <w:szCs w:val="21"/>
                      <w:lang w:val="en-US" w:eastAsia="zh-CN"/>
                    </w:rPr>
                    <w:t>2#厂房</w:t>
                  </w:r>
                </w:p>
              </w:tc>
              <w:tc>
                <w:tcPr>
                  <w:tcW w:w="212" w:type="pct"/>
                  <w:shd w:val="clear" w:color="auto" w:fill="FFFFFF"/>
                  <w:tcMar>
                    <w:top w:w="0" w:type="dxa"/>
                    <w:left w:w="0" w:type="dxa"/>
                    <w:bottom w:w="0" w:type="dxa"/>
                    <w:right w:w="0" w:type="dxa"/>
                  </w:tcMar>
                  <w:vAlign w:val="center"/>
                </w:tcPr>
                <w:p w14:paraId="316F8BAD">
                  <w:pPr>
                    <w:jc w:val="center"/>
                    <w:rPr>
                      <w:rFonts w:eastAsiaTheme="minorEastAsia"/>
                      <w:sz w:val="21"/>
                      <w:szCs w:val="21"/>
                    </w:rPr>
                  </w:pPr>
                  <w:r>
                    <w:rPr>
                      <w:rFonts w:eastAsiaTheme="minorEastAsia"/>
                      <w:sz w:val="21"/>
                      <w:szCs w:val="21"/>
                    </w:rPr>
                    <w:t>输送机</w:t>
                  </w:r>
                </w:p>
              </w:tc>
              <w:tc>
                <w:tcPr>
                  <w:tcW w:w="212" w:type="pct"/>
                  <w:shd w:val="clear" w:color="auto" w:fill="FFFFFF"/>
                  <w:tcMar>
                    <w:top w:w="0" w:type="dxa"/>
                    <w:left w:w="0" w:type="dxa"/>
                    <w:bottom w:w="0" w:type="dxa"/>
                    <w:right w:w="0" w:type="dxa"/>
                  </w:tcMar>
                  <w:vAlign w:val="center"/>
                </w:tcPr>
                <w:p w14:paraId="683C72BE">
                  <w:pPr>
                    <w:jc w:val="center"/>
                    <w:rPr>
                      <w:rFonts w:eastAsiaTheme="minorEastAsia"/>
                      <w:sz w:val="21"/>
                      <w:szCs w:val="21"/>
                    </w:rPr>
                  </w:pPr>
                  <w:r>
                    <w:rPr>
                      <w:rFonts w:eastAsiaTheme="minorEastAsia"/>
                      <w:sz w:val="21"/>
                      <w:szCs w:val="21"/>
                    </w:rPr>
                    <w:t>/</w:t>
                  </w:r>
                </w:p>
              </w:tc>
              <w:tc>
                <w:tcPr>
                  <w:tcW w:w="286" w:type="pct"/>
                  <w:shd w:val="clear" w:color="auto" w:fill="FFFFFF"/>
                  <w:tcMar>
                    <w:top w:w="0" w:type="dxa"/>
                    <w:left w:w="0" w:type="dxa"/>
                    <w:bottom w:w="0" w:type="dxa"/>
                    <w:right w:w="0" w:type="dxa"/>
                  </w:tcMar>
                  <w:vAlign w:val="center"/>
                </w:tcPr>
                <w:p w14:paraId="58F81B25">
                  <w:pPr>
                    <w:jc w:val="center"/>
                    <w:rPr>
                      <w:rFonts w:eastAsiaTheme="minorEastAsia"/>
                      <w:sz w:val="21"/>
                      <w:szCs w:val="21"/>
                    </w:rPr>
                  </w:pPr>
                  <w:r>
                    <w:rPr>
                      <w:rFonts w:eastAsiaTheme="minorEastAsia"/>
                      <w:sz w:val="21"/>
                      <w:szCs w:val="21"/>
                    </w:rPr>
                    <w:t>75</w:t>
                  </w:r>
                </w:p>
              </w:tc>
              <w:tc>
                <w:tcPr>
                  <w:tcW w:w="212" w:type="pct"/>
                  <w:vMerge w:val="continue"/>
                  <w:shd w:val="clear" w:color="auto" w:fill="FFFFFF"/>
                  <w:tcMar>
                    <w:top w:w="0" w:type="dxa"/>
                    <w:left w:w="0" w:type="dxa"/>
                    <w:bottom w:w="0" w:type="dxa"/>
                    <w:right w:w="0" w:type="dxa"/>
                  </w:tcMar>
                  <w:vAlign w:val="center"/>
                </w:tcPr>
                <w:p w14:paraId="747EEAAD">
                  <w:pPr>
                    <w:jc w:val="center"/>
                    <w:rPr>
                      <w:rFonts w:eastAsiaTheme="minorEastAsia"/>
                      <w:sz w:val="21"/>
                      <w:szCs w:val="21"/>
                    </w:rPr>
                  </w:pPr>
                </w:p>
              </w:tc>
              <w:tc>
                <w:tcPr>
                  <w:tcW w:w="204" w:type="pct"/>
                  <w:shd w:val="clear" w:color="auto" w:fill="FFFFFF"/>
                  <w:tcMar>
                    <w:top w:w="0" w:type="dxa"/>
                    <w:left w:w="0" w:type="dxa"/>
                    <w:bottom w:w="0" w:type="dxa"/>
                    <w:right w:w="0" w:type="dxa"/>
                  </w:tcMar>
                  <w:vAlign w:val="center"/>
                </w:tcPr>
                <w:p w14:paraId="5BEEFB20">
                  <w:pPr>
                    <w:jc w:val="center"/>
                    <w:rPr>
                      <w:rFonts w:eastAsiaTheme="minorEastAsia"/>
                      <w:sz w:val="21"/>
                      <w:szCs w:val="21"/>
                    </w:rPr>
                  </w:pPr>
                  <w:r>
                    <w:rPr>
                      <w:rFonts w:eastAsiaTheme="minorEastAsia"/>
                      <w:sz w:val="21"/>
                      <w:szCs w:val="21"/>
                    </w:rPr>
                    <w:t>-19.8</w:t>
                  </w:r>
                </w:p>
              </w:tc>
              <w:tc>
                <w:tcPr>
                  <w:tcW w:w="205" w:type="pct"/>
                  <w:shd w:val="clear" w:color="auto" w:fill="FFFFFF"/>
                  <w:tcMar>
                    <w:top w:w="0" w:type="dxa"/>
                    <w:left w:w="0" w:type="dxa"/>
                    <w:bottom w:w="0" w:type="dxa"/>
                    <w:right w:w="0" w:type="dxa"/>
                  </w:tcMar>
                  <w:vAlign w:val="center"/>
                </w:tcPr>
                <w:p w14:paraId="4715B089">
                  <w:pPr>
                    <w:jc w:val="center"/>
                    <w:rPr>
                      <w:rFonts w:eastAsiaTheme="minorEastAsia"/>
                      <w:sz w:val="21"/>
                      <w:szCs w:val="21"/>
                    </w:rPr>
                  </w:pPr>
                  <w:r>
                    <w:rPr>
                      <w:rFonts w:eastAsiaTheme="minorEastAsia"/>
                      <w:sz w:val="21"/>
                      <w:szCs w:val="21"/>
                    </w:rPr>
                    <w:t>7.2</w:t>
                  </w:r>
                </w:p>
              </w:tc>
              <w:tc>
                <w:tcPr>
                  <w:tcW w:w="134" w:type="pct"/>
                  <w:shd w:val="clear" w:color="auto" w:fill="FFFFFF"/>
                  <w:tcMar>
                    <w:top w:w="0" w:type="dxa"/>
                    <w:left w:w="0" w:type="dxa"/>
                    <w:bottom w:w="0" w:type="dxa"/>
                    <w:right w:w="0" w:type="dxa"/>
                  </w:tcMar>
                  <w:vAlign w:val="center"/>
                </w:tcPr>
                <w:p w14:paraId="0222CE2B">
                  <w:pPr>
                    <w:jc w:val="center"/>
                    <w:rPr>
                      <w:rFonts w:eastAsiaTheme="minorEastAsia"/>
                      <w:sz w:val="21"/>
                      <w:szCs w:val="21"/>
                    </w:rPr>
                  </w:pPr>
                  <w:r>
                    <w:rPr>
                      <w:rFonts w:eastAsiaTheme="minorEastAsia"/>
                      <w:sz w:val="21"/>
                      <w:szCs w:val="21"/>
                    </w:rPr>
                    <w:t>1.2</w:t>
                  </w:r>
                </w:p>
              </w:tc>
              <w:tc>
                <w:tcPr>
                  <w:tcW w:w="174" w:type="pct"/>
                  <w:shd w:val="clear" w:color="auto" w:fill="FFFFFF"/>
                  <w:tcMar>
                    <w:top w:w="0" w:type="dxa"/>
                    <w:left w:w="0" w:type="dxa"/>
                    <w:bottom w:w="0" w:type="dxa"/>
                    <w:right w:w="0" w:type="dxa"/>
                  </w:tcMar>
                  <w:vAlign w:val="center"/>
                </w:tcPr>
                <w:p w14:paraId="23C815F8">
                  <w:pPr>
                    <w:jc w:val="center"/>
                    <w:rPr>
                      <w:rFonts w:eastAsiaTheme="minorEastAsia"/>
                      <w:sz w:val="21"/>
                      <w:szCs w:val="21"/>
                    </w:rPr>
                  </w:pPr>
                  <w:r>
                    <w:rPr>
                      <w:rFonts w:eastAsiaTheme="minorEastAsia"/>
                      <w:sz w:val="21"/>
                      <w:szCs w:val="21"/>
                    </w:rPr>
                    <w:t>46.2</w:t>
                  </w:r>
                </w:p>
              </w:tc>
              <w:tc>
                <w:tcPr>
                  <w:tcW w:w="174" w:type="pct"/>
                  <w:shd w:val="clear" w:color="auto" w:fill="FFFFFF"/>
                  <w:tcMar>
                    <w:top w:w="0" w:type="dxa"/>
                    <w:left w:w="0" w:type="dxa"/>
                    <w:bottom w:w="0" w:type="dxa"/>
                    <w:right w:w="0" w:type="dxa"/>
                  </w:tcMar>
                  <w:vAlign w:val="center"/>
                </w:tcPr>
                <w:p w14:paraId="5B7C8C00">
                  <w:pPr>
                    <w:jc w:val="center"/>
                    <w:rPr>
                      <w:rFonts w:eastAsiaTheme="minorEastAsia"/>
                      <w:sz w:val="21"/>
                      <w:szCs w:val="21"/>
                    </w:rPr>
                  </w:pPr>
                  <w:r>
                    <w:rPr>
                      <w:rFonts w:eastAsiaTheme="minorEastAsia"/>
                      <w:sz w:val="21"/>
                      <w:szCs w:val="21"/>
                    </w:rPr>
                    <w:t>34.5</w:t>
                  </w:r>
                </w:p>
              </w:tc>
              <w:tc>
                <w:tcPr>
                  <w:tcW w:w="174" w:type="pct"/>
                  <w:shd w:val="clear" w:color="auto" w:fill="FFFFFF"/>
                  <w:tcMar>
                    <w:top w:w="0" w:type="dxa"/>
                    <w:left w:w="0" w:type="dxa"/>
                    <w:bottom w:w="0" w:type="dxa"/>
                    <w:right w:w="0" w:type="dxa"/>
                  </w:tcMar>
                  <w:vAlign w:val="center"/>
                </w:tcPr>
                <w:p w14:paraId="687D46CC">
                  <w:pPr>
                    <w:jc w:val="center"/>
                    <w:rPr>
                      <w:rFonts w:eastAsiaTheme="minorEastAsia"/>
                      <w:sz w:val="21"/>
                      <w:szCs w:val="21"/>
                    </w:rPr>
                  </w:pPr>
                  <w:r>
                    <w:rPr>
                      <w:rFonts w:eastAsiaTheme="minorEastAsia"/>
                      <w:sz w:val="21"/>
                      <w:szCs w:val="21"/>
                    </w:rPr>
                    <w:t>3.1</w:t>
                  </w:r>
                </w:p>
              </w:tc>
              <w:tc>
                <w:tcPr>
                  <w:tcW w:w="177" w:type="pct"/>
                  <w:shd w:val="clear" w:color="auto" w:fill="FFFFFF"/>
                  <w:tcMar>
                    <w:top w:w="0" w:type="dxa"/>
                    <w:left w:w="0" w:type="dxa"/>
                    <w:bottom w:w="0" w:type="dxa"/>
                    <w:right w:w="0" w:type="dxa"/>
                  </w:tcMar>
                  <w:vAlign w:val="center"/>
                </w:tcPr>
                <w:p w14:paraId="5E82E5BD">
                  <w:pPr>
                    <w:jc w:val="center"/>
                    <w:rPr>
                      <w:rFonts w:eastAsiaTheme="minorEastAsia"/>
                      <w:sz w:val="21"/>
                      <w:szCs w:val="21"/>
                    </w:rPr>
                  </w:pPr>
                  <w:r>
                    <w:rPr>
                      <w:rFonts w:eastAsiaTheme="minorEastAsia"/>
                      <w:sz w:val="21"/>
                      <w:szCs w:val="21"/>
                    </w:rPr>
                    <w:t>11.3</w:t>
                  </w:r>
                </w:p>
              </w:tc>
              <w:tc>
                <w:tcPr>
                  <w:tcW w:w="174" w:type="pct"/>
                  <w:shd w:val="clear" w:color="auto" w:fill="FFFFFF"/>
                  <w:tcMar>
                    <w:top w:w="0" w:type="dxa"/>
                    <w:left w:w="0" w:type="dxa"/>
                    <w:bottom w:w="0" w:type="dxa"/>
                    <w:right w:w="0" w:type="dxa"/>
                  </w:tcMar>
                  <w:vAlign w:val="center"/>
                </w:tcPr>
                <w:p w14:paraId="7B7BCF6F">
                  <w:pPr>
                    <w:jc w:val="center"/>
                    <w:rPr>
                      <w:rFonts w:eastAsiaTheme="minorEastAsia"/>
                      <w:sz w:val="21"/>
                      <w:szCs w:val="21"/>
                    </w:rPr>
                  </w:pPr>
                  <w:r>
                    <w:rPr>
                      <w:rFonts w:eastAsiaTheme="minorEastAsia"/>
                      <w:sz w:val="21"/>
                      <w:szCs w:val="21"/>
                    </w:rPr>
                    <w:t>60.5</w:t>
                  </w:r>
                </w:p>
              </w:tc>
              <w:tc>
                <w:tcPr>
                  <w:tcW w:w="174" w:type="pct"/>
                  <w:shd w:val="clear" w:color="auto" w:fill="FFFFFF"/>
                  <w:tcMar>
                    <w:top w:w="0" w:type="dxa"/>
                    <w:left w:w="0" w:type="dxa"/>
                    <w:bottom w:w="0" w:type="dxa"/>
                    <w:right w:w="0" w:type="dxa"/>
                  </w:tcMar>
                  <w:vAlign w:val="center"/>
                </w:tcPr>
                <w:p w14:paraId="4D60A805">
                  <w:pPr>
                    <w:jc w:val="center"/>
                    <w:rPr>
                      <w:rFonts w:eastAsiaTheme="minorEastAsia"/>
                      <w:sz w:val="21"/>
                      <w:szCs w:val="21"/>
                    </w:rPr>
                  </w:pPr>
                  <w:r>
                    <w:rPr>
                      <w:rFonts w:eastAsiaTheme="minorEastAsia"/>
                      <w:sz w:val="21"/>
                      <w:szCs w:val="21"/>
                    </w:rPr>
                    <w:t>60.5</w:t>
                  </w:r>
                </w:p>
              </w:tc>
              <w:tc>
                <w:tcPr>
                  <w:tcW w:w="174" w:type="pct"/>
                  <w:shd w:val="clear" w:color="auto" w:fill="FFFFFF"/>
                  <w:tcMar>
                    <w:top w:w="0" w:type="dxa"/>
                    <w:left w:w="0" w:type="dxa"/>
                    <w:bottom w:w="0" w:type="dxa"/>
                    <w:right w:w="0" w:type="dxa"/>
                  </w:tcMar>
                  <w:vAlign w:val="center"/>
                </w:tcPr>
                <w:p w14:paraId="763DFF9E">
                  <w:pPr>
                    <w:jc w:val="center"/>
                    <w:rPr>
                      <w:rFonts w:eastAsiaTheme="minorEastAsia"/>
                      <w:sz w:val="21"/>
                      <w:szCs w:val="21"/>
                    </w:rPr>
                  </w:pPr>
                  <w:r>
                    <w:rPr>
                      <w:rFonts w:eastAsiaTheme="minorEastAsia"/>
                      <w:sz w:val="21"/>
                      <w:szCs w:val="21"/>
                    </w:rPr>
                    <w:t>61.4</w:t>
                  </w:r>
                </w:p>
              </w:tc>
              <w:tc>
                <w:tcPr>
                  <w:tcW w:w="177" w:type="pct"/>
                  <w:shd w:val="clear" w:color="auto" w:fill="FFFFFF"/>
                  <w:tcMar>
                    <w:top w:w="0" w:type="dxa"/>
                    <w:left w:w="0" w:type="dxa"/>
                    <w:bottom w:w="0" w:type="dxa"/>
                    <w:right w:w="0" w:type="dxa"/>
                  </w:tcMar>
                  <w:vAlign w:val="center"/>
                </w:tcPr>
                <w:p w14:paraId="6695A147">
                  <w:pPr>
                    <w:jc w:val="center"/>
                    <w:rPr>
                      <w:rFonts w:eastAsiaTheme="minorEastAsia"/>
                      <w:sz w:val="21"/>
                      <w:szCs w:val="21"/>
                    </w:rPr>
                  </w:pPr>
                  <w:r>
                    <w:rPr>
                      <w:rFonts w:eastAsiaTheme="minorEastAsia"/>
                      <w:sz w:val="21"/>
                      <w:szCs w:val="21"/>
                    </w:rPr>
                    <w:t>60.6</w:t>
                  </w:r>
                </w:p>
              </w:tc>
              <w:tc>
                <w:tcPr>
                  <w:tcW w:w="214" w:type="pct"/>
                  <w:vMerge w:val="continue"/>
                  <w:shd w:val="clear" w:color="auto" w:fill="FFFFFF"/>
                  <w:tcMar>
                    <w:top w:w="0" w:type="dxa"/>
                    <w:left w:w="0" w:type="dxa"/>
                    <w:bottom w:w="0" w:type="dxa"/>
                    <w:right w:w="0" w:type="dxa"/>
                  </w:tcMar>
                  <w:vAlign w:val="center"/>
                </w:tcPr>
                <w:p w14:paraId="7F781283">
                  <w:pPr>
                    <w:jc w:val="center"/>
                    <w:rPr>
                      <w:rFonts w:eastAsiaTheme="minorEastAsia"/>
                      <w:sz w:val="21"/>
                      <w:szCs w:val="21"/>
                    </w:rPr>
                  </w:pPr>
                </w:p>
              </w:tc>
              <w:tc>
                <w:tcPr>
                  <w:tcW w:w="174" w:type="pct"/>
                  <w:shd w:val="clear" w:color="auto" w:fill="FFFFFF"/>
                  <w:tcMar>
                    <w:top w:w="0" w:type="dxa"/>
                    <w:left w:w="0" w:type="dxa"/>
                    <w:bottom w:w="0" w:type="dxa"/>
                    <w:right w:w="0" w:type="dxa"/>
                  </w:tcMar>
                  <w:vAlign w:val="center"/>
                </w:tcPr>
                <w:p w14:paraId="0BBD2DAD">
                  <w:pPr>
                    <w:jc w:val="center"/>
                    <w:rPr>
                      <w:rFonts w:eastAsiaTheme="minorEastAsia"/>
                      <w:sz w:val="21"/>
                      <w:szCs w:val="21"/>
                    </w:rPr>
                  </w:pPr>
                  <w:r>
                    <w:rPr>
                      <w:rFonts w:eastAsiaTheme="minorEastAsia"/>
                      <w:sz w:val="21"/>
                      <w:szCs w:val="21"/>
                    </w:rPr>
                    <w:t>16.0</w:t>
                  </w:r>
                </w:p>
              </w:tc>
              <w:tc>
                <w:tcPr>
                  <w:tcW w:w="174" w:type="pct"/>
                  <w:shd w:val="clear" w:color="auto" w:fill="FFFFFF"/>
                  <w:tcMar>
                    <w:top w:w="0" w:type="dxa"/>
                    <w:left w:w="0" w:type="dxa"/>
                    <w:bottom w:w="0" w:type="dxa"/>
                    <w:right w:w="0" w:type="dxa"/>
                  </w:tcMar>
                  <w:vAlign w:val="center"/>
                </w:tcPr>
                <w:p w14:paraId="0F8CAE0C">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4" w:type="pct"/>
                  <w:shd w:val="clear" w:color="auto" w:fill="FFFFFF"/>
                  <w:tcMar>
                    <w:top w:w="0" w:type="dxa"/>
                    <w:left w:w="0" w:type="dxa"/>
                    <w:bottom w:w="0" w:type="dxa"/>
                    <w:right w:w="0" w:type="dxa"/>
                  </w:tcMar>
                  <w:vAlign w:val="center"/>
                </w:tcPr>
                <w:p w14:paraId="640B9086">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7" w:type="pct"/>
                  <w:shd w:val="clear" w:color="auto" w:fill="FFFFFF"/>
                  <w:tcMar>
                    <w:top w:w="0" w:type="dxa"/>
                    <w:left w:w="0" w:type="dxa"/>
                    <w:bottom w:w="0" w:type="dxa"/>
                    <w:right w:w="0" w:type="dxa"/>
                  </w:tcMar>
                  <w:vAlign w:val="center"/>
                </w:tcPr>
                <w:p w14:paraId="79426715">
                  <w:pPr>
                    <w:jc w:val="center"/>
                    <w:rPr>
                      <w:rFonts w:eastAsiaTheme="minorEastAsia"/>
                      <w:sz w:val="21"/>
                      <w:szCs w:val="21"/>
                    </w:rPr>
                  </w:pPr>
                  <w:r>
                    <w:rPr>
                      <w:rFonts w:hint="eastAsia" w:eastAsiaTheme="minorEastAsia"/>
                      <w:sz w:val="21"/>
                      <w:szCs w:val="21"/>
                      <w:lang w:val="en-US" w:eastAsia="zh-CN"/>
                    </w:rPr>
                    <w:t>22</w:t>
                  </w:r>
                  <w:r>
                    <w:rPr>
                      <w:rFonts w:eastAsiaTheme="minorEastAsia"/>
                      <w:sz w:val="21"/>
                      <w:szCs w:val="21"/>
                    </w:rPr>
                    <w:t>.0</w:t>
                  </w:r>
                </w:p>
              </w:tc>
              <w:tc>
                <w:tcPr>
                  <w:tcW w:w="171" w:type="pct"/>
                  <w:shd w:val="clear" w:color="auto" w:fill="FFFFFF"/>
                  <w:tcMar>
                    <w:top w:w="0" w:type="dxa"/>
                    <w:left w:w="0" w:type="dxa"/>
                    <w:bottom w:w="0" w:type="dxa"/>
                    <w:right w:w="0" w:type="dxa"/>
                  </w:tcMar>
                  <w:vAlign w:val="center"/>
                </w:tcPr>
                <w:p w14:paraId="2CB989E0">
                  <w:pPr>
                    <w:jc w:val="center"/>
                    <w:rPr>
                      <w:rFonts w:eastAsiaTheme="minorEastAsia"/>
                      <w:sz w:val="21"/>
                      <w:szCs w:val="21"/>
                    </w:rPr>
                  </w:pPr>
                  <w:r>
                    <w:rPr>
                      <w:rFonts w:eastAsiaTheme="minorEastAsia"/>
                      <w:sz w:val="21"/>
                      <w:szCs w:val="21"/>
                    </w:rPr>
                    <w:t>44.5</w:t>
                  </w:r>
                </w:p>
              </w:tc>
              <w:tc>
                <w:tcPr>
                  <w:tcW w:w="171" w:type="pct"/>
                  <w:shd w:val="clear" w:color="auto" w:fill="FFFFFF"/>
                  <w:tcMar>
                    <w:top w:w="0" w:type="dxa"/>
                    <w:left w:w="0" w:type="dxa"/>
                    <w:bottom w:w="0" w:type="dxa"/>
                    <w:right w:w="0" w:type="dxa"/>
                  </w:tcMar>
                  <w:vAlign w:val="center"/>
                </w:tcPr>
                <w:p w14:paraId="2BA3D4BD">
                  <w:pPr>
                    <w:jc w:val="center"/>
                    <w:rPr>
                      <w:rFonts w:eastAsiaTheme="minorEastAsia"/>
                      <w:sz w:val="21"/>
                      <w:szCs w:val="21"/>
                    </w:rPr>
                  </w:pPr>
                  <w:r>
                    <w:rPr>
                      <w:rFonts w:eastAsiaTheme="minorEastAsia"/>
                      <w:sz w:val="21"/>
                      <w:szCs w:val="21"/>
                    </w:rPr>
                    <w:t>19.5</w:t>
                  </w:r>
                </w:p>
              </w:tc>
              <w:tc>
                <w:tcPr>
                  <w:tcW w:w="171" w:type="pct"/>
                  <w:shd w:val="clear" w:color="auto" w:fill="FFFFFF"/>
                  <w:tcMar>
                    <w:top w:w="0" w:type="dxa"/>
                    <w:left w:w="0" w:type="dxa"/>
                    <w:bottom w:w="0" w:type="dxa"/>
                    <w:right w:w="0" w:type="dxa"/>
                  </w:tcMar>
                  <w:vAlign w:val="center"/>
                </w:tcPr>
                <w:p w14:paraId="3B7AC173">
                  <w:pPr>
                    <w:jc w:val="center"/>
                    <w:rPr>
                      <w:rFonts w:eastAsiaTheme="minorEastAsia"/>
                      <w:sz w:val="21"/>
                      <w:szCs w:val="21"/>
                    </w:rPr>
                  </w:pPr>
                  <w:r>
                    <w:rPr>
                      <w:rFonts w:eastAsiaTheme="minorEastAsia"/>
                      <w:sz w:val="21"/>
                      <w:szCs w:val="21"/>
                    </w:rPr>
                    <w:t>20.4</w:t>
                  </w:r>
                </w:p>
              </w:tc>
              <w:tc>
                <w:tcPr>
                  <w:tcW w:w="140" w:type="pct"/>
                  <w:shd w:val="clear" w:color="auto" w:fill="FFFFFF"/>
                  <w:tcMar>
                    <w:top w:w="0" w:type="dxa"/>
                    <w:left w:w="0" w:type="dxa"/>
                    <w:bottom w:w="0" w:type="dxa"/>
                    <w:right w:w="0" w:type="dxa"/>
                  </w:tcMar>
                  <w:vAlign w:val="center"/>
                </w:tcPr>
                <w:p w14:paraId="27242C9D">
                  <w:pPr>
                    <w:jc w:val="center"/>
                    <w:rPr>
                      <w:rFonts w:eastAsiaTheme="minorEastAsia"/>
                      <w:sz w:val="21"/>
                      <w:szCs w:val="21"/>
                    </w:rPr>
                  </w:pPr>
                  <w:r>
                    <w:rPr>
                      <w:rFonts w:eastAsiaTheme="minorEastAsia"/>
                      <w:sz w:val="21"/>
                      <w:szCs w:val="21"/>
                    </w:rPr>
                    <w:t>19.6</w:t>
                  </w:r>
                </w:p>
              </w:tc>
              <w:tc>
                <w:tcPr>
                  <w:tcW w:w="135" w:type="pct"/>
                  <w:shd w:val="clear" w:color="auto" w:fill="FFFFFF"/>
                  <w:tcMar>
                    <w:top w:w="0" w:type="dxa"/>
                    <w:left w:w="0" w:type="dxa"/>
                    <w:bottom w:w="0" w:type="dxa"/>
                    <w:right w:w="0" w:type="dxa"/>
                  </w:tcMar>
                  <w:vAlign w:val="center"/>
                </w:tcPr>
                <w:p w14:paraId="7EC7CF9E">
                  <w:pPr>
                    <w:jc w:val="center"/>
                    <w:rPr>
                      <w:rFonts w:eastAsiaTheme="minorEastAsia"/>
                      <w:sz w:val="21"/>
                      <w:szCs w:val="21"/>
                    </w:rPr>
                  </w:pPr>
                  <w:r>
                    <w:rPr>
                      <w:rFonts w:eastAsiaTheme="minorEastAsia"/>
                      <w:sz w:val="21"/>
                      <w:szCs w:val="21"/>
                    </w:rPr>
                    <w:t>1</w:t>
                  </w:r>
                </w:p>
              </w:tc>
            </w:tr>
            <w:bookmarkEnd w:id="100"/>
          </w:tbl>
          <w:p w14:paraId="2674FA4F">
            <w:pPr>
              <w:pStyle w:val="42"/>
              <w:spacing w:line="360" w:lineRule="auto"/>
              <w:ind w:firstLine="480" w:firstLineChars="200"/>
              <w:rPr>
                <w:snapToGrid w:val="0"/>
              </w:rPr>
            </w:pPr>
            <w:r>
              <w:rPr>
                <w:snapToGrid w:val="0"/>
              </w:rPr>
              <w:t>表中坐标以厂界中心（</w:t>
            </w:r>
            <w:bookmarkStart w:id="102" w:name="PO_7"/>
            <w:r>
              <w:rPr>
                <w:snapToGrid w:val="0"/>
              </w:rPr>
              <w:t>109.633285,26.558727</w:t>
            </w:r>
            <w:bookmarkEnd w:id="102"/>
            <w:r>
              <w:rPr>
                <w:snapToGrid w:val="0"/>
              </w:rPr>
              <w:t>）为坐标原点，正东向为X轴正方向，正北向为Y轴正方向</w:t>
            </w:r>
            <w:r>
              <w:rPr>
                <w:rFonts w:hint="eastAsia"/>
                <w:snapToGrid w:val="0"/>
              </w:rPr>
              <w:t>。</w:t>
            </w:r>
          </w:p>
          <w:p w14:paraId="74A1A795">
            <w:pPr>
              <w:pStyle w:val="40"/>
              <w:numPr>
                <w:ilvl w:val="3"/>
                <w:numId w:val="0"/>
              </w:numPr>
              <w:ind w:left="454"/>
            </w:pPr>
            <w:r>
              <w:t>2、声环境影响分析</w:t>
            </w:r>
          </w:p>
          <w:p w14:paraId="7934E362">
            <w:pPr>
              <w:pStyle w:val="42"/>
              <w:spacing w:line="360" w:lineRule="auto"/>
              <w:ind w:firstLine="480" w:firstLineChars="200"/>
              <w:rPr>
                <w:snapToGrid w:val="0"/>
              </w:rPr>
            </w:pPr>
            <w:r>
              <w:rPr>
                <w:snapToGrid w:val="0"/>
              </w:rPr>
              <w:t>根据</w:t>
            </w:r>
            <w:r>
              <w:rPr>
                <w:bCs/>
                <w:spacing w:val="-10"/>
              </w:rPr>
              <w:t>项目</w:t>
            </w:r>
            <w:r>
              <w:rPr>
                <w:snapToGrid w:val="0"/>
              </w:rPr>
              <w:t>设备噪声源特征和厂址周围环境特点，视设备噪声为点声源，采用A声级预测法。</w:t>
            </w:r>
          </w:p>
          <w:p w14:paraId="0FA3C68A">
            <w:pPr>
              <w:pStyle w:val="10"/>
              <w:kinsoku w:val="0"/>
              <w:overflowPunct w:val="0"/>
              <w:adjustRightInd w:val="0"/>
              <w:spacing w:after="0"/>
              <w:ind w:firstLine="480"/>
            </w:pPr>
            <w:r>
              <w:t>根据本项目营运期各噪声源的特征，并结合《环境影响评价技术导则声环境》（HJ2.4-2021）的要求，预测这些声源噪声随距离的衰减变化规律及对周围敏感点的影响程度，模式如下：</w:t>
            </w:r>
          </w:p>
          <w:p w14:paraId="5F4FA88A">
            <w:pPr>
              <w:autoSpaceDE w:val="0"/>
              <w:autoSpaceDN w:val="0"/>
              <w:adjustRightInd w:val="0"/>
              <w:snapToGrid w:val="0"/>
              <w:ind w:firstLine="480"/>
              <w:jc w:val="left"/>
              <w:rPr>
                <w:kern w:val="0"/>
              </w:rPr>
            </w:pPr>
            <w:r>
              <w:rPr>
                <w:kern w:val="0"/>
              </w:rPr>
              <w:fldChar w:fldCharType="begin"/>
            </w:r>
            <w:r>
              <w:rPr>
                <w:kern w:val="0"/>
              </w:rPr>
              <w:instrText xml:space="preserve"> = 1 \* GB3 </w:instrText>
            </w:r>
            <w:r>
              <w:rPr>
                <w:kern w:val="0"/>
              </w:rPr>
              <w:fldChar w:fldCharType="separate"/>
            </w:r>
            <w:r>
              <w:rPr>
                <w:kern w:val="0"/>
              </w:rPr>
              <w:t>①</w:t>
            </w:r>
            <w:r>
              <w:rPr>
                <w:kern w:val="0"/>
              </w:rPr>
              <w:fldChar w:fldCharType="end"/>
            </w:r>
            <w:r>
              <w:rPr>
                <w:kern w:val="0"/>
              </w:rPr>
              <w:t>单个室外的点声源在预测点产生的声级计算基本公式</w:t>
            </w:r>
          </w:p>
          <w:p w14:paraId="047AE60D">
            <w:pPr>
              <w:autoSpaceDE w:val="0"/>
              <w:autoSpaceDN w:val="0"/>
              <w:adjustRightInd w:val="0"/>
              <w:snapToGrid w:val="0"/>
              <w:ind w:firstLine="480"/>
              <w:jc w:val="left"/>
            </w:pPr>
            <w:r>
              <w:rPr>
                <w:kern w:val="0"/>
              </w:rPr>
              <w:t>如已知声源的</w:t>
            </w:r>
            <w:r>
              <w:rPr>
                <w:rFonts w:hint="eastAsia"/>
                <w:kern w:val="0"/>
              </w:rPr>
              <w:t>声压级</w:t>
            </w:r>
            <w:r>
              <w:t xml:space="preserve">，预测点位置的声压级L </w:t>
            </w:r>
            <w:r>
              <w:rPr>
                <w:vertAlign w:val="subscript"/>
              </w:rPr>
              <w:t>P</w:t>
            </w:r>
            <w:r>
              <w:t xml:space="preserve"> (r )可按下式计算：</w:t>
            </w:r>
          </w:p>
          <w:p w14:paraId="56BD3E34">
            <w:pPr>
              <w:autoSpaceDE w:val="0"/>
              <w:autoSpaceDN w:val="0"/>
              <w:adjustRightInd w:val="0"/>
              <w:snapToGrid w:val="0"/>
              <w:ind w:firstLine="1200" w:firstLineChars="500"/>
              <w:jc w:val="left"/>
              <w:rPr>
                <w:kern w:val="0"/>
              </w:rPr>
            </w:pPr>
            <w:r>
              <w:rPr>
                <w:kern w:val="0"/>
              </w:rPr>
              <w:t xml:space="preserve">Lp(r)＝Lp(r0)+DC－(Adiv＋Aatm＋Agr＋Abar＋Amisc) </w:t>
            </w:r>
          </w:p>
          <w:p w14:paraId="6D37F834">
            <w:pPr>
              <w:autoSpaceDE w:val="0"/>
              <w:autoSpaceDN w:val="0"/>
              <w:adjustRightInd w:val="0"/>
              <w:snapToGrid w:val="0"/>
              <w:ind w:firstLine="480"/>
              <w:jc w:val="left"/>
              <w:rPr>
                <w:kern w:val="0"/>
              </w:rPr>
            </w:pPr>
            <w:r>
              <w:rPr>
                <w:kern w:val="0"/>
              </w:rPr>
              <w:t xml:space="preserve"> 式中：Lp(r) ——预测点处声压级，dB；</w:t>
            </w:r>
          </w:p>
          <w:p w14:paraId="5FC5FAEC">
            <w:pPr>
              <w:autoSpaceDE w:val="0"/>
              <w:autoSpaceDN w:val="0"/>
              <w:adjustRightInd w:val="0"/>
              <w:snapToGrid w:val="0"/>
              <w:ind w:firstLine="480"/>
              <w:jc w:val="left"/>
              <w:rPr>
                <w:kern w:val="0"/>
              </w:rPr>
            </w:pPr>
            <w:r>
              <w:rPr>
                <w:kern w:val="0"/>
              </w:rPr>
              <w:t xml:space="preserve"> </w:t>
            </w:r>
            <w:r>
              <w:rPr>
                <w:rFonts w:hint="eastAsia"/>
                <w:kern w:val="0"/>
              </w:rPr>
              <w:t xml:space="preserve">      </w:t>
            </w:r>
            <w:r>
              <w:rPr>
                <w:kern w:val="0"/>
              </w:rPr>
              <w:t>Lp(r0) ——参考位置r0处的声压级，dB；</w:t>
            </w:r>
          </w:p>
          <w:p w14:paraId="2C532D4A">
            <w:pPr>
              <w:autoSpaceDE w:val="0"/>
              <w:autoSpaceDN w:val="0"/>
              <w:adjustRightInd w:val="0"/>
              <w:snapToGrid w:val="0"/>
              <w:ind w:firstLine="1262" w:firstLineChars="526"/>
              <w:jc w:val="left"/>
              <w:rPr>
                <w:kern w:val="0"/>
              </w:rPr>
            </w:pPr>
            <w:r>
              <w:rPr>
                <w:kern w:val="0"/>
              </w:rPr>
              <w:t xml:space="preserve">DC ——指向性校正，它描述点声源的等效连续声压级与产生声功率级Lw的全向点声源在规定方 向的声级的偏差程度，dB； </w:t>
            </w:r>
          </w:p>
          <w:p w14:paraId="342AAB7D">
            <w:pPr>
              <w:autoSpaceDE w:val="0"/>
              <w:autoSpaceDN w:val="0"/>
              <w:adjustRightInd w:val="0"/>
              <w:snapToGrid w:val="0"/>
              <w:ind w:firstLine="1262" w:firstLineChars="526"/>
              <w:jc w:val="left"/>
              <w:rPr>
                <w:kern w:val="0"/>
              </w:rPr>
            </w:pPr>
            <w:r>
              <w:rPr>
                <w:kern w:val="0"/>
              </w:rPr>
              <w:t>Adiv ——几何发散引起的衰减，dB；</w:t>
            </w:r>
          </w:p>
          <w:p w14:paraId="130B13BE">
            <w:pPr>
              <w:autoSpaceDE w:val="0"/>
              <w:autoSpaceDN w:val="0"/>
              <w:adjustRightInd w:val="0"/>
              <w:snapToGrid w:val="0"/>
              <w:ind w:firstLine="1200" w:firstLineChars="500"/>
              <w:jc w:val="left"/>
              <w:rPr>
                <w:kern w:val="0"/>
              </w:rPr>
            </w:pPr>
            <w:r>
              <w:rPr>
                <w:kern w:val="0"/>
              </w:rPr>
              <w:t>Aatm ——大气吸收引起的衰减，dB；</w:t>
            </w:r>
          </w:p>
          <w:p w14:paraId="24691CCC">
            <w:pPr>
              <w:autoSpaceDE w:val="0"/>
              <w:autoSpaceDN w:val="0"/>
              <w:adjustRightInd w:val="0"/>
              <w:snapToGrid w:val="0"/>
              <w:ind w:firstLine="480"/>
              <w:jc w:val="left"/>
              <w:rPr>
                <w:kern w:val="0"/>
              </w:rPr>
            </w:pPr>
            <w:r>
              <w:rPr>
                <w:kern w:val="0"/>
              </w:rPr>
              <w:t xml:space="preserve"> </w:t>
            </w:r>
            <w:r>
              <w:rPr>
                <w:rFonts w:hint="eastAsia"/>
                <w:kern w:val="0"/>
              </w:rPr>
              <w:t xml:space="preserve">     </w:t>
            </w:r>
            <w:r>
              <w:rPr>
                <w:kern w:val="0"/>
              </w:rPr>
              <w:t>Agr ——地面效应引起的衰减，dB；</w:t>
            </w:r>
          </w:p>
          <w:p w14:paraId="69461939">
            <w:pPr>
              <w:autoSpaceDE w:val="0"/>
              <w:autoSpaceDN w:val="0"/>
              <w:adjustRightInd w:val="0"/>
              <w:snapToGrid w:val="0"/>
              <w:ind w:firstLine="480"/>
              <w:jc w:val="left"/>
              <w:rPr>
                <w:kern w:val="0"/>
              </w:rPr>
            </w:pPr>
            <w:r>
              <w:rPr>
                <w:kern w:val="0"/>
              </w:rPr>
              <w:t xml:space="preserve"> </w:t>
            </w:r>
            <w:r>
              <w:rPr>
                <w:rFonts w:hint="eastAsia"/>
                <w:kern w:val="0"/>
              </w:rPr>
              <w:t xml:space="preserve">     </w:t>
            </w:r>
            <w:r>
              <w:rPr>
                <w:kern w:val="0"/>
              </w:rPr>
              <w:t>Abar ——障碍物屏蔽引起的衰减，dB；</w:t>
            </w:r>
          </w:p>
          <w:p w14:paraId="421A9A27">
            <w:pPr>
              <w:autoSpaceDE w:val="0"/>
              <w:autoSpaceDN w:val="0"/>
              <w:adjustRightInd w:val="0"/>
              <w:snapToGrid w:val="0"/>
              <w:ind w:firstLine="1024" w:firstLineChars="427"/>
              <w:jc w:val="left"/>
              <w:rPr>
                <w:kern w:val="0"/>
              </w:rPr>
            </w:pPr>
            <w:r>
              <w:rPr>
                <w:kern w:val="0"/>
              </w:rPr>
              <w:t xml:space="preserve"> Amisc ——其他多方面效应引起的衰减，dB。</w:t>
            </w:r>
          </w:p>
          <w:p w14:paraId="32CE5DC7">
            <w:pPr>
              <w:autoSpaceDE w:val="0"/>
              <w:autoSpaceDN w:val="0"/>
              <w:adjustRightInd w:val="0"/>
              <w:snapToGrid w:val="0"/>
              <w:ind w:firstLine="480"/>
              <w:jc w:val="left"/>
              <w:rPr>
                <w:kern w:val="0"/>
              </w:rPr>
            </w:pPr>
            <w:r>
              <w:rPr>
                <w:kern w:val="0"/>
              </w:rPr>
              <w:t>如已知靠近声源处某点的倍频带声压级时，相同方向预测点位置的倍频带声压级</w:t>
            </w:r>
            <w:r>
              <w:rPr>
                <w:i/>
                <w:iCs/>
                <w:kern w:val="0"/>
              </w:rPr>
              <w:t>L</w:t>
            </w:r>
            <w:r>
              <w:rPr>
                <w:i/>
                <w:iCs/>
                <w:kern w:val="0"/>
                <w:vertAlign w:val="subscript"/>
              </w:rPr>
              <w:t>P</w:t>
            </w:r>
            <w:r>
              <w:rPr>
                <w:kern w:val="0"/>
              </w:rPr>
              <w:t>(</w:t>
            </w:r>
            <w:r>
              <w:rPr>
                <w:i/>
                <w:iCs/>
                <w:kern w:val="0"/>
              </w:rPr>
              <w:t>r</w:t>
            </w:r>
            <w:r>
              <w:rPr>
                <w:kern w:val="0"/>
              </w:rPr>
              <w:t>)可按下式计算：</w:t>
            </w:r>
          </w:p>
          <w:p w14:paraId="5A937E7D">
            <w:pPr>
              <w:autoSpaceDE w:val="0"/>
              <w:autoSpaceDN w:val="0"/>
              <w:adjustRightInd w:val="0"/>
              <w:snapToGrid w:val="0"/>
              <w:ind w:firstLine="480"/>
              <w:jc w:val="center"/>
              <w:rPr>
                <w:kern w:val="0"/>
              </w:rPr>
            </w:pPr>
            <w:r>
              <w:rPr>
                <w:i/>
                <w:iCs/>
                <w:kern w:val="0"/>
              </w:rPr>
              <w:t>L</w:t>
            </w:r>
            <w:r>
              <w:rPr>
                <w:i/>
                <w:iCs/>
                <w:kern w:val="0"/>
                <w:vertAlign w:val="subscript"/>
              </w:rPr>
              <w:t>P</w:t>
            </w:r>
            <w:r>
              <w:rPr>
                <w:kern w:val="0"/>
              </w:rPr>
              <w:t>(</w:t>
            </w:r>
            <w:r>
              <w:rPr>
                <w:i/>
                <w:iCs/>
                <w:kern w:val="0"/>
              </w:rPr>
              <w:t>r</w:t>
            </w:r>
            <w:r>
              <w:rPr>
                <w:kern w:val="0"/>
              </w:rPr>
              <w:t>)</w:t>
            </w:r>
            <w:r>
              <w:rPr>
                <w:i/>
                <w:iCs/>
                <w:kern w:val="0"/>
              </w:rPr>
              <w:t xml:space="preserve"> </w:t>
            </w:r>
            <w:r>
              <w:rPr>
                <w:kern w:val="0"/>
              </w:rPr>
              <w:t>=</w:t>
            </w:r>
            <w:r>
              <w:rPr>
                <w:i/>
                <w:iCs/>
                <w:kern w:val="0"/>
              </w:rPr>
              <w:t>L</w:t>
            </w:r>
            <w:r>
              <w:rPr>
                <w:i/>
                <w:iCs/>
                <w:kern w:val="0"/>
                <w:vertAlign w:val="subscript"/>
              </w:rPr>
              <w:t>P</w:t>
            </w:r>
            <w:r>
              <w:rPr>
                <w:kern w:val="0"/>
              </w:rPr>
              <w:t>(</w:t>
            </w:r>
            <w:r>
              <w:rPr>
                <w:i/>
                <w:iCs/>
                <w:kern w:val="0"/>
              </w:rPr>
              <w:t>r</w:t>
            </w:r>
            <w:r>
              <w:rPr>
                <w:kern w:val="0"/>
                <w:vertAlign w:val="subscript"/>
              </w:rPr>
              <w:t>0</w:t>
            </w:r>
            <w:r>
              <w:rPr>
                <w:kern w:val="0"/>
              </w:rPr>
              <w:t>)</w:t>
            </w:r>
            <w:r>
              <w:rPr>
                <w:i/>
                <w:iCs/>
                <w:kern w:val="0"/>
              </w:rPr>
              <w:t xml:space="preserve"> </w:t>
            </w:r>
            <w:r>
              <w:rPr>
                <w:kern w:val="0"/>
              </w:rPr>
              <w:t>−</w:t>
            </w:r>
            <w:r>
              <w:rPr>
                <w:i/>
                <w:iCs/>
                <w:kern w:val="0"/>
              </w:rPr>
              <w:t>A</w:t>
            </w:r>
          </w:p>
          <w:p w14:paraId="7A07ADD8">
            <w:pPr>
              <w:autoSpaceDE w:val="0"/>
              <w:autoSpaceDN w:val="0"/>
              <w:adjustRightInd w:val="0"/>
              <w:snapToGrid w:val="0"/>
              <w:ind w:firstLine="600" w:firstLineChars="250"/>
              <w:jc w:val="left"/>
              <w:rPr>
                <w:i/>
                <w:iCs/>
                <w:color w:val="0000C7"/>
                <w:kern w:val="0"/>
              </w:rPr>
            </w:pPr>
            <w:r>
              <w:rPr>
                <w:kern w:val="0"/>
              </w:rPr>
              <w:t>预测点的A声级</w:t>
            </w:r>
            <w:r>
              <w:rPr>
                <w:i/>
                <w:iCs/>
                <w:kern w:val="0"/>
              </w:rPr>
              <w:t>L</w:t>
            </w:r>
            <w:r>
              <w:rPr>
                <w:i/>
                <w:iCs/>
                <w:kern w:val="0"/>
                <w:vertAlign w:val="subscript"/>
              </w:rPr>
              <w:t>A</w:t>
            </w:r>
            <w:r>
              <w:rPr>
                <w:kern w:val="0"/>
              </w:rPr>
              <w:t>(</w:t>
            </w:r>
            <w:r>
              <w:rPr>
                <w:i/>
                <w:iCs/>
                <w:kern w:val="0"/>
              </w:rPr>
              <w:t>r</w:t>
            </w:r>
            <w:r>
              <w:rPr>
                <w:kern w:val="0"/>
              </w:rPr>
              <w:t>)，可利用8 个倍频带的声压级按下式计算：</w:t>
            </w:r>
            <w:r>
              <w:rPr>
                <w:color w:val="0000C7"/>
                <w:kern w:val="0"/>
              </w:rPr>
              <w:t xml:space="preserve"> </w:t>
            </w:r>
          </w:p>
          <w:p w14:paraId="22BED3CF">
            <w:pPr>
              <w:autoSpaceDE w:val="0"/>
              <w:autoSpaceDN w:val="0"/>
              <w:adjustRightInd w:val="0"/>
              <w:snapToGrid w:val="0"/>
              <w:ind w:firstLine="480"/>
              <w:jc w:val="center"/>
              <w:rPr>
                <w:color w:val="0000C7"/>
                <w:kern w:val="0"/>
              </w:rPr>
            </w:pPr>
            <w:r>
              <w:rPr>
                <w:color w:val="0000C7"/>
                <w:kern w:val="0"/>
                <w:position w:val="-28"/>
              </w:rPr>
              <w:drawing>
                <wp:inline distT="0" distB="0" distL="114300" distR="114300">
                  <wp:extent cx="1876425" cy="428625"/>
                  <wp:effectExtent l="0" t="0" r="9525" b="889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2"/>
                          <a:stretch>
                            <a:fillRect/>
                          </a:stretch>
                        </pic:blipFill>
                        <pic:spPr>
                          <a:xfrm>
                            <a:off x="0" y="0"/>
                            <a:ext cx="1876425" cy="428625"/>
                          </a:xfrm>
                          <a:prstGeom prst="rect">
                            <a:avLst/>
                          </a:prstGeom>
                          <a:noFill/>
                          <a:ln>
                            <a:noFill/>
                          </a:ln>
                        </pic:spPr>
                      </pic:pic>
                    </a:graphicData>
                  </a:graphic>
                </wp:inline>
              </w:drawing>
            </w:r>
          </w:p>
          <w:p w14:paraId="5F0CA58B">
            <w:pPr>
              <w:autoSpaceDE w:val="0"/>
              <w:autoSpaceDN w:val="0"/>
              <w:adjustRightInd w:val="0"/>
              <w:snapToGrid w:val="0"/>
              <w:ind w:firstLine="480"/>
              <w:jc w:val="left"/>
              <w:rPr>
                <w:kern w:val="0"/>
              </w:rPr>
            </w:pPr>
            <w:r>
              <w:rPr>
                <w:kern w:val="0"/>
              </w:rPr>
              <w:t>式中：</w:t>
            </w:r>
          </w:p>
          <w:p w14:paraId="70CE7E1B">
            <w:pPr>
              <w:autoSpaceDE w:val="0"/>
              <w:autoSpaceDN w:val="0"/>
              <w:adjustRightInd w:val="0"/>
              <w:snapToGrid w:val="0"/>
              <w:ind w:firstLine="480"/>
              <w:jc w:val="left"/>
              <w:rPr>
                <w:kern w:val="0"/>
              </w:rPr>
            </w:pPr>
            <w:r>
              <w:rPr>
                <w:i/>
                <w:iCs/>
                <w:kern w:val="0"/>
              </w:rPr>
              <w:t>L</w:t>
            </w:r>
            <w:r>
              <w:rPr>
                <w:i/>
                <w:iCs/>
                <w:kern w:val="0"/>
                <w:vertAlign w:val="subscript"/>
              </w:rPr>
              <w:t>Pi</w:t>
            </w:r>
            <w:r>
              <w:rPr>
                <w:kern w:val="0"/>
              </w:rPr>
              <w:t>(</w:t>
            </w:r>
            <w:r>
              <w:rPr>
                <w:i/>
                <w:iCs/>
                <w:kern w:val="0"/>
              </w:rPr>
              <w:t>r</w:t>
            </w:r>
            <w:r>
              <w:rPr>
                <w:kern w:val="0"/>
              </w:rPr>
              <w:t>)</w:t>
            </w:r>
            <w:r>
              <w:rPr>
                <w:i/>
                <w:iCs/>
                <w:kern w:val="0"/>
              </w:rPr>
              <w:t xml:space="preserve"> </w:t>
            </w:r>
            <w:r>
              <w:rPr>
                <w:kern w:val="0"/>
              </w:rPr>
              <w:t>—预测点（r）处，第i倍频带声压级，dB；</w:t>
            </w:r>
          </w:p>
          <w:p w14:paraId="0A83EA2B">
            <w:pPr>
              <w:autoSpaceDE w:val="0"/>
              <w:autoSpaceDN w:val="0"/>
              <w:adjustRightInd w:val="0"/>
              <w:snapToGrid w:val="0"/>
              <w:ind w:firstLine="480"/>
              <w:jc w:val="left"/>
              <w:rPr>
                <w:kern w:val="0"/>
              </w:rPr>
            </w:pPr>
            <w:r>
              <w:rPr>
                <w:kern w:val="0"/>
              </w:rPr>
              <w:t>Δ</w:t>
            </w:r>
            <w:r>
              <w:rPr>
                <w:i/>
                <w:iCs/>
                <w:kern w:val="0"/>
              </w:rPr>
              <w:t>L</w:t>
            </w:r>
            <w:r>
              <w:rPr>
                <w:i/>
                <w:iCs/>
                <w:kern w:val="0"/>
                <w:vertAlign w:val="subscript"/>
              </w:rPr>
              <w:t>i</w:t>
            </w:r>
            <w:r>
              <w:rPr>
                <w:i/>
                <w:iCs/>
                <w:kern w:val="0"/>
              </w:rPr>
              <w:t xml:space="preserve"> </w:t>
            </w:r>
            <w:r>
              <w:rPr>
                <w:kern w:val="0"/>
              </w:rPr>
              <w:t>—i倍频带A计权网络修正值，dB。</w:t>
            </w:r>
          </w:p>
          <w:p w14:paraId="774DBA1A">
            <w:pPr>
              <w:autoSpaceDE w:val="0"/>
              <w:autoSpaceDN w:val="0"/>
              <w:adjustRightInd w:val="0"/>
              <w:snapToGrid w:val="0"/>
              <w:ind w:firstLine="480"/>
              <w:jc w:val="left"/>
              <w:rPr>
                <w:kern w:val="0"/>
              </w:rPr>
            </w:pPr>
            <w:r>
              <w:rPr>
                <w:kern w:val="0"/>
              </w:rPr>
              <w:t>在不能取得声源倍频带声功率级或倍频带声压级，只能获得A声功率级或某点的A声级时，可按下式作近似计算：</w:t>
            </w:r>
          </w:p>
          <w:p w14:paraId="0D5976FC">
            <w:pPr>
              <w:autoSpaceDE w:val="0"/>
              <w:autoSpaceDN w:val="0"/>
              <w:adjustRightInd w:val="0"/>
              <w:snapToGrid w:val="0"/>
              <w:ind w:firstLine="480"/>
              <w:jc w:val="center"/>
              <w:rPr>
                <w:kern w:val="0"/>
                <w:lang w:val="it-IT"/>
              </w:rPr>
            </w:pPr>
            <w:r>
              <w:rPr>
                <w:i/>
                <w:iCs/>
                <w:kern w:val="0"/>
                <w:lang w:val="it-IT"/>
              </w:rPr>
              <w:t>L</w:t>
            </w:r>
            <w:r>
              <w:rPr>
                <w:i/>
                <w:iCs/>
                <w:kern w:val="0"/>
                <w:vertAlign w:val="subscript"/>
                <w:lang w:val="it-IT"/>
              </w:rPr>
              <w:t>A</w:t>
            </w:r>
            <w:r>
              <w:rPr>
                <w:kern w:val="0"/>
                <w:lang w:val="it-IT"/>
              </w:rPr>
              <w:t>(</w:t>
            </w:r>
            <w:r>
              <w:rPr>
                <w:i/>
                <w:iCs/>
                <w:kern w:val="0"/>
                <w:lang w:val="it-IT"/>
              </w:rPr>
              <w:t>r</w:t>
            </w:r>
            <w:r>
              <w:rPr>
                <w:kern w:val="0"/>
                <w:lang w:val="it-IT"/>
              </w:rPr>
              <w:t>)</w:t>
            </w:r>
            <w:r>
              <w:rPr>
                <w:i/>
                <w:iCs/>
                <w:kern w:val="0"/>
                <w:lang w:val="it-IT"/>
              </w:rPr>
              <w:t xml:space="preserve"> </w:t>
            </w:r>
            <w:r>
              <w:rPr>
                <w:kern w:val="0"/>
                <w:lang w:val="it-IT"/>
              </w:rPr>
              <w:t>=</w:t>
            </w:r>
            <w:r>
              <w:rPr>
                <w:i/>
                <w:iCs/>
                <w:kern w:val="0"/>
                <w:lang w:val="it-IT"/>
              </w:rPr>
              <w:t>L</w:t>
            </w:r>
            <w:r>
              <w:rPr>
                <w:i/>
                <w:iCs/>
                <w:kern w:val="0"/>
                <w:vertAlign w:val="subscript"/>
                <w:lang w:val="it-IT"/>
              </w:rPr>
              <w:t>Aw</w:t>
            </w:r>
            <w:r>
              <w:rPr>
                <w:i/>
                <w:iCs/>
                <w:kern w:val="0"/>
                <w:lang w:val="it-IT"/>
              </w:rPr>
              <w:t xml:space="preserve"> </w:t>
            </w:r>
            <w:r>
              <w:rPr>
                <w:kern w:val="0"/>
                <w:lang w:val="it-IT"/>
              </w:rPr>
              <w:t>−</w:t>
            </w:r>
            <w:r>
              <w:rPr>
                <w:i/>
                <w:iCs/>
                <w:kern w:val="0"/>
                <w:lang w:val="it-IT"/>
              </w:rPr>
              <w:t>D</w:t>
            </w:r>
            <w:r>
              <w:rPr>
                <w:i/>
                <w:iCs/>
                <w:kern w:val="0"/>
                <w:vertAlign w:val="subscript"/>
                <w:lang w:val="it-IT"/>
              </w:rPr>
              <w:t>c</w:t>
            </w:r>
            <w:r>
              <w:rPr>
                <w:i/>
                <w:iCs/>
                <w:kern w:val="0"/>
                <w:lang w:val="it-IT"/>
              </w:rPr>
              <w:t xml:space="preserve"> </w:t>
            </w:r>
            <w:r>
              <w:rPr>
                <w:kern w:val="0"/>
                <w:lang w:val="it-IT"/>
              </w:rPr>
              <w:t>−</w:t>
            </w:r>
            <w:r>
              <w:rPr>
                <w:i/>
                <w:iCs/>
                <w:kern w:val="0"/>
                <w:lang w:val="it-IT"/>
              </w:rPr>
              <w:t>A</w:t>
            </w:r>
          </w:p>
          <w:p w14:paraId="7D0EECD3">
            <w:pPr>
              <w:autoSpaceDE w:val="0"/>
              <w:autoSpaceDN w:val="0"/>
              <w:adjustRightInd w:val="0"/>
              <w:snapToGrid w:val="0"/>
              <w:ind w:firstLine="480"/>
              <w:jc w:val="center"/>
              <w:rPr>
                <w:i/>
                <w:iCs/>
                <w:kern w:val="0"/>
                <w:lang w:val="it-IT"/>
              </w:rPr>
            </w:pPr>
            <w:r>
              <w:rPr>
                <w:kern w:val="0"/>
              </w:rPr>
              <w:t>或</w:t>
            </w:r>
            <w:r>
              <w:rPr>
                <w:kern w:val="0"/>
                <w:lang w:val="it-IT"/>
              </w:rPr>
              <w:t xml:space="preserve"> </w:t>
            </w:r>
            <w:r>
              <w:rPr>
                <w:i/>
                <w:iCs/>
                <w:kern w:val="0"/>
                <w:lang w:val="it-IT"/>
              </w:rPr>
              <w:t>L</w:t>
            </w:r>
            <w:r>
              <w:rPr>
                <w:i/>
                <w:iCs/>
                <w:kern w:val="0"/>
                <w:vertAlign w:val="subscript"/>
                <w:lang w:val="it-IT"/>
              </w:rPr>
              <w:t>A</w:t>
            </w:r>
            <w:r>
              <w:rPr>
                <w:kern w:val="0"/>
                <w:lang w:val="it-IT"/>
              </w:rPr>
              <w:t>(</w:t>
            </w:r>
            <w:r>
              <w:rPr>
                <w:i/>
                <w:iCs/>
                <w:kern w:val="0"/>
                <w:lang w:val="it-IT"/>
              </w:rPr>
              <w:t>r</w:t>
            </w:r>
            <w:r>
              <w:rPr>
                <w:kern w:val="0"/>
                <w:lang w:val="it-IT"/>
              </w:rPr>
              <w:t>)</w:t>
            </w:r>
            <w:r>
              <w:rPr>
                <w:i/>
                <w:iCs/>
                <w:kern w:val="0"/>
                <w:lang w:val="it-IT"/>
              </w:rPr>
              <w:t xml:space="preserve"> </w:t>
            </w:r>
            <w:r>
              <w:rPr>
                <w:kern w:val="0"/>
                <w:lang w:val="it-IT"/>
              </w:rPr>
              <w:t>=</w:t>
            </w:r>
            <w:r>
              <w:rPr>
                <w:i/>
                <w:iCs/>
                <w:kern w:val="0"/>
                <w:lang w:val="it-IT"/>
              </w:rPr>
              <w:t>L</w:t>
            </w:r>
            <w:r>
              <w:rPr>
                <w:i/>
                <w:iCs/>
                <w:kern w:val="0"/>
                <w:vertAlign w:val="subscript"/>
                <w:lang w:val="it-IT"/>
              </w:rPr>
              <w:t>A</w:t>
            </w:r>
            <w:r>
              <w:rPr>
                <w:kern w:val="0"/>
                <w:lang w:val="it-IT"/>
              </w:rPr>
              <w:t>(</w:t>
            </w:r>
            <w:r>
              <w:rPr>
                <w:i/>
                <w:iCs/>
                <w:kern w:val="0"/>
                <w:lang w:val="it-IT"/>
              </w:rPr>
              <w:t>r</w:t>
            </w:r>
            <w:r>
              <w:rPr>
                <w:kern w:val="0"/>
                <w:vertAlign w:val="subscript"/>
                <w:lang w:val="it-IT"/>
              </w:rPr>
              <w:t>0</w:t>
            </w:r>
            <w:r>
              <w:rPr>
                <w:kern w:val="0"/>
                <w:lang w:val="it-IT"/>
              </w:rPr>
              <w:t>)</w:t>
            </w:r>
            <w:r>
              <w:rPr>
                <w:i/>
                <w:iCs/>
                <w:kern w:val="0"/>
                <w:lang w:val="it-IT"/>
              </w:rPr>
              <w:t xml:space="preserve"> </w:t>
            </w:r>
            <w:r>
              <w:rPr>
                <w:kern w:val="0"/>
                <w:lang w:val="it-IT"/>
              </w:rPr>
              <w:t>−</w:t>
            </w:r>
            <w:r>
              <w:rPr>
                <w:i/>
                <w:iCs/>
                <w:kern w:val="0"/>
                <w:lang w:val="it-IT"/>
              </w:rPr>
              <w:t>A</w:t>
            </w:r>
          </w:p>
          <w:p w14:paraId="7B362B67">
            <w:pPr>
              <w:autoSpaceDE w:val="0"/>
              <w:autoSpaceDN w:val="0"/>
              <w:adjustRightInd w:val="0"/>
              <w:snapToGrid w:val="0"/>
              <w:ind w:firstLine="464"/>
              <w:jc w:val="left"/>
              <w:rPr>
                <w:spacing w:val="-4"/>
                <w:kern w:val="0"/>
              </w:rPr>
            </w:pPr>
            <w:r>
              <w:rPr>
                <w:i/>
                <w:iCs/>
                <w:spacing w:val="-4"/>
                <w:kern w:val="0"/>
              </w:rPr>
              <w:t>A</w:t>
            </w:r>
            <w:r>
              <w:rPr>
                <w:spacing w:val="-4"/>
                <w:kern w:val="0"/>
              </w:rPr>
              <w:t>可选择对A声级影响最大的倍频带计算，一般可选中心频率为500Hz的倍频带作估算。</w:t>
            </w:r>
          </w:p>
          <w:p w14:paraId="6BECEF9D">
            <w:pPr>
              <w:autoSpaceDE w:val="0"/>
              <w:autoSpaceDN w:val="0"/>
              <w:adjustRightInd w:val="0"/>
              <w:snapToGrid w:val="0"/>
              <w:ind w:firstLine="480"/>
              <w:jc w:val="left"/>
              <w:rPr>
                <w:kern w:val="0"/>
              </w:rPr>
            </w:pPr>
            <w:r>
              <w:rPr>
                <w:kern w:val="0"/>
              </w:rPr>
              <w:fldChar w:fldCharType="begin"/>
            </w:r>
            <w:r>
              <w:rPr>
                <w:kern w:val="0"/>
              </w:rPr>
              <w:instrText xml:space="preserve"> = 2 \* GB3 </w:instrText>
            </w:r>
            <w:r>
              <w:rPr>
                <w:kern w:val="0"/>
              </w:rPr>
              <w:fldChar w:fldCharType="separate"/>
            </w:r>
            <w:r>
              <w:rPr>
                <w:kern w:val="0"/>
              </w:rPr>
              <w:t>②</w:t>
            </w:r>
            <w:r>
              <w:rPr>
                <w:kern w:val="0"/>
              </w:rPr>
              <w:fldChar w:fldCharType="end"/>
            </w:r>
            <w:r>
              <w:rPr>
                <w:kern w:val="0"/>
              </w:rPr>
              <w:t>室内声源等效室外声源声功率级计算方法</w:t>
            </w:r>
          </w:p>
          <w:p w14:paraId="0159216B">
            <w:pPr>
              <w:autoSpaceDE w:val="0"/>
              <w:autoSpaceDN w:val="0"/>
              <w:adjustRightInd w:val="0"/>
              <w:snapToGrid w:val="0"/>
              <w:ind w:firstLine="480"/>
              <w:jc w:val="left"/>
              <w:rPr>
                <w:kern w:val="0"/>
              </w:rPr>
            </w:pPr>
            <w:r>
              <w:rPr>
                <w:kern w:val="0"/>
              </w:rPr>
              <w:t>如图4-</w:t>
            </w:r>
            <w:r>
              <w:rPr>
                <w:rFonts w:hint="eastAsia"/>
                <w:kern w:val="0"/>
              </w:rPr>
              <w:t>1</w:t>
            </w:r>
            <w:r>
              <w:rPr>
                <w:kern w:val="0"/>
              </w:rPr>
              <w:t>所示，声源位于室内，室内声源可采用等效室外声源声功率级法进行计算。设靠近开口处（或窗户）室内、室外某倍频带的声压级分别为</w:t>
            </w:r>
            <w:r>
              <w:rPr>
                <w:i/>
                <w:iCs/>
                <w:kern w:val="0"/>
              </w:rPr>
              <w:t>L</w:t>
            </w:r>
            <w:r>
              <w:rPr>
                <w:i/>
                <w:iCs/>
                <w:kern w:val="0"/>
                <w:vertAlign w:val="subscript"/>
              </w:rPr>
              <w:t>p</w:t>
            </w:r>
            <w:r>
              <w:rPr>
                <w:kern w:val="0"/>
                <w:vertAlign w:val="subscript"/>
              </w:rPr>
              <w:t>1</w:t>
            </w:r>
            <w:r>
              <w:rPr>
                <w:kern w:val="0"/>
              </w:rPr>
              <w:t>和</w:t>
            </w:r>
            <w:r>
              <w:rPr>
                <w:i/>
                <w:iCs/>
                <w:kern w:val="0"/>
              </w:rPr>
              <w:t>L</w:t>
            </w:r>
            <w:r>
              <w:rPr>
                <w:i/>
                <w:iCs/>
                <w:kern w:val="0"/>
                <w:vertAlign w:val="subscript"/>
              </w:rPr>
              <w:t>p</w:t>
            </w:r>
            <w:r>
              <w:rPr>
                <w:kern w:val="0"/>
                <w:vertAlign w:val="subscript"/>
              </w:rPr>
              <w:t>2</w:t>
            </w:r>
            <w:r>
              <w:rPr>
                <w:kern w:val="0"/>
              </w:rPr>
              <w:t>。若声源所在室内声场为近似扩散声场，则室外的倍频带声压级可按下式近似求出：</w:t>
            </w:r>
          </w:p>
          <w:p w14:paraId="6E4FB45E">
            <w:pPr>
              <w:autoSpaceDE w:val="0"/>
              <w:autoSpaceDN w:val="0"/>
              <w:adjustRightInd w:val="0"/>
              <w:snapToGrid w:val="0"/>
              <w:ind w:firstLine="480"/>
              <w:jc w:val="center"/>
              <w:rPr>
                <w:kern w:val="0"/>
              </w:rPr>
            </w:pPr>
            <w:r>
              <w:rPr>
                <w:i/>
                <w:iCs/>
                <w:kern w:val="0"/>
              </w:rPr>
              <w:t>L</w:t>
            </w:r>
            <w:r>
              <w:rPr>
                <w:i/>
                <w:iCs/>
                <w:kern w:val="0"/>
                <w:vertAlign w:val="subscript"/>
              </w:rPr>
              <w:t>P2</w:t>
            </w:r>
            <w:r>
              <w:rPr>
                <w:i/>
                <w:iCs/>
                <w:kern w:val="0"/>
              </w:rPr>
              <w:t xml:space="preserve"> </w:t>
            </w:r>
            <w:r>
              <w:rPr>
                <w:kern w:val="0"/>
              </w:rPr>
              <w:t>=</w:t>
            </w:r>
            <w:r>
              <w:rPr>
                <w:i/>
                <w:iCs/>
                <w:kern w:val="0"/>
              </w:rPr>
              <w:t>L</w:t>
            </w:r>
            <w:r>
              <w:rPr>
                <w:i/>
                <w:iCs/>
                <w:kern w:val="0"/>
                <w:vertAlign w:val="subscript"/>
              </w:rPr>
              <w:t>p1</w:t>
            </w:r>
            <w:r>
              <w:rPr>
                <w:kern w:val="0"/>
              </w:rPr>
              <w:t>−(</w:t>
            </w:r>
            <w:r>
              <w:rPr>
                <w:i/>
                <w:iCs/>
                <w:kern w:val="0"/>
              </w:rPr>
              <w:t>TL</w:t>
            </w:r>
            <w:r>
              <w:rPr>
                <w:kern w:val="0"/>
              </w:rPr>
              <w:t>+6)</w:t>
            </w:r>
          </w:p>
          <w:p w14:paraId="020DABDE">
            <w:pPr>
              <w:autoSpaceDE w:val="0"/>
              <w:autoSpaceDN w:val="0"/>
              <w:adjustRightInd w:val="0"/>
              <w:snapToGrid w:val="0"/>
              <w:ind w:firstLine="480"/>
              <w:jc w:val="left"/>
              <w:rPr>
                <w:kern w:val="0"/>
              </w:rPr>
            </w:pPr>
            <w:r>
              <w:rPr>
                <w:kern w:val="0"/>
              </w:rPr>
              <w:t>式中：</w:t>
            </w:r>
          </w:p>
          <w:p w14:paraId="11669442">
            <w:pPr>
              <w:autoSpaceDE w:val="0"/>
              <w:autoSpaceDN w:val="0"/>
              <w:adjustRightInd w:val="0"/>
              <w:snapToGrid w:val="0"/>
              <w:ind w:firstLine="480"/>
              <w:jc w:val="left"/>
              <w:rPr>
                <w:kern w:val="0"/>
              </w:rPr>
            </w:pPr>
            <w:r>
              <w:rPr>
                <w:i/>
                <w:iCs/>
                <w:kern w:val="0"/>
              </w:rPr>
              <w:t>TL</w:t>
            </w:r>
            <w:r>
              <w:rPr>
                <w:kern w:val="0"/>
              </w:rPr>
              <w:t>—隔墙（或窗户）倍频带的隔声量，dB。</w:t>
            </w:r>
          </w:p>
          <w:p w14:paraId="671357F7">
            <w:pPr>
              <w:adjustRightInd w:val="0"/>
              <w:snapToGrid w:val="0"/>
              <w:ind w:firstLine="480"/>
              <w:jc w:val="center"/>
              <w:rPr>
                <w:color w:val="0000C7"/>
              </w:rPr>
            </w:pPr>
            <w:r>
              <w:rPr>
                <w:color w:val="0000C7"/>
              </w:rPr>
              <w:drawing>
                <wp:inline distT="0" distB="0" distL="114300" distR="114300">
                  <wp:extent cx="3609975" cy="1743075"/>
                  <wp:effectExtent l="0" t="0" r="9525" b="952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3"/>
                          <a:srcRect b="8575"/>
                          <a:stretch>
                            <a:fillRect/>
                          </a:stretch>
                        </pic:blipFill>
                        <pic:spPr>
                          <a:xfrm>
                            <a:off x="0" y="0"/>
                            <a:ext cx="3609975" cy="1743075"/>
                          </a:xfrm>
                          <a:prstGeom prst="rect">
                            <a:avLst/>
                          </a:prstGeom>
                          <a:noFill/>
                          <a:ln>
                            <a:noFill/>
                          </a:ln>
                        </pic:spPr>
                      </pic:pic>
                    </a:graphicData>
                  </a:graphic>
                </wp:inline>
              </w:drawing>
            </w:r>
          </w:p>
          <w:p w14:paraId="22539EAE">
            <w:pPr>
              <w:pStyle w:val="8"/>
              <w:numPr>
                <w:ilvl w:val="1"/>
                <w:numId w:val="0"/>
              </w:numPr>
              <w:jc w:val="center"/>
              <w:rPr>
                <w:rFonts w:ascii="Times New Roman" w:hAnsi="Times New Roman"/>
                <w:sz w:val="21"/>
                <w:szCs w:val="21"/>
              </w:rPr>
            </w:pPr>
            <w:r>
              <w:rPr>
                <w:rFonts w:ascii="Times New Roman" w:hAnsi="Times New Roman" w:eastAsia="宋体"/>
                <w:b/>
                <w:bCs/>
                <w:sz w:val="21"/>
                <w:szCs w:val="21"/>
              </w:rPr>
              <w:t>图 4</w:t>
            </w:r>
            <w:r>
              <w:rPr>
                <w:rFonts w:ascii="Times New Roman" w:hAnsi="Times New Roman" w:eastAsia="宋体"/>
                <w:b/>
                <w:bCs/>
                <w:sz w:val="21"/>
                <w:szCs w:val="21"/>
              </w:rPr>
              <w:noBreakHyphen/>
            </w:r>
            <w:r>
              <w:rPr>
                <w:rFonts w:hint="eastAsia" w:ascii="Times New Roman" w:hAnsi="Times New Roman" w:eastAsia="宋体"/>
                <w:b/>
                <w:bCs/>
                <w:sz w:val="21"/>
                <w:szCs w:val="21"/>
                <w:lang w:val="en-US" w:eastAsia="zh-CN"/>
              </w:rPr>
              <w:t>3</w:t>
            </w:r>
            <w:r>
              <w:rPr>
                <w:rFonts w:ascii="Times New Roman" w:hAnsi="Times New Roman" w:eastAsia="宋体"/>
                <w:b/>
                <w:bCs/>
                <w:sz w:val="21"/>
                <w:szCs w:val="21"/>
              </w:rPr>
              <w:t xml:space="preserve">  室内声源等效为室外声源图例</w:t>
            </w:r>
          </w:p>
          <w:p w14:paraId="036AFFB4">
            <w:pPr>
              <w:autoSpaceDE w:val="0"/>
              <w:autoSpaceDN w:val="0"/>
              <w:adjustRightInd w:val="0"/>
              <w:snapToGrid w:val="0"/>
              <w:ind w:firstLine="480"/>
              <w:jc w:val="left"/>
              <w:rPr>
                <w:kern w:val="0"/>
              </w:rPr>
            </w:pPr>
            <w:r>
              <w:rPr>
                <w:kern w:val="0"/>
              </w:rPr>
              <w:t>也可按下式计算某一室内声源靠近围护结构处产生的倍频带声压级：</w:t>
            </w:r>
          </w:p>
          <w:p w14:paraId="1AC40E3E">
            <w:pPr>
              <w:autoSpaceDE w:val="0"/>
              <w:autoSpaceDN w:val="0"/>
              <w:adjustRightInd w:val="0"/>
              <w:snapToGrid w:val="0"/>
              <w:ind w:firstLine="480"/>
              <w:jc w:val="center"/>
              <w:rPr>
                <w:kern w:val="0"/>
              </w:rPr>
            </w:pPr>
            <w:r>
              <w:rPr>
                <w:kern w:val="0"/>
                <w:position w:val="-24"/>
              </w:rPr>
              <w:drawing>
                <wp:inline distT="0" distB="0" distL="114300" distR="114300">
                  <wp:extent cx="1676400" cy="390525"/>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1676400" cy="390525"/>
                          </a:xfrm>
                          <a:prstGeom prst="rect">
                            <a:avLst/>
                          </a:prstGeom>
                          <a:noFill/>
                          <a:ln>
                            <a:noFill/>
                          </a:ln>
                        </pic:spPr>
                      </pic:pic>
                    </a:graphicData>
                  </a:graphic>
                </wp:inline>
              </w:drawing>
            </w:r>
          </w:p>
          <w:p w14:paraId="2A884083">
            <w:pPr>
              <w:autoSpaceDE w:val="0"/>
              <w:autoSpaceDN w:val="0"/>
              <w:adjustRightInd w:val="0"/>
              <w:snapToGrid w:val="0"/>
              <w:ind w:firstLine="480"/>
              <w:jc w:val="left"/>
              <w:rPr>
                <w:kern w:val="0"/>
              </w:rPr>
            </w:pPr>
            <w:r>
              <w:rPr>
                <w:kern w:val="0"/>
              </w:rPr>
              <w:t>式中：</w:t>
            </w:r>
          </w:p>
          <w:p w14:paraId="2D393DB2">
            <w:pPr>
              <w:autoSpaceDE w:val="0"/>
              <w:autoSpaceDN w:val="0"/>
              <w:adjustRightInd w:val="0"/>
              <w:snapToGrid w:val="0"/>
              <w:ind w:firstLine="480"/>
              <w:jc w:val="left"/>
              <w:rPr>
                <w:kern w:val="0"/>
              </w:rPr>
            </w:pPr>
            <w:r>
              <w:rPr>
                <w:i/>
                <w:iCs/>
                <w:kern w:val="0"/>
              </w:rPr>
              <w:t>Q</w:t>
            </w:r>
            <w:r>
              <w:rPr>
                <w:kern w:val="0"/>
              </w:rPr>
              <w:t>—指向性因数；通常对无指向性声源，当声源放在房间中心时，</w:t>
            </w:r>
            <w:r>
              <w:rPr>
                <w:i/>
                <w:iCs/>
                <w:kern w:val="0"/>
              </w:rPr>
              <w:t>Q</w:t>
            </w:r>
            <w:r>
              <w:rPr>
                <w:kern w:val="0"/>
              </w:rPr>
              <w:t>=1；当放在一面墙的中心时，</w:t>
            </w:r>
            <w:r>
              <w:rPr>
                <w:i/>
                <w:iCs/>
                <w:kern w:val="0"/>
              </w:rPr>
              <w:t>Q</w:t>
            </w:r>
            <w:r>
              <w:rPr>
                <w:kern w:val="0"/>
              </w:rPr>
              <w:t>=2；当放在两面墙夹角处时，</w:t>
            </w:r>
            <w:r>
              <w:rPr>
                <w:i/>
                <w:iCs/>
                <w:kern w:val="0"/>
              </w:rPr>
              <w:t>Q</w:t>
            </w:r>
            <w:r>
              <w:rPr>
                <w:kern w:val="0"/>
              </w:rPr>
              <w:t>=4；当放在三面墙夹角处时，</w:t>
            </w:r>
            <w:r>
              <w:rPr>
                <w:i/>
                <w:iCs/>
                <w:kern w:val="0"/>
              </w:rPr>
              <w:t>Q</w:t>
            </w:r>
            <w:r>
              <w:rPr>
                <w:kern w:val="0"/>
              </w:rPr>
              <w:t>=8。</w:t>
            </w:r>
          </w:p>
          <w:p w14:paraId="1689EFAD">
            <w:pPr>
              <w:autoSpaceDE w:val="0"/>
              <w:autoSpaceDN w:val="0"/>
              <w:adjustRightInd w:val="0"/>
              <w:snapToGrid w:val="0"/>
              <w:ind w:firstLine="480"/>
              <w:jc w:val="left"/>
              <w:rPr>
                <w:kern w:val="0"/>
              </w:rPr>
            </w:pPr>
            <w:r>
              <w:rPr>
                <w:i/>
                <w:iCs/>
                <w:kern w:val="0"/>
              </w:rPr>
              <w:t>R</w:t>
            </w:r>
            <w:r>
              <w:rPr>
                <w:kern w:val="0"/>
              </w:rPr>
              <w:t>—房间常数；</w:t>
            </w:r>
            <w:r>
              <w:rPr>
                <w:i/>
                <w:iCs/>
                <w:kern w:val="0"/>
              </w:rPr>
              <w:t xml:space="preserve">R </w:t>
            </w:r>
            <w:r>
              <w:rPr>
                <w:kern w:val="0"/>
              </w:rPr>
              <w:t xml:space="preserve">= </w:t>
            </w:r>
            <w:r>
              <w:rPr>
                <w:i/>
                <w:iCs/>
                <w:kern w:val="0"/>
              </w:rPr>
              <w:t>S</w:t>
            </w:r>
            <w:r>
              <w:rPr>
                <w:kern w:val="0"/>
              </w:rPr>
              <w:t>α /(1 −α ) ，</w:t>
            </w:r>
            <w:r>
              <w:rPr>
                <w:i/>
                <w:iCs/>
                <w:kern w:val="0"/>
              </w:rPr>
              <w:t>S</w:t>
            </w:r>
            <w:r>
              <w:rPr>
                <w:kern w:val="0"/>
              </w:rPr>
              <w:t>为房间内表面面积，m</w:t>
            </w:r>
            <w:r>
              <w:rPr>
                <w:kern w:val="0"/>
                <w:vertAlign w:val="superscript"/>
              </w:rPr>
              <w:t>2</w:t>
            </w:r>
            <w:r>
              <w:rPr>
                <w:kern w:val="0"/>
              </w:rPr>
              <w:t>；α为平均吸声系数。</w:t>
            </w:r>
          </w:p>
          <w:p w14:paraId="249B2E1A">
            <w:pPr>
              <w:autoSpaceDE w:val="0"/>
              <w:autoSpaceDN w:val="0"/>
              <w:adjustRightInd w:val="0"/>
              <w:snapToGrid w:val="0"/>
              <w:ind w:firstLine="480"/>
              <w:jc w:val="left"/>
              <w:rPr>
                <w:kern w:val="0"/>
              </w:rPr>
            </w:pPr>
            <w:r>
              <w:rPr>
                <w:i/>
                <w:iCs/>
                <w:kern w:val="0"/>
              </w:rPr>
              <w:t>r</w:t>
            </w:r>
            <w:r>
              <w:rPr>
                <w:kern w:val="0"/>
              </w:rPr>
              <w:t>—声源到靠近围护结构某点处的距离，m。</w:t>
            </w:r>
          </w:p>
          <w:p w14:paraId="7E3735F6">
            <w:pPr>
              <w:autoSpaceDE w:val="0"/>
              <w:autoSpaceDN w:val="0"/>
              <w:adjustRightInd w:val="0"/>
              <w:snapToGrid w:val="0"/>
              <w:ind w:firstLine="480"/>
              <w:jc w:val="left"/>
              <w:rPr>
                <w:kern w:val="0"/>
              </w:rPr>
            </w:pPr>
            <w:r>
              <w:rPr>
                <w:kern w:val="0"/>
              </w:rPr>
              <w:t>然后按下式计算出所有室内声源在围护结构处产生的</w:t>
            </w:r>
            <w:r>
              <w:rPr>
                <w:i/>
                <w:iCs/>
                <w:kern w:val="0"/>
              </w:rPr>
              <w:t xml:space="preserve">i </w:t>
            </w:r>
            <w:r>
              <w:rPr>
                <w:kern w:val="0"/>
              </w:rPr>
              <w:t>倍频带叠加声压级：</w:t>
            </w:r>
          </w:p>
          <w:p w14:paraId="0F2D7E46">
            <w:pPr>
              <w:autoSpaceDE w:val="0"/>
              <w:autoSpaceDN w:val="0"/>
              <w:adjustRightInd w:val="0"/>
              <w:snapToGrid w:val="0"/>
              <w:ind w:firstLine="480"/>
              <w:jc w:val="center"/>
              <w:rPr>
                <w:kern w:val="0"/>
              </w:rPr>
            </w:pPr>
            <w:r>
              <w:rPr>
                <w:kern w:val="0"/>
                <w:position w:val="-30"/>
              </w:rPr>
              <w:drawing>
                <wp:inline distT="0" distB="0" distL="114300" distR="114300">
                  <wp:extent cx="1628775" cy="447675"/>
                  <wp:effectExtent l="0" t="0" r="9525" b="889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5"/>
                          <a:stretch>
                            <a:fillRect/>
                          </a:stretch>
                        </pic:blipFill>
                        <pic:spPr>
                          <a:xfrm>
                            <a:off x="0" y="0"/>
                            <a:ext cx="1628775" cy="447675"/>
                          </a:xfrm>
                          <a:prstGeom prst="rect">
                            <a:avLst/>
                          </a:prstGeom>
                          <a:noFill/>
                          <a:ln>
                            <a:noFill/>
                          </a:ln>
                        </pic:spPr>
                      </pic:pic>
                    </a:graphicData>
                  </a:graphic>
                </wp:inline>
              </w:drawing>
            </w:r>
          </w:p>
          <w:p w14:paraId="79BA1FDB">
            <w:pPr>
              <w:autoSpaceDE w:val="0"/>
              <w:autoSpaceDN w:val="0"/>
              <w:adjustRightInd w:val="0"/>
              <w:snapToGrid w:val="0"/>
              <w:ind w:firstLine="480"/>
              <w:jc w:val="left"/>
              <w:rPr>
                <w:kern w:val="0"/>
              </w:rPr>
            </w:pPr>
            <w:r>
              <w:rPr>
                <w:kern w:val="0"/>
              </w:rPr>
              <w:t>式中：</w:t>
            </w:r>
          </w:p>
          <w:p w14:paraId="7B7F0A94">
            <w:pPr>
              <w:autoSpaceDE w:val="0"/>
              <w:autoSpaceDN w:val="0"/>
              <w:adjustRightInd w:val="0"/>
              <w:snapToGrid w:val="0"/>
              <w:ind w:firstLine="480"/>
              <w:jc w:val="left"/>
              <w:rPr>
                <w:kern w:val="0"/>
              </w:rPr>
            </w:pPr>
            <w:r>
              <w:rPr>
                <w:i/>
                <w:iCs/>
                <w:kern w:val="0"/>
              </w:rPr>
              <w:t>L P</w:t>
            </w:r>
            <w:r>
              <w:rPr>
                <w:kern w:val="0"/>
                <w:vertAlign w:val="subscript"/>
              </w:rPr>
              <w:t>1</w:t>
            </w:r>
            <w:r>
              <w:rPr>
                <w:i/>
                <w:iCs/>
                <w:kern w:val="0"/>
                <w:vertAlign w:val="subscript"/>
              </w:rPr>
              <w:t>i</w:t>
            </w:r>
            <w:r>
              <w:rPr>
                <w:i/>
                <w:iCs/>
                <w:kern w:val="0"/>
              </w:rPr>
              <w:t xml:space="preserve"> </w:t>
            </w:r>
            <w:r>
              <w:rPr>
                <w:kern w:val="0"/>
              </w:rPr>
              <w:t>(</w:t>
            </w:r>
            <w:r>
              <w:rPr>
                <w:i/>
                <w:iCs/>
                <w:kern w:val="0"/>
              </w:rPr>
              <w:t>T</w:t>
            </w:r>
            <w:r>
              <w:rPr>
                <w:kern w:val="0"/>
              </w:rPr>
              <w:t>)</w:t>
            </w:r>
            <w:r>
              <w:rPr>
                <w:i/>
                <w:iCs/>
                <w:kern w:val="0"/>
              </w:rPr>
              <w:t xml:space="preserve"> </w:t>
            </w:r>
            <w:r>
              <w:rPr>
                <w:kern w:val="0"/>
              </w:rPr>
              <w:t>—靠近围护结构处室内N个声源</w:t>
            </w:r>
            <w:r>
              <w:rPr>
                <w:i/>
                <w:iCs/>
                <w:kern w:val="0"/>
              </w:rPr>
              <w:t>i</w:t>
            </w:r>
            <w:r>
              <w:rPr>
                <w:kern w:val="0"/>
              </w:rPr>
              <w:t>倍频带的叠加声压级，dB；</w:t>
            </w:r>
          </w:p>
          <w:p w14:paraId="3E178280">
            <w:pPr>
              <w:autoSpaceDE w:val="0"/>
              <w:autoSpaceDN w:val="0"/>
              <w:adjustRightInd w:val="0"/>
              <w:snapToGrid w:val="0"/>
              <w:ind w:firstLine="480"/>
              <w:jc w:val="left"/>
              <w:rPr>
                <w:kern w:val="0"/>
              </w:rPr>
            </w:pPr>
            <w:r>
              <w:rPr>
                <w:i/>
                <w:iCs/>
                <w:kern w:val="0"/>
              </w:rPr>
              <w:t xml:space="preserve">L </w:t>
            </w:r>
            <w:r>
              <w:rPr>
                <w:i/>
                <w:iCs/>
                <w:kern w:val="0"/>
                <w:vertAlign w:val="subscript"/>
              </w:rPr>
              <w:t>P</w:t>
            </w:r>
            <w:r>
              <w:rPr>
                <w:kern w:val="0"/>
                <w:vertAlign w:val="subscript"/>
              </w:rPr>
              <w:t>1</w:t>
            </w:r>
            <w:r>
              <w:rPr>
                <w:i/>
                <w:iCs/>
                <w:kern w:val="0"/>
                <w:vertAlign w:val="subscript"/>
              </w:rPr>
              <w:t>ij</w:t>
            </w:r>
            <w:r>
              <w:rPr>
                <w:i/>
                <w:iCs/>
                <w:kern w:val="0"/>
              </w:rPr>
              <w:t xml:space="preserve"> </w:t>
            </w:r>
            <w:r>
              <w:rPr>
                <w:kern w:val="0"/>
              </w:rPr>
              <w:t>—室内</w:t>
            </w:r>
            <w:r>
              <w:rPr>
                <w:i/>
                <w:iCs/>
                <w:kern w:val="0"/>
              </w:rPr>
              <w:t>j</w:t>
            </w:r>
            <w:r>
              <w:rPr>
                <w:kern w:val="0"/>
              </w:rPr>
              <w:t>声源</w:t>
            </w:r>
            <w:r>
              <w:rPr>
                <w:i/>
                <w:iCs/>
                <w:kern w:val="0"/>
              </w:rPr>
              <w:t>i</w:t>
            </w:r>
            <w:r>
              <w:rPr>
                <w:kern w:val="0"/>
              </w:rPr>
              <w:t>倍频带的声压级，dB；</w:t>
            </w:r>
          </w:p>
          <w:p w14:paraId="709072AC">
            <w:pPr>
              <w:autoSpaceDE w:val="0"/>
              <w:autoSpaceDN w:val="0"/>
              <w:adjustRightInd w:val="0"/>
              <w:snapToGrid w:val="0"/>
              <w:ind w:firstLine="480"/>
              <w:jc w:val="left"/>
              <w:rPr>
                <w:kern w:val="0"/>
              </w:rPr>
            </w:pPr>
            <w:r>
              <w:rPr>
                <w:kern w:val="0"/>
              </w:rPr>
              <w:t>N—室内声源总数。</w:t>
            </w:r>
          </w:p>
          <w:p w14:paraId="120AAA0D">
            <w:pPr>
              <w:autoSpaceDE w:val="0"/>
              <w:autoSpaceDN w:val="0"/>
              <w:adjustRightInd w:val="0"/>
              <w:snapToGrid w:val="0"/>
              <w:ind w:firstLine="480"/>
              <w:jc w:val="left"/>
              <w:rPr>
                <w:kern w:val="0"/>
              </w:rPr>
            </w:pPr>
            <w:r>
              <w:rPr>
                <w:kern w:val="0"/>
              </w:rPr>
              <w:t>在室内近似为扩散声场时，按下式计算出靠近室外围护结构处的声压级：</w:t>
            </w:r>
          </w:p>
          <w:p w14:paraId="3CC0AD9E">
            <w:pPr>
              <w:autoSpaceDE w:val="0"/>
              <w:autoSpaceDN w:val="0"/>
              <w:adjustRightInd w:val="0"/>
              <w:snapToGrid w:val="0"/>
              <w:ind w:firstLine="480"/>
              <w:jc w:val="center"/>
              <w:rPr>
                <w:kern w:val="0"/>
                <w:lang w:val="da-DK"/>
              </w:rPr>
            </w:pPr>
            <w:r>
              <w:rPr>
                <w:i/>
                <w:iCs/>
                <w:kern w:val="0"/>
                <w:lang w:val="da-DK"/>
              </w:rPr>
              <w:t>L</w:t>
            </w:r>
            <w:r>
              <w:rPr>
                <w:i/>
                <w:iCs/>
                <w:kern w:val="0"/>
                <w:vertAlign w:val="subscript"/>
                <w:lang w:val="da-DK"/>
              </w:rPr>
              <w:t>P2 i</w:t>
            </w:r>
            <w:r>
              <w:rPr>
                <w:kern w:val="0"/>
                <w:lang w:val="da-DK"/>
              </w:rPr>
              <w:t>(</w:t>
            </w:r>
            <w:r>
              <w:rPr>
                <w:i/>
                <w:iCs/>
                <w:kern w:val="0"/>
                <w:lang w:val="da-DK"/>
              </w:rPr>
              <w:t>T</w:t>
            </w:r>
            <w:r>
              <w:rPr>
                <w:kern w:val="0"/>
                <w:lang w:val="da-DK"/>
              </w:rPr>
              <w:t>)</w:t>
            </w:r>
            <w:r>
              <w:rPr>
                <w:i/>
                <w:iCs/>
                <w:kern w:val="0"/>
                <w:lang w:val="da-DK"/>
              </w:rPr>
              <w:t xml:space="preserve"> </w:t>
            </w:r>
            <w:r>
              <w:rPr>
                <w:kern w:val="0"/>
                <w:lang w:val="da-DK"/>
              </w:rPr>
              <w:t>=</w:t>
            </w:r>
            <w:r>
              <w:rPr>
                <w:i/>
                <w:iCs/>
                <w:kern w:val="0"/>
                <w:lang w:val="da-DK"/>
              </w:rPr>
              <w:t>L</w:t>
            </w:r>
            <w:r>
              <w:rPr>
                <w:i/>
                <w:iCs/>
                <w:kern w:val="0"/>
                <w:vertAlign w:val="subscript"/>
                <w:lang w:val="da-DK"/>
              </w:rPr>
              <w:t>P1i</w:t>
            </w:r>
            <w:r>
              <w:rPr>
                <w:kern w:val="0"/>
                <w:lang w:val="da-DK"/>
              </w:rPr>
              <w:t>(</w:t>
            </w:r>
            <w:r>
              <w:rPr>
                <w:i/>
                <w:iCs/>
                <w:kern w:val="0"/>
                <w:lang w:val="da-DK"/>
              </w:rPr>
              <w:t>T</w:t>
            </w:r>
            <w:r>
              <w:rPr>
                <w:kern w:val="0"/>
                <w:lang w:val="da-DK"/>
              </w:rPr>
              <w:t>)−(</w:t>
            </w:r>
            <w:r>
              <w:rPr>
                <w:i/>
                <w:iCs/>
                <w:kern w:val="0"/>
                <w:lang w:val="da-DK"/>
              </w:rPr>
              <w:t xml:space="preserve">T </w:t>
            </w:r>
            <w:r>
              <w:rPr>
                <w:i/>
                <w:iCs/>
                <w:kern w:val="0"/>
                <w:vertAlign w:val="subscript"/>
                <w:lang w:val="da-DK"/>
              </w:rPr>
              <w:t>i</w:t>
            </w:r>
            <w:r>
              <w:rPr>
                <w:kern w:val="0"/>
                <w:lang w:val="da-DK"/>
              </w:rPr>
              <w:t>+6)</w:t>
            </w:r>
          </w:p>
          <w:p w14:paraId="67AC949B">
            <w:pPr>
              <w:autoSpaceDE w:val="0"/>
              <w:autoSpaceDN w:val="0"/>
              <w:adjustRightInd w:val="0"/>
              <w:snapToGrid w:val="0"/>
              <w:ind w:firstLine="480"/>
              <w:jc w:val="left"/>
              <w:rPr>
                <w:kern w:val="0"/>
              </w:rPr>
            </w:pPr>
            <w:r>
              <w:rPr>
                <w:kern w:val="0"/>
              </w:rPr>
              <w:t>式中：</w:t>
            </w:r>
          </w:p>
          <w:p w14:paraId="5F147105">
            <w:pPr>
              <w:autoSpaceDE w:val="0"/>
              <w:autoSpaceDN w:val="0"/>
              <w:adjustRightInd w:val="0"/>
              <w:snapToGrid w:val="0"/>
              <w:ind w:firstLine="480"/>
              <w:jc w:val="left"/>
              <w:rPr>
                <w:kern w:val="0"/>
              </w:rPr>
            </w:pPr>
            <w:r>
              <w:rPr>
                <w:i/>
                <w:iCs/>
                <w:kern w:val="0"/>
              </w:rPr>
              <w:t>L</w:t>
            </w:r>
            <w:r>
              <w:rPr>
                <w:i/>
                <w:iCs/>
                <w:kern w:val="0"/>
                <w:vertAlign w:val="subscript"/>
              </w:rPr>
              <w:t>P2i</w:t>
            </w:r>
            <w:r>
              <w:rPr>
                <w:kern w:val="0"/>
              </w:rPr>
              <w:t>(</w:t>
            </w:r>
            <w:r>
              <w:rPr>
                <w:i/>
                <w:iCs/>
                <w:kern w:val="0"/>
              </w:rPr>
              <w:t>T</w:t>
            </w:r>
            <w:r>
              <w:rPr>
                <w:kern w:val="0"/>
              </w:rPr>
              <w:t>)</w:t>
            </w:r>
            <w:r>
              <w:rPr>
                <w:i/>
                <w:iCs/>
                <w:kern w:val="0"/>
              </w:rPr>
              <w:t xml:space="preserve"> </w:t>
            </w:r>
            <w:r>
              <w:rPr>
                <w:kern w:val="0"/>
              </w:rPr>
              <w:t>—靠近围护结构处室外N个声源</w:t>
            </w:r>
            <w:r>
              <w:rPr>
                <w:i/>
                <w:iCs/>
                <w:kern w:val="0"/>
              </w:rPr>
              <w:t>i</w:t>
            </w:r>
            <w:r>
              <w:rPr>
                <w:kern w:val="0"/>
              </w:rPr>
              <w:t>倍频带的叠加声压级，dB；</w:t>
            </w:r>
          </w:p>
          <w:p w14:paraId="37E06FF8">
            <w:pPr>
              <w:autoSpaceDE w:val="0"/>
              <w:autoSpaceDN w:val="0"/>
              <w:adjustRightInd w:val="0"/>
              <w:snapToGrid w:val="0"/>
              <w:ind w:firstLine="480"/>
              <w:jc w:val="left"/>
              <w:rPr>
                <w:kern w:val="0"/>
              </w:rPr>
            </w:pPr>
            <w:r>
              <w:rPr>
                <w:i/>
                <w:iCs/>
                <w:kern w:val="0"/>
              </w:rPr>
              <w:t>TL</w:t>
            </w:r>
            <w:r>
              <w:rPr>
                <w:i/>
                <w:iCs/>
                <w:kern w:val="0"/>
                <w:vertAlign w:val="subscript"/>
              </w:rPr>
              <w:t xml:space="preserve">i </w:t>
            </w:r>
            <w:r>
              <w:rPr>
                <w:kern w:val="0"/>
              </w:rPr>
              <w:t>—围护结构</w:t>
            </w:r>
            <w:r>
              <w:rPr>
                <w:i/>
                <w:iCs/>
                <w:kern w:val="0"/>
              </w:rPr>
              <w:t xml:space="preserve">i </w:t>
            </w:r>
            <w:r>
              <w:rPr>
                <w:kern w:val="0"/>
              </w:rPr>
              <w:t>倍频带的隔声量，dB。</w:t>
            </w:r>
          </w:p>
          <w:p w14:paraId="4DAFB846">
            <w:pPr>
              <w:autoSpaceDE w:val="0"/>
              <w:autoSpaceDN w:val="0"/>
              <w:adjustRightInd w:val="0"/>
              <w:snapToGrid w:val="0"/>
              <w:ind w:firstLine="480"/>
              <w:jc w:val="left"/>
              <w:rPr>
                <w:kern w:val="0"/>
              </w:rPr>
            </w:pPr>
            <w:r>
              <w:rPr>
                <w:kern w:val="0"/>
              </w:rPr>
              <w:t>然后按下式将室外声源的声压级和透过面积换算成等效的室外声源，计算出中心位</w:t>
            </w:r>
          </w:p>
          <w:p w14:paraId="26E7C306">
            <w:pPr>
              <w:autoSpaceDE w:val="0"/>
              <w:autoSpaceDN w:val="0"/>
              <w:adjustRightInd w:val="0"/>
              <w:snapToGrid w:val="0"/>
              <w:ind w:firstLine="480"/>
              <w:jc w:val="left"/>
              <w:rPr>
                <w:kern w:val="0"/>
              </w:rPr>
            </w:pPr>
            <w:r>
              <w:rPr>
                <w:kern w:val="0"/>
              </w:rPr>
              <w:t>置位于透声面积（S）处的等效声源的倍频带声功率级。</w:t>
            </w:r>
          </w:p>
          <w:p w14:paraId="66220A8B">
            <w:pPr>
              <w:autoSpaceDE w:val="0"/>
              <w:autoSpaceDN w:val="0"/>
              <w:adjustRightInd w:val="0"/>
              <w:snapToGrid w:val="0"/>
              <w:ind w:firstLine="480"/>
              <w:jc w:val="center"/>
              <w:rPr>
                <w:kern w:val="0"/>
              </w:rPr>
            </w:pPr>
            <w:r>
              <w:rPr>
                <w:i/>
                <w:iCs/>
                <w:kern w:val="0"/>
              </w:rPr>
              <w:t>L</w:t>
            </w:r>
            <w:r>
              <w:rPr>
                <w:i/>
                <w:iCs/>
                <w:kern w:val="0"/>
                <w:vertAlign w:val="subscript"/>
              </w:rPr>
              <w:t>W</w:t>
            </w:r>
            <w:r>
              <w:rPr>
                <w:i/>
                <w:iCs/>
                <w:kern w:val="0"/>
              </w:rPr>
              <w:t xml:space="preserve"> </w:t>
            </w:r>
            <w:r>
              <w:rPr>
                <w:kern w:val="0"/>
              </w:rPr>
              <w:t>=</w:t>
            </w:r>
            <w:r>
              <w:rPr>
                <w:i/>
                <w:iCs/>
                <w:kern w:val="0"/>
              </w:rPr>
              <w:t>L</w:t>
            </w:r>
            <w:r>
              <w:rPr>
                <w:i/>
                <w:iCs/>
                <w:kern w:val="0"/>
                <w:vertAlign w:val="subscript"/>
              </w:rPr>
              <w:t>P</w:t>
            </w:r>
            <w:r>
              <w:rPr>
                <w:kern w:val="0"/>
                <w:vertAlign w:val="subscript"/>
              </w:rPr>
              <w:t>2</w:t>
            </w:r>
            <w:r>
              <w:rPr>
                <w:kern w:val="0"/>
              </w:rPr>
              <w:t>(</w:t>
            </w:r>
            <w:r>
              <w:rPr>
                <w:i/>
                <w:iCs/>
                <w:kern w:val="0"/>
              </w:rPr>
              <w:t>T</w:t>
            </w:r>
            <w:r>
              <w:rPr>
                <w:kern w:val="0"/>
              </w:rPr>
              <w:t>)</w:t>
            </w:r>
            <w:r>
              <w:rPr>
                <w:i/>
                <w:iCs/>
                <w:kern w:val="0"/>
              </w:rPr>
              <w:t xml:space="preserve"> </w:t>
            </w:r>
            <w:r>
              <w:rPr>
                <w:kern w:val="0"/>
              </w:rPr>
              <w:t>+ 10lg</w:t>
            </w:r>
            <w:r>
              <w:rPr>
                <w:i/>
                <w:iCs/>
                <w:kern w:val="0"/>
              </w:rPr>
              <w:t xml:space="preserve"> s</w:t>
            </w:r>
          </w:p>
          <w:p w14:paraId="30A48016">
            <w:pPr>
              <w:autoSpaceDE w:val="0"/>
              <w:autoSpaceDN w:val="0"/>
              <w:adjustRightInd w:val="0"/>
              <w:snapToGrid w:val="0"/>
              <w:ind w:firstLine="480"/>
              <w:jc w:val="left"/>
              <w:rPr>
                <w:kern w:val="0"/>
              </w:rPr>
            </w:pPr>
            <w:r>
              <w:rPr>
                <w:kern w:val="0"/>
              </w:rPr>
              <w:t>然后按室外声源预测方法计算预测点处的A声级。</w:t>
            </w:r>
          </w:p>
          <w:p w14:paraId="50813DB6">
            <w:pPr>
              <w:autoSpaceDE w:val="0"/>
              <w:autoSpaceDN w:val="0"/>
              <w:adjustRightInd w:val="0"/>
              <w:snapToGrid w:val="0"/>
              <w:ind w:firstLine="480"/>
              <w:jc w:val="left"/>
              <w:rPr>
                <w:kern w:val="0"/>
              </w:rPr>
            </w:pPr>
            <w:r>
              <w:fldChar w:fldCharType="begin"/>
            </w:r>
            <w:r>
              <w:instrText xml:space="preserve"> = 3 \* GB3 </w:instrText>
            </w:r>
            <w:r>
              <w:fldChar w:fldCharType="separate"/>
            </w:r>
            <w:r>
              <w:t>③</w:t>
            </w:r>
            <w:r>
              <w:fldChar w:fldCharType="end"/>
            </w:r>
            <w:r>
              <w:rPr>
                <w:kern w:val="0"/>
              </w:rPr>
              <w:t>噪声贡献值计算</w:t>
            </w:r>
          </w:p>
          <w:p w14:paraId="30B9C92A">
            <w:pPr>
              <w:autoSpaceDE w:val="0"/>
              <w:autoSpaceDN w:val="0"/>
              <w:adjustRightInd w:val="0"/>
              <w:snapToGrid w:val="0"/>
              <w:ind w:firstLine="480"/>
              <w:jc w:val="left"/>
              <w:rPr>
                <w:kern w:val="0"/>
              </w:rPr>
            </w:pPr>
            <w:r>
              <w:rPr>
                <w:kern w:val="0"/>
              </w:rPr>
              <w:t>设第</w:t>
            </w:r>
            <w:r>
              <w:rPr>
                <w:i/>
                <w:iCs/>
                <w:kern w:val="0"/>
              </w:rPr>
              <w:t>i</w:t>
            </w:r>
            <w:r>
              <w:rPr>
                <w:kern w:val="0"/>
              </w:rPr>
              <w:t>个室外声源在预测点产生的A声级为</w:t>
            </w:r>
            <w:r>
              <w:rPr>
                <w:i/>
                <w:iCs/>
                <w:kern w:val="0"/>
              </w:rPr>
              <w:t>L</w:t>
            </w:r>
            <w:r>
              <w:rPr>
                <w:i/>
                <w:iCs/>
                <w:kern w:val="0"/>
                <w:vertAlign w:val="subscript"/>
              </w:rPr>
              <w:t>Ai</w:t>
            </w:r>
            <w:r>
              <w:rPr>
                <w:kern w:val="0"/>
              </w:rPr>
              <w:t>，在</w:t>
            </w:r>
            <w:r>
              <w:rPr>
                <w:i/>
                <w:iCs/>
                <w:kern w:val="0"/>
              </w:rPr>
              <w:t>T</w:t>
            </w:r>
            <w:r>
              <w:rPr>
                <w:kern w:val="0"/>
              </w:rPr>
              <w:t>时间内该声源工作时间为</w:t>
            </w:r>
            <w:r>
              <w:rPr>
                <w:i/>
                <w:iCs/>
                <w:kern w:val="0"/>
              </w:rPr>
              <w:t>t</w:t>
            </w:r>
            <w:r>
              <w:rPr>
                <w:i/>
                <w:iCs/>
                <w:kern w:val="0"/>
                <w:vertAlign w:val="subscript"/>
              </w:rPr>
              <w:t>i</w:t>
            </w:r>
            <w:r>
              <w:rPr>
                <w:kern w:val="0"/>
              </w:rPr>
              <w:t>；第</w:t>
            </w:r>
            <w:r>
              <w:rPr>
                <w:i/>
                <w:iCs/>
                <w:kern w:val="0"/>
              </w:rPr>
              <w:t>j</w:t>
            </w:r>
            <w:r>
              <w:rPr>
                <w:kern w:val="0"/>
              </w:rPr>
              <w:t>个等效室外声源在预测点产生的A声级为</w:t>
            </w:r>
            <w:r>
              <w:rPr>
                <w:i/>
                <w:iCs/>
                <w:kern w:val="0"/>
              </w:rPr>
              <w:t>L</w:t>
            </w:r>
            <w:r>
              <w:rPr>
                <w:i/>
                <w:iCs/>
                <w:kern w:val="0"/>
                <w:vertAlign w:val="subscript"/>
              </w:rPr>
              <w:t>Aj</w:t>
            </w:r>
            <w:r>
              <w:rPr>
                <w:kern w:val="0"/>
              </w:rPr>
              <w:t>，在</w:t>
            </w:r>
            <w:r>
              <w:rPr>
                <w:i/>
                <w:iCs/>
                <w:kern w:val="0"/>
              </w:rPr>
              <w:t>T</w:t>
            </w:r>
            <w:r>
              <w:rPr>
                <w:kern w:val="0"/>
              </w:rPr>
              <w:t>时间内该声源工作时间为</w:t>
            </w:r>
            <w:r>
              <w:rPr>
                <w:i/>
                <w:iCs/>
                <w:kern w:val="0"/>
              </w:rPr>
              <w:t>t</w:t>
            </w:r>
            <w:r>
              <w:rPr>
                <w:i/>
                <w:iCs/>
                <w:kern w:val="0"/>
                <w:vertAlign w:val="subscript"/>
              </w:rPr>
              <w:t>j</w:t>
            </w:r>
            <w:r>
              <w:rPr>
                <w:kern w:val="0"/>
              </w:rPr>
              <w:t>，则拟建工程声源对预测点产生的贡献值（</w:t>
            </w:r>
            <w:r>
              <w:rPr>
                <w:i/>
                <w:iCs/>
                <w:kern w:val="0"/>
              </w:rPr>
              <w:t>L</w:t>
            </w:r>
            <w:r>
              <w:rPr>
                <w:i/>
                <w:iCs/>
                <w:kern w:val="0"/>
                <w:vertAlign w:val="subscript"/>
              </w:rPr>
              <w:t>eqg</w:t>
            </w:r>
            <w:r>
              <w:rPr>
                <w:i/>
                <w:iCs/>
                <w:kern w:val="0"/>
              </w:rPr>
              <w:t xml:space="preserve"> </w:t>
            </w:r>
            <w:r>
              <w:rPr>
                <w:kern w:val="0"/>
              </w:rPr>
              <w:t>）为：</w:t>
            </w:r>
          </w:p>
          <w:p w14:paraId="298322FF">
            <w:pPr>
              <w:autoSpaceDE w:val="0"/>
              <w:autoSpaceDN w:val="0"/>
              <w:adjustRightInd w:val="0"/>
              <w:snapToGrid w:val="0"/>
              <w:ind w:firstLine="480"/>
              <w:jc w:val="center"/>
              <w:rPr>
                <w:color w:val="0000C7"/>
                <w:kern w:val="0"/>
              </w:rPr>
            </w:pPr>
            <w:r>
              <w:rPr>
                <w:color w:val="0000C7"/>
                <w:kern w:val="0"/>
                <w:position w:val="-30"/>
              </w:rPr>
              <w:drawing>
                <wp:inline distT="0" distB="0" distL="114300" distR="114300">
                  <wp:extent cx="2524125" cy="447675"/>
                  <wp:effectExtent l="0" t="0" r="9525" b="889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6"/>
                          <a:stretch>
                            <a:fillRect/>
                          </a:stretch>
                        </pic:blipFill>
                        <pic:spPr>
                          <a:xfrm>
                            <a:off x="0" y="0"/>
                            <a:ext cx="2524125" cy="447675"/>
                          </a:xfrm>
                          <a:prstGeom prst="rect">
                            <a:avLst/>
                          </a:prstGeom>
                          <a:noFill/>
                          <a:ln>
                            <a:noFill/>
                          </a:ln>
                        </pic:spPr>
                      </pic:pic>
                    </a:graphicData>
                  </a:graphic>
                </wp:inline>
              </w:drawing>
            </w:r>
          </w:p>
          <w:p w14:paraId="6612F092">
            <w:pPr>
              <w:autoSpaceDE w:val="0"/>
              <w:autoSpaceDN w:val="0"/>
              <w:adjustRightInd w:val="0"/>
              <w:snapToGrid w:val="0"/>
              <w:ind w:firstLine="480"/>
              <w:jc w:val="left"/>
              <w:rPr>
                <w:kern w:val="0"/>
              </w:rPr>
            </w:pPr>
            <w:r>
              <w:rPr>
                <w:kern w:val="0"/>
              </w:rPr>
              <w:t>式中：</w:t>
            </w:r>
          </w:p>
          <w:p w14:paraId="6E56848E">
            <w:pPr>
              <w:autoSpaceDE w:val="0"/>
              <w:autoSpaceDN w:val="0"/>
              <w:adjustRightInd w:val="0"/>
              <w:snapToGrid w:val="0"/>
              <w:ind w:firstLine="480"/>
              <w:jc w:val="left"/>
              <w:rPr>
                <w:kern w:val="0"/>
              </w:rPr>
            </w:pPr>
            <w:r>
              <w:rPr>
                <w:i/>
                <w:iCs/>
                <w:kern w:val="0"/>
              </w:rPr>
              <w:t>t</w:t>
            </w:r>
            <w:r>
              <w:rPr>
                <w:i/>
                <w:iCs/>
                <w:kern w:val="0"/>
                <w:vertAlign w:val="subscript"/>
              </w:rPr>
              <w:t>j</w:t>
            </w:r>
            <w:r>
              <w:rPr>
                <w:i/>
                <w:iCs/>
                <w:kern w:val="0"/>
              </w:rPr>
              <w:t xml:space="preserve"> </w:t>
            </w:r>
            <w:r>
              <w:rPr>
                <w:kern w:val="0"/>
              </w:rPr>
              <w:t>—在T时间内j声源工作时间，s；</w:t>
            </w:r>
          </w:p>
          <w:p w14:paraId="536D4B8A">
            <w:pPr>
              <w:autoSpaceDE w:val="0"/>
              <w:autoSpaceDN w:val="0"/>
              <w:adjustRightInd w:val="0"/>
              <w:snapToGrid w:val="0"/>
              <w:ind w:firstLine="480"/>
              <w:jc w:val="left"/>
              <w:rPr>
                <w:kern w:val="0"/>
              </w:rPr>
            </w:pPr>
            <w:r>
              <w:rPr>
                <w:i/>
                <w:iCs/>
                <w:kern w:val="0"/>
              </w:rPr>
              <w:t>t</w:t>
            </w:r>
            <w:r>
              <w:rPr>
                <w:i/>
                <w:iCs/>
                <w:kern w:val="0"/>
                <w:vertAlign w:val="subscript"/>
              </w:rPr>
              <w:t>i</w:t>
            </w:r>
            <w:r>
              <w:rPr>
                <w:i/>
                <w:iCs/>
                <w:kern w:val="0"/>
              </w:rPr>
              <w:t xml:space="preserve"> </w:t>
            </w:r>
            <w:r>
              <w:rPr>
                <w:kern w:val="0"/>
              </w:rPr>
              <w:t>—在T时间内i声源工作时间，s；</w:t>
            </w:r>
          </w:p>
          <w:p w14:paraId="5E51BAD2">
            <w:pPr>
              <w:autoSpaceDE w:val="0"/>
              <w:autoSpaceDN w:val="0"/>
              <w:adjustRightInd w:val="0"/>
              <w:snapToGrid w:val="0"/>
              <w:ind w:firstLine="480"/>
              <w:jc w:val="left"/>
              <w:rPr>
                <w:kern w:val="0"/>
              </w:rPr>
            </w:pPr>
            <w:r>
              <w:rPr>
                <w:kern w:val="0"/>
              </w:rPr>
              <w:t>T—用于计算等效声级的时间，s；</w:t>
            </w:r>
          </w:p>
          <w:p w14:paraId="59520ECD">
            <w:pPr>
              <w:autoSpaceDE w:val="0"/>
              <w:autoSpaceDN w:val="0"/>
              <w:adjustRightInd w:val="0"/>
              <w:snapToGrid w:val="0"/>
              <w:ind w:firstLine="480"/>
              <w:jc w:val="left"/>
              <w:rPr>
                <w:kern w:val="0"/>
              </w:rPr>
            </w:pPr>
            <w:r>
              <w:rPr>
                <w:kern w:val="0"/>
              </w:rPr>
              <w:t>N—室外声源个数；</w:t>
            </w:r>
          </w:p>
          <w:p w14:paraId="013900EF">
            <w:pPr>
              <w:wordWrap w:val="0"/>
              <w:topLinePunct/>
              <w:adjustRightInd w:val="0"/>
              <w:snapToGrid w:val="0"/>
              <w:ind w:firstLine="480" w:firstLineChars="200"/>
              <w:rPr>
                <w:bCs/>
                <w:color w:val="0000C7"/>
                <w:spacing w:val="-10"/>
              </w:rPr>
            </w:pPr>
            <w:r>
              <w:rPr>
                <w:kern w:val="0"/>
              </w:rPr>
              <w:t>M—等效室外声源个数。</w:t>
            </w:r>
          </w:p>
          <w:p w14:paraId="0FA5694F">
            <w:pPr>
              <w:pStyle w:val="13"/>
              <w:spacing w:after="0"/>
              <w:ind w:left="0" w:leftChars="0" w:firstLine="480"/>
            </w:pPr>
            <w:r>
              <w:rPr>
                <w:sz w:val="24"/>
              </w:rPr>
              <w:t>利用上述的预测评价数学模型，将噪声源强、源强距离厂界距离等有关参数带入公式计算预测项目噪声源同时产生噪声的最不利情况下的厂界噪声，各厂界的预测结果见表噪声经消声、隔声及减振措施后，预计厂界各方位噪声值</w:t>
            </w:r>
            <w:r>
              <w:rPr>
                <w:snapToGrid w:val="0"/>
                <w:kern w:val="0"/>
                <w:sz w:val="24"/>
              </w:rPr>
              <w:t>详见下表</w:t>
            </w:r>
            <w:r>
              <w:rPr>
                <w:sz w:val="24"/>
              </w:rPr>
              <w:t>。</w:t>
            </w:r>
          </w:p>
          <w:p w14:paraId="708CBAED">
            <w:pPr>
              <w:spacing w:line="240" w:lineRule="auto"/>
              <w:ind w:firstLine="382"/>
              <w:jc w:val="center"/>
              <w:rPr>
                <w:rFonts w:eastAsiaTheme="minorEastAsia"/>
                <w:b/>
                <w:bCs/>
                <w:spacing w:val="-10"/>
                <w:sz w:val="21"/>
                <w:szCs w:val="21"/>
              </w:rPr>
            </w:pPr>
            <w:r>
              <w:rPr>
                <w:rFonts w:eastAsiaTheme="minorEastAsia"/>
                <w:b/>
                <w:bCs/>
                <w:spacing w:val="-10"/>
                <w:sz w:val="21"/>
                <w:szCs w:val="21"/>
              </w:rPr>
              <w:t>表4-1</w:t>
            </w:r>
            <w:r>
              <w:rPr>
                <w:rFonts w:hint="eastAsia" w:eastAsiaTheme="minorEastAsia"/>
                <w:b/>
                <w:bCs/>
                <w:spacing w:val="-10"/>
                <w:sz w:val="21"/>
                <w:szCs w:val="21"/>
                <w:lang w:val="en-US" w:eastAsia="zh-CN"/>
              </w:rPr>
              <w:t>2</w:t>
            </w:r>
            <w:r>
              <w:rPr>
                <w:rFonts w:eastAsiaTheme="minorEastAsia"/>
                <w:b/>
                <w:bCs/>
                <w:spacing w:val="-10"/>
                <w:sz w:val="21"/>
                <w:szCs w:val="21"/>
              </w:rPr>
              <w:t xml:space="preserve">  </w:t>
            </w:r>
            <w:r>
              <w:rPr>
                <w:rFonts w:hint="eastAsia" w:eastAsiaTheme="minorEastAsia"/>
                <w:b/>
                <w:bCs/>
                <w:spacing w:val="-10"/>
                <w:sz w:val="21"/>
                <w:szCs w:val="21"/>
              </w:rPr>
              <w:t>项目</w:t>
            </w:r>
            <w:r>
              <w:rPr>
                <w:rFonts w:eastAsiaTheme="minorEastAsia"/>
                <w:b/>
                <w:bCs/>
                <w:spacing w:val="-10"/>
                <w:sz w:val="21"/>
                <w:szCs w:val="21"/>
              </w:rPr>
              <w:t>厂界噪声预测结果与达标分析表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800"/>
              <w:gridCol w:w="800"/>
              <w:gridCol w:w="810"/>
              <w:gridCol w:w="987"/>
              <w:gridCol w:w="1419"/>
              <w:gridCol w:w="1419"/>
              <w:gridCol w:w="1180"/>
            </w:tblGrid>
            <w:tr w14:paraId="2ED5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641" w:type="pct"/>
                  <w:vMerge w:val="restart"/>
                  <w:vAlign w:val="center"/>
                </w:tcPr>
                <w:p w14:paraId="1754BB2E">
                  <w:pPr>
                    <w:spacing w:line="240" w:lineRule="auto"/>
                    <w:jc w:val="center"/>
                    <w:rPr>
                      <w:rFonts w:eastAsiaTheme="minorEastAsia"/>
                      <w:sz w:val="21"/>
                      <w:szCs w:val="21"/>
                    </w:rPr>
                  </w:pPr>
                  <w:r>
                    <w:rPr>
                      <w:rFonts w:eastAsiaTheme="minorEastAsia"/>
                      <w:b/>
                      <w:sz w:val="21"/>
                      <w:szCs w:val="21"/>
                    </w:rPr>
                    <w:t>预测方位</w:t>
                  </w:r>
                </w:p>
              </w:tc>
              <w:tc>
                <w:tcPr>
                  <w:tcW w:w="1416" w:type="pct"/>
                  <w:gridSpan w:val="3"/>
                  <w:vAlign w:val="center"/>
                </w:tcPr>
                <w:p w14:paraId="379A7B73">
                  <w:pPr>
                    <w:spacing w:line="240" w:lineRule="auto"/>
                    <w:jc w:val="center"/>
                    <w:rPr>
                      <w:rFonts w:eastAsiaTheme="minorEastAsia"/>
                      <w:sz w:val="21"/>
                      <w:szCs w:val="21"/>
                    </w:rPr>
                  </w:pPr>
                  <w:r>
                    <w:rPr>
                      <w:rFonts w:eastAsiaTheme="minorEastAsia"/>
                      <w:b/>
                      <w:sz w:val="21"/>
                      <w:szCs w:val="21"/>
                    </w:rPr>
                    <w:t>空间相对位置/m</w:t>
                  </w:r>
                </w:p>
              </w:tc>
              <w:tc>
                <w:tcPr>
                  <w:tcW w:w="580" w:type="pct"/>
                  <w:vMerge w:val="restart"/>
                  <w:vAlign w:val="center"/>
                </w:tcPr>
                <w:p w14:paraId="1F695FD5">
                  <w:pPr>
                    <w:spacing w:line="240" w:lineRule="auto"/>
                    <w:jc w:val="center"/>
                    <w:rPr>
                      <w:rFonts w:eastAsiaTheme="minorEastAsia"/>
                      <w:sz w:val="21"/>
                      <w:szCs w:val="21"/>
                    </w:rPr>
                  </w:pPr>
                  <w:r>
                    <w:rPr>
                      <w:rFonts w:eastAsiaTheme="minorEastAsia"/>
                      <w:b/>
                      <w:sz w:val="21"/>
                      <w:szCs w:val="21"/>
                    </w:rPr>
                    <w:t>时段</w:t>
                  </w:r>
                </w:p>
              </w:tc>
              <w:tc>
                <w:tcPr>
                  <w:tcW w:w="834" w:type="pct"/>
                  <w:vMerge w:val="restart"/>
                  <w:vAlign w:val="center"/>
                </w:tcPr>
                <w:p w14:paraId="4D7D27BB">
                  <w:pPr>
                    <w:spacing w:line="240" w:lineRule="auto"/>
                    <w:jc w:val="center"/>
                    <w:rPr>
                      <w:rFonts w:eastAsiaTheme="minorEastAsia"/>
                      <w:sz w:val="21"/>
                      <w:szCs w:val="21"/>
                    </w:rPr>
                  </w:pPr>
                  <w:r>
                    <w:rPr>
                      <w:rFonts w:eastAsiaTheme="minorEastAsia"/>
                      <w:b/>
                      <w:sz w:val="21"/>
                      <w:szCs w:val="21"/>
                    </w:rPr>
                    <w:t>预测值（dB(A)）</w:t>
                  </w:r>
                </w:p>
              </w:tc>
              <w:tc>
                <w:tcPr>
                  <w:tcW w:w="834" w:type="pct"/>
                  <w:vMerge w:val="restart"/>
                  <w:vAlign w:val="center"/>
                </w:tcPr>
                <w:p w14:paraId="5EFA9A86">
                  <w:pPr>
                    <w:spacing w:line="240" w:lineRule="auto"/>
                    <w:jc w:val="center"/>
                    <w:rPr>
                      <w:rFonts w:eastAsiaTheme="minorEastAsia"/>
                      <w:sz w:val="21"/>
                      <w:szCs w:val="21"/>
                    </w:rPr>
                  </w:pPr>
                  <w:r>
                    <w:rPr>
                      <w:rFonts w:eastAsiaTheme="minorEastAsia"/>
                      <w:b/>
                      <w:sz w:val="21"/>
                      <w:szCs w:val="21"/>
                    </w:rPr>
                    <w:t>标准限值（dB(A)）</w:t>
                  </w:r>
                </w:p>
              </w:tc>
              <w:tc>
                <w:tcPr>
                  <w:tcW w:w="693" w:type="pct"/>
                  <w:vMerge w:val="restart"/>
                  <w:vAlign w:val="center"/>
                </w:tcPr>
                <w:p w14:paraId="1BCC810C">
                  <w:pPr>
                    <w:spacing w:line="240" w:lineRule="auto"/>
                    <w:jc w:val="center"/>
                    <w:rPr>
                      <w:rFonts w:eastAsiaTheme="minorEastAsia"/>
                      <w:sz w:val="21"/>
                      <w:szCs w:val="21"/>
                    </w:rPr>
                  </w:pPr>
                  <w:r>
                    <w:rPr>
                      <w:rFonts w:eastAsiaTheme="minorEastAsia"/>
                      <w:b/>
                      <w:sz w:val="21"/>
                      <w:szCs w:val="21"/>
                    </w:rPr>
                    <w:t>达标情况</w:t>
                  </w:r>
                </w:p>
              </w:tc>
            </w:tr>
            <w:tr w14:paraId="3173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1" w:type="pct"/>
                  <w:vMerge w:val="continue"/>
                  <w:shd w:val="clear" w:color="auto" w:fill="FFFFFF"/>
                  <w:vAlign w:val="center"/>
                </w:tcPr>
                <w:p w14:paraId="67E8E1E0">
                  <w:pPr>
                    <w:spacing w:line="240" w:lineRule="auto"/>
                    <w:ind w:firstLine="420"/>
                    <w:jc w:val="center"/>
                    <w:rPr>
                      <w:rFonts w:eastAsiaTheme="minorEastAsia"/>
                      <w:sz w:val="21"/>
                      <w:szCs w:val="21"/>
                    </w:rPr>
                  </w:pPr>
                </w:p>
              </w:tc>
              <w:tc>
                <w:tcPr>
                  <w:tcW w:w="470" w:type="pct"/>
                  <w:shd w:val="clear" w:color="auto" w:fill="FFFFFF"/>
                  <w:vAlign w:val="center"/>
                </w:tcPr>
                <w:p w14:paraId="5B8B0A3C">
                  <w:pPr>
                    <w:spacing w:line="240" w:lineRule="auto"/>
                    <w:jc w:val="center"/>
                    <w:rPr>
                      <w:rFonts w:eastAsiaTheme="minorEastAsia"/>
                      <w:sz w:val="21"/>
                      <w:szCs w:val="21"/>
                    </w:rPr>
                  </w:pPr>
                  <w:r>
                    <w:rPr>
                      <w:rFonts w:eastAsiaTheme="minorEastAsia"/>
                      <w:sz w:val="21"/>
                      <w:szCs w:val="21"/>
                    </w:rPr>
                    <w:t>X</w:t>
                  </w:r>
                </w:p>
              </w:tc>
              <w:tc>
                <w:tcPr>
                  <w:tcW w:w="470" w:type="pct"/>
                  <w:shd w:val="clear" w:color="auto" w:fill="FFFFFF"/>
                  <w:vAlign w:val="center"/>
                </w:tcPr>
                <w:p w14:paraId="129724CF">
                  <w:pPr>
                    <w:spacing w:line="240" w:lineRule="auto"/>
                    <w:jc w:val="center"/>
                    <w:rPr>
                      <w:rFonts w:eastAsiaTheme="minorEastAsia"/>
                      <w:sz w:val="21"/>
                      <w:szCs w:val="21"/>
                    </w:rPr>
                  </w:pPr>
                  <w:r>
                    <w:rPr>
                      <w:rFonts w:eastAsiaTheme="minorEastAsia"/>
                      <w:sz w:val="21"/>
                      <w:szCs w:val="21"/>
                    </w:rPr>
                    <w:t>Y</w:t>
                  </w:r>
                </w:p>
              </w:tc>
              <w:tc>
                <w:tcPr>
                  <w:tcW w:w="475" w:type="pct"/>
                  <w:shd w:val="clear" w:color="auto" w:fill="FFFFFF"/>
                  <w:vAlign w:val="center"/>
                </w:tcPr>
                <w:p w14:paraId="52F2EE39">
                  <w:pPr>
                    <w:spacing w:line="240" w:lineRule="auto"/>
                    <w:jc w:val="center"/>
                    <w:rPr>
                      <w:rFonts w:eastAsiaTheme="minorEastAsia"/>
                      <w:sz w:val="21"/>
                      <w:szCs w:val="21"/>
                    </w:rPr>
                  </w:pPr>
                  <w:r>
                    <w:rPr>
                      <w:rFonts w:eastAsiaTheme="minorEastAsia"/>
                      <w:sz w:val="21"/>
                      <w:szCs w:val="21"/>
                    </w:rPr>
                    <w:t>Z</w:t>
                  </w:r>
                </w:p>
              </w:tc>
              <w:tc>
                <w:tcPr>
                  <w:tcW w:w="580" w:type="pct"/>
                  <w:vMerge w:val="continue"/>
                  <w:shd w:val="clear" w:color="auto" w:fill="FFFFFF"/>
                  <w:vAlign w:val="center"/>
                </w:tcPr>
                <w:p w14:paraId="2A2FE6F5">
                  <w:pPr>
                    <w:spacing w:line="240" w:lineRule="auto"/>
                    <w:ind w:firstLine="420"/>
                    <w:jc w:val="center"/>
                    <w:rPr>
                      <w:rFonts w:eastAsiaTheme="minorEastAsia"/>
                      <w:sz w:val="21"/>
                      <w:szCs w:val="21"/>
                    </w:rPr>
                  </w:pPr>
                </w:p>
              </w:tc>
              <w:tc>
                <w:tcPr>
                  <w:tcW w:w="834" w:type="pct"/>
                  <w:vMerge w:val="continue"/>
                  <w:shd w:val="clear" w:color="auto" w:fill="FFFFFF"/>
                  <w:vAlign w:val="center"/>
                </w:tcPr>
                <w:p w14:paraId="58E9E227">
                  <w:pPr>
                    <w:spacing w:line="240" w:lineRule="auto"/>
                    <w:ind w:firstLine="420"/>
                    <w:jc w:val="center"/>
                    <w:rPr>
                      <w:rFonts w:eastAsiaTheme="minorEastAsia"/>
                      <w:sz w:val="21"/>
                      <w:szCs w:val="21"/>
                    </w:rPr>
                  </w:pPr>
                </w:p>
              </w:tc>
              <w:tc>
                <w:tcPr>
                  <w:tcW w:w="834" w:type="pct"/>
                  <w:vMerge w:val="continue"/>
                  <w:shd w:val="clear" w:color="auto" w:fill="FFFFFF"/>
                  <w:vAlign w:val="center"/>
                </w:tcPr>
                <w:p w14:paraId="08BC62EC">
                  <w:pPr>
                    <w:spacing w:line="240" w:lineRule="auto"/>
                    <w:ind w:firstLine="420"/>
                    <w:jc w:val="center"/>
                    <w:rPr>
                      <w:rFonts w:eastAsiaTheme="minorEastAsia"/>
                      <w:sz w:val="21"/>
                      <w:szCs w:val="21"/>
                    </w:rPr>
                  </w:pPr>
                </w:p>
              </w:tc>
              <w:tc>
                <w:tcPr>
                  <w:tcW w:w="693" w:type="pct"/>
                  <w:vMerge w:val="continue"/>
                  <w:shd w:val="clear" w:color="auto" w:fill="FFFFFF"/>
                  <w:vAlign w:val="center"/>
                </w:tcPr>
                <w:p w14:paraId="0E8D930D">
                  <w:pPr>
                    <w:spacing w:line="240" w:lineRule="auto"/>
                    <w:ind w:firstLine="420"/>
                    <w:jc w:val="center"/>
                    <w:rPr>
                      <w:rFonts w:eastAsiaTheme="minorEastAsia"/>
                      <w:sz w:val="21"/>
                      <w:szCs w:val="21"/>
                    </w:rPr>
                  </w:pPr>
                </w:p>
              </w:tc>
            </w:tr>
            <w:tr w14:paraId="35F4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7" w:hRule="exact"/>
                <w:jc w:val="center"/>
              </w:trPr>
              <w:tc>
                <w:tcPr>
                  <w:tcW w:w="641" w:type="pct"/>
                  <w:vMerge w:val="restart"/>
                  <w:shd w:val="clear" w:color="auto" w:fill="FFFFFF"/>
                  <w:vAlign w:val="center"/>
                </w:tcPr>
                <w:p w14:paraId="0AF6C307">
                  <w:pPr>
                    <w:spacing w:line="240" w:lineRule="auto"/>
                    <w:jc w:val="center"/>
                    <w:rPr>
                      <w:rFonts w:eastAsiaTheme="minorEastAsia"/>
                      <w:sz w:val="21"/>
                      <w:szCs w:val="21"/>
                    </w:rPr>
                  </w:pPr>
                  <w:r>
                    <w:rPr>
                      <w:rFonts w:eastAsiaTheme="minorEastAsia"/>
                      <w:sz w:val="21"/>
                      <w:szCs w:val="21"/>
                    </w:rPr>
                    <w:t>东侧</w:t>
                  </w:r>
                </w:p>
              </w:tc>
              <w:tc>
                <w:tcPr>
                  <w:tcW w:w="470" w:type="pct"/>
                  <w:shd w:val="clear" w:color="auto" w:fill="FFFFFF"/>
                  <w:vAlign w:val="center"/>
                </w:tcPr>
                <w:p w14:paraId="007F833E">
                  <w:pPr>
                    <w:spacing w:line="240" w:lineRule="auto"/>
                    <w:jc w:val="center"/>
                    <w:rPr>
                      <w:rFonts w:eastAsiaTheme="minorEastAsia"/>
                      <w:sz w:val="21"/>
                      <w:szCs w:val="21"/>
                    </w:rPr>
                  </w:pPr>
                  <w:r>
                    <w:rPr>
                      <w:rFonts w:eastAsiaTheme="minorEastAsia"/>
                      <w:sz w:val="21"/>
                      <w:szCs w:val="21"/>
                    </w:rPr>
                    <w:t>42.5</w:t>
                  </w:r>
                </w:p>
              </w:tc>
              <w:tc>
                <w:tcPr>
                  <w:tcW w:w="470" w:type="pct"/>
                  <w:shd w:val="clear" w:color="auto" w:fill="FFFFFF"/>
                  <w:vAlign w:val="center"/>
                </w:tcPr>
                <w:p w14:paraId="6DFD907D">
                  <w:pPr>
                    <w:spacing w:line="240" w:lineRule="auto"/>
                    <w:jc w:val="center"/>
                    <w:rPr>
                      <w:rFonts w:eastAsiaTheme="minorEastAsia"/>
                      <w:sz w:val="21"/>
                      <w:szCs w:val="21"/>
                    </w:rPr>
                  </w:pPr>
                  <w:r>
                    <w:rPr>
                      <w:rFonts w:eastAsiaTheme="minorEastAsia"/>
                      <w:sz w:val="21"/>
                      <w:szCs w:val="21"/>
                    </w:rPr>
                    <w:t>41</w:t>
                  </w:r>
                </w:p>
              </w:tc>
              <w:tc>
                <w:tcPr>
                  <w:tcW w:w="475" w:type="pct"/>
                  <w:shd w:val="clear" w:color="auto" w:fill="FFFFFF"/>
                  <w:vAlign w:val="center"/>
                </w:tcPr>
                <w:p w14:paraId="6F26A36B">
                  <w:pPr>
                    <w:spacing w:line="240" w:lineRule="auto"/>
                    <w:jc w:val="center"/>
                    <w:rPr>
                      <w:rFonts w:eastAsiaTheme="minorEastAsia"/>
                      <w:sz w:val="21"/>
                      <w:szCs w:val="21"/>
                    </w:rPr>
                  </w:pPr>
                  <w:r>
                    <w:rPr>
                      <w:rFonts w:eastAsiaTheme="minorEastAsia"/>
                      <w:sz w:val="21"/>
                      <w:szCs w:val="21"/>
                    </w:rPr>
                    <w:t>1.2</w:t>
                  </w:r>
                </w:p>
              </w:tc>
              <w:tc>
                <w:tcPr>
                  <w:tcW w:w="580" w:type="pct"/>
                  <w:shd w:val="clear" w:color="auto" w:fill="FFFFFF"/>
                  <w:vAlign w:val="center"/>
                </w:tcPr>
                <w:p w14:paraId="4ADCA5FA">
                  <w:pPr>
                    <w:spacing w:line="240" w:lineRule="auto"/>
                    <w:jc w:val="center"/>
                    <w:rPr>
                      <w:rFonts w:eastAsiaTheme="minorEastAsia"/>
                      <w:sz w:val="21"/>
                      <w:szCs w:val="21"/>
                    </w:rPr>
                  </w:pPr>
                  <w:r>
                    <w:rPr>
                      <w:rFonts w:eastAsiaTheme="minorEastAsia"/>
                      <w:sz w:val="21"/>
                      <w:szCs w:val="21"/>
                    </w:rPr>
                    <w:t>昼间</w:t>
                  </w:r>
                </w:p>
              </w:tc>
              <w:tc>
                <w:tcPr>
                  <w:tcW w:w="834" w:type="pct"/>
                  <w:shd w:val="clear" w:color="auto" w:fill="FFFFFF"/>
                  <w:vAlign w:val="center"/>
                </w:tcPr>
                <w:p w14:paraId="3AFCCC95">
                  <w:pPr>
                    <w:spacing w:line="240" w:lineRule="auto"/>
                    <w:jc w:val="center"/>
                    <w:rPr>
                      <w:rFonts w:eastAsiaTheme="minorEastAsia"/>
                      <w:sz w:val="21"/>
                      <w:szCs w:val="21"/>
                    </w:rPr>
                  </w:pPr>
                  <w:r>
                    <w:rPr>
                      <w:rFonts w:eastAsiaTheme="minorEastAsia"/>
                      <w:sz w:val="21"/>
                      <w:szCs w:val="21"/>
                    </w:rPr>
                    <w:t>36.5</w:t>
                  </w:r>
                </w:p>
              </w:tc>
              <w:tc>
                <w:tcPr>
                  <w:tcW w:w="834" w:type="pct"/>
                  <w:shd w:val="clear" w:color="auto" w:fill="FFFFFF"/>
                  <w:vAlign w:val="center"/>
                </w:tcPr>
                <w:p w14:paraId="177D49C0">
                  <w:pPr>
                    <w:spacing w:line="240" w:lineRule="auto"/>
                    <w:jc w:val="center"/>
                    <w:rPr>
                      <w:rFonts w:eastAsiaTheme="minorEastAsia"/>
                      <w:sz w:val="21"/>
                      <w:szCs w:val="21"/>
                    </w:rPr>
                  </w:pPr>
                  <w:r>
                    <w:rPr>
                      <w:rFonts w:eastAsiaTheme="minorEastAsia"/>
                      <w:sz w:val="21"/>
                      <w:szCs w:val="21"/>
                    </w:rPr>
                    <w:t>60</w:t>
                  </w:r>
                </w:p>
              </w:tc>
              <w:tc>
                <w:tcPr>
                  <w:tcW w:w="693" w:type="pct"/>
                  <w:shd w:val="clear" w:color="auto" w:fill="FFFFFF"/>
                  <w:vAlign w:val="center"/>
                </w:tcPr>
                <w:p w14:paraId="1A74021B">
                  <w:pPr>
                    <w:spacing w:line="240" w:lineRule="auto"/>
                    <w:jc w:val="center"/>
                    <w:rPr>
                      <w:rFonts w:eastAsiaTheme="minorEastAsia"/>
                      <w:sz w:val="21"/>
                      <w:szCs w:val="21"/>
                    </w:rPr>
                  </w:pPr>
                  <w:r>
                    <w:rPr>
                      <w:rFonts w:eastAsiaTheme="minorEastAsia"/>
                      <w:sz w:val="21"/>
                      <w:szCs w:val="21"/>
                    </w:rPr>
                    <w:t>达标</w:t>
                  </w:r>
                </w:p>
              </w:tc>
            </w:tr>
            <w:tr w14:paraId="2811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6" w:hRule="exact"/>
                <w:jc w:val="center"/>
              </w:trPr>
              <w:tc>
                <w:tcPr>
                  <w:tcW w:w="641" w:type="pct"/>
                  <w:vMerge w:val="restart"/>
                  <w:shd w:val="clear" w:color="auto" w:fill="FFFFFF"/>
                  <w:vAlign w:val="center"/>
                </w:tcPr>
                <w:p w14:paraId="6413C54A">
                  <w:pPr>
                    <w:spacing w:line="240" w:lineRule="auto"/>
                    <w:jc w:val="center"/>
                    <w:rPr>
                      <w:rFonts w:eastAsiaTheme="minorEastAsia"/>
                      <w:sz w:val="21"/>
                      <w:szCs w:val="21"/>
                    </w:rPr>
                  </w:pPr>
                  <w:r>
                    <w:rPr>
                      <w:rFonts w:eastAsiaTheme="minorEastAsia"/>
                      <w:sz w:val="21"/>
                      <w:szCs w:val="21"/>
                    </w:rPr>
                    <w:t>南侧</w:t>
                  </w:r>
                </w:p>
              </w:tc>
              <w:tc>
                <w:tcPr>
                  <w:tcW w:w="470" w:type="pct"/>
                  <w:shd w:val="clear" w:color="auto" w:fill="FFFFFF"/>
                  <w:vAlign w:val="center"/>
                </w:tcPr>
                <w:p w14:paraId="5C7E76C1">
                  <w:pPr>
                    <w:spacing w:line="240" w:lineRule="auto"/>
                    <w:jc w:val="center"/>
                    <w:rPr>
                      <w:rFonts w:eastAsiaTheme="minorEastAsia"/>
                      <w:sz w:val="21"/>
                      <w:szCs w:val="21"/>
                    </w:rPr>
                  </w:pPr>
                  <w:r>
                    <w:rPr>
                      <w:rFonts w:eastAsiaTheme="minorEastAsia"/>
                      <w:sz w:val="21"/>
                      <w:szCs w:val="21"/>
                    </w:rPr>
                    <w:t>-45.8</w:t>
                  </w:r>
                </w:p>
              </w:tc>
              <w:tc>
                <w:tcPr>
                  <w:tcW w:w="470" w:type="pct"/>
                  <w:shd w:val="clear" w:color="auto" w:fill="FFFFFF"/>
                  <w:vAlign w:val="center"/>
                </w:tcPr>
                <w:p w14:paraId="39971F73">
                  <w:pPr>
                    <w:spacing w:line="240" w:lineRule="auto"/>
                    <w:jc w:val="center"/>
                    <w:rPr>
                      <w:rFonts w:eastAsiaTheme="minorEastAsia"/>
                      <w:sz w:val="21"/>
                      <w:szCs w:val="21"/>
                    </w:rPr>
                  </w:pPr>
                  <w:r>
                    <w:rPr>
                      <w:rFonts w:eastAsiaTheme="minorEastAsia"/>
                      <w:sz w:val="21"/>
                      <w:szCs w:val="21"/>
                    </w:rPr>
                    <w:t>-48.5</w:t>
                  </w:r>
                </w:p>
              </w:tc>
              <w:tc>
                <w:tcPr>
                  <w:tcW w:w="475" w:type="pct"/>
                  <w:shd w:val="clear" w:color="auto" w:fill="FFFFFF"/>
                  <w:vAlign w:val="center"/>
                </w:tcPr>
                <w:p w14:paraId="19533B6B">
                  <w:pPr>
                    <w:spacing w:line="240" w:lineRule="auto"/>
                    <w:jc w:val="center"/>
                    <w:rPr>
                      <w:rFonts w:eastAsiaTheme="minorEastAsia"/>
                      <w:sz w:val="21"/>
                      <w:szCs w:val="21"/>
                    </w:rPr>
                  </w:pPr>
                  <w:r>
                    <w:rPr>
                      <w:rFonts w:eastAsiaTheme="minorEastAsia"/>
                      <w:sz w:val="21"/>
                      <w:szCs w:val="21"/>
                    </w:rPr>
                    <w:t>1.2</w:t>
                  </w:r>
                </w:p>
              </w:tc>
              <w:tc>
                <w:tcPr>
                  <w:tcW w:w="580" w:type="pct"/>
                  <w:shd w:val="clear" w:color="auto" w:fill="FFFFFF"/>
                  <w:vAlign w:val="center"/>
                </w:tcPr>
                <w:p w14:paraId="445A400D">
                  <w:pPr>
                    <w:spacing w:line="240" w:lineRule="auto"/>
                    <w:jc w:val="center"/>
                    <w:rPr>
                      <w:rFonts w:eastAsiaTheme="minorEastAsia"/>
                      <w:sz w:val="21"/>
                      <w:szCs w:val="21"/>
                    </w:rPr>
                  </w:pPr>
                  <w:r>
                    <w:rPr>
                      <w:rFonts w:eastAsiaTheme="minorEastAsia"/>
                      <w:sz w:val="21"/>
                      <w:szCs w:val="21"/>
                    </w:rPr>
                    <w:t>昼间</w:t>
                  </w:r>
                </w:p>
              </w:tc>
              <w:tc>
                <w:tcPr>
                  <w:tcW w:w="834" w:type="pct"/>
                  <w:shd w:val="clear" w:color="auto" w:fill="FFFFFF"/>
                  <w:vAlign w:val="center"/>
                </w:tcPr>
                <w:p w14:paraId="1F0EEB6B">
                  <w:pPr>
                    <w:spacing w:line="240" w:lineRule="auto"/>
                    <w:jc w:val="center"/>
                    <w:rPr>
                      <w:rFonts w:eastAsiaTheme="minorEastAsia"/>
                      <w:sz w:val="21"/>
                      <w:szCs w:val="21"/>
                    </w:rPr>
                  </w:pPr>
                  <w:r>
                    <w:rPr>
                      <w:rFonts w:eastAsiaTheme="minorEastAsia"/>
                      <w:sz w:val="21"/>
                      <w:szCs w:val="21"/>
                    </w:rPr>
                    <w:t>37.5</w:t>
                  </w:r>
                </w:p>
              </w:tc>
              <w:tc>
                <w:tcPr>
                  <w:tcW w:w="834" w:type="pct"/>
                  <w:shd w:val="clear" w:color="auto" w:fill="FFFFFF"/>
                  <w:vAlign w:val="center"/>
                </w:tcPr>
                <w:p w14:paraId="469BBA44">
                  <w:pPr>
                    <w:spacing w:line="240" w:lineRule="auto"/>
                    <w:jc w:val="center"/>
                    <w:rPr>
                      <w:rFonts w:eastAsiaTheme="minorEastAsia"/>
                      <w:sz w:val="21"/>
                      <w:szCs w:val="21"/>
                    </w:rPr>
                  </w:pPr>
                  <w:r>
                    <w:rPr>
                      <w:rFonts w:hint="eastAsia" w:eastAsiaTheme="minorEastAsia"/>
                      <w:sz w:val="21"/>
                      <w:szCs w:val="21"/>
                    </w:rPr>
                    <w:t>7</w:t>
                  </w:r>
                  <w:r>
                    <w:rPr>
                      <w:rFonts w:eastAsiaTheme="minorEastAsia"/>
                      <w:sz w:val="21"/>
                      <w:szCs w:val="21"/>
                    </w:rPr>
                    <w:t>0</w:t>
                  </w:r>
                </w:p>
              </w:tc>
              <w:tc>
                <w:tcPr>
                  <w:tcW w:w="693" w:type="pct"/>
                  <w:shd w:val="clear" w:color="auto" w:fill="FFFFFF"/>
                  <w:vAlign w:val="center"/>
                </w:tcPr>
                <w:p w14:paraId="443FD018">
                  <w:pPr>
                    <w:spacing w:line="240" w:lineRule="auto"/>
                    <w:jc w:val="center"/>
                    <w:rPr>
                      <w:rFonts w:eastAsiaTheme="minorEastAsia"/>
                      <w:sz w:val="21"/>
                      <w:szCs w:val="21"/>
                    </w:rPr>
                  </w:pPr>
                  <w:r>
                    <w:rPr>
                      <w:rFonts w:eastAsiaTheme="minorEastAsia"/>
                      <w:sz w:val="21"/>
                      <w:szCs w:val="21"/>
                    </w:rPr>
                    <w:t>达标</w:t>
                  </w:r>
                </w:p>
              </w:tc>
            </w:tr>
            <w:tr w14:paraId="7AFF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73" w:hRule="exact"/>
                <w:jc w:val="center"/>
              </w:trPr>
              <w:tc>
                <w:tcPr>
                  <w:tcW w:w="641" w:type="pct"/>
                  <w:vMerge w:val="restart"/>
                  <w:shd w:val="clear" w:color="auto" w:fill="FFFFFF"/>
                  <w:vAlign w:val="center"/>
                </w:tcPr>
                <w:p w14:paraId="1DB55B69">
                  <w:pPr>
                    <w:spacing w:line="240" w:lineRule="auto"/>
                    <w:jc w:val="center"/>
                    <w:rPr>
                      <w:rFonts w:eastAsiaTheme="minorEastAsia"/>
                      <w:sz w:val="21"/>
                      <w:szCs w:val="21"/>
                    </w:rPr>
                  </w:pPr>
                  <w:r>
                    <w:rPr>
                      <w:rFonts w:eastAsiaTheme="minorEastAsia"/>
                      <w:sz w:val="21"/>
                      <w:szCs w:val="21"/>
                    </w:rPr>
                    <w:t>西侧</w:t>
                  </w:r>
                </w:p>
              </w:tc>
              <w:tc>
                <w:tcPr>
                  <w:tcW w:w="470" w:type="pct"/>
                  <w:shd w:val="clear" w:color="auto" w:fill="FFFFFF"/>
                  <w:vAlign w:val="center"/>
                </w:tcPr>
                <w:p w14:paraId="017750EC">
                  <w:pPr>
                    <w:spacing w:line="240" w:lineRule="auto"/>
                    <w:jc w:val="center"/>
                    <w:rPr>
                      <w:rFonts w:eastAsiaTheme="minorEastAsia"/>
                      <w:sz w:val="21"/>
                      <w:szCs w:val="21"/>
                    </w:rPr>
                  </w:pPr>
                  <w:r>
                    <w:rPr>
                      <w:rFonts w:eastAsiaTheme="minorEastAsia"/>
                      <w:sz w:val="21"/>
                      <w:szCs w:val="21"/>
                    </w:rPr>
                    <w:t>-41.4</w:t>
                  </w:r>
                </w:p>
              </w:tc>
              <w:tc>
                <w:tcPr>
                  <w:tcW w:w="470" w:type="pct"/>
                  <w:shd w:val="clear" w:color="auto" w:fill="FFFFFF"/>
                  <w:vAlign w:val="center"/>
                </w:tcPr>
                <w:p w14:paraId="2D8571AC">
                  <w:pPr>
                    <w:spacing w:line="240" w:lineRule="auto"/>
                    <w:jc w:val="center"/>
                    <w:rPr>
                      <w:rFonts w:eastAsiaTheme="minorEastAsia"/>
                      <w:sz w:val="21"/>
                      <w:szCs w:val="21"/>
                    </w:rPr>
                  </w:pPr>
                  <w:r>
                    <w:rPr>
                      <w:rFonts w:eastAsiaTheme="minorEastAsia"/>
                      <w:sz w:val="21"/>
                      <w:szCs w:val="21"/>
                    </w:rPr>
                    <w:t>38.2</w:t>
                  </w:r>
                </w:p>
              </w:tc>
              <w:tc>
                <w:tcPr>
                  <w:tcW w:w="475" w:type="pct"/>
                  <w:shd w:val="clear" w:color="auto" w:fill="FFFFFF"/>
                  <w:vAlign w:val="center"/>
                </w:tcPr>
                <w:p w14:paraId="06792D5C">
                  <w:pPr>
                    <w:spacing w:line="240" w:lineRule="auto"/>
                    <w:jc w:val="center"/>
                    <w:rPr>
                      <w:rFonts w:eastAsiaTheme="minorEastAsia"/>
                      <w:sz w:val="21"/>
                      <w:szCs w:val="21"/>
                    </w:rPr>
                  </w:pPr>
                  <w:r>
                    <w:rPr>
                      <w:rFonts w:eastAsiaTheme="minorEastAsia"/>
                      <w:sz w:val="21"/>
                      <w:szCs w:val="21"/>
                    </w:rPr>
                    <w:t>1.2</w:t>
                  </w:r>
                </w:p>
              </w:tc>
              <w:tc>
                <w:tcPr>
                  <w:tcW w:w="580" w:type="pct"/>
                  <w:shd w:val="clear" w:color="auto" w:fill="FFFFFF"/>
                  <w:vAlign w:val="center"/>
                </w:tcPr>
                <w:p w14:paraId="48D69704">
                  <w:pPr>
                    <w:spacing w:line="240" w:lineRule="auto"/>
                    <w:jc w:val="center"/>
                    <w:rPr>
                      <w:rFonts w:eastAsiaTheme="minorEastAsia"/>
                      <w:sz w:val="21"/>
                      <w:szCs w:val="21"/>
                    </w:rPr>
                  </w:pPr>
                  <w:r>
                    <w:rPr>
                      <w:rFonts w:eastAsiaTheme="minorEastAsia"/>
                      <w:sz w:val="21"/>
                      <w:szCs w:val="21"/>
                    </w:rPr>
                    <w:t>昼间</w:t>
                  </w:r>
                </w:p>
              </w:tc>
              <w:tc>
                <w:tcPr>
                  <w:tcW w:w="834" w:type="pct"/>
                  <w:shd w:val="clear" w:color="auto" w:fill="FFFFFF"/>
                  <w:vAlign w:val="center"/>
                </w:tcPr>
                <w:p w14:paraId="68B21917">
                  <w:pPr>
                    <w:spacing w:line="240" w:lineRule="auto"/>
                    <w:jc w:val="center"/>
                    <w:rPr>
                      <w:rFonts w:eastAsiaTheme="minorEastAsia"/>
                      <w:sz w:val="21"/>
                      <w:szCs w:val="21"/>
                    </w:rPr>
                  </w:pPr>
                  <w:r>
                    <w:rPr>
                      <w:rFonts w:hint="eastAsia" w:eastAsiaTheme="minorEastAsia"/>
                      <w:sz w:val="21"/>
                      <w:szCs w:val="21"/>
                    </w:rPr>
                    <w:t>45</w:t>
                  </w:r>
                  <w:r>
                    <w:rPr>
                      <w:rFonts w:eastAsiaTheme="minorEastAsia"/>
                      <w:sz w:val="21"/>
                      <w:szCs w:val="21"/>
                    </w:rPr>
                    <w:t>.9</w:t>
                  </w:r>
                </w:p>
              </w:tc>
              <w:tc>
                <w:tcPr>
                  <w:tcW w:w="834" w:type="pct"/>
                  <w:shd w:val="clear" w:color="auto" w:fill="FFFFFF"/>
                  <w:vAlign w:val="center"/>
                </w:tcPr>
                <w:p w14:paraId="7E0F6C02">
                  <w:pPr>
                    <w:spacing w:line="240" w:lineRule="auto"/>
                    <w:jc w:val="center"/>
                    <w:rPr>
                      <w:rFonts w:eastAsiaTheme="minorEastAsia"/>
                      <w:sz w:val="21"/>
                      <w:szCs w:val="21"/>
                    </w:rPr>
                  </w:pPr>
                  <w:r>
                    <w:rPr>
                      <w:rFonts w:eastAsiaTheme="minorEastAsia"/>
                      <w:sz w:val="21"/>
                      <w:szCs w:val="21"/>
                    </w:rPr>
                    <w:t>60</w:t>
                  </w:r>
                </w:p>
              </w:tc>
              <w:tc>
                <w:tcPr>
                  <w:tcW w:w="693" w:type="pct"/>
                  <w:shd w:val="clear" w:color="auto" w:fill="FFFFFF"/>
                  <w:vAlign w:val="center"/>
                </w:tcPr>
                <w:p w14:paraId="7333C074">
                  <w:pPr>
                    <w:spacing w:line="240" w:lineRule="auto"/>
                    <w:jc w:val="center"/>
                    <w:rPr>
                      <w:rFonts w:eastAsiaTheme="minorEastAsia"/>
                      <w:sz w:val="21"/>
                      <w:szCs w:val="21"/>
                    </w:rPr>
                  </w:pPr>
                  <w:r>
                    <w:rPr>
                      <w:rFonts w:eastAsiaTheme="minorEastAsia"/>
                      <w:sz w:val="21"/>
                      <w:szCs w:val="21"/>
                    </w:rPr>
                    <w:t>达标</w:t>
                  </w:r>
                </w:p>
              </w:tc>
            </w:tr>
            <w:tr w14:paraId="137B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3" w:hRule="exact"/>
                <w:jc w:val="center"/>
              </w:trPr>
              <w:tc>
                <w:tcPr>
                  <w:tcW w:w="641" w:type="pct"/>
                  <w:shd w:val="clear" w:color="auto" w:fill="FFFFFF"/>
                  <w:vAlign w:val="center"/>
                </w:tcPr>
                <w:p w14:paraId="302D673C">
                  <w:pPr>
                    <w:spacing w:line="240" w:lineRule="auto"/>
                    <w:jc w:val="center"/>
                    <w:rPr>
                      <w:rFonts w:eastAsiaTheme="minorEastAsia"/>
                      <w:sz w:val="21"/>
                      <w:szCs w:val="21"/>
                    </w:rPr>
                  </w:pPr>
                  <w:r>
                    <w:rPr>
                      <w:rFonts w:eastAsiaTheme="minorEastAsia"/>
                      <w:sz w:val="21"/>
                      <w:szCs w:val="21"/>
                    </w:rPr>
                    <w:t>北侧</w:t>
                  </w:r>
                </w:p>
              </w:tc>
              <w:tc>
                <w:tcPr>
                  <w:tcW w:w="470" w:type="pct"/>
                  <w:shd w:val="clear" w:color="auto" w:fill="FFFFFF"/>
                  <w:vAlign w:val="center"/>
                </w:tcPr>
                <w:p w14:paraId="1BD0DE70">
                  <w:pPr>
                    <w:spacing w:line="240" w:lineRule="auto"/>
                    <w:jc w:val="center"/>
                    <w:rPr>
                      <w:rFonts w:eastAsiaTheme="minorEastAsia"/>
                      <w:sz w:val="21"/>
                      <w:szCs w:val="21"/>
                    </w:rPr>
                  </w:pPr>
                  <w:r>
                    <w:rPr>
                      <w:rFonts w:eastAsiaTheme="minorEastAsia"/>
                      <w:sz w:val="21"/>
                      <w:szCs w:val="21"/>
                    </w:rPr>
                    <w:t>-39.2</w:t>
                  </w:r>
                </w:p>
              </w:tc>
              <w:tc>
                <w:tcPr>
                  <w:tcW w:w="470" w:type="pct"/>
                  <w:shd w:val="clear" w:color="auto" w:fill="FFFFFF"/>
                  <w:vAlign w:val="center"/>
                </w:tcPr>
                <w:p w14:paraId="5C7FB1D8">
                  <w:pPr>
                    <w:spacing w:line="240" w:lineRule="auto"/>
                    <w:jc w:val="center"/>
                    <w:rPr>
                      <w:rFonts w:eastAsiaTheme="minorEastAsia"/>
                      <w:sz w:val="21"/>
                      <w:szCs w:val="21"/>
                    </w:rPr>
                  </w:pPr>
                  <w:r>
                    <w:rPr>
                      <w:rFonts w:eastAsiaTheme="minorEastAsia"/>
                      <w:sz w:val="21"/>
                      <w:szCs w:val="21"/>
                    </w:rPr>
                    <w:t>40.2</w:t>
                  </w:r>
                </w:p>
              </w:tc>
              <w:tc>
                <w:tcPr>
                  <w:tcW w:w="475" w:type="pct"/>
                  <w:shd w:val="clear" w:color="auto" w:fill="FFFFFF"/>
                  <w:vAlign w:val="center"/>
                </w:tcPr>
                <w:p w14:paraId="2A915292">
                  <w:pPr>
                    <w:spacing w:line="240" w:lineRule="auto"/>
                    <w:jc w:val="center"/>
                    <w:rPr>
                      <w:rFonts w:eastAsiaTheme="minorEastAsia"/>
                      <w:sz w:val="21"/>
                      <w:szCs w:val="21"/>
                    </w:rPr>
                  </w:pPr>
                  <w:r>
                    <w:rPr>
                      <w:rFonts w:eastAsiaTheme="minorEastAsia"/>
                      <w:sz w:val="21"/>
                      <w:szCs w:val="21"/>
                    </w:rPr>
                    <w:t>1.2</w:t>
                  </w:r>
                </w:p>
              </w:tc>
              <w:tc>
                <w:tcPr>
                  <w:tcW w:w="580" w:type="pct"/>
                  <w:shd w:val="clear" w:color="auto" w:fill="FFFFFF"/>
                  <w:vAlign w:val="center"/>
                </w:tcPr>
                <w:p w14:paraId="07632E5F">
                  <w:pPr>
                    <w:spacing w:line="240" w:lineRule="auto"/>
                    <w:jc w:val="center"/>
                    <w:rPr>
                      <w:rFonts w:eastAsiaTheme="minorEastAsia"/>
                      <w:sz w:val="21"/>
                      <w:szCs w:val="21"/>
                    </w:rPr>
                  </w:pPr>
                  <w:r>
                    <w:rPr>
                      <w:rFonts w:eastAsiaTheme="minorEastAsia"/>
                      <w:sz w:val="21"/>
                      <w:szCs w:val="21"/>
                    </w:rPr>
                    <w:t>昼间</w:t>
                  </w:r>
                </w:p>
              </w:tc>
              <w:tc>
                <w:tcPr>
                  <w:tcW w:w="834" w:type="pct"/>
                  <w:shd w:val="clear" w:color="auto" w:fill="FFFFFF"/>
                  <w:vAlign w:val="center"/>
                </w:tcPr>
                <w:p w14:paraId="5AD62CB4">
                  <w:pPr>
                    <w:spacing w:line="240" w:lineRule="auto"/>
                    <w:jc w:val="center"/>
                    <w:rPr>
                      <w:rFonts w:eastAsiaTheme="minorEastAsia"/>
                      <w:sz w:val="21"/>
                      <w:szCs w:val="21"/>
                    </w:rPr>
                  </w:pPr>
                  <w:r>
                    <w:rPr>
                      <w:rFonts w:hint="eastAsia" w:eastAsiaTheme="minorEastAsia"/>
                      <w:sz w:val="21"/>
                      <w:szCs w:val="21"/>
                    </w:rPr>
                    <w:t>50</w:t>
                  </w:r>
                  <w:r>
                    <w:rPr>
                      <w:rFonts w:eastAsiaTheme="minorEastAsia"/>
                      <w:sz w:val="21"/>
                      <w:szCs w:val="21"/>
                    </w:rPr>
                    <w:t>.6</w:t>
                  </w:r>
                </w:p>
              </w:tc>
              <w:tc>
                <w:tcPr>
                  <w:tcW w:w="834" w:type="pct"/>
                  <w:shd w:val="clear" w:color="auto" w:fill="FFFFFF"/>
                  <w:vAlign w:val="center"/>
                </w:tcPr>
                <w:p w14:paraId="09327CA3">
                  <w:pPr>
                    <w:spacing w:line="240" w:lineRule="auto"/>
                    <w:jc w:val="center"/>
                    <w:rPr>
                      <w:rFonts w:eastAsiaTheme="minorEastAsia"/>
                      <w:sz w:val="21"/>
                      <w:szCs w:val="21"/>
                    </w:rPr>
                  </w:pPr>
                  <w:r>
                    <w:rPr>
                      <w:rFonts w:eastAsiaTheme="minorEastAsia"/>
                      <w:sz w:val="21"/>
                      <w:szCs w:val="21"/>
                    </w:rPr>
                    <w:t>60</w:t>
                  </w:r>
                </w:p>
              </w:tc>
              <w:tc>
                <w:tcPr>
                  <w:tcW w:w="693" w:type="pct"/>
                  <w:shd w:val="clear" w:color="auto" w:fill="FFFFFF"/>
                  <w:vAlign w:val="center"/>
                </w:tcPr>
                <w:p w14:paraId="6CD18C89">
                  <w:pPr>
                    <w:spacing w:line="240" w:lineRule="auto"/>
                    <w:jc w:val="center"/>
                    <w:rPr>
                      <w:rFonts w:eastAsiaTheme="minorEastAsia"/>
                      <w:sz w:val="21"/>
                      <w:szCs w:val="21"/>
                    </w:rPr>
                  </w:pPr>
                  <w:r>
                    <w:rPr>
                      <w:rFonts w:eastAsiaTheme="minorEastAsia"/>
                      <w:sz w:val="21"/>
                      <w:szCs w:val="21"/>
                    </w:rPr>
                    <w:t>达标</w:t>
                  </w:r>
                </w:p>
              </w:tc>
            </w:tr>
          </w:tbl>
          <w:p w14:paraId="2E5009EC">
            <w:pPr>
              <w:pStyle w:val="57"/>
              <w:spacing w:line="240" w:lineRule="auto"/>
              <w:ind w:firstLine="382"/>
              <w:rPr>
                <w:rFonts w:eastAsiaTheme="minorEastAsia"/>
                <w:bCs/>
                <w:spacing w:val="-10"/>
                <w:sz w:val="21"/>
                <w:szCs w:val="21"/>
              </w:rPr>
            </w:pPr>
            <w:r>
              <w:rPr>
                <w:rFonts w:eastAsiaTheme="minorEastAsia"/>
                <w:bCs/>
                <w:spacing w:val="-10"/>
                <w:sz w:val="21"/>
                <w:szCs w:val="21"/>
              </w:rPr>
              <w:t>表4-1</w:t>
            </w:r>
            <w:r>
              <w:rPr>
                <w:rFonts w:hint="eastAsia" w:eastAsiaTheme="minorEastAsia"/>
                <w:bCs/>
                <w:spacing w:val="-10"/>
                <w:sz w:val="21"/>
                <w:szCs w:val="21"/>
                <w:lang w:val="en-US" w:eastAsia="zh-CN"/>
              </w:rPr>
              <w:t>3</w:t>
            </w:r>
            <w:r>
              <w:rPr>
                <w:rFonts w:eastAsiaTheme="minorEastAsia"/>
                <w:bCs/>
                <w:spacing w:val="-10"/>
                <w:sz w:val="21"/>
                <w:szCs w:val="21"/>
              </w:rPr>
              <w:t xml:space="preserve">  环境保护目标噪声预测结果与达标分析表</w:t>
            </w:r>
          </w:p>
          <w:tbl>
            <w:tblPr>
              <w:tblStyle w:val="24"/>
              <w:tblW w:w="852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9"/>
              <w:gridCol w:w="1025"/>
              <w:gridCol w:w="1312"/>
              <w:gridCol w:w="1275"/>
              <w:gridCol w:w="1177"/>
              <w:gridCol w:w="1164"/>
              <w:gridCol w:w="1024"/>
              <w:gridCol w:w="1118"/>
            </w:tblGrid>
            <w:tr w14:paraId="055B72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06" w:hRule="exact"/>
                <w:jc w:val="center"/>
              </w:trPr>
              <w:tc>
                <w:tcPr>
                  <w:tcW w:w="252" w:type="pct"/>
                  <w:vMerge w:val="restart"/>
                  <w:vAlign w:val="center"/>
                </w:tcPr>
                <w:p w14:paraId="53E615FA">
                  <w:pPr>
                    <w:spacing w:line="240" w:lineRule="auto"/>
                    <w:jc w:val="center"/>
                    <w:rPr>
                      <w:rFonts w:eastAsiaTheme="minorEastAsia"/>
                      <w:sz w:val="21"/>
                      <w:szCs w:val="21"/>
                    </w:rPr>
                  </w:pPr>
                  <w:r>
                    <w:rPr>
                      <w:rFonts w:eastAsiaTheme="minorEastAsia"/>
                      <w:b/>
                      <w:sz w:val="21"/>
                      <w:szCs w:val="21"/>
                    </w:rPr>
                    <w:t>序号</w:t>
                  </w:r>
                </w:p>
              </w:tc>
              <w:tc>
                <w:tcPr>
                  <w:tcW w:w="601" w:type="pct"/>
                  <w:vMerge w:val="restart"/>
                  <w:vAlign w:val="center"/>
                </w:tcPr>
                <w:p w14:paraId="22DB05D1">
                  <w:pPr>
                    <w:spacing w:line="240" w:lineRule="auto"/>
                    <w:jc w:val="center"/>
                    <w:rPr>
                      <w:rFonts w:eastAsiaTheme="minorEastAsia"/>
                      <w:sz w:val="21"/>
                      <w:szCs w:val="21"/>
                    </w:rPr>
                  </w:pPr>
                  <w:r>
                    <w:rPr>
                      <w:rFonts w:eastAsiaTheme="minorEastAsia"/>
                      <w:b/>
                      <w:sz w:val="21"/>
                      <w:szCs w:val="21"/>
                    </w:rPr>
                    <w:t>声环境保护目标名称</w:t>
                  </w:r>
                </w:p>
              </w:tc>
              <w:tc>
                <w:tcPr>
                  <w:tcW w:w="769" w:type="pct"/>
                  <w:vAlign w:val="center"/>
                </w:tcPr>
                <w:p w14:paraId="2823D85D">
                  <w:pPr>
                    <w:spacing w:line="240" w:lineRule="auto"/>
                    <w:jc w:val="center"/>
                    <w:rPr>
                      <w:rFonts w:eastAsiaTheme="minorEastAsia"/>
                      <w:sz w:val="21"/>
                      <w:szCs w:val="21"/>
                    </w:rPr>
                  </w:pPr>
                  <w:r>
                    <w:rPr>
                      <w:rFonts w:eastAsiaTheme="minorEastAsia"/>
                      <w:b/>
                      <w:sz w:val="21"/>
                      <w:szCs w:val="21"/>
                    </w:rPr>
                    <w:t>噪声现状值/dB(A)</w:t>
                  </w:r>
                </w:p>
              </w:tc>
              <w:tc>
                <w:tcPr>
                  <w:tcW w:w="747" w:type="pct"/>
                  <w:vAlign w:val="center"/>
                </w:tcPr>
                <w:p w14:paraId="39D61028">
                  <w:pPr>
                    <w:spacing w:line="240" w:lineRule="auto"/>
                    <w:jc w:val="center"/>
                    <w:rPr>
                      <w:rFonts w:eastAsiaTheme="minorEastAsia"/>
                      <w:sz w:val="21"/>
                      <w:szCs w:val="21"/>
                    </w:rPr>
                  </w:pPr>
                  <w:r>
                    <w:rPr>
                      <w:rFonts w:eastAsiaTheme="minorEastAsia"/>
                      <w:b/>
                      <w:sz w:val="21"/>
                      <w:szCs w:val="21"/>
                    </w:rPr>
                    <w:t>噪声贡献值/dB(A)</w:t>
                  </w:r>
                </w:p>
              </w:tc>
              <w:tc>
                <w:tcPr>
                  <w:tcW w:w="690" w:type="pct"/>
                  <w:vAlign w:val="center"/>
                </w:tcPr>
                <w:p w14:paraId="75EF92A3">
                  <w:pPr>
                    <w:spacing w:line="240" w:lineRule="auto"/>
                    <w:jc w:val="center"/>
                    <w:rPr>
                      <w:rFonts w:eastAsiaTheme="minorEastAsia"/>
                      <w:sz w:val="21"/>
                      <w:szCs w:val="21"/>
                    </w:rPr>
                  </w:pPr>
                  <w:r>
                    <w:rPr>
                      <w:rFonts w:eastAsiaTheme="minorEastAsia"/>
                      <w:b/>
                      <w:sz w:val="21"/>
                      <w:szCs w:val="21"/>
                    </w:rPr>
                    <w:t>噪声预测值/dB(A)</w:t>
                  </w:r>
                </w:p>
              </w:tc>
              <w:tc>
                <w:tcPr>
                  <w:tcW w:w="682" w:type="pct"/>
                  <w:vAlign w:val="center"/>
                </w:tcPr>
                <w:p w14:paraId="691C6484">
                  <w:pPr>
                    <w:spacing w:line="240" w:lineRule="auto"/>
                    <w:jc w:val="center"/>
                    <w:rPr>
                      <w:rFonts w:ascii="Times New Roman" w:hAnsi="Times New Roman" w:cs="Times New Roman" w:eastAsiaTheme="minorEastAsia"/>
                      <w:kern w:val="2"/>
                      <w:sz w:val="21"/>
                      <w:szCs w:val="21"/>
                      <w:lang w:val="en-US" w:eastAsia="zh-CN" w:bidi="ar-SA"/>
                    </w:rPr>
                  </w:pPr>
                  <w:r>
                    <w:rPr>
                      <w:rFonts w:eastAsiaTheme="minorEastAsia"/>
                      <w:b/>
                      <w:sz w:val="21"/>
                      <w:szCs w:val="21"/>
                    </w:rPr>
                    <w:t>噪声标准/dB(A)</w:t>
                  </w:r>
                </w:p>
              </w:tc>
              <w:tc>
                <w:tcPr>
                  <w:tcW w:w="600" w:type="pct"/>
                  <w:vAlign w:val="center"/>
                </w:tcPr>
                <w:p w14:paraId="1CD7848F">
                  <w:pPr>
                    <w:spacing w:line="240" w:lineRule="auto"/>
                    <w:jc w:val="center"/>
                    <w:rPr>
                      <w:rFonts w:eastAsiaTheme="minorEastAsia"/>
                      <w:sz w:val="21"/>
                      <w:szCs w:val="21"/>
                    </w:rPr>
                  </w:pPr>
                  <w:r>
                    <w:rPr>
                      <w:rFonts w:eastAsiaTheme="minorEastAsia"/>
                      <w:b/>
                      <w:sz w:val="21"/>
                      <w:szCs w:val="21"/>
                    </w:rPr>
                    <w:t>较现状增量/dB(A)</w:t>
                  </w:r>
                </w:p>
              </w:tc>
              <w:tc>
                <w:tcPr>
                  <w:tcW w:w="655" w:type="pct"/>
                  <w:vAlign w:val="center"/>
                </w:tcPr>
                <w:p w14:paraId="245AE915">
                  <w:pPr>
                    <w:spacing w:line="240" w:lineRule="auto"/>
                    <w:jc w:val="center"/>
                    <w:rPr>
                      <w:rFonts w:eastAsiaTheme="minorEastAsia"/>
                      <w:sz w:val="21"/>
                      <w:szCs w:val="21"/>
                    </w:rPr>
                  </w:pPr>
                  <w:r>
                    <w:rPr>
                      <w:rFonts w:eastAsiaTheme="minorEastAsia"/>
                      <w:b/>
                      <w:sz w:val="21"/>
                      <w:szCs w:val="21"/>
                    </w:rPr>
                    <w:t>达标情况</w:t>
                  </w:r>
                </w:p>
              </w:tc>
            </w:tr>
            <w:tr w14:paraId="255C82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252" w:type="pct"/>
                  <w:vMerge w:val="continue"/>
                  <w:shd w:val="clear" w:color="auto" w:fill="FFFFFF"/>
                  <w:vAlign w:val="center"/>
                </w:tcPr>
                <w:p w14:paraId="6A78989E">
                  <w:pPr>
                    <w:spacing w:line="240" w:lineRule="auto"/>
                    <w:jc w:val="center"/>
                    <w:rPr>
                      <w:rFonts w:eastAsiaTheme="minorEastAsia"/>
                      <w:sz w:val="21"/>
                      <w:szCs w:val="21"/>
                    </w:rPr>
                  </w:pPr>
                </w:p>
              </w:tc>
              <w:tc>
                <w:tcPr>
                  <w:tcW w:w="601" w:type="pct"/>
                  <w:vMerge w:val="continue"/>
                  <w:shd w:val="clear" w:color="auto" w:fill="FFFFFF"/>
                  <w:vAlign w:val="center"/>
                </w:tcPr>
                <w:p w14:paraId="432556B4">
                  <w:pPr>
                    <w:spacing w:line="240" w:lineRule="auto"/>
                    <w:jc w:val="center"/>
                    <w:rPr>
                      <w:rFonts w:eastAsiaTheme="minorEastAsia"/>
                      <w:sz w:val="21"/>
                      <w:szCs w:val="21"/>
                    </w:rPr>
                  </w:pPr>
                </w:p>
              </w:tc>
              <w:tc>
                <w:tcPr>
                  <w:tcW w:w="769" w:type="pct"/>
                  <w:shd w:val="clear" w:color="auto" w:fill="FFFFFF"/>
                  <w:vAlign w:val="center"/>
                </w:tcPr>
                <w:p w14:paraId="47E8FCD8">
                  <w:pPr>
                    <w:spacing w:line="240" w:lineRule="auto"/>
                    <w:jc w:val="center"/>
                    <w:rPr>
                      <w:rFonts w:eastAsiaTheme="minorEastAsia"/>
                      <w:sz w:val="21"/>
                      <w:szCs w:val="21"/>
                    </w:rPr>
                  </w:pPr>
                  <w:r>
                    <w:rPr>
                      <w:rFonts w:eastAsiaTheme="minorEastAsia"/>
                      <w:sz w:val="21"/>
                      <w:szCs w:val="21"/>
                    </w:rPr>
                    <w:t>昼间</w:t>
                  </w:r>
                </w:p>
              </w:tc>
              <w:tc>
                <w:tcPr>
                  <w:tcW w:w="747" w:type="pct"/>
                  <w:shd w:val="clear" w:color="auto" w:fill="FFFFFF"/>
                  <w:vAlign w:val="center"/>
                </w:tcPr>
                <w:p w14:paraId="4B7079AB">
                  <w:pPr>
                    <w:spacing w:line="240" w:lineRule="auto"/>
                    <w:jc w:val="center"/>
                    <w:rPr>
                      <w:rFonts w:eastAsiaTheme="minorEastAsia"/>
                      <w:sz w:val="21"/>
                      <w:szCs w:val="21"/>
                    </w:rPr>
                  </w:pPr>
                  <w:r>
                    <w:rPr>
                      <w:rFonts w:eastAsiaTheme="minorEastAsia"/>
                      <w:sz w:val="21"/>
                      <w:szCs w:val="21"/>
                    </w:rPr>
                    <w:t>昼间</w:t>
                  </w:r>
                </w:p>
              </w:tc>
              <w:tc>
                <w:tcPr>
                  <w:tcW w:w="690" w:type="pct"/>
                  <w:shd w:val="clear" w:color="auto" w:fill="FFFFFF"/>
                  <w:vAlign w:val="center"/>
                </w:tcPr>
                <w:p w14:paraId="7C441AD8">
                  <w:pPr>
                    <w:spacing w:line="240" w:lineRule="auto"/>
                    <w:jc w:val="center"/>
                    <w:rPr>
                      <w:rFonts w:eastAsiaTheme="minorEastAsia"/>
                      <w:sz w:val="21"/>
                      <w:szCs w:val="21"/>
                    </w:rPr>
                  </w:pPr>
                  <w:r>
                    <w:rPr>
                      <w:rFonts w:eastAsiaTheme="minorEastAsia"/>
                      <w:sz w:val="21"/>
                      <w:szCs w:val="21"/>
                    </w:rPr>
                    <w:t>昼间</w:t>
                  </w:r>
                </w:p>
              </w:tc>
              <w:tc>
                <w:tcPr>
                  <w:tcW w:w="682" w:type="pct"/>
                  <w:shd w:val="clear" w:color="auto" w:fill="FFFFFF"/>
                  <w:vAlign w:val="center"/>
                </w:tcPr>
                <w:p w14:paraId="273A68A0">
                  <w:pPr>
                    <w:spacing w:line="240" w:lineRule="auto"/>
                    <w:jc w:val="center"/>
                    <w:rPr>
                      <w:rFonts w:ascii="Times New Roman" w:hAnsi="Times New Roman" w:cs="Times New Roman" w:eastAsiaTheme="minorEastAsia"/>
                      <w:kern w:val="2"/>
                      <w:sz w:val="21"/>
                      <w:szCs w:val="21"/>
                      <w:lang w:val="en-US" w:eastAsia="zh-CN" w:bidi="ar-SA"/>
                    </w:rPr>
                  </w:pPr>
                  <w:r>
                    <w:rPr>
                      <w:rFonts w:eastAsiaTheme="minorEastAsia"/>
                      <w:sz w:val="21"/>
                      <w:szCs w:val="21"/>
                    </w:rPr>
                    <w:t>昼间</w:t>
                  </w:r>
                </w:p>
              </w:tc>
              <w:tc>
                <w:tcPr>
                  <w:tcW w:w="600" w:type="pct"/>
                  <w:shd w:val="clear" w:color="auto" w:fill="FFFFFF"/>
                  <w:vAlign w:val="center"/>
                </w:tcPr>
                <w:p w14:paraId="40AF65C7">
                  <w:pPr>
                    <w:spacing w:line="240" w:lineRule="auto"/>
                    <w:jc w:val="center"/>
                    <w:rPr>
                      <w:rFonts w:eastAsiaTheme="minorEastAsia"/>
                      <w:sz w:val="21"/>
                      <w:szCs w:val="21"/>
                    </w:rPr>
                  </w:pPr>
                  <w:r>
                    <w:rPr>
                      <w:rFonts w:eastAsiaTheme="minorEastAsia"/>
                      <w:sz w:val="21"/>
                      <w:szCs w:val="21"/>
                    </w:rPr>
                    <w:t>昼间</w:t>
                  </w:r>
                </w:p>
              </w:tc>
              <w:tc>
                <w:tcPr>
                  <w:tcW w:w="655" w:type="pct"/>
                  <w:shd w:val="clear" w:color="auto" w:fill="FFFFFF"/>
                  <w:vAlign w:val="center"/>
                </w:tcPr>
                <w:p w14:paraId="38645F45">
                  <w:pPr>
                    <w:spacing w:line="240" w:lineRule="auto"/>
                    <w:jc w:val="center"/>
                    <w:rPr>
                      <w:rFonts w:eastAsiaTheme="minorEastAsia"/>
                      <w:sz w:val="21"/>
                      <w:szCs w:val="21"/>
                    </w:rPr>
                  </w:pPr>
                  <w:r>
                    <w:rPr>
                      <w:rFonts w:eastAsiaTheme="minorEastAsia"/>
                      <w:sz w:val="21"/>
                      <w:szCs w:val="21"/>
                    </w:rPr>
                    <w:t>昼间</w:t>
                  </w:r>
                </w:p>
              </w:tc>
            </w:tr>
            <w:tr w14:paraId="6126F8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206" w:hRule="atLeast"/>
                <w:jc w:val="center"/>
              </w:trPr>
              <w:tc>
                <w:tcPr>
                  <w:tcW w:w="252" w:type="pct"/>
                  <w:shd w:val="clear" w:color="auto" w:fill="FFFFFF"/>
                  <w:vAlign w:val="center"/>
                </w:tcPr>
                <w:p w14:paraId="23FB22FE">
                  <w:pPr>
                    <w:spacing w:line="240" w:lineRule="auto"/>
                    <w:jc w:val="center"/>
                    <w:rPr>
                      <w:rFonts w:eastAsiaTheme="minorEastAsia"/>
                      <w:sz w:val="21"/>
                      <w:szCs w:val="21"/>
                    </w:rPr>
                  </w:pPr>
                  <w:r>
                    <w:rPr>
                      <w:rFonts w:eastAsiaTheme="minorEastAsia"/>
                      <w:sz w:val="21"/>
                      <w:szCs w:val="21"/>
                    </w:rPr>
                    <w:t>1</w:t>
                  </w:r>
                </w:p>
              </w:tc>
              <w:tc>
                <w:tcPr>
                  <w:tcW w:w="601" w:type="pct"/>
                  <w:shd w:val="clear" w:color="auto" w:fill="FFFFFF"/>
                  <w:vAlign w:val="center"/>
                </w:tcPr>
                <w:p w14:paraId="33B4C7BF">
                  <w:pPr>
                    <w:spacing w:line="240" w:lineRule="auto"/>
                    <w:jc w:val="center"/>
                    <w:rPr>
                      <w:rFonts w:eastAsiaTheme="minorEastAsia"/>
                      <w:sz w:val="21"/>
                      <w:szCs w:val="21"/>
                    </w:rPr>
                  </w:pPr>
                  <w:r>
                    <w:rPr>
                      <w:sz w:val="21"/>
                      <w:szCs w:val="21"/>
                    </w:rPr>
                    <w:t>东南面30米处高桥村居民点</w:t>
                  </w:r>
                </w:p>
              </w:tc>
              <w:tc>
                <w:tcPr>
                  <w:tcW w:w="769" w:type="pct"/>
                  <w:shd w:val="clear" w:color="auto" w:fill="FFFFFF"/>
                  <w:vAlign w:val="center"/>
                </w:tcPr>
                <w:p w14:paraId="219FDE4D">
                  <w:pPr>
                    <w:spacing w:line="240" w:lineRule="auto"/>
                    <w:jc w:val="center"/>
                    <w:rPr>
                      <w:rFonts w:hint="default" w:eastAsiaTheme="minorEastAsia"/>
                      <w:sz w:val="21"/>
                      <w:szCs w:val="21"/>
                      <w:lang w:val="en-US" w:eastAsia="zh-CN"/>
                    </w:rPr>
                  </w:pPr>
                  <w:r>
                    <w:rPr>
                      <w:rFonts w:hint="eastAsia" w:eastAsiaTheme="minorEastAsia"/>
                      <w:sz w:val="21"/>
                      <w:szCs w:val="21"/>
                      <w:lang w:val="en-US" w:eastAsia="zh-CN"/>
                    </w:rPr>
                    <w:t>55</w:t>
                  </w:r>
                </w:p>
              </w:tc>
              <w:tc>
                <w:tcPr>
                  <w:tcW w:w="747" w:type="pct"/>
                  <w:shd w:val="clear" w:color="auto" w:fill="FFFFFF"/>
                  <w:vAlign w:val="center"/>
                </w:tcPr>
                <w:p w14:paraId="0147E784">
                  <w:pPr>
                    <w:spacing w:line="240" w:lineRule="auto"/>
                    <w:jc w:val="center"/>
                    <w:rPr>
                      <w:rFonts w:eastAsiaTheme="minorEastAsia"/>
                      <w:sz w:val="21"/>
                      <w:szCs w:val="21"/>
                    </w:rPr>
                  </w:pPr>
                  <w:r>
                    <w:rPr>
                      <w:rFonts w:hint="eastAsia" w:eastAsiaTheme="minorEastAsia"/>
                      <w:sz w:val="21"/>
                      <w:szCs w:val="21"/>
                    </w:rPr>
                    <w:t>32</w:t>
                  </w:r>
                  <w:r>
                    <w:rPr>
                      <w:rFonts w:eastAsiaTheme="minorEastAsia"/>
                      <w:sz w:val="21"/>
                      <w:szCs w:val="21"/>
                    </w:rPr>
                    <w:t>.6</w:t>
                  </w:r>
                </w:p>
              </w:tc>
              <w:tc>
                <w:tcPr>
                  <w:tcW w:w="690" w:type="pct"/>
                  <w:shd w:val="clear" w:color="auto" w:fill="FFFFFF"/>
                  <w:vAlign w:val="center"/>
                </w:tcPr>
                <w:p w14:paraId="56D1BF1E">
                  <w:pPr>
                    <w:spacing w:line="240" w:lineRule="auto"/>
                    <w:jc w:val="center"/>
                    <w:rPr>
                      <w:rFonts w:hint="default" w:eastAsiaTheme="minorEastAsia"/>
                      <w:sz w:val="21"/>
                      <w:szCs w:val="21"/>
                      <w:lang w:val="en-US" w:eastAsia="zh-CN"/>
                    </w:rPr>
                  </w:pPr>
                  <w:r>
                    <w:rPr>
                      <w:rFonts w:hint="eastAsia" w:eastAsiaTheme="minorEastAsia"/>
                      <w:sz w:val="21"/>
                      <w:szCs w:val="21"/>
                      <w:lang w:val="en-US" w:eastAsia="zh-CN"/>
                    </w:rPr>
                    <w:t>55</w:t>
                  </w:r>
                </w:p>
              </w:tc>
              <w:tc>
                <w:tcPr>
                  <w:tcW w:w="682" w:type="pct"/>
                  <w:shd w:val="clear" w:color="auto" w:fill="FFFFFF"/>
                  <w:vAlign w:val="center"/>
                </w:tcPr>
                <w:p w14:paraId="6F78B17F">
                  <w:pPr>
                    <w:spacing w:line="240" w:lineRule="auto"/>
                    <w:jc w:val="center"/>
                    <w:rPr>
                      <w:rFonts w:ascii="Times New Roman" w:hAnsi="Times New Roman" w:cs="Times New Roman" w:eastAsiaTheme="minorEastAsia"/>
                      <w:kern w:val="2"/>
                      <w:sz w:val="21"/>
                      <w:szCs w:val="21"/>
                      <w:lang w:val="en-US" w:eastAsia="zh-CN" w:bidi="ar-SA"/>
                    </w:rPr>
                  </w:pPr>
                  <w:r>
                    <w:rPr>
                      <w:rFonts w:hint="eastAsia" w:eastAsiaTheme="minorEastAsia"/>
                      <w:sz w:val="21"/>
                      <w:szCs w:val="21"/>
                    </w:rPr>
                    <w:t>70</w:t>
                  </w:r>
                </w:p>
              </w:tc>
              <w:tc>
                <w:tcPr>
                  <w:tcW w:w="600" w:type="pct"/>
                  <w:shd w:val="clear" w:color="auto" w:fill="FFFFFF"/>
                  <w:vAlign w:val="center"/>
                </w:tcPr>
                <w:p w14:paraId="56206561">
                  <w:pPr>
                    <w:spacing w:line="240" w:lineRule="auto"/>
                    <w:jc w:val="center"/>
                    <w:rPr>
                      <w:rFonts w:eastAsiaTheme="minorEastAsia"/>
                      <w:sz w:val="21"/>
                      <w:szCs w:val="21"/>
                    </w:rPr>
                  </w:pPr>
                  <w:r>
                    <w:rPr>
                      <w:rFonts w:hint="eastAsia" w:eastAsiaTheme="minorEastAsia"/>
                      <w:sz w:val="21"/>
                      <w:szCs w:val="21"/>
                    </w:rPr>
                    <w:t>0.0</w:t>
                  </w:r>
                </w:p>
              </w:tc>
              <w:tc>
                <w:tcPr>
                  <w:tcW w:w="655" w:type="pct"/>
                  <w:shd w:val="clear" w:color="auto" w:fill="FFFFFF"/>
                  <w:vAlign w:val="center"/>
                </w:tcPr>
                <w:p w14:paraId="1AFF51C8">
                  <w:pPr>
                    <w:spacing w:line="240" w:lineRule="auto"/>
                    <w:jc w:val="center"/>
                    <w:rPr>
                      <w:rFonts w:eastAsiaTheme="minorEastAsia"/>
                      <w:sz w:val="21"/>
                      <w:szCs w:val="21"/>
                    </w:rPr>
                  </w:pPr>
                  <w:r>
                    <w:rPr>
                      <w:rFonts w:eastAsiaTheme="minorEastAsia"/>
                      <w:sz w:val="21"/>
                      <w:szCs w:val="21"/>
                    </w:rPr>
                    <w:t>达标</w:t>
                  </w:r>
                </w:p>
              </w:tc>
            </w:tr>
            <w:tr w14:paraId="5DEDC7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120" w:hRule="atLeast"/>
                <w:jc w:val="center"/>
              </w:trPr>
              <w:tc>
                <w:tcPr>
                  <w:tcW w:w="252" w:type="pct"/>
                  <w:shd w:val="clear" w:color="auto" w:fill="FFFFFF"/>
                  <w:vAlign w:val="center"/>
                </w:tcPr>
                <w:p w14:paraId="59045DA1">
                  <w:pPr>
                    <w:spacing w:line="240" w:lineRule="auto"/>
                    <w:jc w:val="center"/>
                    <w:rPr>
                      <w:rFonts w:eastAsiaTheme="minorEastAsia"/>
                      <w:sz w:val="21"/>
                      <w:szCs w:val="21"/>
                    </w:rPr>
                  </w:pPr>
                  <w:r>
                    <w:rPr>
                      <w:rFonts w:hint="eastAsia" w:eastAsiaTheme="minorEastAsia"/>
                      <w:sz w:val="21"/>
                      <w:szCs w:val="21"/>
                    </w:rPr>
                    <w:t>2</w:t>
                  </w:r>
                </w:p>
              </w:tc>
              <w:tc>
                <w:tcPr>
                  <w:tcW w:w="601" w:type="pct"/>
                  <w:shd w:val="clear" w:color="auto" w:fill="FFFFFF"/>
                  <w:vAlign w:val="center"/>
                </w:tcPr>
                <w:p w14:paraId="324D449A">
                  <w:pPr>
                    <w:spacing w:line="240" w:lineRule="auto"/>
                    <w:jc w:val="center"/>
                    <w:rPr>
                      <w:rFonts w:eastAsiaTheme="minorEastAsia"/>
                      <w:sz w:val="21"/>
                      <w:szCs w:val="21"/>
                    </w:rPr>
                  </w:pPr>
                  <w:r>
                    <w:rPr>
                      <w:sz w:val="21"/>
                      <w:szCs w:val="21"/>
                    </w:rPr>
                    <w:t>西南面38米处高桥村居民点</w:t>
                  </w:r>
                </w:p>
              </w:tc>
              <w:tc>
                <w:tcPr>
                  <w:tcW w:w="769" w:type="pct"/>
                  <w:shd w:val="clear" w:color="auto" w:fill="FFFFFF"/>
                  <w:vAlign w:val="center"/>
                </w:tcPr>
                <w:p w14:paraId="58756BE9">
                  <w:pPr>
                    <w:spacing w:line="240" w:lineRule="auto"/>
                    <w:jc w:val="center"/>
                    <w:rPr>
                      <w:rFonts w:hint="default" w:eastAsiaTheme="minorEastAsia"/>
                      <w:sz w:val="21"/>
                      <w:szCs w:val="21"/>
                      <w:lang w:val="en-US" w:eastAsia="zh-CN"/>
                    </w:rPr>
                  </w:pPr>
                  <w:r>
                    <w:rPr>
                      <w:rFonts w:hint="eastAsia" w:eastAsiaTheme="minorEastAsia"/>
                      <w:sz w:val="21"/>
                      <w:szCs w:val="21"/>
                      <w:lang w:val="en-US" w:eastAsia="zh-CN"/>
                    </w:rPr>
                    <w:t>55</w:t>
                  </w:r>
                </w:p>
              </w:tc>
              <w:tc>
                <w:tcPr>
                  <w:tcW w:w="747" w:type="pct"/>
                  <w:shd w:val="clear" w:color="auto" w:fill="FFFFFF"/>
                  <w:vAlign w:val="center"/>
                </w:tcPr>
                <w:p w14:paraId="0B1609FA">
                  <w:pPr>
                    <w:spacing w:line="240" w:lineRule="auto"/>
                    <w:jc w:val="center"/>
                    <w:rPr>
                      <w:rFonts w:eastAsiaTheme="minorEastAsia"/>
                      <w:sz w:val="21"/>
                      <w:szCs w:val="21"/>
                    </w:rPr>
                  </w:pPr>
                  <w:r>
                    <w:rPr>
                      <w:rFonts w:hint="eastAsia" w:eastAsiaTheme="minorEastAsia"/>
                      <w:sz w:val="21"/>
                      <w:szCs w:val="21"/>
                    </w:rPr>
                    <w:t>23.6</w:t>
                  </w:r>
                </w:p>
              </w:tc>
              <w:tc>
                <w:tcPr>
                  <w:tcW w:w="690" w:type="pct"/>
                  <w:shd w:val="clear" w:color="auto" w:fill="FFFFFF"/>
                  <w:vAlign w:val="center"/>
                </w:tcPr>
                <w:p w14:paraId="5FDA4CBF">
                  <w:pPr>
                    <w:spacing w:line="240" w:lineRule="auto"/>
                    <w:jc w:val="center"/>
                    <w:rPr>
                      <w:rFonts w:hint="default" w:eastAsiaTheme="minorEastAsia"/>
                      <w:sz w:val="21"/>
                      <w:szCs w:val="21"/>
                      <w:lang w:val="en-US" w:eastAsia="zh-CN"/>
                    </w:rPr>
                  </w:pPr>
                  <w:r>
                    <w:rPr>
                      <w:rFonts w:hint="eastAsia" w:eastAsiaTheme="minorEastAsia"/>
                      <w:sz w:val="21"/>
                      <w:szCs w:val="21"/>
                      <w:lang w:val="en-US" w:eastAsia="zh-CN"/>
                    </w:rPr>
                    <w:t>55</w:t>
                  </w:r>
                </w:p>
              </w:tc>
              <w:tc>
                <w:tcPr>
                  <w:tcW w:w="682" w:type="pct"/>
                  <w:shd w:val="clear" w:color="auto" w:fill="FFFFFF"/>
                  <w:vAlign w:val="center"/>
                </w:tcPr>
                <w:p w14:paraId="63E79889">
                  <w:pPr>
                    <w:spacing w:line="240" w:lineRule="auto"/>
                    <w:jc w:val="center"/>
                    <w:rPr>
                      <w:rFonts w:hint="eastAsia" w:ascii="Times New Roman" w:hAnsi="Times New Roman" w:cs="Times New Roman" w:eastAsiaTheme="minorEastAsia"/>
                      <w:kern w:val="2"/>
                      <w:sz w:val="21"/>
                      <w:szCs w:val="21"/>
                      <w:lang w:val="en-US" w:eastAsia="zh-CN" w:bidi="ar-SA"/>
                    </w:rPr>
                  </w:pPr>
                  <w:r>
                    <w:rPr>
                      <w:rFonts w:hint="eastAsia" w:eastAsiaTheme="minorEastAsia"/>
                      <w:sz w:val="21"/>
                      <w:szCs w:val="21"/>
                    </w:rPr>
                    <w:t>70</w:t>
                  </w:r>
                </w:p>
              </w:tc>
              <w:tc>
                <w:tcPr>
                  <w:tcW w:w="600" w:type="pct"/>
                  <w:shd w:val="clear" w:color="auto" w:fill="FFFFFF"/>
                  <w:vAlign w:val="center"/>
                </w:tcPr>
                <w:p w14:paraId="153366C7">
                  <w:pPr>
                    <w:spacing w:line="240" w:lineRule="auto"/>
                    <w:jc w:val="center"/>
                    <w:rPr>
                      <w:rFonts w:eastAsiaTheme="minorEastAsia"/>
                      <w:sz w:val="21"/>
                      <w:szCs w:val="21"/>
                    </w:rPr>
                  </w:pPr>
                  <w:r>
                    <w:rPr>
                      <w:rFonts w:hint="eastAsia" w:eastAsiaTheme="minorEastAsia"/>
                      <w:sz w:val="21"/>
                      <w:szCs w:val="21"/>
                    </w:rPr>
                    <w:t>0.0</w:t>
                  </w:r>
                </w:p>
              </w:tc>
              <w:tc>
                <w:tcPr>
                  <w:tcW w:w="655" w:type="pct"/>
                  <w:shd w:val="clear" w:color="auto" w:fill="FFFFFF"/>
                  <w:vAlign w:val="center"/>
                </w:tcPr>
                <w:p w14:paraId="3B71D8D8">
                  <w:pPr>
                    <w:spacing w:line="240" w:lineRule="auto"/>
                    <w:jc w:val="center"/>
                    <w:rPr>
                      <w:rFonts w:eastAsiaTheme="minorEastAsia"/>
                      <w:sz w:val="21"/>
                      <w:szCs w:val="21"/>
                    </w:rPr>
                  </w:pPr>
                  <w:r>
                    <w:rPr>
                      <w:rFonts w:eastAsiaTheme="minorEastAsia"/>
                      <w:sz w:val="21"/>
                      <w:szCs w:val="21"/>
                    </w:rPr>
                    <w:t>达标</w:t>
                  </w:r>
                </w:p>
              </w:tc>
            </w:tr>
          </w:tbl>
          <w:p w14:paraId="4CBF1B79">
            <w:pPr>
              <w:ind w:firstLine="480" w:firstLineChars="200"/>
            </w:pPr>
            <w:r>
              <w:rPr>
                <w:rFonts w:hint="eastAsia"/>
                <w:bCs/>
                <w:lang w:eastAsia="zh-CN"/>
              </w:rPr>
              <w:t>本项目夜间不生产，</w:t>
            </w:r>
            <w:r>
              <w:rPr>
                <w:bCs/>
              </w:rPr>
              <w:t>根据上表结果分析表明项目厂界北面、东面、西面监测点均可以满足《声环境质量标准》（GB3096-2008）</w:t>
            </w:r>
            <w:r>
              <w:rPr>
                <w:rFonts w:hint="eastAsia"/>
                <w:bCs/>
              </w:rPr>
              <w:t>2</w:t>
            </w:r>
            <w:r>
              <w:rPr>
                <w:bCs/>
              </w:rPr>
              <w:t>类标准要求，南面监测点可以满足《声环境质量标准》（GB3096-2008）4a类标准要求，敏感点监测点可以满足《声环境质量标准》（GB3096-2008）</w:t>
            </w:r>
            <w:r>
              <w:rPr>
                <w:rFonts w:hint="eastAsia"/>
                <w:bCs/>
              </w:rPr>
              <w:t>4a类</w:t>
            </w:r>
            <w:r>
              <w:rPr>
                <w:bCs/>
              </w:rPr>
              <w:t>标准要求</w:t>
            </w:r>
            <w:r>
              <w:t>，项目建设不会对区域居民造成影响。</w:t>
            </w:r>
          </w:p>
          <w:p w14:paraId="5C2DBB8E">
            <w:pPr>
              <w:pStyle w:val="40"/>
              <w:numPr>
                <w:ilvl w:val="3"/>
                <w:numId w:val="0"/>
              </w:numPr>
              <w:ind w:left="454"/>
            </w:pPr>
            <w:r>
              <w:t>3、噪声防治措施</w:t>
            </w:r>
          </w:p>
          <w:p w14:paraId="56195054">
            <w:pPr>
              <w:pStyle w:val="42"/>
              <w:wordWrap w:val="0"/>
              <w:topLinePunct/>
              <w:spacing w:line="360" w:lineRule="auto"/>
              <w:ind w:firstLine="480" w:firstLineChars="200"/>
              <w:jc w:val="both"/>
              <w:rPr>
                <w:bCs/>
              </w:rPr>
            </w:pPr>
            <w:r>
              <w:t>为降低项目营运时噪声对周边声环境的影响，项目应加强管理，采取切实有效的降噪措施：</w:t>
            </w:r>
          </w:p>
          <w:p w14:paraId="765BA7B6">
            <w:pPr>
              <w:ind w:firstLine="480" w:firstLineChars="200"/>
              <w:rPr>
                <w:kern w:val="0"/>
              </w:rPr>
            </w:pPr>
            <w:r>
              <w:rPr>
                <w:kern w:val="0"/>
              </w:rPr>
              <w:fldChar w:fldCharType="begin"/>
            </w:r>
            <w:r>
              <w:rPr>
                <w:kern w:val="0"/>
              </w:rPr>
              <w:instrText xml:space="preserve"> = 1 \* GB3 \* MERGEFORMAT </w:instrText>
            </w:r>
            <w:r>
              <w:rPr>
                <w:kern w:val="0"/>
              </w:rPr>
              <w:fldChar w:fldCharType="separate"/>
            </w:r>
            <w:r>
              <w:rPr>
                <w:kern w:val="0"/>
              </w:rPr>
              <w:t>①</w:t>
            </w:r>
            <w:r>
              <w:rPr>
                <w:kern w:val="0"/>
              </w:rPr>
              <w:fldChar w:fldCharType="end"/>
            </w:r>
            <w:r>
              <w:rPr>
                <w:kern w:val="0"/>
              </w:rPr>
              <w:t>从声源上控制，</w:t>
            </w:r>
            <w:r>
              <w:rPr>
                <w:rFonts w:hint="eastAsia"/>
                <w:kern w:val="0"/>
              </w:rPr>
              <w:t>已有设备（如</w:t>
            </w:r>
            <w:r>
              <w:t>破碎机、振动筛、输送带</w:t>
            </w:r>
            <w:r>
              <w:rPr>
                <w:rFonts w:hint="eastAsia"/>
                <w:kern w:val="0"/>
              </w:rPr>
              <w:t>）加强</w:t>
            </w:r>
            <w:r>
              <w:rPr>
                <w:kern w:val="0"/>
              </w:rPr>
              <w:t>检修和维护，以保证设备正常运转</w:t>
            </w:r>
            <w:r>
              <w:rPr>
                <w:rFonts w:hint="eastAsia"/>
                <w:kern w:val="0"/>
              </w:rPr>
              <w:t>，新增设备（如压滤机、水泵等）</w:t>
            </w:r>
            <w:r>
              <w:rPr>
                <w:kern w:val="0"/>
              </w:rPr>
              <w:t>尽量选择低噪声和符合国家噪声标准的设备。</w:t>
            </w:r>
          </w:p>
          <w:p w14:paraId="2749CC1D">
            <w:pPr>
              <w:ind w:firstLine="480" w:firstLineChars="200"/>
              <w:rPr>
                <w:kern w:val="0"/>
              </w:rPr>
            </w:pPr>
            <w:r>
              <w:rPr>
                <w:kern w:val="0"/>
              </w:rPr>
              <w:t>②建设单位</w:t>
            </w:r>
            <w:r>
              <w:rPr>
                <w:rFonts w:hint="eastAsia"/>
                <w:kern w:val="0"/>
              </w:rPr>
              <w:t>在生产过程中</w:t>
            </w:r>
            <w:r>
              <w:rPr>
                <w:kern w:val="0"/>
              </w:rPr>
              <w:t>应加强设备日常检修和维护，以保证各设备正常运转，以免由于设备故障原因产生较大噪声。</w:t>
            </w:r>
          </w:p>
          <w:p w14:paraId="252DBFE1">
            <w:pPr>
              <w:ind w:firstLine="480" w:firstLineChars="200"/>
              <w:rPr>
                <w:kern w:val="0"/>
              </w:rPr>
            </w:pPr>
            <w:r>
              <w:rPr>
                <w:kern w:val="0"/>
              </w:rPr>
              <w:t>③项目营运期</w:t>
            </w:r>
            <w:r>
              <w:rPr>
                <w:rFonts w:hint="eastAsia"/>
                <w:kern w:val="0"/>
              </w:rPr>
              <w:t>原辅材料及成品</w:t>
            </w:r>
            <w:r>
              <w:rPr>
                <w:kern w:val="0"/>
              </w:rPr>
              <w:t>通过汽车</w:t>
            </w:r>
            <w:r>
              <w:rPr>
                <w:rFonts w:hint="eastAsia"/>
                <w:kern w:val="0"/>
              </w:rPr>
              <w:t>运输</w:t>
            </w:r>
            <w:r>
              <w:rPr>
                <w:kern w:val="0"/>
              </w:rPr>
              <w:t>，汽车运输噪声对沿线居民会产生一定的影响。本次环评要求：加强运输车辆管理，经过</w:t>
            </w:r>
            <w:r>
              <w:rPr>
                <w:rFonts w:hint="eastAsia"/>
                <w:kern w:val="0"/>
              </w:rPr>
              <w:t>集镇</w:t>
            </w:r>
            <w:r>
              <w:rPr>
                <w:kern w:val="0"/>
              </w:rPr>
              <w:t>时不得鸣笛并控制速度，可最大程度降低对沿线敏感点的影响</w:t>
            </w:r>
            <w:r>
              <w:rPr>
                <w:rFonts w:hint="eastAsia"/>
                <w:kern w:val="0"/>
              </w:rPr>
              <w:t>。</w:t>
            </w:r>
          </w:p>
          <w:p w14:paraId="18B29963">
            <w:pPr>
              <w:snapToGrid w:val="0"/>
              <w:ind w:firstLine="480" w:firstLineChars="200"/>
              <w:rPr>
                <w:kern w:val="0"/>
              </w:rPr>
            </w:pPr>
            <w:r>
              <w:rPr>
                <w:kern w:val="0"/>
              </w:rPr>
              <w:t>落实上述隔声降噪措施后，项目四周厂界噪声均可以达到《工业企业厂界环境噪声排放标准》（GB12348-2008）中的</w:t>
            </w:r>
            <w:r>
              <w:rPr>
                <w:rFonts w:hint="eastAsia"/>
                <w:kern w:val="0"/>
              </w:rPr>
              <w:t>2类及4类</w:t>
            </w:r>
            <w:r>
              <w:rPr>
                <w:kern w:val="0"/>
              </w:rPr>
              <w:t>标准限值</w:t>
            </w:r>
            <w:r>
              <w:rPr>
                <w:rFonts w:hint="eastAsia"/>
                <w:kern w:val="0"/>
              </w:rPr>
              <w:t>，</w:t>
            </w:r>
            <w:r>
              <w:t>敏感点监测点可以满足《声环境质量标准》（GB3096-2008）4a类标准要求，</w:t>
            </w:r>
            <w:r>
              <w:rPr>
                <w:rFonts w:hint="eastAsia"/>
                <w:kern w:val="0"/>
              </w:rPr>
              <w:t>对周边居民影响较小。</w:t>
            </w:r>
          </w:p>
          <w:p w14:paraId="363FB859">
            <w:pPr>
              <w:pStyle w:val="40"/>
              <w:numPr>
                <w:ilvl w:val="3"/>
                <w:numId w:val="0"/>
              </w:numPr>
              <w:ind w:left="454"/>
            </w:pPr>
            <w:bookmarkStart w:id="103" w:name="_Toc68160398"/>
            <w:bookmarkStart w:id="104" w:name="_Toc23205"/>
            <w:r>
              <w:t>4、监测要求</w:t>
            </w:r>
            <w:bookmarkEnd w:id="103"/>
            <w:bookmarkEnd w:id="104"/>
          </w:p>
          <w:p w14:paraId="6C63D53B">
            <w:pPr>
              <w:ind w:firstLine="480"/>
            </w:pPr>
            <w:r>
              <w:t>根据《排污单位自行监测技术指南 总则》（HJ819 2017）及《排污单位自行监测技术指南</w:t>
            </w:r>
            <w:r>
              <w:rPr>
                <w:rFonts w:hint="eastAsia"/>
              </w:rPr>
              <w:t xml:space="preserve"> 砖瓦工业</w:t>
            </w:r>
            <w:r>
              <w:t>》（HJ</w:t>
            </w:r>
            <w:r>
              <w:rPr>
                <w:rFonts w:hint="eastAsia"/>
              </w:rPr>
              <w:t>1254</w:t>
            </w:r>
            <w:r>
              <w:t>-20</w:t>
            </w:r>
            <w:r>
              <w:rPr>
                <w:rFonts w:hint="eastAsia"/>
              </w:rPr>
              <w:t>22</w:t>
            </w:r>
            <w:r>
              <w:t>）要求，项目噪声监测要求见</w:t>
            </w:r>
            <w:r>
              <w:rPr>
                <w:rFonts w:hint="eastAsia"/>
              </w:rPr>
              <w:t>下表</w:t>
            </w:r>
            <w:r>
              <w:t>。</w:t>
            </w:r>
          </w:p>
          <w:p w14:paraId="528F9A58">
            <w:pPr>
              <w:spacing w:line="240" w:lineRule="auto"/>
              <w:jc w:val="center"/>
              <w:rPr>
                <w:b/>
                <w:bCs/>
                <w:i w:val="0"/>
                <w:iCs w:val="0"/>
                <w:sz w:val="21"/>
                <w:szCs w:val="21"/>
                <w:u w:val="single"/>
              </w:rPr>
            </w:pPr>
            <w:r>
              <w:rPr>
                <w:b/>
                <w:bCs/>
                <w:i w:val="0"/>
                <w:iCs w:val="0"/>
                <w:sz w:val="21"/>
                <w:szCs w:val="21"/>
                <w:u w:val="single"/>
              </w:rPr>
              <w:t>表4-</w:t>
            </w:r>
            <w:r>
              <w:rPr>
                <w:rFonts w:hint="eastAsia"/>
                <w:b/>
                <w:bCs/>
                <w:i w:val="0"/>
                <w:iCs w:val="0"/>
                <w:sz w:val="21"/>
                <w:szCs w:val="21"/>
                <w:u w:val="single"/>
              </w:rPr>
              <w:t>1</w:t>
            </w:r>
            <w:r>
              <w:rPr>
                <w:rFonts w:hint="eastAsia"/>
                <w:b/>
                <w:bCs/>
                <w:i w:val="0"/>
                <w:iCs w:val="0"/>
                <w:sz w:val="21"/>
                <w:szCs w:val="21"/>
                <w:u w:val="single"/>
                <w:lang w:val="en-US" w:eastAsia="zh-CN"/>
              </w:rPr>
              <w:t>4</w:t>
            </w:r>
            <w:r>
              <w:rPr>
                <w:b/>
                <w:bCs/>
                <w:i w:val="0"/>
                <w:iCs w:val="0"/>
                <w:sz w:val="21"/>
                <w:szCs w:val="21"/>
                <w:u w:val="single"/>
              </w:rPr>
              <w:t xml:space="preserve"> 噪声监测要求</w:t>
            </w:r>
          </w:p>
          <w:tbl>
            <w:tblPr>
              <w:tblStyle w:val="25"/>
              <w:tblW w:w="8517" w:type="dxa"/>
              <w:tblInd w:w="-12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7"/>
              <w:gridCol w:w="1362"/>
              <w:gridCol w:w="1237"/>
              <w:gridCol w:w="1225"/>
              <w:gridCol w:w="1425"/>
              <w:gridCol w:w="2581"/>
            </w:tblGrid>
            <w:tr w14:paraId="3543A6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03" w:type="pct"/>
                  <w:vAlign w:val="center"/>
                </w:tcPr>
                <w:p w14:paraId="18DA561E">
                  <w:pPr>
                    <w:spacing w:line="240" w:lineRule="auto"/>
                    <w:jc w:val="center"/>
                    <w:rPr>
                      <w:b/>
                      <w:bCs/>
                      <w:i w:val="0"/>
                      <w:iCs w:val="0"/>
                      <w:sz w:val="21"/>
                      <w:szCs w:val="21"/>
                      <w:u w:val="single"/>
                    </w:rPr>
                  </w:pPr>
                  <w:r>
                    <w:rPr>
                      <w:b/>
                      <w:bCs/>
                      <w:i w:val="0"/>
                      <w:iCs w:val="0"/>
                      <w:sz w:val="21"/>
                      <w:szCs w:val="21"/>
                      <w:u w:val="single"/>
                    </w:rPr>
                    <w:t>监测类别</w:t>
                  </w:r>
                </w:p>
              </w:tc>
              <w:tc>
                <w:tcPr>
                  <w:tcW w:w="799" w:type="pct"/>
                  <w:vAlign w:val="center"/>
                </w:tcPr>
                <w:p w14:paraId="5FF4C43B">
                  <w:pPr>
                    <w:spacing w:line="240" w:lineRule="auto"/>
                    <w:jc w:val="center"/>
                    <w:rPr>
                      <w:b/>
                      <w:bCs/>
                      <w:i w:val="0"/>
                      <w:iCs w:val="0"/>
                      <w:sz w:val="21"/>
                      <w:szCs w:val="21"/>
                      <w:u w:val="single"/>
                    </w:rPr>
                  </w:pPr>
                  <w:r>
                    <w:rPr>
                      <w:b/>
                      <w:bCs/>
                      <w:i w:val="0"/>
                      <w:iCs w:val="0"/>
                      <w:sz w:val="21"/>
                      <w:szCs w:val="21"/>
                      <w:u w:val="single"/>
                    </w:rPr>
                    <w:t>监测点位</w:t>
                  </w:r>
                </w:p>
              </w:tc>
              <w:tc>
                <w:tcPr>
                  <w:tcW w:w="726" w:type="pct"/>
                  <w:vAlign w:val="center"/>
                </w:tcPr>
                <w:p w14:paraId="38558938">
                  <w:pPr>
                    <w:spacing w:line="240" w:lineRule="auto"/>
                    <w:jc w:val="center"/>
                    <w:rPr>
                      <w:b/>
                      <w:bCs/>
                      <w:i w:val="0"/>
                      <w:iCs w:val="0"/>
                      <w:sz w:val="21"/>
                      <w:szCs w:val="21"/>
                      <w:u w:val="single"/>
                    </w:rPr>
                  </w:pPr>
                  <w:r>
                    <w:rPr>
                      <w:b/>
                      <w:bCs/>
                      <w:i w:val="0"/>
                      <w:iCs w:val="0"/>
                      <w:sz w:val="21"/>
                      <w:szCs w:val="21"/>
                      <w:u w:val="single"/>
                    </w:rPr>
                    <w:t>监测项目</w:t>
                  </w:r>
                </w:p>
              </w:tc>
              <w:tc>
                <w:tcPr>
                  <w:tcW w:w="719" w:type="pct"/>
                  <w:vAlign w:val="center"/>
                </w:tcPr>
                <w:p w14:paraId="4F5CB81E">
                  <w:pPr>
                    <w:spacing w:line="240" w:lineRule="auto"/>
                    <w:jc w:val="center"/>
                    <w:rPr>
                      <w:b/>
                      <w:bCs/>
                      <w:i w:val="0"/>
                      <w:iCs w:val="0"/>
                      <w:sz w:val="21"/>
                      <w:szCs w:val="21"/>
                      <w:u w:val="single"/>
                    </w:rPr>
                  </w:pPr>
                  <w:r>
                    <w:rPr>
                      <w:rFonts w:hint="eastAsia"/>
                      <w:b/>
                      <w:bCs/>
                      <w:i w:val="0"/>
                      <w:iCs w:val="0"/>
                      <w:sz w:val="21"/>
                      <w:szCs w:val="21"/>
                      <w:u w:val="single"/>
                    </w:rPr>
                    <w:t>建设单位</w:t>
                  </w:r>
                </w:p>
              </w:tc>
              <w:tc>
                <w:tcPr>
                  <w:tcW w:w="836" w:type="pct"/>
                  <w:vAlign w:val="center"/>
                </w:tcPr>
                <w:p w14:paraId="7E865EF6">
                  <w:pPr>
                    <w:spacing w:line="240" w:lineRule="auto"/>
                    <w:jc w:val="center"/>
                    <w:rPr>
                      <w:b/>
                      <w:bCs/>
                      <w:i w:val="0"/>
                      <w:iCs w:val="0"/>
                      <w:sz w:val="21"/>
                      <w:szCs w:val="21"/>
                      <w:u w:val="single"/>
                    </w:rPr>
                  </w:pPr>
                  <w:r>
                    <w:rPr>
                      <w:b/>
                      <w:bCs/>
                      <w:i w:val="0"/>
                      <w:iCs w:val="0"/>
                      <w:sz w:val="21"/>
                      <w:szCs w:val="21"/>
                      <w:u w:val="single"/>
                    </w:rPr>
                    <w:t>监测频次</w:t>
                  </w:r>
                </w:p>
              </w:tc>
              <w:tc>
                <w:tcPr>
                  <w:tcW w:w="1514" w:type="pct"/>
                  <w:vAlign w:val="center"/>
                </w:tcPr>
                <w:p w14:paraId="4F48FF60">
                  <w:pPr>
                    <w:spacing w:line="240" w:lineRule="auto"/>
                    <w:jc w:val="center"/>
                    <w:rPr>
                      <w:rFonts w:hint="eastAsia" w:eastAsia="宋体"/>
                      <w:b/>
                      <w:bCs/>
                      <w:i w:val="0"/>
                      <w:iCs w:val="0"/>
                      <w:sz w:val="21"/>
                      <w:szCs w:val="21"/>
                      <w:u w:val="single"/>
                      <w:lang w:eastAsia="zh-CN"/>
                    </w:rPr>
                  </w:pPr>
                  <w:r>
                    <w:rPr>
                      <w:rFonts w:hint="eastAsia"/>
                      <w:b/>
                      <w:bCs/>
                      <w:i w:val="0"/>
                      <w:iCs w:val="0"/>
                      <w:sz w:val="21"/>
                      <w:szCs w:val="21"/>
                      <w:u w:val="single"/>
                      <w:lang w:eastAsia="zh-CN"/>
                    </w:rPr>
                    <w:t>执行标准</w:t>
                  </w:r>
                </w:p>
              </w:tc>
            </w:tr>
            <w:tr w14:paraId="110911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trPr>
              <w:tc>
                <w:tcPr>
                  <w:tcW w:w="403" w:type="pct"/>
                  <w:vMerge w:val="restart"/>
                  <w:vAlign w:val="center"/>
                </w:tcPr>
                <w:p w14:paraId="78A0EA8E">
                  <w:pPr>
                    <w:spacing w:line="240" w:lineRule="auto"/>
                    <w:jc w:val="center"/>
                    <w:rPr>
                      <w:i w:val="0"/>
                      <w:iCs w:val="0"/>
                      <w:sz w:val="21"/>
                      <w:szCs w:val="21"/>
                      <w:u w:val="single"/>
                    </w:rPr>
                  </w:pPr>
                  <w:r>
                    <w:rPr>
                      <w:i w:val="0"/>
                      <w:iCs w:val="0"/>
                      <w:sz w:val="21"/>
                      <w:szCs w:val="21"/>
                      <w:u w:val="single"/>
                    </w:rPr>
                    <w:t>噪声</w:t>
                  </w:r>
                </w:p>
              </w:tc>
              <w:tc>
                <w:tcPr>
                  <w:tcW w:w="799" w:type="pct"/>
                  <w:vAlign w:val="center"/>
                </w:tcPr>
                <w:p w14:paraId="4CF7B1B8">
                  <w:pPr>
                    <w:widowControl/>
                    <w:spacing w:line="240" w:lineRule="auto"/>
                    <w:jc w:val="center"/>
                    <w:rPr>
                      <w:i w:val="0"/>
                      <w:iCs w:val="0"/>
                      <w:sz w:val="21"/>
                      <w:szCs w:val="21"/>
                      <w:u w:val="single"/>
                    </w:rPr>
                  </w:pPr>
                  <w:r>
                    <w:rPr>
                      <w:i w:val="0"/>
                      <w:iCs w:val="0"/>
                      <w:kern w:val="0"/>
                      <w:sz w:val="21"/>
                      <w:szCs w:val="21"/>
                      <w:u w:val="single"/>
                    </w:rPr>
                    <w:t>厂界东侧、南侧、西侧、北侧</w:t>
                  </w:r>
                </w:p>
              </w:tc>
              <w:tc>
                <w:tcPr>
                  <w:tcW w:w="726" w:type="pct"/>
                  <w:vAlign w:val="center"/>
                </w:tcPr>
                <w:p w14:paraId="0071C0D7">
                  <w:pPr>
                    <w:widowControl/>
                    <w:spacing w:line="240" w:lineRule="auto"/>
                    <w:jc w:val="center"/>
                    <w:rPr>
                      <w:i w:val="0"/>
                      <w:iCs w:val="0"/>
                      <w:sz w:val="21"/>
                      <w:szCs w:val="21"/>
                      <w:u w:val="single"/>
                    </w:rPr>
                  </w:pPr>
                  <w:r>
                    <w:rPr>
                      <w:i w:val="0"/>
                      <w:iCs w:val="0"/>
                      <w:kern w:val="0"/>
                      <w:sz w:val="21"/>
                      <w:szCs w:val="21"/>
                      <w:u w:val="single"/>
                    </w:rPr>
                    <w:t>等效连续A 声级</w:t>
                  </w:r>
                </w:p>
              </w:tc>
              <w:tc>
                <w:tcPr>
                  <w:tcW w:w="719" w:type="pct"/>
                  <w:vAlign w:val="center"/>
                </w:tcPr>
                <w:p w14:paraId="6FF0A3D1">
                  <w:pPr>
                    <w:widowControl/>
                    <w:spacing w:line="240" w:lineRule="auto"/>
                    <w:jc w:val="center"/>
                    <w:rPr>
                      <w:i w:val="0"/>
                      <w:iCs w:val="0"/>
                      <w:kern w:val="0"/>
                      <w:sz w:val="21"/>
                      <w:szCs w:val="21"/>
                      <w:u w:val="single"/>
                    </w:rPr>
                  </w:pPr>
                  <w:r>
                    <w:rPr>
                      <w:rFonts w:hint="eastAsia"/>
                      <w:i w:val="0"/>
                      <w:iCs w:val="0"/>
                      <w:kern w:val="0"/>
                      <w:sz w:val="21"/>
                      <w:szCs w:val="21"/>
                      <w:u w:val="single"/>
                    </w:rPr>
                    <w:t>委托有资质单位监测</w:t>
                  </w:r>
                </w:p>
              </w:tc>
              <w:tc>
                <w:tcPr>
                  <w:tcW w:w="836" w:type="pct"/>
                  <w:vAlign w:val="center"/>
                </w:tcPr>
                <w:p w14:paraId="7D32495A">
                  <w:pPr>
                    <w:spacing w:line="240" w:lineRule="auto"/>
                    <w:jc w:val="center"/>
                    <w:rPr>
                      <w:i w:val="0"/>
                      <w:iCs w:val="0"/>
                      <w:sz w:val="21"/>
                      <w:szCs w:val="21"/>
                      <w:u w:val="single"/>
                    </w:rPr>
                  </w:pPr>
                  <w:r>
                    <w:rPr>
                      <w:i w:val="0"/>
                      <w:iCs w:val="0"/>
                      <w:sz w:val="21"/>
                      <w:szCs w:val="21"/>
                      <w:u w:val="single"/>
                    </w:rPr>
                    <w:t>每季度一次</w:t>
                  </w:r>
                </w:p>
              </w:tc>
              <w:tc>
                <w:tcPr>
                  <w:tcW w:w="1514" w:type="pct"/>
                  <w:vAlign w:val="center"/>
                </w:tcPr>
                <w:p w14:paraId="65553088">
                  <w:pPr>
                    <w:spacing w:line="240" w:lineRule="auto"/>
                    <w:jc w:val="center"/>
                    <w:rPr>
                      <w:rFonts w:hint="eastAsia" w:eastAsia="宋体"/>
                      <w:i w:val="0"/>
                      <w:iCs w:val="0"/>
                      <w:sz w:val="21"/>
                      <w:szCs w:val="21"/>
                      <w:u w:val="single"/>
                      <w:lang w:val="en-US" w:eastAsia="zh-CN"/>
                    </w:rPr>
                  </w:pPr>
                  <w:r>
                    <w:rPr>
                      <w:rFonts w:hint="eastAsia"/>
                      <w:i w:val="0"/>
                      <w:iCs w:val="0"/>
                      <w:sz w:val="21"/>
                      <w:szCs w:val="21"/>
                      <w:u w:val="single"/>
                      <w:lang w:eastAsia="zh-CN"/>
                    </w:rPr>
                    <w:t>东、西、北侧厂界执行</w:t>
                  </w:r>
                  <w:r>
                    <w:rPr>
                      <w:i w:val="0"/>
                      <w:iCs w:val="0"/>
                      <w:sz w:val="21"/>
                      <w:szCs w:val="21"/>
                      <w:u w:val="single"/>
                    </w:rPr>
                    <w:t>《声环境质量标准》（GB3096-2008）</w:t>
                  </w:r>
                  <w:r>
                    <w:rPr>
                      <w:rFonts w:hint="default"/>
                      <w:i w:val="0"/>
                      <w:iCs w:val="0"/>
                      <w:sz w:val="21"/>
                      <w:szCs w:val="21"/>
                      <w:u w:val="single"/>
                      <w:lang w:val="en-US" w:eastAsia="zh-CN"/>
                    </w:rPr>
                    <w:t>2类标准</w:t>
                  </w:r>
                  <w:r>
                    <w:rPr>
                      <w:rFonts w:hint="eastAsia"/>
                      <w:i w:val="0"/>
                      <w:iCs w:val="0"/>
                      <w:sz w:val="21"/>
                      <w:szCs w:val="21"/>
                      <w:u w:val="single"/>
                      <w:lang w:val="en-US" w:eastAsia="zh-CN"/>
                    </w:rPr>
                    <w:t>，南侧厂界执行</w:t>
                  </w:r>
                  <w:r>
                    <w:rPr>
                      <w:i w:val="0"/>
                      <w:iCs w:val="0"/>
                      <w:sz w:val="21"/>
                      <w:szCs w:val="21"/>
                      <w:u w:val="single"/>
                    </w:rPr>
                    <w:t>《声环境质量标准》（GB3096-2008）</w:t>
                  </w:r>
                  <w:r>
                    <w:rPr>
                      <w:rFonts w:hint="eastAsia"/>
                      <w:i w:val="0"/>
                      <w:iCs w:val="0"/>
                      <w:sz w:val="21"/>
                      <w:szCs w:val="21"/>
                      <w:u w:val="single"/>
                      <w:lang w:val="en-US" w:eastAsia="zh-CN"/>
                    </w:rPr>
                    <w:t>4a类标准</w:t>
                  </w:r>
                </w:p>
              </w:tc>
            </w:tr>
            <w:tr w14:paraId="7C47DB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5" w:hRule="atLeast"/>
              </w:trPr>
              <w:tc>
                <w:tcPr>
                  <w:tcW w:w="403" w:type="pct"/>
                  <w:vMerge w:val="continue"/>
                  <w:vAlign w:val="center"/>
                </w:tcPr>
                <w:p w14:paraId="05F5472B">
                  <w:pPr>
                    <w:spacing w:line="240" w:lineRule="auto"/>
                    <w:jc w:val="center"/>
                    <w:rPr>
                      <w:i w:val="0"/>
                      <w:iCs w:val="0"/>
                      <w:sz w:val="21"/>
                      <w:szCs w:val="21"/>
                      <w:u w:val="single"/>
                    </w:rPr>
                  </w:pPr>
                  <w:bookmarkStart w:id="105" w:name="_Toc68160399"/>
                  <w:bookmarkStart w:id="106" w:name="_Toc32206"/>
                </w:p>
              </w:tc>
              <w:tc>
                <w:tcPr>
                  <w:tcW w:w="799" w:type="pct"/>
                  <w:vAlign w:val="center"/>
                </w:tcPr>
                <w:p w14:paraId="413E7A44">
                  <w:pPr>
                    <w:widowControl/>
                    <w:spacing w:line="240" w:lineRule="auto"/>
                    <w:jc w:val="center"/>
                    <w:rPr>
                      <w:i w:val="0"/>
                      <w:iCs w:val="0"/>
                      <w:kern w:val="0"/>
                      <w:sz w:val="21"/>
                      <w:szCs w:val="21"/>
                      <w:u w:val="single"/>
                    </w:rPr>
                  </w:pPr>
                  <w:r>
                    <w:rPr>
                      <w:i w:val="0"/>
                      <w:iCs w:val="0"/>
                      <w:sz w:val="21"/>
                      <w:szCs w:val="21"/>
                      <w:u w:val="single"/>
                    </w:rPr>
                    <w:t>东南面30米处高桥村居民点</w:t>
                  </w:r>
                </w:p>
              </w:tc>
              <w:tc>
                <w:tcPr>
                  <w:tcW w:w="726" w:type="pct"/>
                  <w:vAlign w:val="center"/>
                </w:tcPr>
                <w:p w14:paraId="0ED064C2">
                  <w:pPr>
                    <w:widowControl/>
                    <w:spacing w:line="240" w:lineRule="auto"/>
                    <w:jc w:val="center"/>
                    <w:rPr>
                      <w:i w:val="0"/>
                      <w:iCs w:val="0"/>
                      <w:kern w:val="0"/>
                      <w:sz w:val="21"/>
                      <w:szCs w:val="21"/>
                      <w:u w:val="single"/>
                    </w:rPr>
                  </w:pPr>
                  <w:r>
                    <w:rPr>
                      <w:i w:val="0"/>
                      <w:iCs w:val="0"/>
                      <w:kern w:val="0"/>
                      <w:sz w:val="21"/>
                      <w:szCs w:val="21"/>
                      <w:u w:val="single"/>
                    </w:rPr>
                    <w:t>等效连续A 声级</w:t>
                  </w:r>
                </w:p>
              </w:tc>
              <w:tc>
                <w:tcPr>
                  <w:tcW w:w="719" w:type="pct"/>
                  <w:vAlign w:val="center"/>
                </w:tcPr>
                <w:p w14:paraId="3A2F18C3">
                  <w:pPr>
                    <w:widowControl/>
                    <w:spacing w:line="240" w:lineRule="auto"/>
                    <w:jc w:val="center"/>
                    <w:rPr>
                      <w:i w:val="0"/>
                      <w:iCs w:val="0"/>
                      <w:kern w:val="0"/>
                      <w:sz w:val="21"/>
                      <w:szCs w:val="21"/>
                      <w:u w:val="single"/>
                    </w:rPr>
                  </w:pPr>
                  <w:r>
                    <w:rPr>
                      <w:rFonts w:hint="eastAsia"/>
                      <w:i w:val="0"/>
                      <w:iCs w:val="0"/>
                      <w:kern w:val="0"/>
                      <w:sz w:val="21"/>
                      <w:szCs w:val="21"/>
                      <w:u w:val="single"/>
                    </w:rPr>
                    <w:t>委托有资质单位监测</w:t>
                  </w:r>
                </w:p>
              </w:tc>
              <w:tc>
                <w:tcPr>
                  <w:tcW w:w="836" w:type="pct"/>
                  <w:vAlign w:val="center"/>
                </w:tcPr>
                <w:p w14:paraId="4EA1B75A">
                  <w:pPr>
                    <w:spacing w:line="240" w:lineRule="auto"/>
                    <w:jc w:val="center"/>
                    <w:rPr>
                      <w:i w:val="0"/>
                      <w:iCs w:val="0"/>
                      <w:sz w:val="21"/>
                      <w:szCs w:val="21"/>
                      <w:u w:val="single"/>
                    </w:rPr>
                  </w:pPr>
                  <w:r>
                    <w:rPr>
                      <w:i w:val="0"/>
                      <w:iCs w:val="0"/>
                      <w:sz w:val="21"/>
                      <w:szCs w:val="21"/>
                      <w:u w:val="single"/>
                    </w:rPr>
                    <w:t>每季度一次</w:t>
                  </w:r>
                </w:p>
              </w:tc>
              <w:tc>
                <w:tcPr>
                  <w:tcW w:w="1514" w:type="pct"/>
                  <w:vMerge w:val="restart"/>
                  <w:vAlign w:val="center"/>
                </w:tcPr>
                <w:p w14:paraId="53E61666">
                  <w:pPr>
                    <w:spacing w:line="240" w:lineRule="auto"/>
                    <w:jc w:val="center"/>
                    <w:rPr>
                      <w:rFonts w:hint="default"/>
                      <w:i w:val="0"/>
                      <w:iCs w:val="0"/>
                      <w:sz w:val="21"/>
                      <w:szCs w:val="21"/>
                      <w:u w:val="single"/>
                      <w:lang w:val="en-US"/>
                    </w:rPr>
                  </w:pPr>
                  <w:r>
                    <w:rPr>
                      <w:i w:val="0"/>
                      <w:iCs w:val="0"/>
                      <w:sz w:val="21"/>
                      <w:szCs w:val="21"/>
                      <w:u w:val="single"/>
                    </w:rPr>
                    <w:t>《声环境质量标准》（GB3096-2008）</w:t>
                  </w:r>
                  <w:r>
                    <w:rPr>
                      <w:rFonts w:hint="eastAsia"/>
                      <w:i w:val="0"/>
                      <w:iCs w:val="0"/>
                      <w:sz w:val="21"/>
                      <w:szCs w:val="21"/>
                      <w:u w:val="single"/>
                      <w:lang w:val="en-US" w:eastAsia="zh-CN"/>
                    </w:rPr>
                    <w:t>4a类标准</w:t>
                  </w:r>
                </w:p>
              </w:tc>
            </w:tr>
            <w:tr w14:paraId="1FE729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6" w:hRule="atLeast"/>
              </w:trPr>
              <w:tc>
                <w:tcPr>
                  <w:tcW w:w="403" w:type="pct"/>
                  <w:vMerge w:val="continue"/>
                  <w:vAlign w:val="center"/>
                </w:tcPr>
                <w:p w14:paraId="33A551F2">
                  <w:pPr>
                    <w:spacing w:line="240" w:lineRule="auto"/>
                    <w:jc w:val="center"/>
                    <w:rPr>
                      <w:i w:val="0"/>
                      <w:iCs w:val="0"/>
                      <w:sz w:val="21"/>
                      <w:szCs w:val="21"/>
                      <w:u w:val="single"/>
                    </w:rPr>
                  </w:pPr>
                </w:p>
              </w:tc>
              <w:tc>
                <w:tcPr>
                  <w:tcW w:w="799" w:type="pct"/>
                  <w:vAlign w:val="center"/>
                </w:tcPr>
                <w:p w14:paraId="264B9915">
                  <w:pPr>
                    <w:widowControl/>
                    <w:spacing w:line="240" w:lineRule="auto"/>
                    <w:jc w:val="center"/>
                    <w:rPr>
                      <w:i w:val="0"/>
                      <w:iCs w:val="0"/>
                      <w:kern w:val="0"/>
                      <w:sz w:val="21"/>
                      <w:szCs w:val="21"/>
                      <w:u w:val="single"/>
                    </w:rPr>
                  </w:pPr>
                  <w:r>
                    <w:rPr>
                      <w:i w:val="0"/>
                      <w:iCs w:val="0"/>
                      <w:sz w:val="21"/>
                      <w:szCs w:val="21"/>
                      <w:u w:val="single"/>
                    </w:rPr>
                    <w:t>西南面38米处高桥村居民点</w:t>
                  </w:r>
                </w:p>
              </w:tc>
              <w:tc>
                <w:tcPr>
                  <w:tcW w:w="726" w:type="pct"/>
                  <w:vAlign w:val="center"/>
                </w:tcPr>
                <w:p w14:paraId="4F592761">
                  <w:pPr>
                    <w:widowControl/>
                    <w:spacing w:line="240" w:lineRule="auto"/>
                    <w:jc w:val="center"/>
                    <w:rPr>
                      <w:i w:val="0"/>
                      <w:iCs w:val="0"/>
                      <w:kern w:val="0"/>
                      <w:sz w:val="21"/>
                      <w:szCs w:val="21"/>
                      <w:u w:val="single"/>
                    </w:rPr>
                  </w:pPr>
                  <w:r>
                    <w:rPr>
                      <w:i w:val="0"/>
                      <w:iCs w:val="0"/>
                      <w:kern w:val="0"/>
                      <w:sz w:val="21"/>
                      <w:szCs w:val="21"/>
                      <w:u w:val="single"/>
                    </w:rPr>
                    <w:t>等效连续A 声级</w:t>
                  </w:r>
                </w:p>
              </w:tc>
              <w:tc>
                <w:tcPr>
                  <w:tcW w:w="719" w:type="pct"/>
                  <w:vAlign w:val="center"/>
                </w:tcPr>
                <w:p w14:paraId="4A87E692">
                  <w:pPr>
                    <w:widowControl/>
                    <w:spacing w:line="240" w:lineRule="auto"/>
                    <w:jc w:val="center"/>
                    <w:rPr>
                      <w:i w:val="0"/>
                      <w:iCs w:val="0"/>
                      <w:kern w:val="0"/>
                      <w:sz w:val="21"/>
                      <w:szCs w:val="21"/>
                      <w:u w:val="single"/>
                    </w:rPr>
                  </w:pPr>
                  <w:r>
                    <w:rPr>
                      <w:rFonts w:hint="eastAsia"/>
                      <w:i w:val="0"/>
                      <w:iCs w:val="0"/>
                      <w:kern w:val="0"/>
                      <w:sz w:val="21"/>
                      <w:szCs w:val="21"/>
                      <w:u w:val="single"/>
                    </w:rPr>
                    <w:t>委托有资质单位监测</w:t>
                  </w:r>
                </w:p>
              </w:tc>
              <w:tc>
                <w:tcPr>
                  <w:tcW w:w="836" w:type="pct"/>
                  <w:vAlign w:val="center"/>
                </w:tcPr>
                <w:p w14:paraId="421902A0">
                  <w:pPr>
                    <w:spacing w:line="240" w:lineRule="auto"/>
                    <w:jc w:val="center"/>
                    <w:rPr>
                      <w:i w:val="0"/>
                      <w:iCs w:val="0"/>
                      <w:sz w:val="21"/>
                      <w:szCs w:val="21"/>
                      <w:u w:val="single"/>
                    </w:rPr>
                  </w:pPr>
                  <w:r>
                    <w:rPr>
                      <w:i w:val="0"/>
                      <w:iCs w:val="0"/>
                      <w:sz w:val="21"/>
                      <w:szCs w:val="21"/>
                      <w:u w:val="single"/>
                    </w:rPr>
                    <w:t>每季度一次</w:t>
                  </w:r>
                </w:p>
              </w:tc>
              <w:tc>
                <w:tcPr>
                  <w:tcW w:w="1514" w:type="pct"/>
                  <w:vMerge w:val="continue"/>
                  <w:vAlign w:val="center"/>
                </w:tcPr>
                <w:p w14:paraId="17BB2ECD">
                  <w:pPr>
                    <w:spacing w:line="240" w:lineRule="auto"/>
                    <w:jc w:val="center"/>
                    <w:rPr>
                      <w:i w:val="0"/>
                      <w:iCs w:val="0"/>
                      <w:sz w:val="21"/>
                      <w:szCs w:val="21"/>
                      <w:u w:val="single"/>
                    </w:rPr>
                  </w:pPr>
                </w:p>
              </w:tc>
            </w:tr>
          </w:tbl>
          <w:p w14:paraId="2973B6E7">
            <w:pPr>
              <w:pStyle w:val="34"/>
              <w:numPr>
                <w:ilvl w:val="2"/>
                <w:numId w:val="0"/>
              </w:numPr>
              <w:ind w:firstLine="482" w:firstLineChars="200"/>
            </w:pPr>
            <w:r>
              <w:t>4.2.4、固体废物</w:t>
            </w:r>
            <w:bookmarkEnd w:id="105"/>
            <w:bookmarkEnd w:id="106"/>
          </w:p>
          <w:p w14:paraId="0AC253B5">
            <w:pPr>
              <w:ind w:firstLine="480" w:firstLineChars="200"/>
              <w:rPr>
                <w:color w:val="0000C7"/>
                <w:kern w:val="0"/>
              </w:rPr>
            </w:pPr>
            <w:r>
              <w:rPr>
                <w:kern w:val="0"/>
              </w:rPr>
              <w:t>项目固废主要来源于</w:t>
            </w:r>
            <w:r>
              <w:rPr>
                <w:rFonts w:hint="eastAsia"/>
                <w:kern w:val="0"/>
              </w:rPr>
              <w:t>切割磨光及雕刻沉淀污泥、废包装材料、</w:t>
            </w:r>
            <w:r>
              <w:rPr>
                <w:rFonts w:hint="eastAsia"/>
                <w:kern w:val="0"/>
                <w:lang w:eastAsia="zh-CN"/>
              </w:rPr>
              <w:t>废抛光布、</w:t>
            </w:r>
            <w:r>
              <w:rPr>
                <w:rFonts w:hint="eastAsia"/>
                <w:kern w:val="0"/>
              </w:rPr>
              <w:t>废边角料</w:t>
            </w:r>
            <w:r>
              <w:rPr>
                <w:rFonts w:hint="eastAsia"/>
                <w:kern w:val="0"/>
                <w:lang w:eastAsia="zh-CN"/>
              </w:rPr>
              <w:t>及不合格品</w:t>
            </w:r>
            <w:r>
              <w:rPr>
                <w:rFonts w:hint="eastAsia"/>
                <w:kern w:val="0"/>
              </w:rPr>
              <w:t>、</w:t>
            </w:r>
            <w:r>
              <w:rPr>
                <w:kern w:val="0"/>
              </w:rPr>
              <w:t>员工的生活垃圾。</w:t>
            </w:r>
          </w:p>
          <w:p w14:paraId="2AEA5E77">
            <w:pPr>
              <w:ind w:firstLine="480" w:firstLineChars="200"/>
              <w:rPr>
                <w:color w:val="0000C7"/>
                <w:kern w:val="0"/>
                <w:u w:val="single"/>
              </w:rPr>
            </w:pPr>
            <w:r>
              <w:rPr>
                <w:kern w:val="0"/>
                <w:u w:val="single"/>
              </w:rPr>
              <w:t>（1）</w:t>
            </w:r>
            <w:r>
              <w:rPr>
                <w:u w:val="single"/>
              </w:rPr>
              <w:t>切割磨光及雕刻</w:t>
            </w:r>
            <w:r>
              <w:rPr>
                <w:rFonts w:hint="eastAsia"/>
                <w:u w:val="single"/>
              </w:rPr>
              <w:t>沉淀污泥</w:t>
            </w:r>
          </w:p>
          <w:p w14:paraId="02AA108D">
            <w:pPr>
              <w:ind w:firstLine="480"/>
              <w:rPr>
                <w:kern w:val="0"/>
                <w:szCs w:val="16"/>
                <w:u w:val="single"/>
              </w:rPr>
            </w:pPr>
            <w:r>
              <w:rPr>
                <w:kern w:val="0"/>
                <w:szCs w:val="16"/>
                <w:u w:val="single"/>
              </w:rPr>
              <w:t>本项目</w:t>
            </w:r>
            <w:r>
              <w:rPr>
                <w:u w:val="single"/>
              </w:rPr>
              <w:t>切割磨光及雕刻</w:t>
            </w:r>
            <w:r>
              <w:rPr>
                <w:kern w:val="0"/>
                <w:szCs w:val="16"/>
                <w:u w:val="single"/>
              </w:rPr>
              <w:t>废水</w:t>
            </w:r>
            <w:r>
              <w:rPr>
                <w:u w:val="single"/>
              </w:rPr>
              <w:t>经</w:t>
            </w:r>
            <w:r>
              <w:rPr>
                <w:rFonts w:hint="eastAsia"/>
                <w:szCs w:val="20"/>
                <w:u w:val="single"/>
                <w:lang w:eastAsia="zh-CN"/>
              </w:rPr>
              <w:t>三级</w:t>
            </w:r>
            <w:r>
              <w:rPr>
                <w:kern w:val="0"/>
                <w:szCs w:val="16"/>
                <w:u w:val="single"/>
              </w:rPr>
              <w:t>沉淀池处理后回用，</w:t>
            </w:r>
            <w:r>
              <w:rPr>
                <w:u w:val="single"/>
              </w:rPr>
              <w:t>切割磨光及雕刻</w:t>
            </w:r>
            <w:r>
              <w:rPr>
                <w:kern w:val="0"/>
                <w:szCs w:val="16"/>
                <w:u w:val="single"/>
              </w:rPr>
              <w:t>废水主要污染物为SS，且含量大，经沉淀处理后沉淀池底部含有大量底泥，主要成分为石粉渣，沉渣经过压滤机压滤后形成压滤泥饼。</w:t>
            </w:r>
          </w:p>
          <w:p w14:paraId="68FF72F2">
            <w:pPr>
              <w:ind w:firstLine="480"/>
              <w:rPr>
                <w:kern w:val="0"/>
                <w:szCs w:val="16"/>
                <w:u w:val="single"/>
              </w:rPr>
            </w:pPr>
            <w:r>
              <w:rPr>
                <w:kern w:val="0"/>
                <w:szCs w:val="16"/>
                <w:u w:val="single"/>
              </w:rPr>
              <w:t>沉淀污泥来自生产过程中产生的粉尘经水力捕集后于沉淀池中沉淀，污泥沉淀量的计算公式如下：</w:t>
            </w:r>
          </w:p>
          <w:p w14:paraId="06E5682D">
            <w:pPr>
              <w:ind w:firstLine="480"/>
              <w:rPr>
                <w:kern w:val="0"/>
                <w:szCs w:val="16"/>
                <w:u w:val="single"/>
              </w:rPr>
            </w:pPr>
            <w:r>
              <w:rPr>
                <w:kern w:val="0"/>
                <w:szCs w:val="16"/>
                <w:u w:val="single"/>
              </w:rPr>
              <w:t>W＝Q×(C1-C2)×10</w:t>
            </w:r>
            <w:r>
              <w:rPr>
                <w:kern w:val="0"/>
                <w:szCs w:val="16"/>
                <w:u w:val="single"/>
                <w:vertAlign w:val="superscript"/>
              </w:rPr>
              <w:t>-3</w:t>
            </w:r>
          </w:p>
          <w:p w14:paraId="14EA875C">
            <w:pPr>
              <w:ind w:firstLine="480"/>
              <w:rPr>
                <w:kern w:val="0"/>
                <w:szCs w:val="16"/>
                <w:u w:val="single"/>
              </w:rPr>
            </w:pPr>
            <w:r>
              <w:rPr>
                <w:kern w:val="0"/>
                <w:szCs w:val="16"/>
                <w:u w:val="single"/>
              </w:rPr>
              <w:t>式中：W—污泥量，kg/d；</w:t>
            </w:r>
          </w:p>
          <w:p w14:paraId="2078382A">
            <w:pPr>
              <w:ind w:firstLine="480"/>
              <w:rPr>
                <w:kern w:val="0"/>
                <w:szCs w:val="16"/>
                <w:u w:val="single"/>
              </w:rPr>
            </w:pPr>
            <w:r>
              <w:rPr>
                <w:kern w:val="0"/>
                <w:szCs w:val="16"/>
                <w:u w:val="single"/>
              </w:rPr>
              <w:t>C1—废水悬浮物浓度，mg/L；</w:t>
            </w:r>
          </w:p>
          <w:p w14:paraId="1C9615F3">
            <w:pPr>
              <w:ind w:firstLine="480"/>
              <w:rPr>
                <w:kern w:val="0"/>
                <w:szCs w:val="16"/>
                <w:u w:val="single"/>
              </w:rPr>
            </w:pPr>
            <w:r>
              <w:rPr>
                <w:kern w:val="0"/>
                <w:szCs w:val="16"/>
                <w:u w:val="single"/>
              </w:rPr>
              <w:t>Q—废水量，m</w:t>
            </w:r>
            <w:r>
              <w:rPr>
                <w:kern w:val="0"/>
                <w:szCs w:val="16"/>
                <w:u w:val="single"/>
                <w:vertAlign w:val="superscript"/>
              </w:rPr>
              <w:t>3</w:t>
            </w:r>
            <w:r>
              <w:rPr>
                <w:kern w:val="0"/>
                <w:szCs w:val="16"/>
                <w:u w:val="single"/>
              </w:rPr>
              <w:t>/d；</w:t>
            </w:r>
          </w:p>
          <w:p w14:paraId="00177DEC">
            <w:pPr>
              <w:ind w:firstLine="480"/>
              <w:rPr>
                <w:color w:val="0000C7"/>
                <w:kern w:val="0"/>
                <w:szCs w:val="16"/>
                <w:u w:val="single"/>
              </w:rPr>
            </w:pPr>
            <w:r>
              <w:rPr>
                <w:kern w:val="0"/>
                <w:szCs w:val="16"/>
                <w:u w:val="single"/>
              </w:rPr>
              <w:t>C2—处理后废水悬浮物浓度，mg/L。</w:t>
            </w:r>
          </w:p>
          <w:p w14:paraId="146DA778">
            <w:pPr>
              <w:ind w:firstLine="480" w:firstLineChars="200"/>
              <w:rPr>
                <w:color w:val="0000C7"/>
                <w:kern w:val="0"/>
              </w:rPr>
            </w:pPr>
            <w:r>
              <w:rPr>
                <w:kern w:val="0"/>
                <w:szCs w:val="16"/>
                <w:u w:val="single"/>
              </w:rPr>
              <w:t>项目年生产</w:t>
            </w:r>
            <w:r>
              <w:rPr>
                <w:rFonts w:hint="eastAsia"/>
                <w:kern w:val="0"/>
                <w:szCs w:val="16"/>
                <w:u w:val="single"/>
              </w:rPr>
              <w:t>路沿石、</w:t>
            </w:r>
            <w:r>
              <w:rPr>
                <w:rFonts w:hint="eastAsia"/>
                <w:b w:val="0"/>
                <w:bCs/>
                <w:kern w:val="0"/>
                <w:u w:val="single"/>
                <w:lang w:eastAsia="zh-CN" w:bidi="ar"/>
              </w:rPr>
              <w:t>墓碑</w:t>
            </w:r>
            <w:r>
              <w:rPr>
                <w:rFonts w:hint="eastAsia" w:ascii="Times New Roman" w:hAnsi="Times New Roman" w:eastAsia="宋体" w:cs="Times New Roman"/>
                <w:b w:val="0"/>
                <w:bCs/>
                <w:kern w:val="0"/>
                <w:sz w:val="24"/>
                <w:szCs w:val="24"/>
                <w:u w:val="single"/>
                <w:lang w:val="en-US" w:eastAsia="zh-CN" w:bidi="ar"/>
              </w:rPr>
              <w:t>及附属产品和其他板材</w:t>
            </w:r>
            <w:r>
              <w:rPr>
                <w:rFonts w:hint="eastAsia"/>
                <w:kern w:val="0"/>
                <w:szCs w:val="16"/>
                <w:u w:val="single"/>
              </w:rPr>
              <w:t>为16453</w:t>
            </w:r>
            <w:r>
              <w:rPr>
                <w:kern w:val="0"/>
                <w:szCs w:val="16"/>
                <w:u w:val="single"/>
              </w:rPr>
              <w:t>㎡，生产废水产生量为</w:t>
            </w:r>
            <w:r>
              <w:rPr>
                <w:rFonts w:hint="eastAsia"/>
                <w:u w:val="single"/>
              </w:rPr>
              <w:t>17.1</w:t>
            </w:r>
            <w:r>
              <w:rPr>
                <w:u w:val="single"/>
              </w:rPr>
              <w:t>m³/d（</w:t>
            </w:r>
            <w:r>
              <w:rPr>
                <w:rFonts w:hint="eastAsia"/>
                <w:u w:val="single"/>
              </w:rPr>
              <w:t>5116.9</w:t>
            </w:r>
            <w:r>
              <w:rPr>
                <w:u w:val="single"/>
              </w:rPr>
              <w:t>m³/a）</w:t>
            </w:r>
            <w:r>
              <w:rPr>
                <w:color w:val="auto"/>
                <w:kern w:val="0"/>
                <w:szCs w:val="16"/>
                <w:u w:val="single"/>
              </w:rPr>
              <w:t>，</w:t>
            </w:r>
            <w:r>
              <w:rPr>
                <w:kern w:val="0"/>
                <w:szCs w:val="16"/>
                <w:u w:val="single"/>
              </w:rPr>
              <w:t>废水中悬浮物浓度2000mg/L，生产废水采用沉淀处理法，</w:t>
            </w:r>
            <w:r>
              <w:rPr>
                <w:rFonts w:hint="eastAsia"/>
                <w:kern w:val="0"/>
                <w:szCs w:val="16"/>
                <w:u w:val="single"/>
                <w:lang w:eastAsia="zh-CN"/>
              </w:rPr>
              <w:t>类比同类型项目，处理效率</w:t>
            </w:r>
            <w:r>
              <w:rPr>
                <w:rFonts w:hint="eastAsia"/>
                <w:kern w:val="0"/>
                <w:szCs w:val="16"/>
                <w:u w:val="single"/>
                <w:lang w:val="en-US" w:eastAsia="zh-CN"/>
              </w:rPr>
              <w:t>可达90%，则</w:t>
            </w:r>
            <w:r>
              <w:rPr>
                <w:kern w:val="0"/>
                <w:szCs w:val="16"/>
                <w:u w:val="single"/>
              </w:rPr>
              <w:t>沉淀处理后废水悬浮物浓度200mg/L，则定期打捞污泥量约为</w:t>
            </w:r>
            <w:r>
              <w:rPr>
                <w:rFonts w:hint="eastAsia"/>
                <w:u w:val="single"/>
              </w:rPr>
              <w:t>0.03</w:t>
            </w:r>
            <w:r>
              <w:rPr>
                <w:rFonts w:hint="eastAsia"/>
                <w:u w:val="single"/>
                <w:lang w:val="en-US" w:eastAsia="zh-CN"/>
              </w:rPr>
              <w:t>t</w:t>
            </w:r>
            <w:r>
              <w:rPr>
                <w:u w:val="single"/>
              </w:rPr>
              <w:t>/d（</w:t>
            </w:r>
            <w:r>
              <w:rPr>
                <w:rFonts w:hint="eastAsia"/>
                <w:u w:val="single"/>
              </w:rPr>
              <w:t>9</w:t>
            </w:r>
            <w:r>
              <w:rPr>
                <w:rFonts w:hint="eastAsia"/>
                <w:u w:val="single"/>
                <w:lang w:val="en-US" w:eastAsia="zh-CN"/>
              </w:rPr>
              <w:t>t</w:t>
            </w:r>
            <w:r>
              <w:rPr>
                <w:u w:val="single"/>
              </w:rPr>
              <w:t>/a）</w:t>
            </w:r>
            <w:r>
              <w:rPr>
                <w:kern w:val="0"/>
                <w:szCs w:val="16"/>
                <w:u w:val="single"/>
              </w:rPr>
              <w:t>，经压滤脱水后的污泥含水率以</w:t>
            </w:r>
            <w:r>
              <w:rPr>
                <w:rFonts w:hint="eastAsia"/>
                <w:kern w:val="0"/>
                <w:szCs w:val="16"/>
                <w:u w:val="single"/>
              </w:rPr>
              <w:t>60</w:t>
            </w:r>
            <w:r>
              <w:rPr>
                <w:kern w:val="0"/>
                <w:szCs w:val="16"/>
                <w:u w:val="single"/>
              </w:rPr>
              <w:t>%计(含水率≤80%，符合回</w:t>
            </w:r>
            <w:r>
              <w:rPr>
                <w:rFonts w:hint="eastAsia"/>
                <w:kern w:val="0"/>
                <w:szCs w:val="16"/>
                <w:u w:val="single"/>
                <w:lang w:val="en-US" w:eastAsia="zh-CN"/>
              </w:rPr>
              <w:t>用</w:t>
            </w:r>
            <w:r>
              <w:rPr>
                <w:kern w:val="0"/>
                <w:szCs w:val="16"/>
                <w:u w:val="single"/>
              </w:rPr>
              <w:t>要求)，则项目污泥产生量约</w:t>
            </w:r>
            <w:r>
              <w:rPr>
                <w:rFonts w:hint="eastAsia"/>
                <w:u w:val="single"/>
              </w:rPr>
              <w:t>0.68</w:t>
            </w:r>
            <w:r>
              <w:rPr>
                <w:u w:val="single"/>
              </w:rPr>
              <w:t>t/a</w:t>
            </w:r>
            <w:r>
              <w:rPr>
                <w:rFonts w:hint="eastAsia"/>
                <w:u w:val="single"/>
                <w:lang w:eastAsia="zh-CN"/>
              </w:rPr>
              <w:t>（含水率</w:t>
            </w:r>
            <w:r>
              <w:rPr>
                <w:rFonts w:hint="eastAsia"/>
                <w:u w:val="single"/>
                <w:lang w:val="en-US" w:eastAsia="zh-CN"/>
              </w:rPr>
              <w:t>60%</w:t>
            </w:r>
            <w:r>
              <w:rPr>
                <w:rFonts w:hint="eastAsia"/>
                <w:u w:val="single"/>
                <w:lang w:eastAsia="zh-CN"/>
              </w:rPr>
              <w:t>）</w:t>
            </w:r>
            <w:r>
              <w:rPr>
                <w:kern w:val="0"/>
                <w:szCs w:val="16"/>
                <w:u w:val="single"/>
              </w:rPr>
              <w:t>，在场区</w:t>
            </w:r>
            <w:r>
              <w:rPr>
                <w:rFonts w:hint="eastAsia"/>
                <w:kern w:val="0"/>
                <w:szCs w:val="16"/>
                <w:u w:val="single"/>
              </w:rPr>
              <w:t>原料区</w:t>
            </w:r>
            <w:r>
              <w:rPr>
                <w:kern w:val="0"/>
                <w:szCs w:val="16"/>
                <w:u w:val="single"/>
              </w:rPr>
              <w:t>暂存后</w:t>
            </w:r>
            <w:r>
              <w:rPr>
                <w:rFonts w:hint="eastAsia"/>
                <w:kern w:val="0"/>
                <w:szCs w:val="16"/>
                <w:u w:val="single"/>
              </w:rPr>
              <w:t>回用于项目</w:t>
            </w:r>
            <w:r>
              <w:rPr>
                <w:kern w:val="0"/>
                <w:szCs w:val="16"/>
                <w:u w:val="single"/>
              </w:rPr>
              <w:t>制砖。</w:t>
            </w:r>
          </w:p>
          <w:p w14:paraId="07392AF4">
            <w:pPr>
              <w:tabs>
                <w:tab w:val="left" w:pos="2127"/>
              </w:tabs>
              <w:ind w:firstLine="480" w:firstLineChars="200"/>
              <w:rPr>
                <w:kern w:val="0"/>
              </w:rPr>
            </w:pPr>
            <w:r>
              <w:rPr>
                <w:rFonts w:hint="eastAsia"/>
                <w:kern w:val="0"/>
              </w:rPr>
              <w:t>（2）废包装材料</w:t>
            </w:r>
          </w:p>
          <w:p w14:paraId="0D0C260A">
            <w:pPr>
              <w:tabs>
                <w:tab w:val="left" w:pos="2127"/>
              </w:tabs>
              <w:ind w:firstLine="480" w:firstLineChars="200"/>
              <w:rPr>
                <w:color w:val="0000C7"/>
                <w:kern w:val="0"/>
              </w:rPr>
            </w:pPr>
            <w:r>
              <w:t>项目废水沉淀投加药剂产生的絮凝剂废包装袋</w:t>
            </w:r>
            <w:r>
              <w:rPr>
                <w:rFonts w:hint="eastAsia"/>
                <w:lang w:eastAsia="zh-CN"/>
              </w:rPr>
              <w:t>、墓碑打蜡产生的废石材蜡罐</w:t>
            </w:r>
            <w:r>
              <w:rPr>
                <w:rFonts w:hint="eastAsia"/>
              </w:rPr>
              <w:t>以及路沿石生产线产生的废包装材料</w:t>
            </w:r>
            <w:r>
              <w:t>，年产生量约0.01t/a，交由环卫部门统一清理。</w:t>
            </w:r>
          </w:p>
          <w:p w14:paraId="757E01B6">
            <w:pPr>
              <w:tabs>
                <w:tab w:val="left" w:pos="2127"/>
              </w:tabs>
              <w:ind w:firstLine="480" w:firstLineChars="200"/>
              <w:rPr>
                <w:rFonts w:hint="eastAsia" w:eastAsia="宋体"/>
                <w:kern w:val="0"/>
                <w:lang w:eastAsia="zh-CN"/>
              </w:rPr>
            </w:pPr>
            <w:r>
              <w:rPr>
                <w:rFonts w:hint="eastAsia"/>
                <w:kern w:val="0"/>
              </w:rPr>
              <w:t>（3）废边角料</w:t>
            </w:r>
            <w:r>
              <w:rPr>
                <w:rFonts w:hint="eastAsia"/>
                <w:kern w:val="0"/>
                <w:lang w:eastAsia="zh-CN"/>
              </w:rPr>
              <w:t>及不合格品</w:t>
            </w:r>
          </w:p>
          <w:p w14:paraId="0B94903D">
            <w:pPr>
              <w:tabs>
                <w:tab w:val="left" w:pos="2127"/>
              </w:tabs>
              <w:ind w:firstLine="480" w:firstLineChars="200"/>
            </w:pPr>
            <w:r>
              <w:t>项目产品为</w:t>
            </w:r>
            <w:r>
              <w:rPr>
                <w:rFonts w:hint="eastAsia"/>
              </w:rPr>
              <w:t>路沿石、</w:t>
            </w:r>
            <w:r>
              <w:rPr>
                <w:rFonts w:hint="default" w:ascii="Times New Roman" w:hAnsi="Times New Roman" w:eastAsia="宋体" w:cs="Times New Roman"/>
                <w:bCs/>
                <w:kern w:val="0"/>
                <w:sz w:val="24"/>
                <w:szCs w:val="21"/>
                <w:lang w:val="en-US" w:eastAsia="zh-CN" w:bidi="ar-SA"/>
              </w:rPr>
              <w:t>墓碑及附属产品和其他板材</w:t>
            </w:r>
            <w:r>
              <w:rPr>
                <w:rFonts w:hint="eastAsia"/>
              </w:rPr>
              <w:t>、</w:t>
            </w:r>
            <w:r>
              <w:rPr>
                <w:rFonts w:hint="eastAsia" w:ascii="Times New Roman" w:hAnsi="Times New Roman" w:eastAsia="宋体" w:cs="Times New Roman"/>
                <w:kern w:val="2"/>
                <w:sz w:val="24"/>
                <w:szCs w:val="24"/>
                <w:u w:val="none"/>
                <w:lang w:val="en-US" w:eastAsia="zh-CN" w:bidi="ar-SA"/>
              </w:rPr>
              <w:t>透水砖、路面砖</w:t>
            </w:r>
            <w:r>
              <w:t>，石料切割</w:t>
            </w:r>
            <w:r>
              <w:rPr>
                <w:rFonts w:hint="eastAsia"/>
              </w:rPr>
              <w:t>、雕刻</w:t>
            </w:r>
            <w:r>
              <w:t>过程</w:t>
            </w:r>
            <w:r>
              <w:rPr>
                <w:bCs/>
                <w:kern w:val="0"/>
                <w:szCs w:val="21"/>
              </w:rPr>
              <w:t>会产生废边角料</w:t>
            </w:r>
            <w:r>
              <w:rPr>
                <w:rFonts w:hint="eastAsia"/>
                <w:bCs/>
                <w:kern w:val="0"/>
                <w:szCs w:val="21"/>
                <w:lang w:eastAsia="zh-CN"/>
              </w:rPr>
              <w:t>及不合格品</w:t>
            </w:r>
            <w:r>
              <w:rPr>
                <w:bCs/>
                <w:kern w:val="0"/>
                <w:szCs w:val="21"/>
              </w:rPr>
              <w:t>，属于一般工业固体废物</w:t>
            </w:r>
            <w:r>
              <w:t>。根据物料平衡可知，项目石料切割</w:t>
            </w:r>
            <w:r>
              <w:rPr>
                <w:rFonts w:hint="eastAsia"/>
              </w:rPr>
              <w:t>、雕刻</w:t>
            </w:r>
            <w:r>
              <w:t>过程</w:t>
            </w:r>
            <w:r>
              <w:rPr>
                <w:rFonts w:hint="eastAsia"/>
                <w:lang w:eastAsia="zh-CN"/>
              </w:rPr>
              <w:t>产生的</w:t>
            </w:r>
            <w:r>
              <w:t>边角废料</w:t>
            </w:r>
            <w:r>
              <w:rPr>
                <w:rFonts w:hint="eastAsia"/>
                <w:lang w:eastAsia="zh-CN"/>
              </w:rPr>
              <w:t>及不合格品</w:t>
            </w:r>
            <w:r>
              <w:t>产生量约为</w:t>
            </w:r>
            <w:r>
              <w:rPr>
                <w:rFonts w:hint="eastAsia"/>
              </w:rPr>
              <w:t>806</w:t>
            </w:r>
            <w:r>
              <w:t>t/a，收集后作为本企业的</w:t>
            </w:r>
            <w:r>
              <w:rPr>
                <w:rFonts w:hint="eastAsia" w:ascii="Times New Roman" w:hAnsi="Times New Roman" w:eastAsia="宋体" w:cs="Times New Roman"/>
                <w:kern w:val="2"/>
                <w:sz w:val="24"/>
                <w:szCs w:val="24"/>
                <w:u w:val="none"/>
                <w:lang w:val="en-US" w:eastAsia="zh-CN" w:bidi="ar-SA"/>
              </w:rPr>
              <w:t>透水砖、路面砖</w:t>
            </w:r>
            <w:r>
              <w:t>生产的原料。</w:t>
            </w:r>
          </w:p>
          <w:p w14:paraId="739BE8AE">
            <w:pPr>
              <w:pStyle w:val="2"/>
              <w:ind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kern w:val="2"/>
                <w:sz w:val="24"/>
                <w:szCs w:val="24"/>
                <w:u w:val="none"/>
                <w:lang w:val="en-US" w:eastAsia="zh-CN" w:bidi="ar-SA"/>
              </w:rPr>
              <w:t>透水砖、路面砖</w:t>
            </w:r>
            <w:r>
              <w:rPr>
                <w:rFonts w:hint="eastAsia" w:ascii="Times New Roman" w:hAnsi="Times New Roman" w:eastAsia="宋体" w:cs="Times New Roman"/>
                <w:color w:val="auto"/>
                <w:lang w:eastAsia="zh-CN"/>
              </w:rPr>
              <w:t>生产过程会产生不合格品，根据建设单位提供资料，不合格品产生量约为</w:t>
            </w:r>
            <w:r>
              <w:rPr>
                <w:rFonts w:hint="eastAsia" w:ascii="Times New Roman" w:hAnsi="Times New Roman" w:eastAsia="宋体" w:cs="Times New Roman"/>
                <w:color w:val="auto"/>
                <w:lang w:val="en-US" w:eastAsia="zh-CN"/>
              </w:rPr>
              <w:t>5t/a，</w:t>
            </w:r>
            <w:r>
              <w:rPr>
                <w:rFonts w:ascii="Times New Roman" w:hAnsi="Times New Roman" w:eastAsia="宋体" w:cs="Times New Roman"/>
                <w:color w:val="auto"/>
              </w:rPr>
              <w:t>收集后作为本企业的</w:t>
            </w:r>
            <w:r>
              <w:rPr>
                <w:rFonts w:hint="eastAsia" w:ascii="Times New Roman" w:hAnsi="Times New Roman" w:eastAsia="宋体" w:cs="Times New Roman"/>
                <w:kern w:val="2"/>
                <w:sz w:val="24"/>
                <w:szCs w:val="24"/>
                <w:u w:val="none"/>
                <w:lang w:val="en-US" w:eastAsia="zh-CN" w:bidi="ar-SA"/>
              </w:rPr>
              <w:t>透水砖、路面砖</w:t>
            </w:r>
            <w:r>
              <w:rPr>
                <w:rFonts w:ascii="Times New Roman" w:hAnsi="Times New Roman" w:eastAsia="宋体" w:cs="Times New Roman"/>
                <w:color w:val="auto"/>
              </w:rPr>
              <w:t>生产的原料。</w:t>
            </w:r>
          </w:p>
          <w:p w14:paraId="171E47D4">
            <w:pPr>
              <w:tabs>
                <w:tab w:val="left" w:pos="2127"/>
              </w:tabs>
              <w:ind w:firstLine="480" w:firstLineChars="200"/>
              <w:rPr>
                <w:kern w:val="0"/>
              </w:rPr>
            </w:pPr>
            <w:r>
              <w:rPr>
                <w:rFonts w:hint="eastAsia"/>
                <w:kern w:val="0"/>
              </w:rPr>
              <w:t>（4）员工</w:t>
            </w:r>
            <w:r>
              <w:rPr>
                <w:kern w:val="0"/>
              </w:rPr>
              <w:t>生活垃圾</w:t>
            </w:r>
          </w:p>
          <w:p w14:paraId="2E6CE72B">
            <w:pPr>
              <w:ind w:firstLine="480" w:firstLineChars="200"/>
              <w:rPr>
                <w:color w:val="0000C7"/>
                <w:kern w:val="0"/>
              </w:rPr>
            </w:pPr>
            <w:r>
              <w:rPr>
                <w:kern w:val="0"/>
              </w:rPr>
              <w:t>项目预计员工</w:t>
            </w:r>
            <w:r>
              <w:rPr>
                <w:rFonts w:hint="eastAsia"/>
                <w:kern w:val="0"/>
              </w:rPr>
              <w:t>20</w:t>
            </w:r>
            <w:r>
              <w:rPr>
                <w:kern w:val="0"/>
              </w:rPr>
              <w:t>人，生活垃圾按0.5kg/人</w:t>
            </w:r>
            <w:r>
              <w:rPr>
                <w:b/>
                <w:kern w:val="0"/>
              </w:rPr>
              <w:t>·</w:t>
            </w:r>
            <w:r>
              <w:rPr>
                <w:kern w:val="0"/>
              </w:rPr>
              <w:t>d计，则生活垃圾产生量约为</w:t>
            </w:r>
            <w:r>
              <w:rPr>
                <w:rFonts w:hint="eastAsia"/>
                <w:kern w:val="0"/>
              </w:rPr>
              <w:t>3</w:t>
            </w:r>
            <w:r>
              <w:rPr>
                <w:kern w:val="0"/>
              </w:rPr>
              <w:t>t/a，收集后送</w:t>
            </w:r>
            <w:r>
              <w:rPr>
                <w:rFonts w:hint="eastAsia"/>
                <w:kern w:val="0"/>
              </w:rPr>
              <w:t>附近</w:t>
            </w:r>
            <w:r>
              <w:rPr>
                <w:kern w:val="0"/>
              </w:rPr>
              <w:t>垃圾处置点处置，不会对环境产生不良影响，对环境影响较小。</w:t>
            </w:r>
          </w:p>
          <w:p w14:paraId="6C50A49D">
            <w:pPr>
              <w:ind w:firstLine="480" w:firstLineChars="200"/>
              <w:rPr>
                <w:rFonts w:hint="eastAsia" w:eastAsia="宋体"/>
                <w:kern w:val="0"/>
                <w:lang w:eastAsia="zh-CN"/>
              </w:rPr>
            </w:pPr>
            <w:r>
              <w:rPr>
                <w:kern w:val="0"/>
              </w:rPr>
              <w:t>（</w:t>
            </w:r>
            <w:r>
              <w:rPr>
                <w:rFonts w:hint="eastAsia"/>
                <w:kern w:val="0"/>
              </w:rPr>
              <w:t>5</w:t>
            </w:r>
            <w:r>
              <w:rPr>
                <w:kern w:val="0"/>
              </w:rPr>
              <w:t>）</w:t>
            </w:r>
            <w:r>
              <w:rPr>
                <w:rFonts w:hint="eastAsia"/>
                <w:kern w:val="0"/>
                <w:lang w:eastAsia="zh-CN"/>
              </w:rPr>
              <w:t>废抛光布</w:t>
            </w:r>
          </w:p>
          <w:p w14:paraId="35CCADEF">
            <w:pPr>
              <w:ind w:firstLine="480" w:firstLineChars="200"/>
              <w:rPr>
                <w:rFonts w:hint="default" w:eastAsia="宋体"/>
                <w:kern w:val="0"/>
                <w:lang w:val="en-US" w:eastAsia="zh-CN"/>
              </w:rPr>
            </w:pPr>
            <w:r>
              <w:rPr>
                <w:rFonts w:hint="eastAsia"/>
                <w:kern w:val="0"/>
                <w:lang w:eastAsia="zh-CN"/>
              </w:rPr>
              <w:t>根据建设单位提供资料，本项目墓碑打蜡后抛光需用到抛光布，废抛光布产生量约为</w:t>
            </w:r>
            <w:r>
              <w:rPr>
                <w:rFonts w:hint="eastAsia"/>
                <w:kern w:val="0"/>
                <w:lang w:val="en-US" w:eastAsia="zh-CN"/>
              </w:rPr>
              <w:t>0.01t/a。</w:t>
            </w:r>
          </w:p>
          <w:p w14:paraId="47CE657E">
            <w:pPr>
              <w:ind w:firstLine="480" w:firstLineChars="200"/>
              <w:rPr>
                <w:kern w:val="0"/>
              </w:rPr>
            </w:pPr>
            <w:r>
              <w:rPr>
                <w:kern w:val="0"/>
              </w:rPr>
              <w:t>综上，项目产生的各类固废均能得到综合利用和妥善处理，满足环保要求，对环境影响较小。</w:t>
            </w:r>
          </w:p>
          <w:p w14:paraId="353CC916">
            <w:pPr>
              <w:spacing w:line="240" w:lineRule="auto"/>
              <w:jc w:val="center"/>
              <w:rPr>
                <w:b/>
                <w:bCs/>
                <w:sz w:val="21"/>
                <w:szCs w:val="21"/>
              </w:rPr>
            </w:pPr>
            <w:r>
              <w:rPr>
                <w:b/>
                <w:bCs/>
                <w:sz w:val="21"/>
                <w:szCs w:val="21"/>
              </w:rPr>
              <w:t>表4-</w:t>
            </w:r>
            <w:r>
              <w:rPr>
                <w:rFonts w:hint="eastAsia"/>
                <w:b/>
                <w:bCs/>
                <w:sz w:val="21"/>
                <w:szCs w:val="21"/>
              </w:rPr>
              <w:t>1</w:t>
            </w:r>
            <w:r>
              <w:rPr>
                <w:rFonts w:hint="eastAsia"/>
                <w:b/>
                <w:bCs/>
                <w:sz w:val="21"/>
                <w:szCs w:val="21"/>
                <w:lang w:val="en-US" w:eastAsia="zh-CN"/>
              </w:rPr>
              <w:t>5</w:t>
            </w:r>
            <w:r>
              <w:rPr>
                <w:b/>
                <w:bCs/>
                <w:sz w:val="21"/>
                <w:szCs w:val="21"/>
              </w:rPr>
              <w:t xml:space="preserve">  项目固废产生及处置情况汇总表</w:t>
            </w:r>
          </w:p>
          <w:tbl>
            <w:tblPr>
              <w:tblStyle w:val="25"/>
              <w:tblW w:w="849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11"/>
              <w:gridCol w:w="867"/>
              <w:gridCol w:w="499"/>
              <w:gridCol w:w="1616"/>
              <w:gridCol w:w="617"/>
              <w:gridCol w:w="448"/>
              <w:gridCol w:w="1034"/>
              <w:gridCol w:w="503"/>
              <w:gridCol w:w="496"/>
              <w:gridCol w:w="833"/>
              <w:gridCol w:w="871"/>
            </w:tblGrid>
            <w:tr w14:paraId="2D99BB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41" w:type="dxa"/>
                  <w:vAlign w:val="center"/>
                </w:tcPr>
                <w:p w14:paraId="01DC1AB2">
                  <w:pPr>
                    <w:spacing w:line="240" w:lineRule="auto"/>
                    <w:jc w:val="center"/>
                    <w:rPr>
                      <w:rFonts w:eastAsiaTheme="majorEastAsia"/>
                      <w:b/>
                      <w:bCs/>
                      <w:sz w:val="21"/>
                      <w:szCs w:val="21"/>
                    </w:rPr>
                  </w:pPr>
                  <w:r>
                    <w:rPr>
                      <w:rFonts w:eastAsiaTheme="majorEastAsia"/>
                      <w:b/>
                      <w:bCs/>
                      <w:sz w:val="21"/>
                      <w:szCs w:val="21"/>
                    </w:rPr>
                    <w:t>固废名称</w:t>
                  </w:r>
                </w:p>
              </w:tc>
              <w:tc>
                <w:tcPr>
                  <w:tcW w:w="972" w:type="dxa"/>
                  <w:vAlign w:val="center"/>
                </w:tcPr>
                <w:p w14:paraId="70A8671A">
                  <w:pPr>
                    <w:spacing w:line="240" w:lineRule="auto"/>
                    <w:jc w:val="center"/>
                    <w:rPr>
                      <w:rFonts w:eastAsiaTheme="majorEastAsia"/>
                      <w:b/>
                      <w:bCs/>
                      <w:sz w:val="21"/>
                      <w:szCs w:val="21"/>
                    </w:rPr>
                  </w:pPr>
                  <w:r>
                    <w:rPr>
                      <w:rFonts w:eastAsiaTheme="majorEastAsia"/>
                      <w:b/>
                      <w:bCs/>
                      <w:sz w:val="21"/>
                      <w:szCs w:val="21"/>
                    </w:rPr>
                    <w:t>产生环节</w:t>
                  </w:r>
                </w:p>
              </w:tc>
              <w:tc>
                <w:tcPr>
                  <w:tcW w:w="532" w:type="dxa"/>
                  <w:vAlign w:val="center"/>
                </w:tcPr>
                <w:p w14:paraId="15E9CB95">
                  <w:pPr>
                    <w:spacing w:line="240" w:lineRule="auto"/>
                    <w:jc w:val="center"/>
                    <w:rPr>
                      <w:rFonts w:eastAsiaTheme="majorEastAsia"/>
                      <w:b/>
                      <w:bCs/>
                      <w:sz w:val="21"/>
                      <w:szCs w:val="21"/>
                    </w:rPr>
                  </w:pPr>
                  <w:r>
                    <w:rPr>
                      <w:rFonts w:eastAsiaTheme="majorEastAsia"/>
                      <w:b/>
                      <w:bCs/>
                      <w:sz w:val="21"/>
                      <w:szCs w:val="21"/>
                    </w:rPr>
                    <w:t>固废属性</w:t>
                  </w:r>
                </w:p>
              </w:tc>
              <w:tc>
                <w:tcPr>
                  <w:tcW w:w="1111" w:type="dxa"/>
                  <w:vAlign w:val="center"/>
                </w:tcPr>
                <w:p w14:paraId="2D4F0B46">
                  <w:pPr>
                    <w:spacing w:line="240" w:lineRule="auto"/>
                    <w:jc w:val="center"/>
                    <w:rPr>
                      <w:rFonts w:eastAsiaTheme="majorEastAsia"/>
                      <w:b/>
                      <w:bCs/>
                      <w:sz w:val="21"/>
                      <w:szCs w:val="21"/>
                    </w:rPr>
                  </w:pPr>
                  <w:r>
                    <w:rPr>
                      <w:rFonts w:eastAsiaTheme="majorEastAsia"/>
                      <w:b/>
                      <w:bCs/>
                      <w:sz w:val="21"/>
                      <w:szCs w:val="21"/>
                    </w:rPr>
                    <w:t>代码</w:t>
                  </w:r>
                </w:p>
              </w:tc>
              <w:tc>
                <w:tcPr>
                  <w:tcW w:w="704" w:type="dxa"/>
                  <w:vAlign w:val="center"/>
                </w:tcPr>
                <w:p w14:paraId="6D99ED02">
                  <w:pPr>
                    <w:spacing w:line="240" w:lineRule="auto"/>
                    <w:jc w:val="center"/>
                    <w:rPr>
                      <w:rFonts w:eastAsiaTheme="majorEastAsia"/>
                      <w:b/>
                      <w:bCs/>
                      <w:sz w:val="21"/>
                      <w:szCs w:val="21"/>
                    </w:rPr>
                  </w:pPr>
                  <w:r>
                    <w:rPr>
                      <w:rFonts w:eastAsiaTheme="majorEastAsia"/>
                      <w:b/>
                      <w:bCs/>
                      <w:sz w:val="21"/>
                      <w:szCs w:val="21"/>
                    </w:rPr>
                    <w:t>主要污染物</w:t>
                  </w:r>
                </w:p>
              </w:tc>
              <w:tc>
                <w:tcPr>
                  <w:tcW w:w="457" w:type="dxa"/>
                  <w:vAlign w:val="center"/>
                </w:tcPr>
                <w:p w14:paraId="7BEE55E7">
                  <w:pPr>
                    <w:spacing w:line="240" w:lineRule="auto"/>
                    <w:jc w:val="center"/>
                    <w:rPr>
                      <w:rFonts w:eastAsiaTheme="majorEastAsia"/>
                      <w:b/>
                      <w:bCs/>
                      <w:sz w:val="21"/>
                      <w:szCs w:val="21"/>
                    </w:rPr>
                  </w:pPr>
                  <w:r>
                    <w:rPr>
                      <w:rFonts w:eastAsiaTheme="majorEastAsia"/>
                      <w:b/>
                      <w:bCs/>
                      <w:sz w:val="21"/>
                      <w:szCs w:val="21"/>
                    </w:rPr>
                    <w:t>物理性状</w:t>
                  </w:r>
                </w:p>
              </w:tc>
              <w:tc>
                <w:tcPr>
                  <w:tcW w:w="1108" w:type="dxa"/>
                  <w:vAlign w:val="center"/>
                </w:tcPr>
                <w:p w14:paraId="4ABD1D8D">
                  <w:pPr>
                    <w:spacing w:line="240" w:lineRule="auto"/>
                    <w:jc w:val="center"/>
                    <w:rPr>
                      <w:rFonts w:eastAsiaTheme="majorEastAsia"/>
                      <w:b/>
                      <w:bCs/>
                      <w:sz w:val="21"/>
                      <w:szCs w:val="21"/>
                    </w:rPr>
                  </w:pPr>
                  <w:r>
                    <w:rPr>
                      <w:rFonts w:eastAsiaTheme="majorEastAsia"/>
                      <w:b/>
                      <w:bCs/>
                      <w:sz w:val="21"/>
                      <w:szCs w:val="21"/>
                    </w:rPr>
                    <w:t>年产生量（t/a）</w:t>
                  </w:r>
                </w:p>
              </w:tc>
              <w:tc>
                <w:tcPr>
                  <w:tcW w:w="538" w:type="dxa"/>
                  <w:vAlign w:val="center"/>
                </w:tcPr>
                <w:p w14:paraId="7484B172">
                  <w:pPr>
                    <w:spacing w:line="240" w:lineRule="auto"/>
                    <w:jc w:val="center"/>
                    <w:rPr>
                      <w:rFonts w:eastAsiaTheme="majorEastAsia"/>
                      <w:b/>
                      <w:bCs/>
                      <w:sz w:val="21"/>
                      <w:szCs w:val="21"/>
                    </w:rPr>
                  </w:pPr>
                  <w:r>
                    <w:rPr>
                      <w:rFonts w:eastAsiaTheme="majorEastAsia"/>
                      <w:b/>
                      <w:bCs/>
                      <w:sz w:val="21"/>
                      <w:szCs w:val="21"/>
                    </w:rPr>
                    <w:t>环境危险特性</w:t>
                  </w:r>
                </w:p>
              </w:tc>
              <w:tc>
                <w:tcPr>
                  <w:tcW w:w="527" w:type="dxa"/>
                  <w:vAlign w:val="center"/>
                </w:tcPr>
                <w:p w14:paraId="4DB5AA67">
                  <w:pPr>
                    <w:spacing w:line="240" w:lineRule="auto"/>
                    <w:jc w:val="center"/>
                    <w:rPr>
                      <w:rFonts w:eastAsiaTheme="majorEastAsia"/>
                      <w:b/>
                      <w:bCs/>
                      <w:sz w:val="21"/>
                      <w:szCs w:val="21"/>
                    </w:rPr>
                  </w:pPr>
                  <w:r>
                    <w:rPr>
                      <w:rFonts w:eastAsiaTheme="majorEastAsia"/>
                      <w:b/>
                      <w:bCs/>
                      <w:sz w:val="21"/>
                      <w:szCs w:val="21"/>
                    </w:rPr>
                    <w:t>贮存方式</w:t>
                  </w:r>
                </w:p>
              </w:tc>
              <w:tc>
                <w:tcPr>
                  <w:tcW w:w="923" w:type="dxa"/>
                  <w:vAlign w:val="center"/>
                </w:tcPr>
                <w:p w14:paraId="7B8BF227">
                  <w:pPr>
                    <w:spacing w:line="240" w:lineRule="auto"/>
                    <w:jc w:val="center"/>
                    <w:rPr>
                      <w:rFonts w:eastAsiaTheme="majorEastAsia"/>
                      <w:b/>
                      <w:bCs/>
                      <w:sz w:val="21"/>
                      <w:szCs w:val="21"/>
                    </w:rPr>
                  </w:pPr>
                  <w:r>
                    <w:rPr>
                      <w:rFonts w:eastAsiaTheme="majorEastAsia"/>
                      <w:b/>
                      <w:bCs/>
                      <w:sz w:val="21"/>
                      <w:szCs w:val="21"/>
                    </w:rPr>
                    <w:t>处理措施及去向</w:t>
                  </w:r>
                </w:p>
              </w:tc>
              <w:tc>
                <w:tcPr>
                  <w:tcW w:w="782" w:type="dxa"/>
                  <w:vAlign w:val="center"/>
                </w:tcPr>
                <w:p w14:paraId="01CE2137">
                  <w:pPr>
                    <w:spacing w:line="240" w:lineRule="auto"/>
                    <w:jc w:val="center"/>
                    <w:rPr>
                      <w:rFonts w:eastAsiaTheme="majorEastAsia"/>
                      <w:b/>
                      <w:bCs/>
                      <w:sz w:val="21"/>
                      <w:szCs w:val="21"/>
                    </w:rPr>
                  </w:pPr>
                  <w:r>
                    <w:rPr>
                      <w:rFonts w:eastAsiaTheme="majorEastAsia"/>
                      <w:b/>
                      <w:bCs/>
                      <w:sz w:val="21"/>
                      <w:szCs w:val="21"/>
                    </w:rPr>
                    <w:t>处置量（t/a）</w:t>
                  </w:r>
                </w:p>
              </w:tc>
            </w:tr>
            <w:tr w14:paraId="0E5B8B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41" w:type="dxa"/>
                  <w:vAlign w:val="center"/>
                </w:tcPr>
                <w:p w14:paraId="3A31677F">
                  <w:pPr>
                    <w:spacing w:line="240" w:lineRule="auto"/>
                    <w:jc w:val="center"/>
                    <w:rPr>
                      <w:rFonts w:eastAsiaTheme="minorEastAsia"/>
                      <w:color w:val="0000C7"/>
                      <w:sz w:val="21"/>
                      <w:szCs w:val="21"/>
                    </w:rPr>
                  </w:pPr>
                  <w:r>
                    <w:rPr>
                      <w:rFonts w:eastAsiaTheme="minorEastAsia"/>
                      <w:sz w:val="21"/>
                      <w:szCs w:val="21"/>
                    </w:rPr>
                    <w:t>切割磨光及雕刻沉淀污泥</w:t>
                  </w:r>
                </w:p>
              </w:tc>
              <w:tc>
                <w:tcPr>
                  <w:tcW w:w="972" w:type="dxa"/>
                  <w:vAlign w:val="center"/>
                </w:tcPr>
                <w:p w14:paraId="026CA38D">
                  <w:pPr>
                    <w:spacing w:line="240" w:lineRule="auto"/>
                    <w:jc w:val="center"/>
                    <w:rPr>
                      <w:rFonts w:eastAsiaTheme="minorEastAsia"/>
                      <w:sz w:val="21"/>
                      <w:szCs w:val="21"/>
                    </w:rPr>
                  </w:pPr>
                  <w:r>
                    <w:rPr>
                      <w:rFonts w:eastAsiaTheme="minorEastAsia"/>
                      <w:sz w:val="21"/>
                      <w:szCs w:val="21"/>
                    </w:rPr>
                    <w:t>污水处理设施处理后</w:t>
                  </w:r>
                </w:p>
              </w:tc>
              <w:tc>
                <w:tcPr>
                  <w:tcW w:w="532" w:type="dxa"/>
                  <w:vAlign w:val="center"/>
                </w:tcPr>
                <w:p w14:paraId="33CD1101">
                  <w:pPr>
                    <w:spacing w:line="240" w:lineRule="auto"/>
                    <w:jc w:val="center"/>
                    <w:rPr>
                      <w:rFonts w:eastAsiaTheme="minorEastAsia"/>
                      <w:sz w:val="21"/>
                      <w:szCs w:val="21"/>
                    </w:rPr>
                  </w:pPr>
                  <w:r>
                    <w:rPr>
                      <w:rFonts w:eastAsiaTheme="minorEastAsia"/>
                      <w:sz w:val="21"/>
                      <w:szCs w:val="21"/>
                    </w:rPr>
                    <w:t>一般固废</w:t>
                  </w:r>
                </w:p>
              </w:tc>
              <w:tc>
                <w:tcPr>
                  <w:tcW w:w="1111" w:type="dxa"/>
                  <w:vAlign w:val="center"/>
                </w:tcPr>
                <w:p w14:paraId="41E1464B">
                  <w:pPr>
                    <w:spacing w:line="240" w:lineRule="auto"/>
                    <w:jc w:val="center"/>
                    <w:rPr>
                      <w:rFonts w:eastAsiaTheme="minorEastAsia"/>
                      <w:sz w:val="21"/>
                      <w:szCs w:val="21"/>
                    </w:rPr>
                  </w:pPr>
                  <w:r>
                    <w:rPr>
                      <w:rFonts w:eastAsiaTheme="minorEastAsia"/>
                      <w:sz w:val="21"/>
                      <w:szCs w:val="21"/>
                    </w:rPr>
                    <w:t>（</w:t>
                  </w:r>
                  <w:r>
                    <w:rPr>
                      <w:rFonts w:hint="eastAsia" w:eastAsiaTheme="minorEastAsia"/>
                      <w:sz w:val="21"/>
                      <w:szCs w:val="21"/>
                      <w:lang w:val="en-US" w:eastAsia="zh-CN"/>
                    </w:rPr>
                    <w:t>303</w:t>
                  </w:r>
                  <w:r>
                    <w:rPr>
                      <w:rFonts w:eastAsiaTheme="minorEastAsia"/>
                      <w:sz w:val="21"/>
                      <w:szCs w:val="21"/>
                    </w:rPr>
                    <w:t>-</w:t>
                  </w:r>
                  <w:r>
                    <w:rPr>
                      <w:rFonts w:hint="eastAsia" w:eastAsiaTheme="minorEastAsia"/>
                      <w:sz w:val="21"/>
                      <w:szCs w:val="21"/>
                      <w:lang w:val="en-US" w:eastAsia="zh-CN"/>
                    </w:rPr>
                    <w:t>002</w:t>
                  </w:r>
                  <w:r>
                    <w:rPr>
                      <w:rFonts w:eastAsiaTheme="minorEastAsia"/>
                      <w:sz w:val="21"/>
                      <w:szCs w:val="21"/>
                    </w:rPr>
                    <w:t>-</w:t>
                  </w:r>
                  <w:r>
                    <w:rPr>
                      <w:rFonts w:hint="eastAsia" w:eastAsiaTheme="minorEastAsia"/>
                      <w:sz w:val="21"/>
                      <w:szCs w:val="21"/>
                      <w:lang w:val="en-US" w:eastAsia="zh-CN"/>
                    </w:rPr>
                    <w:t>61</w:t>
                  </w:r>
                  <w:r>
                    <w:rPr>
                      <w:rFonts w:eastAsiaTheme="minorEastAsia"/>
                      <w:sz w:val="21"/>
                      <w:szCs w:val="21"/>
                    </w:rPr>
                    <w:t>）</w:t>
                  </w:r>
                </w:p>
              </w:tc>
              <w:tc>
                <w:tcPr>
                  <w:tcW w:w="704" w:type="dxa"/>
                  <w:vAlign w:val="center"/>
                </w:tcPr>
                <w:p w14:paraId="34C62210">
                  <w:pPr>
                    <w:spacing w:line="240" w:lineRule="auto"/>
                    <w:jc w:val="center"/>
                    <w:rPr>
                      <w:rFonts w:eastAsiaTheme="minorEastAsia"/>
                      <w:sz w:val="21"/>
                      <w:szCs w:val="21"/>
                    </w:rPr>
                  </w:pPr>
                  <w:r>
                    <w:rPr>
                      <w:rFonts w:eastAsiaTheme="minorEastAsia"/>
                      <w:sz w:val="21"/>
                      <w:szCs w:val="21"/>
                    </w:rPr>
                    <w:t>悬浮物</w:t>
                  </w:r>
                </w:p>
              </w:tc>
              <w:tc>
                <w:tcPr>
                  <w:tcW w:w="457" w:type="dxa"/>
                  <w:vAlign w:val="center"/>
                </w:tcPr>
                <w:p w14:paraId="73531112">
                  <w:pPr>
                    <w:spacing w:line="240" w:lineRule="auto"/>
                    <w:jc w:val="center"/>
                    <w:rPr>
                      <w:rFonts w:eastAsiaTheme="minorEastAsia"/>
                      <w:sz w:val="21"/>
                      <w:szCs w:val="21"/>
                    </w:rPr>
                  </w:pPr>
                  <w:r>
                    <w:rPr>
                      <w:rFonts w:eastAsiaTheme="minorEastAsia"/>
                      <w:sz w:val="21"/>
                      <w:szCs w:val="21"/>
                    </w:rPr>
                    <w:t>固体</w:t>
                  </w:r>
                </w:p>
              </w:tc>
              <w:tc>
                <w:tcPr>
                  <w:tcW w:w="1108" w:type="dxa"/>
                  <w:vAlign w:val="center"/>
                </w:tcPr>
                <w:p w14:paraId="19F4402F">
                  <w:pPr>
                    <w:spacing w:line="240" w:lineRule="auto"/>
                    <w:jc w:val="center"/>
                    <w:rPr>
                      <w:rFonts w:eastAsiaTheme="minorEastAsia"/>
                      <w:color w:val="0000C7"/>
                      <w:sz w:val="21"/>
                      <w:szCs w:val="21"/>
                    </w:rPr>
                  </w:pPr>
                  <w:r>
                    <w:rPr>
                      <w:rFonts w:eastAsiaTheme="minorEastAsia"/>
                      <w:sz w:val="21"/>
                      <w:szCs w:val="21"/>
                    </w:rPr>
                    <w:t>0.68</w:t>
                  </w:r>
                </w:p>
              </w:tc>
              <w:tc>
                <w:tcPr>
                  <w:tcW w:w="538" w:type="dxa"/>
                  <w:vAlign w:val="center"/>
                </w:tcPr>
                <w:p w14:paraId="71DD638B">
                  <w:pPr>
                    <w:spacing w:line="240" w:lineRule="auto"/>
                    <w:jc w:val="center"/>
                    <w:rPr>
                      <w:rFonts w:eastAsiaTheme="minorEastAsia"/>
                      <w:sz w:val="21"/>
                      <w:szCs w:val="21"/>
                    </w:rPr>
                  </w:pPr>
                  <w:r>
                    <w:rPr>
                      <w:rFonts w:eastAsiaTheme="minorEastAsia"/>
                      <w:sz w:val="21"/>
                      <w:szCs w:val="21"/>
                    </w:rPr>
                    <w:t>/</w:t>
                  </w:r>
                </w:p>
              </w:tc>
              <w:tc>
                <w:tcPr>
                  <w:tcW w:w="527" w:type="dxa"/>
                  <w:vAlign w:val="center"/>
                </w:tcPr>
                <w:p w14:paraId="2216E456">
                  <w:pPr>
                    <w:spacing w:line="240" w:lineRule="auto"/>
                    <w:jc w:val="center"/>
                    <w:rPr>
                      <w:rFonts w:eastAsiaTheme="minorEastAsia"/>
                      <w:sz w:val="21"/>
                      <w:szCs w:val="21"/>
                    </w:rPr>
                  </w:pPr>
                  <w:r>
                    <w:rPr>
                      <w:rFonts w:hint="eastAsia" w:eastAsiaTheme="minorEastAsia"/>
                      <w:sz w:val="21"/>
                      <w:szCs w:val="21"/>
                    </w:rPr>
                    <w:t>场内暂存</w:t>
                  </w:r>
                </w:p>
              </w:tc>
              <w:tc>
                <w:tcPr>
                  <w:tcW w:w="923" w:type="dxa"/>
                  <w:vAlign w:val="center"/>
                </w:tcPr>
                <w:p w14:paraId="54E19D66">
                  <w:pPr>
                    <w:spacing w:line="240" w:lineRule="auto"/>
                    <w:jc w:val="center"/>
                    <w:rPr>
                      <w:rFonts w:eastAsiaTheme="minorEastAsia"/>
                      <w:color w:val="0000C7"/>
                      <w:sz w:val="21"/>
                      <w:szCs w:val="21"/>
                    </w:rPr>
                  </w:pPr>
                  <w:r>
                    <w:rPr>
                      <w:rFonts w:eastAsiaTheme="minorEastAsia"/>
                      <w:kern w:val="0"/>
                      <w:sz w:val="21"/>
                      <w:szCs w:val="21"/>
                    </w:rPr>
                    <w:t>在场区原料区暂存后回用于项目制砖</w:t>
                  </w:r>
                </w:p>
              </w:tc>
              <w:tc>
                <w:tcPr>
                  <w:tcW w:w="782" w:type="dxa"/>
                  <w:vAlign w:val="center"/>
                </w:tcPr>
                <w:p w14:paraId="5A20B9D8">
                  <w:pPr>
                    <w:spacing w:line="240" w:lineRule="auto"/>
                    <w:jc w:val="center"/>
                    <w:rPr>
                      <w:rFonts w:eastAsiaTheme="minorEastAsia"/>
                      <w:color w:val="0000C7"/>
                      <w:sz w:val="21"/>
                      <w:szCs w:val="21"/>
                    </w:rPr>
                  </w:pPr>
                  <w:r>
                    <w:rPr>
                      <w:rFonts w:eastAsiaTheme="minorEastAsia"/>
                      <w:sz w:val="21"/>
                      <w:szCs w:val="21"/>
                    </w:rPr>
                    <w:t>0.68</w:t>
                  </w:r>
                </w:p>
              </w:tc>
            </w:tr>
            <w:tr w14:paraId="3EEF92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41" w:type="dxa"/>
                  <w:vAlign w:val="center"/>
                </w:tcPr>
                <w:p w14:paraId="21DDD4DB">
                  <w:pPr>
                    <w:spacing w:line="240" w:lineRule="auto"/>
                    <w:jc w:val="center"/>
                    <w:rPr>
                      <w:rFonts w:eastAsiaTheme="minorEastAsia"/>
                      <w:sz w:val="21"/>
                      <w:szCs w:val="21"/>
                    </w:rPr>
                  </w:pPr>
                  <w:r>
                    <w:rPr>
                      <w:rFonts w:eastAsiaTheme="minorEastAsia"/>
                      <w:sz w:val="21"/>
                      <w:szCs w:val="21"/>
                    </w:rPr>
                    <w:t>废包装材料</w:t>
                  </w:r>
                </w:p>
              </w:tc>
              <w:tc>
                <w:tcPr>
                  <w:tcW w:w="972" w:type="dxa"/>
                  <w:vAlign w:val="center"/>
                </w:tcPr>
                <w:p w14:paraId="63A44500">
                  <w:pPr>
                    <w:spacing w:line="240" w:lineRule="auto"/>
                    <w:jc w:val="center"/>
                    <w:rPr>
                      <w:rFonts w:eastAsiaTheme="minorEastAsia"/>
                      <w:sz w:val="21"/>
                      <w:szCs w:val="21"/>
                    </w:rPr>
                  </w:pPr>
                  <w:r>
                    <w:rPr>
                      <w:rFonts w:eastAsiaTheme="minorEastAsia"/>
                      <w:sz w:val="21"/>
                      <w:szCs w:val="21"/>
                    </w:rPr>
                    <w:t>废水沉淀投加药剂产生的絮凝剂废包装袋</w:t>
                  </w:r>
                  <w:r>
                    <w:rPr>
                      <w:rFonts w:hint="eastAsia" w:eastAsiaTheme="minorEastAsia"/>
                      <w:sz w:val="21"/>
                      <w:szCs w:val="21"/>
                    </w:rPr>
                    <w:t>以及路沿石生产线产生的废包装材料</w:t>
                  </w:r>
                </w:p>
              </w:tc>
              <w:tc>
                <w:tcPr>
                  <w:tcW w:w="532" w:type="dxa"/>
                  <w:vAlign w:val="center"/>
                </w:tcPr>
                <w:p w14:paraId="2EB1ACB8">
                  <w:pPr>
                    <w:spacing w:line="240" w:lineRule="auto"/>
                    <w:jc w:val="center"/>
                    <w:rPr>
                      <w:rFonts w:eastAsiaTheme="minorEastAsia"/>
                      <w:sz w:val="21"/>
                      <w:szCs w:val="21"/>
                    </w:rPr>
                  </w:pPr>
                  <w:r>
                    <w:rPr>
                      <w:rFonts w:eastAsiaTheme="minorEastAsia"/>
                      <w:sz w:val="21"/>
                      <w:szCs w:val="21"/>
                    </w:rPr>
                    <w:t>一般固废</w:t>
                  </w:r>
                </w:p>
              </w:tc>
              <w:tc>
                <w:tcPr>
                  <w:tcW w:w="1111" w:type="dxa"/>
                  <w:vAlign w:val="center"/>
                </w:tcPr>
                <w:p w14:paraId="2A6079E0">
                  <w:pPr>
                    <w:spacing w:line="240" w:lineRule="auto"/>
                    <w:jc w:val="center"/>
                    <w:rPr>
                      <w:rFonts w:hint="eastAsia" w:eastAsiaTheme="minorEastAsia"/>
                      <w:sz w:val="21"/>
                      <w:szCs w:val="21"/>
                      <w:lang w:val="en-US" w:eastAsia="zh-CN"/>
                    </w:rPr>
                  </w:pPr>
                  <w:r>
                    <w:rPr>
                      <w:rFonts w:eastAsiaTheme="minorEastAsia"/>
                      <w:sz w:val="21"/>
                      <w:szCs w:val="21"/>
                    </w:rPr>
                    <w:t>（</w:t>
                  </w:r>
                  <w:r>
                    <w:rPr>
                      <w:rFonts w:hint="eastAsia" w:eastAsiaTheme="minorEastAsia"/>
                      <w:sz w:val="21"/>
                      <w:szCs w:val="21"/>
                      <w:lang w:val="en-US" w:eastAsia="zh-CN"/>
                    </w:rPr>
                    <w:t>303</w:t>
                  </w:r>
                  <w:r>
                    <w:rPr>
                      <w:rFonts w:eastAsiaTheme="minorEastAsia"/>
                      <w:sz w:val="21"/>
                      <w:szCs w:val="21"/>
                    </w:rPr>
                    <w:t>-</w:t>
                  </w:r>
                  <w:r>
                    <w:rPr>
                      <w:rFonts w:hint="eastAsia" w:eastAsiaTheme="minorEastAsia"/>
                      <w:sz w:val="21"/>
                      <w:szCs w:val="21"/>
                      <w:lang w:val="en-US" w:eastAsia="zh-CN"/>
                    </w:rPr>
                    <w:t>002</w:t>
                  </w:r>
                  <w:r>
                    <w:rPr>
                      <w:rFonts w:eastAsiaTheme="minorEastAsia"/>
                      <w:sz w:val="21"/>
                      <w:szCs w:val="21"/>
                    </w:rPr>
                    <w:t>-</w:t>
                  </w:r>
                  <w:r>
                    <w:rPr>
                      <w:rFonts w:hint="eastAsia" w:eastAsiaTheme="minorEastAsia"/>
                      <w:sz w:val="21"/>
                      <w:szCs w:val="21"/>
                      <w:lang w:val="en-US" w:eastAsia="zh-CN"/>
                    </w:rPr>
                    <w:t>07、</w:t>
                  </w:r>
                </w:p>
                <w:p w14:paraId="7A8A27B3">
                  <w:pPr>
                    <w:spacing w:line="240" w:lineRule="auto"/>
                    <w:jc w:val="center"/>
                    <w:rPr>
                      <w:rFonts w:eastAsiaTheme="minorEastAsia"/>
                      <w:sz w:val="21"/>
                      <w:szCs w:val="21"/>
                    </w:rPr>
                  </w:pPr>
                  <w:r>
                    <w:rPr>
                      <w:rFonts w:hint="eastAsia" w:eastAsiaTheme="minorEastAsia"/>
                      <w:sz w:val="21"/>
                      <w:szCs w:val="21"/>
                      <w:lang w:val="en-US" w:eastAsia="zh-CN"/>
                    </w:rPr>
                    <w:t>302-001-07</w:t>
                  </w:r>
                  <w:r>
                    <w:rPr>
                      <w:rFonts w:eastAsiaTheme="minorEastAsia"/>
                      <w:sz w:val="21"/>
                      <w:szCs w:val="21"/>
                    </w:rPr>
                    <w:t>）</w:t>
                  </w:r>
                </w:p>
              </w:tc>
              <w:tc>
                <w:tcPr>
                  <w:tcW w:w="704" w:type="dxa"/>
                  <w:vAlign w:val="center"/>
                </w:tcPr>
                <w:p w14:paraId="2C96D892">
                  <w:pPr>
                    <w:spacing w:line="240" w:lineRule="auto"/>
                    <w:jc w:val="center"/>
                    <w:rPr>
                      <w:rFonts w:eastAsiaTheme="minorEastAsia"/>
                      <w:sz w:val="21"/>
                      <w:szCs w:val="21"/>
                    </w:rPr>
                  </w:pPr>
                  <w:r>
                    <w:rPr>
                      <w:rFonts w:hint="eastAsia" w:eastAsiaTheme="minorEastAsia"/>
                      <w:sz w:val="21"/>
                      <w:szCs w:val="21"/>
                    </w:rPr>
                    <w:t xml:space="preserve"> /</w:t>
                  </w:r>
                </w:p>
              </w:tc>
              <w:tc>
                <w:tcPr>
                  <w:tcW w:w="457" w:type="dxa"/>
                  <w:vAlign w:val="center"/>
                </w:tcPr>
                <w:p w14:paraId="51943E86">
                  <w:pPr>
                    <w:spacing w:line="240" w:lineRule="auto"/>
                    <w:jc w:val="center"/>
                    <w:rPr>
                      <w:rFonts w:eastAsiaTheme="minorEastAsia"/>
                      <w:sz w:val="21"/>
                      <w:szCs w:val="21"/>
                    </w:rPr>
                  </w:pPr>
                  <w:r>
                    <w:rPr>
                      <w:rFonts w:eastAsiaTheme="minorEastAsia"/>
                      <w:sz w:val="21"/>
                      <w:szCs w:val="21"/>
                    </w:rPr>
                    <w:t>固体</w:t>
                  </w:r>
                </w:p>
              </w:tc>
              <w:tc>
                <w:tcPr>
                  <w:tcW w:w="1108" w:type="dxa"/>
                  <w:vAlign w:val="center"/>
                </w:tcPr>
                <w:p w14:paraId="14E738CD">
                  <w:pPr>
                    <w:spacing w:line="240" w:lineRule="auto"/>
                    <w:jc w:val="center"/>
                    <w:rPr>
                      <w:rFonts w:eastAsiaTheme="minorEastAsia"/>
                      <w:sz w:val="21"/>
                      <w:szCs w:val="21"/>
                    </w:rPr>
                  </w:pPr>
                  <w:r>
                    <w:rPr>
                      <w:rFonts w:hint="eastAsia" w:eastAsiaTheme="minorEastAsia"/>
                      <w:sz w:val="21"/>
                      <w:szCs w:val="21"/>
                    </w:rPr>
                    <w:t>0.01</w:t>
                  </w:r>
                </w:p>
              </w:tc>
              <w:tc>
                <w:tcPr>
                  <w:tcW w:w="538" w:type="dxa"/>
                  <w:vAlign w:val="center"/>
                </w:tcPr>
                <w:p w14:paraId="11F9A257">
                  <w:pPr>
                    <w:spacing w:line="240" w:lineRule="auto"/>
                    <w:jc w:val="center"/>
                    <w:rPr>
                      <w:rFonts w:eastAsiaTheme="minorEastAsia"/>
                      <w:sz w:val="21"/>
                      <w:szCs w:val="21"/>
                    </w:rPr>
                  </w:pPr>
                  <w:r>
                    <w:rPr>
                      <w:rFonts w:eastAsiaTheme="minorEastAsia"/>
                      <w:sz w:val="21"/>
                      <w:szCs w:val="21"/>
                    </w:rPr>
                    <w:t>/</w:t>
                  </w:r>
                </w:p>
              </w:tc>
              <w:tc>
                <w:tcPr>
                  <w:tcW w:w="527" w:type="dxa"/>
                  <w:vAlign w:val="center"/>
                </w:tcPr>
                <w:p w14:paraId="6FABAAE7">
                  <w:pPr>
                    <w:spacing w:line="240" w:lineRule="auto"/>
                    <w:jc w:val="center"/>
                    <w:rPr>
                      <w:rFonts w:eastAsiaTheme="minorEastAsia"/>
                      <w:sz w:val="21"/>
                      <w:szCs w:val="21"/>
                    </w:rPr>
                  </w:pPr>
                  <w:r>
                    <w:rPr>
                      <w:rFonts w:hint="eastAsia" w:eastAsiaTheme="minorEastAsia"/>
                      <w:sz w:val="21"/>
                      <w:szCs w:val="21"/>
                    </w:rPr>
                    <w:t>盒装</w:t>
                  </w:r>
                </w:p>
              </w:tc>
              <w:tc>
                <w:tcPr>
                  <w:tcW w:w="923" w:type="dxa"/>
                  <w:vAlign w:val="center"/>
                </w:tcPr>
                <w:p w14:paraId="0444C6C7">
                  <w:pPr>
                    <w:spacing w:line="240" w:lineRule="auto"/>
                    <w:jc w:val="center"/>
                    <w:rPr>
                      <w:rFonts w:eastAsiaTheme="minorEastAsia"/>
                      <w:kern w:val="0"/>
                      <w:sz w:val="21"/>
                      <w:szCs w:val="21"/>
                    </w:rPr>
                  </w:pPr>
                  <w:r>
                    <w:rPr>
                      <w:rFonts w:eastAsiaTheme="minorEastAsia"/>
                      <w:kern w:val="0"/>
                      <w:sz w:val="21"/>
                      <w:szCs w:val="21"/>
                    </w:rPr>
                    <w:t>交由环卫部门统一清理</w:t>
                  </w:r>
                </w:p>
              </w:tc>
              <w:tc>
                <w:tcPr>
                  <w:tcW w:w="782" w:type="dxa"/>
                  <w:vAlign w:val="center"/>
                </w:tcPr>
                <w:p w14:paraId="61B10DC9">
                  <w:pPr>
                    <w:spacing w:line="240" w:lineRule="auto"/>
                    <w:jc w:val="center"/>
                    <w:rPr>
                      <w:rFonts w:eastAsiaTheme="minorEastAsia"/>
                      <w:kern w:val="0"/>
                      <w:sz w:val="21"/>
                      <w:szCs w:val="21"/>
                    </w:rPr>
                  </w:pPr>
                  <w:r>
                    <w:rPr>
                      <w:rFonts w:hint="eastAsia" w:eastAsiaTheme="minorEastAsia"/>
                      <w:sz w:val="21"/>
                      <w:szCs w:val="21"/>
                    </w:rPr>
                    <w:t>0.01</w:t>
                  </w:r>
                </w:p>
              </w:tc>
            </w:tr>
            <w:tr w14:paraId="04D62A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41" w:type="dxa"/>
                  <w:vAlign w:val="center"/>
                </w:tcPr>
                <w:p w14:paraId="52847051">
                  <w:pPr>
                    <w:spacing w:line="240" w:lineRule="auto"/>
                    <w:jc w:val="center"/>
                    <w:rPr>
                      <w:rFonts w:hint="eastAsia" w:eastAsiaTheme="minorEastAsia"/>
                      <w:sz w:val="21"/>
                      <w:szCs w:val="21"/>
                      <w:u w:val="single"/>
                      <w:lang w:eastAsia="zh-CN"/>
                    </w:rPr>
                  </w:pPr>
                  <w:r>
                    <w:rPr>
                      <w:rFonts w:hint="eastAsia" w:eastAsiaTheme="minorEastAsia"/>
                      <w:sz w:val="21"/>
                      <w:szCs w:val="21"/>
                      <w:u w:val="single"/>
                      <w:lang w:eastAsia="zh-CN"/>
                    </w:rPr>
                    <w:t>废抛光布</w:t>
                  </w:r>
                </w:p>
              </w:tc>
              <w:tc>
                <w:tcPr>
                  <w:tcW w:w="972" w:type="dxa"/>
                  <w:vAlign w:val="center"/>
                </w:tcPr>
                <w:p w14:paraId="6CB6C7FE">
                  <w:pPr>
                    <w:spacing w:line="240" w:lineRule="auto"/>
                    <w:jc w:val="center"/>
                    <w:rPr>
                      <w:rFonts w:hint="eastAsia" w:eastAsiaTheme="minorEastAsia"/>
                      <w:sz w:val="21"/>
                      <w:szCs w:val="21"/>
                      <w:u w:val="single"/>
                      <w:lang w:eastAsia="zh-CN"/>
                    </w:rPr>
                  </w:pPr>
                  <w:r>
                    <w:rPr>
                      <w:rFonts w:hint="eastAsia" w:eastAsiaTheme="minorEastAsia"/>
                      <w:sz w:val="21"/>
                      <w:szCs w:val="21"/>
                      <w:u w:val="single"/>
                      <w:lang w:eastAsia="zh-CN"/>
                    </w:rPr>
                    <w:t>墓碑抛光</w:t>
                  </w:r>
                </w:p>
              </w:tc>
              <w:tc>
                <w:tcPr>
                  <w:tcW w:w="532" w:type="dxa"/>
                  <w:vAlign w:val="center"/>
                </w:tcPr>
                <w:p w14:paraId="61696AF1">
                  <w:pPr>
                    <w:spacing w:line="240" w:lineRule="auto"/>
                    <w:jc w:val="center"/>
                    <w:rPr>
                      <w:rFonts w:ascii="Times New Roman" w:hAnsi="Times New Roman" w:cs="Times New Roman" w:eastAsiaTheme="minorEastAsia"/>
                      <w:kern w:val="2"/>
                      <w:sz w:val="21"/>
                      <w:szCs w:val="21"/>
                      <w:u w:val="single"/>
                      <w:lang w:val="en-US" w:eastAsia="zh-CN" w:bidi="ar-SA"/>
                    </w:rPr>
                  </w:pPr>
                  <w:r>
                    <w:rPr>
                      <w:rFonts w:eastAsiaTheme="minorEastAsia"/>
                      <w:sz w:val="21"/>
                      <w:szCs w:val="21"/>
                      <w:u w:val="single"/>
                    </w:rPr>
                    <w:t>一般固废</w:t>
                  </w:r>
                </w:p>
              </w:tc>
              <w:tc>
                <w:tcPr>
                  <w:tcW w:w="1111" w:type="dxa"/>
                  <w:vAlign w:val="center"/>
                </w:tcPr>
                <w:p w14:paraId="28C37939">
                  <w:pPr>
                    <w:spacing w:line="240" w:lineRule="auto"/>
                    <w:jc w:val="center"/>
                    <w:rPr>
                      <w:rFonts w:hint="eastAsia" w:ascii="Times New Roman" w:hAnsi="Times New Roman" w:cs="Times New Roman" w:eastAsiaTheme="minorEastAsia"/>
                      <w:kern w:val="2"/>
                      <w:sz w:val="21"/>
                      <w:szCs w:val="21"/>
                      <w:u w:val="single"/>
                      <w:lang w:val="en-US" w:eastAsia="zh-CN" w:bidi="ar-SA"/>
                    </w:rPr>
                  </w:pPr>
                  <w:r>
                    <w:rPr>
                      <w:rFonts w:eastAsiaTheme="minorEastAsia"/>
                      <w:sz w:val="21"/>
                      <w:szCs w:val="21"/>
                      <w:u w:val="single"/>
                    </w:rPr>
                    <w:t>（</w:t>
                  </w:r>
                  <w:r>
                    <w:rPr>
                      <w:rFonts w:hint="eastAsia" w:eastAsiaTheme="minorEastAsia"/>
                      <w:sz w:val="21"/>
                      <w:szCs w:val="21"/>
                      <w:u w:val="single"/>
                      <w:lang w:val="en-US" w:eastAsia="zh-CN"/>
                    </w:rPr>
                    <w:t>303</w:t>
                  </w:r>
                  <w:r>
                    <w:rPr>
                      <w:rFonts w:eastAsiaTheme="minorEastAsia"/>
                      <w:sz w:val="21"/>
                      <w:szCs w:val="21"/>
                      <w:u w:val="single"/>
                    </w:rPr>
                    <w:t>-</w:t>
                  </w:r>
                  <w:r>
                    <w:rPr>
                      <w:rFonts w:hint="eastAsia" w:eastAsiaTheme="minorEastAsia"/>
                      <w:sz w:val="21"/>
                      <w:szCs w:val="21"/>
                      <w:u w:val="single"/>
                      <w:lang w:val="en-US" w:eastAsia="zh-CN"/>
                    </w:rPr>
                    <w:t>002</w:t>
                  </w:r>
                  <w:r>
                    <w:rPr>
                      <w:rFonts w:eastAsiaTheme="minorEastAsia"/>
                      <w:sz w:val="21"/>
                      <w:szCs w:val="21"/>
                      <w:u w:val="single"/>
                    </w:rPr>
                    <w:t>-99）</w:t>
                  </w:r>
                </w:p>
              </w:tc>
              <w:tc>
                <w:tcPr>
                  <w:tcW w:w="704" w:type="dxa"/>
                  <w:vAlign w:val="center"/>
                </w:tcPr>
                <w:p w14:paraId="7E7CFCC1">
                  <w:pPr>
                    <w:spacing w:line="240" w:lineRule="auto"/>
                    <w:jc w:val="center"/>
                    <w:rPr>
                      <w:rFonts w:hint="eastAsia" w:eastAsiaTheme="minorEastAsia"/>
                      <w:sz w:val="21"/>
                      <w:szCs w:val="21"/>
                      <w:u w:val="single"/>
                      <w:lang w:val="en-US" w:eastAsia="zh-CN"/>
                    </w:rPr>
                  </w:pPr>
                  <w:r>
                    <w:rPr>
                      <w:rFonts w:hint="eastAsia" w:eastAsiaTheme="minorEastAsia"/>
                      <w:sz w:val="21"/>
                      <w:szCs w:val="21"/>
                      <w:u w:val="single"/>
                      <w:lang w:val="en-US" w:eastAsia="zh-CN"/>
                    </w:rPr>
                    <w:t>/</w:t>
                  </w:r>
                </w:p>
              </w:tc>
              <w:tc>
                <w:tcPr>
                  <w:tcW w:w="457" w:type="dxa"/>
                  <w:vAlign w:val="center"/>
                </w:tcPr>
                <w:p w14:paraId="235ED8D2">
                  <w:pPr>
                    <w:spacing w:line="240" w:lineRule="auto"/>
                    <w:jc w:val="center"/>
                    <w:rPr>
                      <w:rFonts w:hint="eastAsia" w:eastAsiaTheme="minorEastAsia"/>
                      <w:sz w:val="21"/>
                      <w:szCs w:val="21"/>
                      <w:u w:val="single"/>
                      <w:lang w:eastAsia="zh-CN"/>
                    </w:rPr>
                  </w:pPr>
                  <w:r>
                    <w:rPr>
                      <w:rFonts w:hint="eastAsia" w:eastAsiaTheme="minorEastAsia"/>
                      <w:sz w:val="21"/>
                      <w:szCs w:val="21"/>
                      <w:u w:val="single"/>
                      <w:lang w:eastAsia="zh-CN"/>
                    </w:rPr>
                    <w:t>固体</w:t>
                  </w:r>
                </w:p>
              </w:tc>
              <w:tc>
                <w:tcPr>
                  <w:tcW w:w="1108" w:type="dxa"/>
                  <w:vAlign w:val="center"/>
                </w:tcPr>
                <w:p w14:paraId="6E864594">
                  <w:pPr>
                    <w:spacing w:line="240" w:lineRule="auto"/>
                    <w:jc w:val="center"/>
                    <w:rPr>
                      <w:rFonts w:hint="default" w:eastAsiaTheme="minorEastAsia"/>
                      <w:sz w:val="21"/>
                      <w:szCs w:val="21"/>
                      <w:u w:val="single"/>
                      <w:lang w:val="en-US" w:eastAsia="zh-CN"/>
                    </w:rPr>
                  </w:pPr>
                  <w:r>
                    <w:rPr>
                      <w:rFonts w:hint="eastAsia" w:eastAsiaTheme="minorEastAsia"/>
                      <w:sz w:val="21"/>
                      <w:szCs w:val="21"/>
                      <w:u w:val="single"/>
                      <w:lang w:val="en-US" w:eastAsia="zh-CN"/>
                    </w:rPr>
                    <w:t>0.01</w:t>
                  </w:r>
                </w:p>
              </w:tc>
              <w:tc>
                <w:tcPr>
                  <w:tcW w:w="538" w:type="dxa"/>
                  <w:vAlign w:val="center"/>
                </w:tcPr>
                <w:p w14:paraId="08C153CD">
                  <w:pPr>
                    <w:spacing w:line="240" w:lineRule="auto"/>
                    <w:jc w:val="center"/>
                    <w:rPr>
                      <w:rFonts w:ascii="Times New Roman" w:hAnsi="Times New Roman" w:cs="Times New Roman" w:eastAsiaTheme="minorEastAsia"/>
                      <w:kern w:val="2"/>
                      <w:sz w:val="21"/>
                      <w:szCs w:val="21"/>
                      <w:u w:val="single"/>
                      <w:lang w:val="en-US" w:eastAsia="zh-CN" w:bidi="ar-SA"/>
                    </w:rPr>
                  </w:pPr>
                  <w:r>
                    <w:rPr>
                      <w:rFonts w:eastAsiaTheme="minorEastAsia"/>
                      <w:sz w:val="21"/>
                      <w:szCs w:val="21"/>
                      <w:u w:val="single"/>
                    </w:rPr>
                    <w:t>/</w:t>
                  </w:r>
                </w:p>
              </w:tc>
              <w:tc>
                <w:tcPr>
                  <w:tcW w:w="527" w:type="dxa"/>
                  <w:vAlign w:val="center"/>
                </w:tcPr>
                <w:p w14:paraId="3B3F6372">
                  <w:pPr>
                    <w:spacing w:line="240" w:lineRule="auto"/>
                    <w:jc w:val="center"/>
                    <w:rPr>
                      <w:rFonts w:hint="eastAsia" w:ascii="Times New Roman" w:hAnsi="Times New Roman" w:cs="Times New Roman" w:eastAsiaTheme="minorEastAsia"/>
                      <w:kern w:val="2"/>
                      <w:sz w:val="21"/>
                      <w:szCs w:val="21"/>
                      <w:u w:val="single"/>
                      <w:lang w:val="en-US" w:eastAsia="zh-CN" w:bidi="ar-SA"/>
                    </w:rPr>
                  </w:pPr>
                  <w:r>
                    <w:rPr>
                      <w:rFonts w:hint="eastAsia" w:eastAsiaTheme="minorEastAsia"/>
                      <w:sz w:val="21"/>
                      <w:szCs w:val="21"/>
                      <w:u w:val="single"/>
                    </w:rPr>
                    <w:t>场内暂存</w:t>
                  </w:r>
                </w:p>
              </w:tc>
              <w:tc>
                <w:tcPr>
                  <w:tcW w:w="923" w:type="dxa"/>
                  <w:vAlign w:val="center"/>
                </w:tcPr>
                <w:p w14:paraId="5B36E2A7">
                  <w:pPr>
                    <w:spacing w:line="240" w:lineRule="auto"/>
                    <w:jc w:val="center"/>
                    <w:rPr>
                      <w:rFonts w:eastAsiaTheme="minorEastAsia"/>
                      <w:kern w:val="0"/>
                      <w:sz w:val="21"/>
                      <w:szCs w:val="21"/>
                      <w:u w:val="single"/>
                    </w:rPr>
                  </w:pPr>
                  <w:r>
                    <w:rPr>
                      <w:rFonts w:eastAsiaTheme="minorEastAsia"/>
                      <w:kern w:val="0"/>
                      <w:sz w:val="21"/>
                      <w:szCs w:val="21"/>
                      <w:u w:val="single"/>
                    </w:rPr>
                    <w:t>交由环卫部门统一清理</w:t>
                  </w:r>
                </w:p>
              </w:tc>
              <w:tc>
                <w:tcPr>
                  <w:tcW w:w="782" w:type="dxa"/>
                  <w:vAlign w:val="center"/>
                </w:tcPr>
                <w:p w14:paraId="5EB4D3E3">
                  <w:pPr>
                    <w:spacing w:line="240" w:lineRule="auto"/>
                    <w:jc w:val="center"/>
                    <w:rPr>
                      <w:rFonts w:hint="default" w:eastAsiaTheme="minorEastAsia"/>
                      <w:sz w:val="21"/>
                      <w:szCs w:val="21"/>
                      <w:u w:val="single"/>
                      <w:lang w:val="en-US" w:eastAsia="zh-CN"/>
                    </w:rPr>
                  </w:pPr>
                  <w:r>
                    <w:rPr>
                      <w:rFonts w:hint="eastAsia" w:eastAsiaTheme="minorEastAsia"/>
                      <w:sz w:val="21"/>
                      <w:szCs w:val="21"/>
                      <w:u w:val="single"/>
                      <w:lang w:val="en-US" w:eastAsia="zh-CN"/>
                    </w:rPr>
                    <w:t>0.01</w:t>
                  </w:r>
                </w:p>
              </w:tc>
            </w:tr>
            <w:tr w14:paraId="4ACF52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41" w:type="dxa"/>
                  <w:vAlign w:val="center"/>
                </w:tcPr>
                <w:p w14:paraId="6E185EC7">
                  <w:pPr>
                    <w:spacing w:line="240" w:lineRule="auto"/>
                    <w:jc w:val="center"/>
                    <w:rPr>
                      <w:rFonts w:hint="eastAsia" w:eastAsiaTheme="minorEastAsia"/>
                      <w:sz w:val="21"/>
                      <w:szCs w:val="21"/>
                      <w:lang w:eastAsia="zh-CN"/>
                    </w:rPr>
                  </w:pPr>
                  <w:r>
                    <w:rPr>
                      <w:rFonts w:hint="eastAsia" w:eastAsiaTheme="minorEastAsia"/>
                      <w:sz w:val="21"/>
                      <w:szCs w:val="21"/>
                    </w:rPr>
                    <w:t>废边角料</w:t>
                  </w:r>
                  <w:r>
                    <w:rPr>
                      <w:rFonts w:hint="eastAsia" w:eastAsiaTheme="minorEastAsia"/>
                      <w:sz w:val="21"/>
                      <w:szCs w:val="21"/>
                      <w:lang w:eastAsia="zh-CN"/>
                    </w:rPr>
                    <w:t>及不合格产品</w:t>
                  </w:r>
                </w:p>
              </w:tc>
              <w:tc>
                <w:tcPr>
                  <w:tcW w:w="972" w:type="dxa"/>
                  <w:vAlign w:val="center"/>
                </w:tcPr>
                <w:p w14:paraId="4E70A3EA">
                  <w:pPr>
                    <w:spacing w:line="240" w:lineRule="auto"/>
                    <w:jc w:val="center"/>
                    <w:rPr>
                      <w:rFonts w:eastAsiaTheme="minorEastAsia"/>
                      <w:sz w:val="21"/>
                      <w:szCs w:val="21"/>
                    </w:rPr>
                  </w:pPr>
                  <w:r>
                    <w:rPr>
                      <w:rFonts w:hint="eastAsia" w:eastAsiaTheme="minorEastAsia"/>
                      <w:sz w:val="21"/>
                      <w:szCs w:val="21"/>
                    </w:rPr>
                    <w:t>石料切割、雕刻</w:t>
                  </w:r>
                </w:p>
              </w:tc>
              <w:tc>
                <w:tcPr>
                  <w:tcW w:w="532" w:type="dxa"/>
                  <w:vAlign w:val="center"/>
                </w:tcPr>
                <w:p w14:paraId="07E1A350">
                  <w:pPr>
                    <w:spacing w:line="240" w:lineRule="auto"/>
                    <w:jc w:val="center"/>
                    <w:rPr>
                      <w:rFonts w:eastAsiaTheme="minorEastAsia"/>
                      <w:sz w:val="21"/>
                      <w:szCs w:val="21"/>
                    </w:rPr>
                  </w:pPr>
                  <w:r>
                    <w:rPr>
                      <w:rFonts w:eastAsiaTheme="minorEastAsia"/>
                      <w:sz w:val="21"/>
                      <w:szCs w:val="21"/>
                    </w:rPr>
                    <w:t>一般固废</w:t>
                  </w:r>
                </w:p>
              </w:tc>
              <w:tc>
                <w:tcPr>
                  <w:tcW w:w="1111" w:type="dxa"/>
                  <w:vAlign w:val="center"/>
                </w:tcPr>
                <w:p w14:paraId="0A3BD536">
                  <w:pPr>
                    <w:spacing w:line="240" w:lineRule="auto"/>
                    <w:jc w:val="center"/>
                    <w:rPr>
                      <w:rFonts w:eastAsiaTheme="minorEastAsia"/>
                      <w:sz w:val="21"/>
                      <w:szCs w:val="21"/>
                    </w:rPr>
                  </w:pPr>
                  <w:r>
                    <w:rPr>
                      <w:rFonts w:eastAsiaTheme="minorEastAsia"/>
                      <w:sz w:val="21"/>
                      <w:szCs w:val="21"/>
                    </w:rPr>
                    <w:t>（</w:t>
                  </w:r>
                  <w:r>
                    <w:rPr>
                      <w:rFonts w:hint="eastAsia" w:eastAsiaTheme="minorEastAsia"/>
                      <w:sz w:val="21"/>
                      <w:szCs w:val="21"/>
                      <w:lang w:val="en-US" w:eastAsia="zh-CN"/>
                    </w:rPr>
                    <w:t>303</w:t>
                  </w:r>
                  <w:r>
                    <w:rPr>
                      <w:rFonts w:eastAsiaTheme="minorEastAsia"/>
                      <w:sz w:val="21"/>
                      <w:szCs w:val="21"/>
                    </w:rPr>
                    <w:t>-</w:t>
                  </w:r>
                  <w:r>
                    <w:rPr>
                      <w:rFonts w:hint="eastAsia" w:eastAsiaTheme="minorEastAsia"/>
                      <w:sz w:val="21"/>
                      <w:szCs w:val="21"/>
                      <w:lang w:val="en-US" w:eastAsia="zh-CN"/>
                    </w:rPr>
                    <w:t>002</w:t>
                  </w:r>
                  <w:r>
                    <w:rPr>
                      <w:rFonts w:eastAsiaTheme="minorEastAsia"/>
                      <w:sz w:val="21"/>
                      <w:szCs w:val="21"/>
                    </w:rPr>
                    <w:t>-99）</w:t>
                  </w:r>
                </w:p>
              </w:tc>
              <w:tc>
                <w:tcPr>
                  <w:tcW w:w="704" w:type="dxa"/>
                  <w:vAlign w:val="center"/>
                </w:tcPr>
                <w:p w14:paraId="35D6D0FE">
                  <w:pPr>
                    <w:spacing w:line="240" w:lineRule="auto"/>
                    <w:jc w:val="center"/>
                    <w:rPr>
                      <w:rFonts w:eastAsiaTheme="minorEastAsia"/>
                      <w:sz w:val="21"/>
                      <w:szCs w:val="21"/>
                    </w:rPr>
                  </w:pPr>
                  <w:r>
                    <w:rPr>
                      <w:rFonts w:hint="eastAsia" w:eastAsiaTheme="minorEastAsia"/>
                      <w:sz w:val="21"/>
                      <w:szCs w:val="21"/>
                    </w:rPr>
                    <w:t xml:space="preserve"> /</w:t>
                  </w:r>
                </w:p>
              </w:tc>
              <w:tc>
                <w:tcPr>
                  <w:tcW w:w="457" w:type="dxa"/>
                  <w:vAlign w:val="center"/>
                </w:tcPr>
                <w:p w14:paraId="31AAE408">
                  <w:pPr>
                    <w:spacing w:line="240" w:lineRule="auto"/>
                    <w:jc w:val="center"/>
                    <w:rPr>
                      <w:rFonts w:eastAsiaTheme="minorEastAsia"/>
                      <w:sz w:val="21"/>
                      <w:szCs w:val="21"/>
                    </w:rPr>
                  </w:pPr>
                  <w:r>
                    <w:rPr>
                      <w:rFonts w:eastAsiaTheme="minorEastAsia"/>
                      <w:sz w:val="21"/>
                      <w:szCs w:val="21"/>
                    </w:rPr>
                    <w:t>固体</w:t>
                  </w:r>
                </w:p>
              </w:tc>
              <w:tc>
                <w:tcPr>
                  <w:tcW w:w="1108" w:type="dxa"/>
                  <w:vAlign w:val="center"/>
                </w:tcPr>
                <w:p w14:paraId="0FA35672">
                  <w:pPr>
                    <w:spacing w:line="240" w:lineRule="auto"/>
                    <w:jc w:val="center"/>
                    <w:rPr>
                      <w:rFonts w:hint="default" w:eastAsiaTheme="minorEastAsia"/>
                      <w:sz w:val="21"/>
                      <w:szCs w:val="21"/>
                      <w:lang w:val="en-US" w:eastAsia="zh-CN"/>
                    </w:rPr>
                  </w:pPr>
                  <w:r>
                    <w:rPr>
                      <w:rFonts w:hint="eastAsia" w:eastAsiaTheme="minorEastAsia"/>
                      <w:sz w:val="21"/>
                      <w:szCs w:val="21"/>
                      <w:lang w:val="en-US" w:eastAsia="zh-CN"/>
                    </w:rPr>
                    <w:t>811</w:t>
                  </w:r>
                </w:p>
              </w:tc>
              <w:tc>
                <w:tcPr>
                  <w:tcW w:w="538" w:type="dxa"/>
                  <w:vAlign w:val="center"/>
                </w:tcPr>
                <w:p w14:paraId="5D9FDF07">
                  <w:pPr>
                    <w:spacing w:line="240" w:lineRule="auto"/>
                    <w:jc w:val="center"/>
                    <w:rPr>
                      <w:rFonts w:eastAsiaTheme="minorEastAsia"/>
                      <w:sz w:val="21"/>
                      <w:szCs w:val="21"/>
                    </w:rPr>
                  </w:pPr>
                  <w:r>
                    <w:rPr>
                      <w:rFonts w:eastAsiaTheme="minorEastAsia"/>
                      <w:sz w:val="21"/>
                      <w:szCs w:val="21"/>
                    </w:rPr>
                    <w:t>/</w:t>
                  </w:r>
                </w:p>
              </w:tc>
              <w:tc>
                <w:tcPr>
                  <w:tcW w:w="527" w:type="dxa"/>
                  <w:vAlign w:val="center"/>
                </w:tcPr>
                <w:p w14:paraId="04479905">
                  <w:pPr>
                    <w:spacing w:line="240" w:lineRule="auto"/>
                    <w:jc w:val="center"/>
                    <w:rPr>
                      <w:rFonts w:eastAsiaTheme="minorEastAsia"/>
                      <w:sz w:val="21"/>
                      <w:szCs w:val="21"/>
                    </w:rPr>
                  </w:pPr>
                  <w:r>
                    <w:rPr>
                      <w:rFonts w:hint="eastAsia" w:eastAsiaTheme="minorEastAsia"/>
                      <w:sz w:val="21"/>
                      <w:szCs w:val="21"/>
                    </w:rPr>
                    <w:t>场内暂存</w:t>
                  </w:r>
                </w:p>
              </w:tc>
              <w:tc>
                <w:tcPr>
                  <w:tcW w:w="923" w:type="dxa"/>
                  <w:vAlign w:val="center"/>
                </w:tcPr>
                <w:p w14:paraId="09F29C9D">
                  <w:pPr>
                    <w:spacing w:line="240" w:lineRule="auto"/>
                    <w:jc w:val="center"/>
                    <w:rPr>
                      <w:rFonts w:eastAsiaTheme="minorEastAsia"/>
                      <w:kern w:val="0"/>
                      <w:sz w:val="21"/>
                      <w:szCs w:val="21"/>
                    </w:rPr>
                  </w:pPr>
                  <w:r>
                    <w:rPr>
                      <w:rFonts w:eastAsiaTheme="minorEastAsia"/>
                      <w:sz w:val="21"/>
                      <w:szCs w:val="21"/>
                    </w:rPr>
                    <w:t>收集后作为本企业的</w:t>
                  </w:r>
                  <w:r>
                    <w:rPr>
                      <w:rFonts w:hint="eastAsia" w:ascii="Times New Roman" w:hAnsi="Times New Roman" w:cs="Times New Roman" w:eastAsiaTheme="minorEastAsia"/>
                      <w:kern w:val="2"/>
                      <w:sz w:val="21"/>
                      <w:szCs w:val="21"/>
                      <w:u w:val="none"/>
                      <w:lang w:val="en-US" w:eastAsia="zh-CN" w:bidi="ar-SA"/>
                    </w:rPr>
                    <w:t>透水砖、路面砖</w:t>
                  </w:r>
                  <w:r>
                    <w:rPr>
                      <w:rFonts w:eastAsiaTheme="minorEastAsia"/>
                      <w:sz w:val="21"/>
                      <w:szCs w:val="21"/>
                    </w:rPr>
                    <w:t>生产的原料</w:t>
                  </w:r>
                </w:p>
              </w:tc>
              <w:tc>
                <w:tcPr>
                  <w:tcW w:w="782" w:type="dxa"/>
                  <w:vAlign w:val="center"/>
                </w:tcPr>
                <w:p w14:paraId="334456E5">
                  <w:pPr>
                    <w:spacing w:line="240" w:lineRule="auto"/>
                    <w:jc w:val="center"/>
                    <w:rPr>
                      <w:rFonts w:hint="default" w:eastAsiaTheme="minorEastAsia"/>
                      <w:sz w:val="21"/>
                      <w:szCs w:val="21"/>
                      <w:lang w:val="en-US" w:eastAsia="zh-CN"/>
                    </w:rPr>
                  </w:pPr>
                  <w:r>
                    <w:rPr>
                      <w:rFonts w:hint="eastAsia" w:eastAsiaTheme="minorEastAsia"/>
                      <w:sz w:val="21"/>
                      <w:szCs w:val="21"/>
                    </w:rPr>
                    <w:t>8</w:t>
                  </w:r>
                  <w:r>
                    <w:rPr>
                      <w:rFonts w:hint="eastAsia" w:eastAsiaTheme="minorEastAsia"/>
                      <w:sz w:val="21"/>
                      <w:szCs w:val="21"/>
                      <w:lang w:val="en-US" w:eastAsia="zh-CN"/>
                    </w:rPr>
                    <w:t>11</w:t>
                  </w:r>
                </w:p>
              </w:tc>
            </w:tr>
            <w:tr w14:paraId="58F190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41" w:type="dxa"/>
                  <w:vAlign w:val="center"/>
                </w:tcPr>
                <w:p w14:paraId="7857B114">
                  <w:pPr>
                    <w:spacing w:line="240" w:lineRule="auto"/>
                    <w:jc w:val="center"/>
                    <w:rPr>
                      <w:rFonts w:eastAsiaTheme="majorEastAsia"/>
                      <w:sz w:val="21"/>
                      <w:szCs w:val="21"/>
                    </w:rPr>
                  </w:pPr>
                  <w:r>
                    <w:rPr>
                      <w:rFonts w:eastAsiaTheme="majorEastAsia"/>
                      <w:sz w:val="21"/>
                      <w:szCs w:val="21"/>
                    </w:rPr>
                    <w:t>生活垃圾</w:t>
                  </w:r>
                </w:p>
              </w:tc>
              <w:tc>
                <w:tcPr>
                  <w:tcW w:w="972" w:type="dxa"/>
                  <w:vAlign w:val="center"/>
                </w:tcPr>
                <w:p w14:paraId="3BA09983">
                  <w:pPr>
                    <w:spacing w:line="240" w:lineRule="auto"/>
                    <w:jc w:val="center"/>
                    <w:rPr>
                      <w:rFonts w:eastAsiaTheme="majorEastAsia"/>
                      <w:sz w:val="21"/>
                      <w:szCs w:val="21"/>
                    </w:rPr>
                  </w:pPr>
                  <w:r>
                    <w:rPr>
                      <w:rFonts w:eastAsiaTheme="majorEastAsia"/>
                      <w:sz w:val="21"/>
                      <w:szCs w:val="21"/>
                    </w:rPr>
                    <w:t>员工日常生活</w:t>
                  </w:r>
                </w:p>
              </w:tc>
              <w:tc>
                <w:tcPr>
                  <w:tcW w:w="532" w:type="dxa"/>
                  <w:vAlign w:val="center"/>
                </w:tcPr>
                <w:p w14:paraId="090D889D">
                  <w:pPr>
                    <w:spacing w:line="240" w:lineRule="auto"/>
                    <w:jc w:val="center"/>
                    <w:rPr>
                      <w:rFonts w:eastAsiaTheme="majorEastAsia"/>
                      <w:sz w:val="21"/>
                      <w:szCs w:val="21"/>
                    </w:rPr>
                  </w:pPr>
                  <w:r>
                    <w:rPr>
                      <w:rFonts w:eastAsiaTheme="majorEastAsia"/>
                      <w:sz w:val="21"/>
                      <w:szCs w:val="21"/>
                    </w:rPr>
                    <w:t>一般固废</w:t>
                  </w:r>
                </w:p>
              </w:tc>
              <w:tc>
                <w:tcPr>
                  <w:tcW w:w="1111" w:type="dxa"/>
                  <w:vAlign w:val="center"/>
                </w:tcPr>
                <w:p w14:paraId="6BA8F04B">
                  <w:pPr>
                    <w:spacing w:line="240" w:lineRule="auto"/>
                    <w:jc w:val="center"/>
                    <w:rPr>
                      <w:rFonts w:eastAsiaTheme="majorEastAsia"/>
                      <w:kern w:val="0"/>
                      <w:sz w:val="21"/>
                      <w:szCs w:val="21"/>
                    </w:rPr>
                  </w:pPr>
                  <w:r>
                    <w:rPr>
                      <w:rFonts w:eastAsiaTheme="majorEastAsia"/>
                      <w:sz w:val="21"/>
                      <w:szCs w:val="21"/>
                    </w:rPr>
                    <w:t>/</w:t>
                  </w:r>
                </w:p>
              </w:tc>
              <w:tc>
                <w:tcPr>
                  <w:tcW w:w="704" w:type="dxa"/>
                  <w:vAlign w:val="center"/>
                </w:tcPr>
                <w:p w14:paraId="3C63FAD1">
                  <w:pPr>
                    <w:spacing w:line="240" w:lineRule="auto"/>
                    <w:jc w:val="center"/>
                    <w:rPr>
                      <w:rFonts w:eastAsiaTheme="majorEastAsia"/>
                      <w:sz w:val="21"/>
                      <w:szCs w:val="21"/>
                    </w:rPr>
                  </w:pPr>
                  <w:r>
                    <w:rPr>
                      <w:rFonts w:eastAsiaTheme="majorEastAsia"/>
                      <w:sz w:val="21"/>
                      <w:szCs w:val="21"/>
                    </w:rPr>
                    <w:t>生活垃圾</w:t>
                  </w:r>
                </w:p>
              </w:tc>
              <w:tc>
                <w:tcPr>
                  <w:tcW w:w="457" w:type="dxa"/>
                  <w:vAlign w:val="center"/>
                </w:tcPr>
                <w:p w14:paraId="3FDBFB57">
                  <w:pPr>
                    <w:spacing w:line="240" w:lineRule="auto"/>
                    <w:jc w:val="center"/>
                    <w:rPr>
                      <w:rFonts w:eastAsiaTheme="majorEastAsia"/>
                      <w:sz w:val="21"/>
                      <w:szCs w:val="21"/>
                    </w:rPr>
                  </w:pPr>
                  <w:r>
                    <w:rPr>
                      <w:rFonts w:eastAsiaTheme="majorEastAsia"/>
                      <w:sz w:val="21"/>
                      <w:szCs w:val="21"/>
                    </w:rPr>
                    <w:t>固态</w:t>
                  </w:r>
                </w:p>
              </w:tc>
              <w:tc>
                <w:tcPr>
                  <w:tcW w:w="1108" w:type="dxa"/>
                  <w:vAlign w:val="center"/>
                </w:tcPr>
                <w:p w14:paraId="19370430">
                  <w:pPr>
                    <w:spacing w:line="240" w:lineRule="auto"/>
                    <w:jc w:val="center"/>
                    <w:rPr>
                      <w:rFonts w:eastAsiaTheme="majorEastAsia"/>
                      <w:sz w:val="21"/>
                      <w:szCs w:val="21"/>
                    </w:rPr>
                  </w:pPr>
                  <w:r>
                    <w:rPr>
                      <w:rFonts w:hint="eastAsia" w:eastAsiaTheme="majorEastAsia"/>
                      <w:sz w:val="21"/>
                      <w:szCs w:val="21"/>
                    </w:rPr>
                    <w:t>3</w:t>
                  </w:r>
                </w:p>
              </w:tc>
              <w:tc>
                <w:tcPr>
                  <w:tcW w:w="538" w:type="dxa"/>
                  <w:vAlign w:val="center"/>
                </w:tcPr>
                <w:p w14:paraId="41AAEBE3">
                  <w:pPr>
                    <w:spacing w:line="240" w:lineRule="auto"/>
                    <w:jc w:val="center"/>
                    <w:rPr>
                      <w:rFonts w:eastAsiaTheme="majorEastAsia"/>
                      <w:sz w:val="21"/>
                      <w:szCs w:val="21"/>
                    </w:rPr>
                  </w:pPr>
                  <w:r>
                    <w:rPr>
                      <w:rFonts w:eastAsiaTheme="majorEastAsia"/>
                      <w:sz w:val="21"/>
                      <w:szCs w:val="21"/>
                    </w:rPr>
                    <w:t>/</w:t>
                  </w:r>
                </w:p>
              </w:tc>
              <w:tc>
                <w:tcPr>
                  <w:tcW w:w="527" w:type="dxa"/>
                  <w:vAlign w:val="center"/>
                </w:tcPr>
                <w:p w14:paraId="7F323D75">
                  <w:pPr>
                    <w:spacing w:line="240" w:lineRule="auto"/>
                    <w:jc w:val="center"/>
                    <w:rPr>
                      <w:rFonts w:eastAsiaTheme="majorEastAsia"/>
                      <w:sz w:val="21"/>
                      <w:szCs w:val="21"/>
                    </w:rPr>
                  </w:pPr>
                  <w:r>
                    <w:rPr>
                      <w:rFonts w:eastAsiaTheme="majorEastAsia"/>
                      <w:sz w:val="21"/>
                      <w:szCs w:val="21"/>
                    </w:rPr>
                    <w:t>垃圾桶收集</w:t>
                  </w:r>
                </w:p>
              </w:tc>
              <w:tc>
                <w:tcPr>
                  <w:tcW w:w="923" w:type="dxa"/>
                  <w:vAlign w:val="center"/>
                </w:tcPr>
                <w:p w14:paraId="57AA04FF">
                  <w:pPr>
                    <w:spacing w:line="240" w:lineRule="auto"/>
                    <w:jc w:val="center"/>
                    <w:rPr>
                      <w:rFonts w:eastAsiaTheme="majorEastAsia"/>
                      <w:sz w:val="21"/>
                      <w:szCs w:val="21"/>
                    </w:rPr>
                  </w:pPr>
                  <w:r>
                    <w:rPr>
                      <w:rFonts w:eastAsiaTheme="majorEastAsia"/>
                      <w:sz w:val="21"/>
                      <w:szCs w:val="21"/>
                    </w:rPr>
                    <w:t>运至附近垃圾中转站</w:t>
                  </w:r>
                </w:p>
              </w:tc>
              <w:tc>
                <w:tcPr>
                  <w:tcW w:w="782" w:type="dxa"/>
                  <w:vAlign w:val="center"/>
                </w:tcPr>
                <w:p w14:paraId="5402A81D">
                  <w:pPr>
                    <w:spacing w:line="240" w:lineRule="auto"/>
                    <w:jc w:val="center"/>
                    <w:rPr>
                      <w:rFonts w:eastAsiaTheme="majorEastAsia"/>
                      <w:sz w:val="21"/>
                      <w:szCs w:val="21"/>
                    </w:rPr>
                  </w:pPr>
                  <w:r>
                    <w:rPr>
                      <w:rFonts w:hint="eastAsia" w:eastAsiaTheme="majorEastAsia"/>
                      <w:sz w:val="21"/>
                      <w:szCs w:val="21"/>
                    </w:rPr>
                    <w:t>3</w:t>
                  </w:r>
                </w:p>
              </w:tc>
            </w:tr>
          </w:tbl>
          <w:p w14:paraId="279F683D">
            <w:pPr>
              <w:wordWrap w:val="0"/>
              <w:topLinePunct/>
              <w:adjustRightInd w:val="0"/>
              <w:snapToGrid w:val="0"/>
              <w:ind w:firstLine="482" w:firstLineChars="200"/>
              <w:rPr>
                <w:b/>
                <w:bCs/>
                <w:kern w:val="0"/>
                <w:u w:val="single"/>
              </w:rPr>
            </w:pPr>
            <w:bookmarkStart w:id="107" w:name="_Toc6950"/>
            <w:r>
              <w:rPr>
                <w:b/>
                <w:bCs/>
                <w:kern w:val="0"/>
                <w:u w:val="single"/>
              </w:rPr>
              <w:t>固废管理要求：</w:t>
            </w:r>
          </w:p>
          <w:p w14:paraId="1DC52CB3">
            <w:pPr>
              <w:wordWrap w:val="0"/>
              <w:topLinePunct/>
              <w:adjustRightInd w:val="0"/>
              <w:snapToGrid w:val="0"/>
              <w:ind w:firstLine="480" w:firstLineChars="200"/>
              <w:rPr>
                <w:kern w:val="0"/>
                <w:u w:val="single"/>
              </w:rPr>
            </w:pPr>
            <w:r>
              <w:rPr>
                <w:kern w:val="0"/>
                <w:u w:val="single"/>
              </w:rPr>
              <w:t>建设项目需强化废物产生、收集、贮运各环节的管理，杜绝固废在</w:t>
            </w:r>
            <w:r>
              <w:rPr>
                <w:u w:val="single"/>
              </w:rPr>
              <w:t>厂房</w:t>
            </w:r>
            <w:r>
              <w:rPr>
                <w:kern w:val="0"/>
                <w:u w:val="single"/>
              </w:rPr>
              <w:t>内的散失、渗漏。做好固体废物在</w:t>
            </w:r>
            <w:r>
              <w:rPr>
                <w:u w:val="single"/>
              </w:rPr>
              <w:t>厂房</w:t>
            </w:r>
            <w:r>
              <w:rPr>
                <w:kern w:val="0"/>
                <w:u w:val="single"/>
              </w:rPr>
              <w:t>内的收集和储存相关防护工作，收集后进行有效处置或者回用。建立完善的规章制度，以降低固体废物散落对周围环境的影响。本项目一般固废间设置在包装材料库中，符合一般固废管理要求。</w:t>
            </w:r>
          </w:p>
          <w:p w14:paraId="2E936906">
            <w:pPr>
              <w:spacing w:line="360" w:lineRule="auto"/>
              <w:ind w:firstLine="480"/>
              <w:rPr>
                <w:color w:val="auto"/>
                <w:sz w:val="24"/>
                <w:u w:val="single"/>
              </w:rPr>
            </w:pPr>
            <w:r>
              <w:rPr>
                <w:color w:val="auto"/>
                <w:sz w:val="24"/>
                <w:u w:val="single"/>
              </w:rPr>
              <w:t>排污单位应建立环境管理台账记录制度，设置专职人员进行台账的记录、整理、维护和管理，并对环境管理台账的真实性、完整性和规范性负责。</w:t>
            </w:r>
          </w:p>
          <w:p w14:paraId="39D4A18E">
            <w:pPr>
              <w:spacing w:line="360" w:lineRule="auto"/>
              <w:ind w:firstLine="480"/>
              <w:rPr>
                <w:color w:val="auto"/>
                <w:sz w:val="24"/>
                <w:u w:val="single"/>
              </w:rPr>
            </w:pPr>
            <w:r>
              <w:rPr>
                <w:color w:val="auto"/>
                <w:sz w:val="24"/>
                <w:u w:val="single"/>
              </w:rPr>
              <w:t>环境管理台账的编制要求按照《排污单位环境管理台账及排污许可证执行报告技术规范总则(试行)》（HJ944-2018）</w:t>
            </w:r>
            <w:r>
              <w:rPr>
                <w:rFonts w:hint="eastAsia"/>
                <w:color w:val="auto"/>
                <w:sz w:val="24"/>
                <w:u w:val="single"/>
              </w:rPr>
              <w:t>及</w:t>
            </w:r>
            <w:r>
              <w:rPr>
                <w:color w:val="auto"/>
                <w:sz w:val="24"/>
                <w:u w:val="single"/>
              </w:rPr>
              <w:t>《排污许可证申请与核发技术规范陶瓷砖瓦工业》</w:t>
            </w:r>
            <w:r>
              <w:rPr>
                <w:rFonts w:hint="eastAsia"/>
                <w:color w:val="auto"/>
                <w:sz w:val="24"/>
                <w:u w:val="single"/>
              </w:rPr>
              <w:t>（</w:t>
            </w:r>
            <w:r>
              <w:rPr>
                <w:color w:val="auto"/>
                <w:sz w:val="24"/>
                <w:u w:val="single"/>
              </w:rPr>
              <w:t>HJ954-2018</w:t>
            </w:r>
            <w:r>
              <w:rPr>
                <w:rFonts w:hint="eastAsia"/>
                <w:color w:val="auto"/>
                <w:sz w:val="24"/>
                <w:u w:val="single"/>
              </w:rPr>
              <w:t>）</w:t>
            </w:r>
            <w:r>
              <w:rPr>
                <w:color w:val="auto"/>
                <w:sz w:val="24"/>
                <w:u w:val="single"/>
              </w:rPr>
              <w:t>附录G执行，该技术规范规定了排污单位环境管理台账记录形式、记录内容、记录频次和记录保存的一般要求。</w:t>
            </w:r>
          </w:p>
          <w:p w14:paraId="3B3A5EE5">
            <w:pPr>
              <w:wordWrap w:val="0"/>
              <w:topLinePunct/>
              <w:adjustRightInd w:val="0"/>
              <w:snapToGrid w:val="0"/>
              <w:ind w:firstLine="480" w:firstLineChars="200"/>
              <w:rPr>
                <w:b/>
              </w:rPr>
            </w:pPr>
            <w:r>
              <w:rPr>
                <w:color w:val="auto"/>
                <w:sz w:val="24"/>
                <w:u w:val="single"/>
              </w:rPr>
              <w:t>环境管理台账记录形式分为电子台账和纸质台账两种形式，保存时间原则上不低于3年。环境管理台账记录内容包括基本信息、生产设施运行管理信息、污染防治设施运行管理信息、监测记录信息及其他环境管理信息等。生产设施、污染防治设施、排放口编码应与排污许可证副本中载明的编码一致。记录频次和记录内容要满足排污许可证的各项环境管理要求。</w:t>
            </w:r>
          </w:p>
          <w:p w14:paraId="24C04EEC">
            <w:pPr>
              <w:wordWrap w:val="0"/>
              <w:topLinePunct/>
              <w:adjustRightInd w:val="0"/>
              <w:snapToGrid w:val="0"/>
              <w:ind w:firstLine="482" w:firstLineChars="200"/>
              <w:rPr>
                <w:kern w:val="0"/>
              </w:rPr>
            </w:pPr>
            <w:r>
              <w:rPr>
                <w:b/>
              </w:rPr>
              <w:t>4.2.5</w:t>
            </w:r>
            <w:r>
              <w:rPr>
                <w:b/>
                <w:kern w:val="0"/>
              </w:rPr>
              <w:t>生态环境</w:t>
            </w:r>
          </w:p>
          <w:p w14:paraId="4C375F30">
            <w:pPr>
              <w:pStyle w:val="42"/>
              <w:spacing w:line="360" w:lineRule="auto"/>
              <w:rPr>
                <w:bCs/>
              </w:rPr>
            </w:pPr>
            <w:r>
              <w:rPr>
                <w:kern w:val="0"/>
              </w:rPr>
              <w:t>本项目位于</w:t>
            </w:r>
            <w:r>
              <w:t>湖南省</w:t>
            </w:r>
            <w:r>
              <w:rPr>
                <w:rFonts w:hint="eastAsia"/>
              </w:rPr>
              <w:t>怀化市靖州苗族侗族自治县渠阳镇高桥村七坡冲</w:t>
            </w:r>
            <w:r>
              <w:rPr>
                <w:bCs/>
                <w:kern w:val="0"/>
              </w:rPr>
              <w:t>，</w:t>
            </w:r>
            <w:r>
              <w:rPr>
                <w:bCs/>
              </w:rPr>
              <w:t>且用地范围内无生态环境保护目标。</w:t>
            </w:r>
          </w:p>
          <w:p w14:paraId="52D16E58">
            <w:pPr>
              <w:pStyle w:val="34"/>
              <w:numPr>
                <w:ilvl w:val="2"/>
                <w:numId w:val="0"/>
              </w:numPr>
              <w:ind w:firstLine="482" w:firstLineChars="200"/>
            </w:pPr>
            <w:r>
              <w:t>4.2.</w:t>
            </w:r>
            <w:r>
              <w:rPr>
                <w:rFonts w:hint="eastAsia"/>
              </w:rPr>
              <w:t>6</w:t>
            </w:r>
            <w:r>
              <w:t>地下水、土壤</w:t>
            </w:r>
            <w:bookmarkEnd w:id="107"/>
          </w:p>
          <w:p w14:paraId="2D173738">
            <w:pPr>
              <w:ind w:firstLine="482" w:firstLineChars="200"/>
              <w:rPr>
                <w:bCs/>
                <w:u w:val="single"/>
              </w:rPr>
            </w:pPr>
            <w:r>
              <w:rPr>
                <w:b/>
                <w:bCs/>
                <w:u w:val="single"/>
              </w:rPr>
              <w:t>1、污染源分析</w:t>
            </w:r>
          </w:p>
          <w:p w14:paraId="28F4E884">
            <w:pPr>
              <w:ind w:firstLine="480" w:firstLineChars="200"/>
              <w:rPr>
                <w:u w:val="single"/>
              </w:rPr>
            </w:pPr>
            <w:r>
              <w:rPr>
                <w:u w:val="single"/>
              </w:rPr>
              <w:t>（1）废水的渗漏对地下水、土壤的影响</w:t>
            </w:r>
          </w:p>
          <w:p w14:paraId="53B1AABD">
            <w:pPr>
              <w:ind w:firstLine="480" w:firstLineChars="200"/>
              <w:rPr>
                <w:u w:val="single"/>
              </w:rPr>
            </w:pPr>
            <w:r>
              <w:rPr>
                <w:u w:val="single"/>
              </w:rPr>
              <w:t>本项目地下水环境的保护应以</w:t>
            </w:r>
            <w:r>
              <w:rPr>
                <w:rFonts w:hint="eastAsia"/>
                <w:u w:val="single"/>
              </w:rPr>
              <w:t>隔油</w:t>
            </w:r>
            <w:r>
              <w:rPr>
                <w:u w:val="single"/>
              </w:rPr>
              <w:t>化粪池、沉淀池防渗等主动性措施为主要保护手段，使污染源的渗漏达到最小程度。经采取分区防渗的治理措施处理后，可防止项目产生的污水渗入地下污染项目所在地区地下水环境质量。经过防渗处理措施后，项目排水对项目所在地区地下水环境质量影响不大。</w:t>
            </w:r>
          </w:p>
          <w:p w14:paraId="1BCBD235">
            <w:pPr>
              <w:ind w:firstLine="480" w:firstLineChars="200"/>
              <w:rPr>
                <w:u w:val="single"/>
              </w:rPr>
            </w:pPr>
            <w:r>
              <w:rPr>
                <w:u w:val="single"/>
              </w:rPr>
              <w:t>（2）固体废物对土壤、地下水水质的影响</w:t>
            </w:r>
          </w:p>
          <w:p w14:paraId="39D5089A">
            <w:pPr>
              <w:ind w:firstLine="480" w:firstLineChars="200"/>
            </w:pPr>
            <w:r>
              <w:rPr>
                <w:u w:val="single"/>
              </w:rPr>
              <w:t>本项目固体废物均得到妥善的处理处置，本项目固废对土壤和地下水的影响是极小的，不会改变该地区地下水和土壤质量类别。</w:t>
            </w:r>
          </w:p>
          <w:p w14:paraId="3DB8EDE7">
            <w:pPr>
              <w:ind w:firstLine="482" w:firstLineChars="200"/>
              <w:rPr>
                <w:b/>
                <w:bCs/>
              </w:rPr>
            </w:pPr>
            <w:r>
              <w:rPr>
                <w:b/>
                <w:bCs/>
              </w:rPr>
              <w:t>2、防控措施</w:t>
            </w:r>
          </w:p>
          <w:p w14:paraId="367AB85D">
            <w:pPr>
              <w:ind w:firstLine="480" w:firstLineChars="200"/>
            </w:pPr>
            <w:r>
              <w:t>为了有效减小项目对地下水及土壤的影响，建设单位应主要从防渗角度完善环境保护措施，将厂区划分为一般防渗区和简单防渗区。一般污染防治区主要包括生产车间区域</w:t>
            </w:r>
            <w:r>
              <w:rPr>
                <w:rFonts w:hint="eastAsia"/>
              </w:rPr>
              <w:t>、隔油</w:t>
            </w:r>
            <w:r>
              <w:t>化粪池、沉淀池等区域；简单防渗区主要是指</w:t>
            </w:r>
            <w:r>
              <w:rPr>
                <w:rFonts w:hint="eastAsia"/>
              </w:rPr>
              <w:t>综合办公楼</w:t>
            </w:r>
            <w:r>
              <w:t>等。</w:t>
            </w:r>
          </w:p>
          <w:p w14:paraId="22542E7B">
            <w:pPr>
              <w:ind w:firstLine="480" w:firstLineChars="200"/>
            </w:pPr>
            <w:r>
              <w:t>各分区可参照《环境影响评价技术导则 地下水环境（HJ610-2016）》，防渗要求如下：</w:t>
            </w:r>
          </w:p>
          <w:p w14:paraId="704C3DE0">
            <w:pPr>
              <w:ind w:firstLine="480" w:firstLineChars="200"/>
            </w:pPr>
            <w:r>
              <w:t>①对于重点防渗区，防渗技术要求为：等效黏土防渗层Mb≥6.0m，K≤1×10</w:t>
            </w:r>
            <w:r>
              <w:rPr>
                <w:vertAlign w:val="superscript"/>
              </w:rPr>
              <w:t>-7</w:t>
            </w:r>
            <w:r>
              <w:t>cm/s；或参照GB18598执行。</w:t>
            </w:r>
          </w:p>
          <w:p w14:paraId="729C0656">
            <w:pPr>
              <w:ind w:firstLine="480" w:firstLineChars="200"/>
            </w:pPr>
            <w:r>
              <w:t>②对于一般防渗区，防渗技术要求为：等效黏土防渗层Mb≥1.5m，K≤1×10</w:t>
            </w:r>
            <w:r>
              <w:rPr>
                <w:vertAlign w:val="superscript"/>
              </w:rPr>
              <w:t>-7</w:t>
            </w:r>
            <w:r>
              <w:t>cm/s；或参照GB16889执行。</w:t>
            </w:r>
          </w:p>
          <w:p w14:paraId="500212C1">
            <w:pPr>
              <w:ind w:firstLine="480" w:firstLineChars="200"/>
            </w:pPr>
            <w:r>
              <w:t>③对于简单防渗区，防渗技术要求为：一般地面水泥硬化。</w:t>
            </w:r>
          </w:p>
          <w:p w14:paraId="3FF091AE">
            <w:pPr>
              <w:pStyle w:val="34"/>
              <w:numPr>
                <w:ilvl w:val="2"/>
                <w:numId w:val="0"/>
              </w:numPr>
              <w:ind w:firstLine="482" w:firstLineChars="200"/>
            </w:pPr>
            <w:bookmarkStart w:id="108" w:name="_Toc30727"/>
            <w:r>
              <w:t>4.2.</w:t>
            </w:r>
            <w:r>
              <w:rPr>
                <w:rFonts w:hint="eastAsia"/>
              </w:rPr>
              <w:t>7</w:t>
            </w:r>
            <w:r>
              <w:t>环境风险分析</w:t>
            </w:r>
            <w:bookmarkEnd w:id="108"/>
          </w:p>
          <w:p w14:paraId="0E6E8D76">
            <w:pPr>
              <w:pStyle w:val="42"/>
              <w:adjustRightInd/>
              <w:snapToGrid/>
              <w:spacing w:line="360" w:lineRule="auto"/>
              <w:ind w:firstLine="480" w:firstLineChars="200"/>
              <w:jc w:val="both"/>
              <w:rPr>
                <w:u w:val="single"/>
              </w:rPr>
            </w:pPr>
            <w:r>
              <w:rPr>
                <w:u w:val="single"/>
              </w:rPr>
              <w:t>环境风险评价的目的是分析和预测建设项目存在的潜在危险、有害因素，建设项目建设和运行期间可能发生的突发性事件或事故，引起有毒有害和易燃易爆等物质泄漏，所造成的人身安全与环境影响和损害程度，提出合理可行的防范应急与减缓措施，以使建设项目事故率损失和环境影响达到可接受水平。</w:t>
            </w:r>
          </w:p>
          <w:p w14:paraId="73F0542E">
            <w:pPr>
              <w:pStyle w:val="42"/>
              <w:spacing w:line="360" w:lineRule="auto"/>
              <w:ind w:firstLine="480"/>
              <w:jc w:val="both"/>
              <w:rPr>
                <w:rFonts w:hint="eastAsia"/>
                <w:b/>
                <w:bCs/>
              </w:rPr>
            </w:pPr>
            <w:r>
              <w:rPr>
                <w:rFonts w:hint="default" w:ascii="Times New Roman" w:hAnsi="Times New Roman" w:cs="Times New Roman"/>
                <w:sz w:val="24"/>
                <w:szCs w:val="24"/>
                <w:u w:val="single"/>
              </w:rPr>
              <w:t>本项目原辅材料及产品均不属于风险物质，</w:t>
            </w:r>
            <w:r>
              <w:rPr>
                <w:rFonts w:ascii="Times New Roman" w:hAnsi="Times New Roman" w:cs="Times New Roman"/>
                <w:sz w:val="24"/>
                <w:szCs w:val="24"/>
                <w:u w:val="single"/>
              </w:rPr>
              <w:t>项目运营过程中必须严格执行国家的技术规范和操作规程要求，落实各项预防措施。在认真落实工程拟采取的事故对策后，制定突发环境事件应急预案，本项目环境风险可控，工程的事故对周围影响处于可接受水平。</w:t>
            </w:r>
          </w:p>
          <w:p w14:paraId="2D7270E5">
            <w:pPr>
              <w:pStyle w:val="30"/>
              <w:numPr>
                <w:ilvl w:val="1"/>
                <w:numId w:val="0"/>
              </w:numPr>
              <w:ind w:firstLine="482" w:firstLineChars="200"/>
            </w:pPr>
            <w:bookmarkStart w:id="109" w:name="_Toc68160400"/>
            <w:bookmarkStart w:id="110" w:name="_Toc23756"/>
            <w:r>
              <w:t>4.2.</w:t>
            </w:r>
            <w:r>
              <w:rPr>
                <w:rFonts w:hint="eastAsia"/>
              </w:rPr>
              <w:t>8环境管理</w:t>
            </w:r>
          </w:p>
          <w:p w14:paraId="6A4B8A86">
            <w:pPr>
              <w:ind w:firstLine="480"/>
            </w:pPr>
            <w:r>
              <w:t>本项目环境管理的具体内容如下：</w:t>
            </w:r>
          </w:p>
          <w:p w14:paraId="7E0CAD1F">
            <w:pPr>
              <w:ind w:firstLine="480"/>
            </w:pPr>
            <w:r>
              <w:t>（1）组织编制企业环境管理条例及日常监测计划。实施有效的质量控制，贯彻落实国家和地方的环境保护法律、法规、政策和标准，直接接受环保主管部门的监督、领导，配合环境保护主管部门作好环保工作。</w:t>
            </w:r>
          </w:p>
          <w:p w14:paraId="419E335B">
            <w:pPr>
              <w:ind w:firstLine="480"/>
            </w:pPr>
            <w:r>
              <w:t>（2）加强运行期生产管理，严格实行岗位责任制。定期进行环保设备检查、维修和保养工作，确保环保设施长期、稳定、达标运转，杜绝事故性排放的发生。</w:t>
            </w:r>
          </w:p>
          <w:p w14:paraId="0161AB70">
            <w:pPr>
              <w:ind w:firstLine="480"/>
            </w:pPr>
            <w:r>
              <w:t>（3）建设规范化排污口</w:t>
            </w:r>
          </w:p>
          <w:p w14:paraId="4B8CC00F">
            <w:pPr>
              <w:widowControl/>
              <w:ind w:firstLine="480" w:firstLineChars="200"/>
              <w:jc w:val="left"/>
            </w:pPr>
            <w:r>
              <w:t>依据国家标准《环境保护图形标志—排放口（源）》</w:t>
            </w:r>
            <w:r>
              <w:rPr>
                <w:rFonts w:hint="eastAsia"/>
              </w:rPr>
              <w:t>、</w:t>
            </w:r>
            <w:r>
              <w:rPr>
                <w:lang w:bidi="ar"/>
              </w:rPr>
              <w:t>《环境保护图形标志—固体废物贮存（处置）场》（GB 15562.2-1995）修改单</w:t>
            </w:r>
            <w:r>
              <w:rPr>
                <w:rFonts w:hint="eastAsia"/>
                <w:lang w:bidi="ar"/>
              </w:rPr>
              <w:t>（公告2023年第5号）</w:t>
            </w:r>
            <w:r>
              <w:t>和国家环保局《排污口规范化整治技术要求（试行）》的技术要求，所有排污口，必须按照“便于采样、便于计量监测、便于日常现场监督检查”的原则和规范化要求，设置与之相适应的环境保护图形标志牌，绘制企业排污口分布图。排污口的规范化要求如下：</w:t>
            </w:r>
          </w:p>
          <w:p w14:paraId="24B30A5D">
            <w:pPr>
              <w:ind w:firstLine="480"/>
            </w:pPr>
            <w:r>
              <w:t>①废水排放口</w:t>
            </w:r>
          </w:p>
          <w:p w14:paraId="561E1865">
            <w:pPr>
              <w:ind w:firstLine="480"/>
            </w:pPr>
            <w:r>
              <w:t>本项目</w:t>
            </w:r>
            <w:r>
              <w:rPr>
                <w:rFonts w:hint="eastAsia" w:eastAsiaTheme="minorEastAsia"/>
              </w:rPr>
              <w:t>废水不外排，不设置排污口</w:t>
            </w:r>
            <w:r>
              <w:t>。</w:t>
            </w:r>
          </w:p>
          <w:p w14:paraId="34455839">
            <w:pPr>
              <w:ind w:firstLine="480"/>
            </w:pPr>
            <w:r>
              <w:t>②固定噪声排放源</w:t>
            </w:r>
          </w:p>
          <w:p w14:paraId="240F65B1">
            <w:pPr>
              <w:ind w:firstLine="480"/>
            </w:pPr>
            <w:r>
              <w:t>按规定对固定噪声源进行治理，并在边界噪声敏感点且对外界影响最大处设置标志牌。</w:t>
            </w:r>
          </w:p>
          <w:p w14:paraId="7723DB96">
            <w:pPr>
              <w:ind w:firstLine="480"/>
            </w:pPr>
            <w:r>
              <w:t>③固体废弃物贮存（处置）场</w:t>
            </w:r>
          </w:p>
          <w:p w14:paraId="308A41A1">
            <w:pPr>
              <w:ind w:firstLine="480"/>
            </w:pPr>
            <w:r>
              <w:t>固体废物如一般固废、生活垃圾等应统一收集堆放。</w:t>
            </w:r>
          </w:p>
          <w:p w14:paraId="5AF5BB1C">
            <w:pPr>
              <w:ind w:firstLine="480"/>
            </w:pPr>
            <w:r>
              <w:t>④设置标志牌要求</w:t>
            </w:r>
          </w:p>
          <w:p w14:paraId="4520F0BE">
            <w:pPr>
              <w:ind w:firstLine="480"/>
            </w:pPr>
            <w:r>
              <w:t>按照环境保护标志牌有关要求，企业自行制作好相关标识牌，设置提示性标志牌，排放有毒有害等污染物的排污口设置警告性标志牌。提示性标志牌和警告性标志牌样图如下表：</w:t>
            </w:r>
          </w:p>
          <w:p w14:paraId="1EAB3521">
            <w:pPr>
              <w:spacing w:line="240" w:lineRule="auto"/>
              <w:ind w:firstLine="422"/>
              <w:jc w:val="center"/>
              <w:rPr>
                <w:b/>
                <w:sz w:val="21"/>
                <w:szCs w:val="21"/>
              </w:rPr>
            </w:pPr>
            <w:r>
              <w:rPr>
                <w:b/>
                <w:sz w:val="21"/>
                <w:szCs w:val="21"/>
              </w:rPr>
              <w:t>表4-1</w:t>
            </w:r>
            <w:r>
              <w:rPr>
                <w:rFonts w:hint="eastAsia"/>
                <w:b/>
                <w:sz w:val="21"/>
                <w:szCs w:val="21"/>
                <w:lang w:val="en-US" w:eastAsia="zh-CN"/>
              </w:rPr>
              <w:t>6</w:t>
            </w:r>
            <w:r>
              <w:rPr>
                <w:b/>
                <w:sz w:val="21"/>
                <w:szCs w:val="21"/>
              </w:rPr>
              <w:t xml:space="preserve"> 提示性标志牌和警告性标志牌说明表</w:t>
            </w:r>
          </w:p>
          <w:tbl>
            <w:tblPr>
              <w:tblStyle w:val="24"/>
              <w:tblW w:w="851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3751"/>
              <w:gridCol w:w="3751"/>
            </w:tblGrid>
            <w:tr w14:paraId="4D9B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596" w:type="pct"/>
                  <w:vAlign w:val="center"/>
                </w:tcPr>
                <w:p w14:paraId="5F5E98E1">
                  <w:pPr>
                    <w:spacing w:line="240" w:lineRule="auto"/>
                    <w:jc w:val="center"/>
                    <w:rPr>
                      <w:b/>
                      <w:bCs/>
                      <w:sz w:val="21"/>
                      <w:szCs w:val="21"/>
                    </w:rPr>
                  </w:pPr>
                  <w:r>
                    <w:rPr>
                      <w:b/>
                      <w:bCs/>
                      <w:sz w:val="21"/>
                      <w:szCs w:val="21"/>
                    </w:rPr>
                    <w:t>排放口</w:t>
                  </w:r>
                </w:p>
              </w:tc>
              <w:tc>
                <w:tcPr>
                  <w:tcW w:w="2201" w:type="pct"/>
                  <w:vAlign w:val="center"/>
                </w:tcPr>
                <w:p w14:paraId="07431919">
                  <w:pPr>
                    <w:spacing w:line="240" w:lineRule="auto"/>
                    <w:jc w:val="center"/>
                    <w:rPr>
                      <w:b/>
                      <w:bCs/>
                      <w:sz w:val="21"/>
                      <w:szCs w:val="21"/>
                    </w:rPr>
                  </w:pPr>
                  <w:r>
                    <w:rPr>
                      <w:b/>
                      <w:bCs/>
                      <w:sz w:val="21"/>
                      <w:szCs w:val="21"/>
                    </w:rPr>
                    <w:t>噪声源</w:t>
                  </w:r>
                </w:p>
              </w:tc>
              <w:tc>
                <w:tcPr>
                  <w:tcW w:w="2201" w:type="pct"/>
                  <w:vAlign w:val="center"/>
                </w:tcPr>
                <w:p w14:paraId="7652A1F9">
                  <w:pPr>
                    <w:spacing w:line="240" w:lineRule="auto"/>
                    <w:jc w:val="center"/>
                    <w:rPr>
                      <w:b/>
                      <w:bCs/>
                      <w:sz w:val="21"/>
                      <w:szCs w:val="21"/>
                    </w:rPr>
                  </w:pPr>
                  <w:r>
                    <w:rPr>
                      <w:b/>
                      <w:bCs/>
                      <w:sz w:val="21"/>
                      <w:szCs w:val="21"/>
                    </w:rPr>
                    <w:t>固体废物堆场</w:t>
                  </w:r>
                </w:p>
              </w:tc>
            </w:tr>
            <w:tr w14:paraId="49C9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3" w:hRule="atLeast"/>
              </w:trPr>
              <w:tc>
                <w:tcPr>
                  <w:tcW w:w="596" w:type="pct"/>
                  <w:vAlign w:val="center"/>
                </w:tcPr>
                <w:p w14:paraId="2535671D">
                  <w:pPr>
                    <w:spacing w:line="240" w:lineRule="auto"/>
                    <w:jc w:val="center"/>
                    <w:rPr>
                      <w:sz w:val="21"/>
                      <w:szCs w:val="21"/>
                    </w:rPr>
                  </w:pPr>
                  <w:r>
                    <w:rPr>
                      <w:sz w:val="21"/>
                      <w:szCs w:val="21"/>
                    </w:rPr>
                    <w:t>提示图形符号</w:t>
                  </w:r>
                </w:p>
              </w:tc>
              <w:tc>
                <w:tcPr>
                  <w:tcW w:w="2201" w:type="pct"/>
                  <w:vAlign w:val="center"/>
                </w:tcPr>
                <w:p w14:paraId="131F554B">
                  <w:pPr>
                    <w:spacing w:line="240" w:lineRule="auto"/>
                    <w:jc w:val="center"/>
                    <w:rPr>
                      <w:sz w:val="21"/>
                      <w:szCs w:val="21"/>
                    </w:rPr>
                  </w:pPr>
                  <w:r>
                    <w:rPr>
                      <w:sz w:val="21"/>
                      <w:szCs w:val="21"/>
                    </w:rPr>
                    <w:drawing>
                      <wp:inline distT="0" distB="0" distL="114300" distR="114300">
                        <wp:extent cx="843280" cy="819150"/>
                        <wp:effectExtent l="0" t="0" r="1397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7"/>
                                <a:stretch>
                                  <a:fillRect/>
                                </a:stretch>
                              </pic:blipFill>
                              <pic:spPr>
                                <a:xfrm>
                                  <a:off x="0" y="0"/>
                                  <a:ext cx="843280" cy="819150"/>
                                </a:xfrm>
                                <a:prstGeom prst="rect">
                                  <a:avLst/>
                                </a:prstGeom>
                                <a:noFill/>
                                <a:ln>
                                  <a:noFill/>
                                </a:ln>
                              </pic:spPr>
                            </pic:pic>
                          </a:graphicData>
                        </a:graphic>
                      </wp:inline>
                    </w:drawing>
                  </w:r>
                </w:p>
              </w:tc>
              <w:tc>
                <w:tcPr>
                  <w:tcW w:w="2201" w:type="pct"/>
                  <w:vAlign w:val="center"/>
                </w:tcPr>
                <w:p w14:paraId="4073ABC6">
                  <w:pPr>
                    <w:spacing w:line="240" w:lineRule="auto"/>
                    <w:jc w:val="center"/>
                    <w:rPr>
                      <w:sz w:val="21"/>
                      <w:szCs w:val="21"/>
                    </w:rPr>
                  </w:pPr>
                  <w:r>
                    <w:rPr>
                      <w:sz w:val="21"/>
                      <w:szCs w:val="21"/>
                    </w:rPr>
                    <w:drawing>
                      <wp:inline distT="0" distB="0" distL="114300" distR="114300">
                        <wp:extent cx="843280" cy="831215"/>
                        <wp:effectExtent l="0" t="0" r="13970" b="698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8"/>
                                <a:stretch>
                                  <a:fillRect/>
                                </a:stretch>
                              </pic:blipFill>
                              <pic:spPr>
                                <a:xfrm>
                                  <a:off x="0" y="0"/>
                                  <a:ext cx="843280" cy="831215"/>
                                </a:xfrm>
                                <a:prstGeom prst="rect">
                                  <a:avLst/>
                                </a:prstGeom>
                                <a:noFill/>
                                <a:ln>
                                  <a:noFill/>
                                </a:ln>
                              </pic:spPr>
                            </pic:pic>
                          </a:graphicData>
                        </a:graphic>
                      </wp:inline>
                    </w:drawing>
                  </w:r>
                </w:p>
              </w:tc>
            </w:tr>
            <w:tr w14:paraId="1C6E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trPr>
              <w:tc>
                <w:tcPr>
                  <w:tcW w:w="596" w:type="pct"/>
                  <w:vAlign w:val="center"/>
                </w:tcPr>
                <w:p w14:paraId="000F8612">
                  <w:pPr>
                    <w:spacing w:line="240" w:lineRule="auto"/>
                    <w:jc w:val="center"/>
                    <w:rPr>
                      <w:sz w:val="21"/>
                      <w:szCs w:val="21"/>
                    </w:rPr>
                  </w:pPr>
                  <w:r>
                    <w:rPr>
                      <w:sz w:val="21"/>
                      <w:szCs w:val="21"/>
                    </w:rPr>
                    <w:t>警告图形标志</w:t>
                  </w:r>
                </w:p>
              </w:tc>
              <w:tc>
                <w:tcPr>
                  <w:tcW w:w="2201" w:type="pct"/>
                  <w:vAlign w:val="center"/>
                </w:tcPr>
                <w:p w14:paraId="1533D84E">
                  <w:pPr>
                    <w:spacing w:line="240" w:lineRule="auto"/>
                    <w:jc w:val="center"/>
                    <w:rPr>
                      <w:sz w:val="21"/>
                      <w:szCs w:val="21"/>
                    </w:rPr>
                  </w:pPr>
                  <w:r>
                    <w:rPr>
                      <w:sz w:val="21"/>
                      <w:szCs w:val="21"/>
                    </w:rPr>
                    <w:drawing>
                      <wp:inline distT="0" distB="0" distL="114300" distR="114300">
                        <wp:extent cx="807720" cy="748030"/>
                        <wp:effectExtent l="0" t="0" r="11430" b="139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9"/>
                                <a:stretch>
                                  <a:fillRect/>
                                </a:stretch>
                              </pic:blipFill>
                              <pic:spPr>
                                <a:xfrm>
                                  <a:off x="0" y="0"/>
                                  <a:ext cx="807720" cy="748030"/>
                                </a:xfrm>
                                <a:prstGeom prst="rect">
                                  <a:avLst/>
                                </a:prstGeom>
                                <a:noFill/>
                                <a:ln>
                                  <a:noFill/>
                                </a:ln>
                              </pic:spPr>
                            </pic:pic>
                          </a:graphicData>
                        </a:graphic>
                      </wp:inline>
                    </w:drawing>
                  </w:r>
                </w:p>
              </w:tc>
              <w:tc>
                <w:tcPr>
                  <w:tcW w:w="2201" w:type="pct"/>
                  <w:vAlign w:val="center"/>
                </w:tcPr>
                <w:p w14:paraId="2EDC97D8">
                  <w:pPr>
                    <w:spacing w:line="240" w:lineRule="auto"/>
                    <w:jc w:val="center"/>
                    <w:rPr>
                      <w:sz w:val="21"/>
                      <w:szCs w:val="21"/>
                    </w:rPr>
                  </w:pPr>
                  <w:r>
                    <w:rPr>
                      <w:sz w:val="21"/>
                      <w:szCs w:val="21"/>
                    </w:rPr>
                    <w:drawing>
                      <wp:inline distT="0" distB="0" distL="114300" distR="114300">
                        <wp:extent cx="795020" cy="748030"/>
                        <wp:effectExtent l="0" t="0" r="5080"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0"/>
                                <a:stretch>
                                  <a:fillRect/>
                                </a:stretch>
                              </pic:blipFill>
                              <pic:spPr>
                                <a:xfrm>
                                  <a:off x="0" y="0"/>
                                  <a:ext cx="795020" cy="748030"/>
                                </a:xfrm>
                                <a:prstGeom prst="rect">
                                  <a:avLst/>
                                </a:prstGeom>
                                <a:noFill/>
                                <a:ln>
                                  <a:noFill/>
                                </a:ln>
                              </pic:spPr>
                            </pic:pic>
                          </a:graphicData>
                        </a:graphic>
                      </wp:inline>
                    </w:drawing>
                  </w:r>
                </w:p>
              </w:tc>
            </w:tr>
          </w:tbl>
          <w:p w14:paraId="03FB6062">
            <w:pPr>
              <w:pStyle w:val="52"/>
              <w:rPr>
                <w:kern w:val="0"/>
                <w:sz w:val="24"/>
              </w:rPr>
            </w:pPr>
            <w:r>
              <w:rPr>
                <w:kern w:val="0"/>
                <w:szCs w:val="21"/>
              </w:rPr>
              <w:t>表4-1</w:t>
            </w:r>
            <w:r>
              <w:rPr>
                <w:rFonts w:hint="eastAsia"/>
                <w:kern w:val="0"/>
                <w:szCs w:val="21"/>
                <w:lang w:val="en-US" w:eastAsia="zh-CN"/>
              </w:rPr>
              <w:t>7</w:t>
            </w:r>
            <w:r>
              <w:rPr>
                <w:kern w:val="0"/>
                <w:szCs w:val="21"/>
              </w:rPr>
              <w:t xml:space="preserve"> 标志形状及颜色</w:t>
            </w:r>
          </w:p>
          <w:tbl>
            <w:tblPr>
              <w:tblStyle w:val="2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5"/>
              <w:gridCol w:w="2126"/>
              <w:gridCol w:w="2126"/>
              <w:gridCol w:w="2129"/>
            </w:tblGrid>
            <w:tr w14:paraId="3D6D2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29" w:type="dxa"/>
                  <w:vAlign w:val="center"/>
                </w:tcPr>
                <w:p w14:paraId="2246ECFB">
                  <w:pPr>
                    <w:spacing w:line="240" w:lineRule="auto"/>
                    <w:jc w:val="center"/>
                    <w:rPr>
                      <w:b/>
                      <w:bCs/>
                      <w:sz w:val="21"/>
                      <w:szCs w:val="21"/>
                    </w:rPr>
                  </w:pPr>
                  <w:r>
                    <w:rPr>
                      <w:b/>
                      <w:bCs/>
                      <w:sz w:val="21"/>
                      <w:szCs w:val="21"/>
                    </w:rPr>
                    <w:t>标志类型</w:t>
                  </w:r>
                </w:p>
              </w:tc>
              <w:tc>
                <w:tcPr>
                  <w:tcW w:w="2130" w:type="dxa"/>
                  <w:vAlign w:val="center"/>
                </w:tcPr>
                <w:p w14:paraId="48C97F00">
                  <w:pPr>
                    <w:spacing w:line="240" w:lineRule="auto"/>
                    <w:jc w:val="center"/>
                    <w:rPr>
                      <w:b/>
                      <w:bCs/>
                      <w:sz w:val="21"/>
                      <w:szCs w:val="21"/>
                    </w:rPr>
                  </w:pPr>
                  <w:r>
                    <w:rPr>
                      <w:b/>
                      <w:bCs/>
                      <w:sz w:val="21"/>
                      <w:szCs w:val="21"/>
                    </w:rPr>
                    <w:t>形状</w:t>
                  </w:r>
                </w:p>
              </w:tc>
              <w:tc>
                <w:tcPr>
                  <w:tcW w:w="2130" w:type="dxa"/>
                  <w:vAlign w:val="center"/>
                </w:tcPr>
                <w:p w14:paraId="7EAE50B4">
                  <w:pPr>
                    <w:spacing w:line="240" w:lineRule="auto"/>
                    <w:jc w:val="center"/>
                    <w:rPr>
                      <w:b/>
                      <w:bCs/>
                      <w:sz w:val="21"/>
                      <w:szCs w:val="21"/>
                    </w:rPr>
                  </w:pPr>
                  <w:r>
                    <w:rPr>
                      <w:b/>
                      <w:bCs/>
                      <w:sz w:val="21"/>
                      <w:szCs w:val="21"/>
                    </w:rPr>
                    <w:t>背景颜色</w:t>
                  </w:r>
                </w:p>
              </w:tc>
              <w:tc>
                <w:tcPr>
                  <w:tcW w:w="2132" w:type="dxa"/>
                  <w:vAlign w:val="center"/>
                </w:tcPr>
                <w:p w14:paraId="3DB76FA8">
                  <w:pPr>
                    <w:spacing w:line="240" w:lineRule="auto"/>
                    <w:jc w:val="center"/>
                    <w:rPr>
                      <w:b/>
                      <w:bCs/>
                      <w:sz w:val="21"/>
                      <w:szCs w:val="21"/>
                    </w:rPr>
                  </w:pPr>
                  <w:r>
                    <w:rPr>
                      <w:b/>
                      <w:bCs/>
                      <w:sz w:val="21"/>
                      <w:szCs w:val="21"/>
                    </w:rPr>
                    <w:t>图形颜色</w:t>
                  </w:r>
                </w:p>
              </w:tc>
            </w:tr>
            <w:tr w14:paraId="0CC70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29" w:type="dxa"/>
                  <w:vAlign w:val="center"/>
                </w:tcPr>
                <w:p w14:paraId="04B841AE">
                  <w:pPr>
                    <w:spacing w:line="240" w:lineRule="auto"/>
                    <w:jc w:val="center"/>
                    <w:rPr>
                      <w:sz w:val="21"/>
                      <w:szCs w:val="21"/>
                    </w:rPr>
                  </w:pPr>
                  <w:r>
                    <w:rPr>
                      <w:sz w:val="21"/>
                      <w:szCs w:val="21"/>
                    </w:rPr>
                    <w:t>警告</w:t>
                  </w:r>
                </w:p>
              </w:tc>
              <w:tc>
                <w:tcPr>
                  <w:tcW w:w="2130" w:type="dxa"/>
                  <w:vAlign w:val="center"/>
                </w:tcPr>
                <w:p w14:paraId="577F6D1F">
                  <w:pPr>
                    <w:spacing w:line="240" w:lineRule="auto"/>
                    <w:jc w:val="center"/>
                    <w:rPr>
                      <w:sz w:val="21"/>
                      <w:szCs w:val="21"/>
                    </w:rPr>
                  </w:pPr>
                  <w:r>
                    <w:rPr>
                      <w:sz w:val="21"/>
                      <w:szCs w:val="21"/>
                    </w:rPr>
                    <w:t>三角形边框</w:t>
                  </w:r>
                </w:p>
              </w:tc>
              <w:tc>
                <w:tcPr>
                  <w:tcW w:w="2130" w:type="dxa"/>
                  <w:vAlign w:val="center"/>
                </w:tcPr>
                <w:p w14:paraId="2E09D961">
                  <w:pPr>
                    <w:spacing w:line="240" w:lineRule="auto"/>
                    <w:jc w:val="center"/>
                    <w:rPr>
                      <w:sz w:val="21"/>
                      <w:szCs w:val="21"/>
                    </w:rPr>
                  </w:pPr>
                  <w:r>
                    <w:rPr>
                      <w:sz w:val="21"/>
                      <w:szCs w:val="21"/>
                    </w:rPr>
                    <w:t>黄色</w:t>
                  </w:r>
                </w:p>
              </w:tc>
              <w:tc>
                <w:tcPr>
                  <w:tcW w:w="2132" w:type="dxa"/>
                  <w:vAlign w:val="center"/>
                </w:tcPr>
                <w:p w14:paraId="0A95BFD1">
                  <w:pPr>
                    <w:spacing w:line="240" w:lineRule="auto"/>
                    <w:jc w:val="center"/>
                    <w:rPr>
                      <w:sz w:val="21"/>
                      <w:szCs w:val="21"/>
                    </w:rPr>
                  </w:pPr>
                  <w:r>
                    <w:rPr>
                      <w:sz w:val="21"/>
                      <w:szCs w:val="21"/>
                    </w:rPr>
                    <w:t>黑色</w:t>
                  </w:r>
                </w:p>
              </w:tc>
            </w:tr>
            <w:tr w14:paraId="1E675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29" w:type="dxa"/>
                  <w:vAlign w:val="center"/>
                </w:tcPr>
                <w:p w14:paraId="2AB94D94">
                  <w:pPr>
                    <w:spacing w:line="240" w:lineRule="auto"/>
                    <w:jc w:val="center"/>
                    <w:rPr>
                      <w:sz w:val="21"/>
                      <w:szCs w:val="21"/>
                    </w:rPr>
                  </w:pPr>
                  <w:r>
                    <w:rPr>
                      <w:sz w:val="21"/>
                      <w:szCs w:val="21"/>
                    </w:rPr>
                    <w:t>提示标志</w:t>
                  </w:r>
                </w:p>
              </w:tc>
              <w:tc>
                <w:tcPr>
                  <w:tcW w:w="2130" w:type="dxa"/>
                  <w:vAlign w:val="center"/>
                </w:tcPr>
                <w:p w14:paraId="147BDBE0">
                  <w:pPr>
                    <w:spacing w:line="240" w:lineRule="auto"/>
                    <w:jc w:val="center"/>
                    <w:rPr>
                      <w:sz w:val="21"/>
                      <w:szCs w:val="21"/>
                    </w:rPr>
                  </w:pPr>
                  <w:r>
                    <w:rPr>
                      <w:sz w:val="21"/>
                      <w:szCs w:val="21"/>
                    </w:rPr>
                    <w:t>正方形边框</w:t>
                  </w:r>
                </w:p>
              </w:tc>
              <w:tc>
                <w:tcPr>
                  <w:tcW w:w="2130" w:type="dxa"/>
                  <w:vAlign w:val="center"/>
                </w:tcPr>
                <w:p w14:paraId="146DE353">
                  <w:pPr>
                    <w:spacing w:line="240" w:lineRule="auto"/>
                    <w:jc w:val="center"/>
                    <w:rPr>
                      <w:sz w:val="21"/>
                      <w:szCs w:val="21"/>
                    </w:rPr>
                  </w:pPr>
                  <w:r>
                    <w:rPr>
                      <w:sz w:val="21"/>
                      <w:szCs w:val="21"/>
                    </w:rPr>
                    <w:t>绿化</w:t>
                  </w:r>
                </w:p>
              </w:tc>
              <w:tc>
                <w:tcPr>
                  <w:tcW w:w="2132" w:type="dxa"/>
                  <w:vAlign w:val="center"/>
                </w:tcPr>
                <w:p w14:paraId="35527F54">
                  <w:pPr>
                    <w:spacing w:line="240" w:lineRule="auto"/>
                    <w:jc w:val="center"/>
                    <w:rPr>
                      <w:sz w:val="21"/>
                      <w:szCs w:val="21"/>
                    </w:rPr>
                  </w:pPr>
                  <w:r>
                    <w:rPr>
                      <w:sz w:val="21"/>
                      <w:szCs w:val="21"/>
                    </w:rPr>
                    <w:t>白色</w:t>
                  </w:r>
                </w:p>
              </w:tc>
            </w:tr>
          </w:tbl>
          <w:p w14:paraId="70703BC2">
            <w:pPr>
              <w:ind w:firstLine="480"/>
            </w:pPr>
            <w:r>
              <w:t>标志牌设置位置在排污口（采样点）附近且醒目处，高度为标志牌上缘离地面2米。排污口附近1米范围内有建筑物的，设平面式标志牌，无建筑物的设立式标志牌。</w:t>
            </w:r>
          </w:p>
          <w:p w14:paraId="5748F419">
            <w:pPr>
              <w:ind w:firstLine="480"/>
            </w:pPr>
            <w:r>
              <w:t>⑤排污口建档要求</w:t>
            </w:r>
          </w:p>
          <w:p w14:paraId="261232A6">
            <w:pPr>
              <w:ind w:firstLine="480"/>
            </w:pPr>
            <w:r>
              <w:t>要求使用生态环境部统一印刷的《中华人民共和国规范化排污口标志登记证》，并按要求填写有关内容；根据排污口管理档案内容要求，项目建成后，应将主要污染物种类、数量、浓度、排放去向、达标情况及设施运行情况纪录于档案。</w:t>
            </w:r>
          </w:p>
          <w:p w14:paraId="7B9B12F3">
            <w:pPr>
              <w:ind w:firstLine="480"/>
            </w:pPr>
            <w:r>
              <w:t>（4）负责项目环境保护竣工验收工作。</w:t>
            </w:r>
          </w:p>
          <w:p w14:paraId="2BA59AC5">
            <w:pPr>
              <w:ind w:firstLine="480"/>
            </w:pPr>
            <w:r>
              <w:t>按照《建设项目竣工环境保护验收暂行办法》（国环规环评[2017]4号）要求组织本项目竣工环境保护验收工作，验收合格方可投入生产；本工程应建立以企业总经理领导，专职环保职能科室负责企业的环境档案管理，制定各项环保计划并监督实施，对厂区排污实行全程控制的监管，确保环保计划的实施和各项污染物的达标排放。</w:t>
            </w:r>
          </w:p>
          <w:p w14:paraId="4D71AF12">
            <w:pPr>
              <w:ind w:firstLine="480"/>
            </w:pPr>
            <w:r>
              <w:t>（5）建立环境管理台账</w:t>
            </w:r>
          </w:p>
          <w:p w14:paraId="73CA9A7F">
            <w:pPr>
              <w:ind w:firstLine="480"/>
            </w:pPr>
            <w:r>
              <w:t>环境管理台账，指排污单位根据排污许可证的规定，对自行监测、落实各项环境管理要求等行为的具体记录。</w:t>
            </w:r>
          </w:p>
          <w:p w14:paraId="48A7A2BD">
            <w:pPr>
              <w:ind w:firstLine="480"/>
            </w:pPr>
            <w:r>
              <w:t>排污单位应建立环境管理台账记录制度，设置专职人员进行台账的记录、整理、维护和管理，并对环境管理台账的真实性、完整性和规范性负责。</w:t>
            </w:r>
          </w:p>
          <w:p w14:paraId="3DC28095">
            <w:pPr>
              <w:ind w:firstLine="480"/>
            </w:pPr>
            <w:r>
              <w:t>环境管理台账的编制要求按照《排污单位环境管理台账及排污许可证执行报告技术规范总则(试行)》（HJ944-2018）执行，该技术规范规定了排污单位环境管理台账记录形式、记录内容、记录频次和记录保存的一般要求。</w:t>
            </w:r>
          </w:p>
          <w:p w14:paraId="5803E3D0">
            <w:pPr>
              <w:ind w:firstLine="480"/>
            </w:pPr>
            <w:r>
              <w:t>环境管理台账记录形式分为电子台账和纸质台账两种形式，保存时间原则上不低于3年。</w:t>
            </w:r>
          </w:p>
          <w:p w14:paraId="74C3E072">
            <w:pPr>
              <w:pStyle w:val="30"/>
              <w:numPr>
                <w:ilvl w:val="1"/>
                <w:numId w:val="0"/>
              </w:numPr>
              <w:ind w:firstLine="480" w:firstLineChars="200"/>
              <w:rPr>
                <w:b w:val="0"/>
                <w:bCs/>
              </w:rPr>
            </w:pPr>
            <w:r>
              <w:rPr>
                <w:b w:val="0"/>
                <w:bCs/>
              </w:rPr>
              <w:t>环境管理台账记录内容包括基本信息、生产设施运行管理信息、污染防治设施运行管理信息、监测记录信息及其他环境管理信息等。生产设施、污染防治设施、排放口编码应与排污许可证副本中载明的编码一致。记录频次和记录内容要满足排污许可证的各项环境管理要求。</w:t>
            </w:r>
          </w:p>
          <w:p w14:paraId="5ED62730">
            <w:pPr>
              <w:pStyle w:val="30"/>
              <w:numPr>
                <w:ilvl w:val="1"/>
                <w:numId w:val="0"/>
              </w:numPr>
              <w:ind w:firstLine="482" w:firstLineChars="200"/>
              <w:rPr>
                <w:u w:val="single"/>
              </w:rPr>
            </w:pPr>
            <w:r>
              <w:rPr>
                <w:u w:val="single"/>
              </w:rPr>
              <w:t>4.2.</w:t>
            </w:r>
            <w:r>
              <w:rPr>
                <w:rFonts w:hint="eastAsia"/>
                <w:u w:val="single"/>
              </w:rPr>
              <w:t>9</w:t>
            </w:r>
            <w:r>
              <w:rPr>
                <w:u w:val="single"/>
              </w:rPr>
              <w:t>环保投资情况</w:t>
            </w:r>
            <w:bookmarkEnd w:id="109"/>
            <w:bookmarkEnd w:id="110"/>
          </w:p>
          <w:p w14:paraId="1AB49FC3">
            <w:pPr>
              <w:ind w:firstLine="480" w:firstLineChars="200"/>
            </w:pPr>
            <w:r>
              <w:rPr>
                <w:u w:val="single"/>
              </w:rPr>
              <w:t>本项目总投资</w:t>
            </w:r>
            <w:r>
              <w:rPr>
                <w:rFonts w:hint="eastAsia"/>
                <w:u w:val="single"/>
              </w:rPr>
              <w:t>200</w:t>
            </w:r>
            <w:r>
              <w:rPr>
                <w:u w:val="single"/>
              </w:rPr>
              <w:t>万元，其中环保投资估算为</w:t>
            </w:r>
            <w:r>
              <w:rPr>
                <w:rFonts w:hint="eastAsia"/>
                <w:u w:val="single"/>
                <w:lang w:val="en-US" w:eastAsia="zh-CN"/>
              </w:rPr>
              <w:t>50</w:t>
            </w:r>
            <w:r>
              <w:rPr>
                <w:u w:val="single"/>
              </w:rPr>
              <w:t>万元，约占总投资的</w:t>
            </w:r>
            <w:r>
              <w:rPr>
                <w:rFonts w:hint="eastAsia"/>
                <w:u w:val="single"/>
                <w:lang w:val="en-US" w:eastAsia="zh-CN"/>
              </w:rPr>
              <w:t>25</w:t>
            </w:r>
            <w:r>
              <w:rPr>
                <w:u w:val="single"/>
              </w:rPr>
              <w:t>%。环保治理措施及投资情况估算见下表。</w:t>
            </w:r>
          </w:p>
          <w:p w14:paraId="64CE002C">
            <w:pPr>
              <w:pStyle w:val="15"/>
              <w:adjustRightInd w:val="0"/>
              <w:snapToGrid w:val="0"/>
              <w:spacing w:line="240" w:lineRule="auto"/>
              <w:ind w:firstLine="422" w:firstLineChars="200"/>
              <w:jc w:val="center"/>
              <w:rPr>
                <w:rFonts w:ascii="Times New Roman" w:hAnsi="Times New Roman"/>
                <w:b/>
                <w:bCs/>
                <w:sz w:val="21"/>
                <w:szCs w:val="21"/>
              </w:rPr>
            </w:pPr>
            <w:r>
              <w:rPr>
                <w:rFonts w:ascii="Times New Roman" w:hAnsi="Times New Roman"/>
                <w:b/>
                <w:bCs/>
                <w:sz w:val="21"/>
                <w:szCs w:val="21"/>
              </w:rPr>
              <w:t>表4-</w:t>
            </w:r>
            <w:r>
              <w:rPr>
                <w:rFonts w:hint="eastAsia" w:ascii="Times New Roman" w:hAnsi="Times New Roman"/>
                <w:b/>
                <w:bCs/>
                <w:sz w:val="21"/>
                <w:szCs w:val="21"/>
                <w:lang w:val="en-US" w:eastAsia="zh-CN"/>
              </w:rPr>
              <w:t>18</w:t>
            </w:r>
            <w:r>
              <w:rPr>
                <w:rFonts w:ascii="Times New Roman" w:hAnsi="Times New Roman"/>
                <w:b/>
                <w:bCs/>
                <w:sz w:val="21"/>
                <w:szCs w:val="21"/>
              </w:rPr>
              <w:t xml:space="preserve">  环保投资估算表     单位：</w:t>
            </w:r>
            <w:r>
              <w:rPr>
                <w:rFonts w:ascii="Times New Roman" w:hAnsi="Times New Roman"/>
                <w:b/>
                <w:sz w:val="21"/>
                <w:szCs w:val="21"/>
              </w:rPr>
              <w:t>万元</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38"/>
              <w:gridCol w:w="1027"/>
              <w:gridCol w:w="1986"/>
              <w:gridCol w:w="2668"/>
              <w:gridCol w:w="556"/>
              <w:gridCol w:w="813"/>
              <w:gridCol w:w="813"/>
            </w:tblGrid>
            <w:tr w14:paraId="0952F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5" w:type="pct"/>
                  <w:vAlign w:val="center"/>
                </w:tcPr>
                <w:p w14:paraId="65DA4349">
                  <w:pPr>
                    <w:wordWrap w:val="0"/>
                    <w:topLinePunct/>
                    <w:adjustRightInd w:val="0"/>
                    <w:snapToGrid w:val="0"/>
                    <w:spacing w:line="240" w:lineRule="auto"/>
                    <w:jc w:val="center"/>
                    <w:rPr>
                      <w:b/>
                      <w:bCs/>
                      <w:sz w:val="21"/>
                      <w:szCs w:val="21"/>
                      <w:u w:val="single"/>
                    </w:rPr>
                  </w:pPr>
                  <w:r>
                    <w:rPr>
                      <w:b/>
                      <w:bCs/>
                      <w:sz w:val="21"/>
                      <w:szCs w:val="21"/>
                      <w:u w:val="single"/>
                    </w:rPr>
                    <w:t>类别</w:t>
                  </w:r>
                </w:p>
              </w:tc>
              <w:tc>
                <w:tcPr>
                  <w:tcW w:w="604" w:type="pct"/>
                  <w:vAlign w:val="center"/>
                </w:tcPr>
                <w:p w14:paraId="7DCDB257">
                  <w:pPr>
                    <w:wordWrap w:val="0"/>
                    <w:topLinePunct/>
                    <w:adjustRightInd w:val="0"/>
                    <w:snapToGrid w:val="0"/>
                    <w:spacing w:line="240" w:lineRule="auto"/>
                    <w:jc w:val="center"/>
                    <w:rPr>
                      <w:b/>
                      <w:bCs/>
                      <w:sz w:val="21"/>
                      <w:szCs w:val="21"/>
                      <w:u w:val="single"/>
                    </w:rPr>
                  </w:pPr>
                  <w:r>
                    <w:rPr>
                      <w:b/>
                      <w:bCs/>
                      <w:sz w:val="21"/>
                      <w:szCs w:val="21"/>
                      <w:u w:val="single"/>
                    </w:rPr>
                    <w:t>产污环节</w:t>
                  </w:r>
                </w:p>
              </w:tc>
              <w:tc>
                <w:tcPr>
                  <w:tcW w:w="1168" w:type="pct"/>
                  <w:vAlign w:val="center"/>
                </w:tcPr>
                <w:p w14:paraId="18256E8C">
                  <w:pPr>
                    <w:wordWrap w:val="0"/>
                    <w:topLinePunct/>
                    <w:adjustRightInd w:val="0"/>
                    <w:snapToGrid w:val="0"/>
                    <w:spacing w:line="240" w:lineRule="auto"/>
                    <w:jc w:val="center"/>
                    <w:rPr>
                      <w:b/>
                      <w:bCs/>
                      <w:sz w:val="21"/>
                      <w:szCs w:val="21"/>
                      <w:u w:val="single"/>
                    </w:rPr>
                  </w:pPr>
                  <w:r>
                    <w:rPr>
                      <w:b/>
                      <w:bCs/>
                      <w:sz w:val="21"/>
                      <w:szCs w:val="21"/>
                      <w:u w:val="single"/>
                    </w:rPr>
                    <w:t>主要污染物</w:t>
                  </w:r>
                </w:p>
              </w:tc>
              <w:tc>
                <w:tcPr>
                  <w:tcW w:w="1569" w:type="pct"/>
                  <w:vAlign w:val="center"/>
                </w:tcPr>
                <w:p w14:paraId="51CFC82B">
                  <w:pPr>
                    <w:wordWrap w:val="0"/>
                    <w:topLinePunct/>
                    <w:adjustRightInd w:val="0"/>
                    <w:snapToGrid w:val="0"/>
                    <w:spacing w:line="240" w:lineRule="auto"/>
                    <w:jc w:val="center"/>
                    <w:rPr>
                      <w:b/>
                      <w:bCs/>
                      <w:sz w:val="21"/>
                      <w:szCs w:val="21"/>
                      <w:u w:val="single"/>
                    </w:rPr>
                  </w:pPr>
                  <w:r>
                    <w:rPr>
                      <w:b/>
                      <w:bCs/>
                      <w:sz w:val="21"/>
                      <w:szCs w:val="21"/>
                      <w:u w:val="single"/>
                    </w:rPr>
                    <w:t>治理设施</w:t>
                  </w:r>
                </w:p>
              </w:tc>
              <w:tc>
                <w:tcPr>
                  <w:tcW w:w="327" w:type="pct"/>
                  <w:vAlign w:val="center"/>
                </w:tcPr>
                <w:p w14:paraId="79EB9410">
                  <w:pPr>
                    <w:wordWrap w:val="0"/>
                    <w:topLinePunct/>
                    <w:adjustRightInd w:val="0"/>
                    <w:snapToGrid w:val="0"/>
                    <w:spacing w:line="240" w:lineRule="auto"/>
                    <w:jc w:val="center"/>
                    <w:rPr>
                      <w:b/>
                      <w:bCs/>
                      <w:sz w:val="21"/>
                      <w:szCs w:val="21"/>
                      <w:u w:val="single"/>
                    </w:rPr>
                  </w:pPr>
                  <w:r>
                    <w:rPr>
                      <w:b/>
                      <w:bCs/>
                      <w:sz w:val="21"/>
                      <w:szCs w:val="21"/>
                      <w:u w:val="single"/>
                    </w:rPr>
                    <w:t>数量</w:t>
                  </w:r>
                </w:p>
              </w:tc>
              <w:tc>
                <w:tcPr>
                  <w:tcW w:w="478" w:type="pct"/>
                  <w:vAlign w:val="center"/>
                </w:tcPr>
                <w:p w14:paraId="6141F205">
                  <w:pPr>
                    <w:wordWrap w:val="0"/>
                    <w:topLinePunct/>
                    <w:adjustRightInd w:val="0"/>
                    <w:snapToGrid w:val="0"/>
                    <w:spacing w:line="240" w:lineRule="auto"/>
                    <w:jc w:val="center"/>
                    <w:rPr>
                      <w:b/>
                      <w:bCs/>
                      <w:sz w:val="21"/>
                      <w:szCs w:val="21"/>
                      <w:u w:val="single"/>
                    </w:rPr>
                  </w:pPr>
                  <w:r>
                    <w:rPr>
                      <w:b/>
                      <w:bCs/>
                      <w:sz w:val="21"/>
                      <w:szCs w:val="21"/>
                      <w:u w:val="single"/>
                    </w:rPr>
                    <w:t>投资额</w:t>
                  </w:r>
                </w:p>
              </w:tc>
              <w:tc>
                <w:tcPr>
                  <w:tcW w:w="478" w:type="pct"/>
                  <w:vAlign w:val="center"/>
                </w:tcPr>
                <w:p w14:paraId="3B4DD4FE">
                  <w:pPr>
                    <w:wordWrap w:val="0"/>
                    <w:topLinePunct/>
                    <w:adjustRightInd w:val="0"/>
                    <w:snapToGrid w:val="0"/>
                    <w:spacing w:line="240" w:lineRule="auto"/>
                    <w:jc w:val="center"/>
                    <w:rPr>
                      <w:b/>
                      <w:bCs/>
                      <w:sz w:val="21"/>
                      <w:szCs w:val="21"/>
                      <w:u w:val="single"/>
                    </w:rPr>
                  </w:pPr>
                  <w:r>
                    <w:rPr>
                      <w:rFonts w:hint="eastAsia"/>
                      <w:b/>
                      <w:bCs/>
                      <w:sz w:val="21"/>
                      <w:szCs w:val="21"/>
                      <w:u w:val="single"/>
                    </w:rPr>
                    <w:t>备注</w:t>
                  </w:r>
                </w:p>
              </w:tc>
            </w:tr>
            <w:tr w14:paraId="2CA5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5" w:type="pct"/>
                  <w:vMerge w:val="restart"/>
                  <w:vAlign w:val="center"/>
                </w:tcPr>
                <w:p w14:paraId="42C1218E">
                  <w:pPr>
                    <w:wordWrap w:val="0"/>
                    <w:topLinePunct/>
                    <w:adjustRightInd w:val="0"/>
                    <w:snapToGrid w:val="0"/>
                    <w:spacing w:line="240" w:lineRule="auto"/>
                    <w:jc w:val="center"/>
                    <w:rPr>
                      <w:sz w:val="21"/>
                      <w:szCs w:val="21"/>
                      <w:u w:val="single"/>
                    </w:rPr>
                  </w:pPr>
                  <w:r>
                    <w:rPr>
                      <w:sz w:val="21"/>
                      <w:szCs w:val="21"/>
                      <w:u w:val="single"/>
                    </w:rPr>
                    <w:t>废水</w:t>
                  </w:r>
                </w:p>
              </w:tc>
              <w:tc>
                <w:tcPr>
                  <w:tcW w:w="604" w:type="pct"/>
                  <w:vAlign w:val="center"/>
                </w:tcPr>
                <w:p w14:paraId="6C9AB785">
                  <w:pPr>
                    <w:wordWrap w:val="0"/>
                    <w:topLinePunct/>
                    <w:adjustRightInd w:val="0"/>
                    <w:snapToGrid w:val="0"/>
                    <w:spacing w:line="240" w:lineRule="auto"/>
                    <w:jc w:val="center"/>
                    <w:rPr>
                      <w:sz w:val="21"/>
                      <w:szCs w:val="21"/>
                      <w:u w:val="single"/>
                    </w:rPr>
                  </w:pPr>
                  <w:r>
                    <w:rPr>
                      <w:sz w:val="21"/>
                      <w:szCs w:val="21"/>
                      <w:u w:val="single"/>
                    </w:rPr>
                    <w:t>生活污水</w:t>
                  </w:r>
                </w:p>
              </w:tc>
              <w:tc>
                <w:tcPr>
                  <w:tcW w:w="1168" w:type="pct"/>
                  <w:vAlign w:val="center"/>
                </w:tcPr>
                <w:p w14:paraId="4E01BF78">
                  <w:pPr>
                    <w:wordWrap w:val="0"/>
                    <w:topLinePunct/>
                    <w:adjustRightInd w:val="0"/>
                    <w:snapToGrid w:val="0"/>
                    <w:spacing w:line="240" w:lineRule="auto"/>
                    <w:jc w:val="center"/>
                    <w:rPr>
                      <w:sz w:val="21"/>
                      <w:szCs w:val="21"/>
                      <w:u w:val="single"/>
                    </w:rPr>
                  </w:pPr>
                  <w:r>
                    <w:rPr>
                      <w:sz w:val="21"/>
                      <w:szCs w:val="21"/>
                      <w:u w:val="single"/>
                    </w:rPr>
                    <w:t>COD、BOD</w:t>
                  </w:r>
                  <w:r>
                    <w:rPr>
                      <w:sz w:val="21"/>
                      <w:szCs w:val="21"/>
                      <w:u w:val="single"/>
                      <w:vertAlign w:val="subscript"/>
                    </w:rPr>
                    <w:t>5</w:t>
                  </w:r>
                  <w:r>
                    <w:rPr>
                      <w:sz w:val="21"/>
                      <w:szCs w:val="21"/>
                      <w:u w:val="single"/>
                    </w:rPr>
                    <w:t>、</w:t>
                  </w:r>
                </w:p>
                <w:p w14:paraId="003F1247">
                  <w:pPr>
                    <w:wordWrap w:val="0"/>
                    <w:topLinePunct/>
                    <w:adjustRightInd w:val="0"/>
                    <w:snapToGrid w:val="0"/>
                    <w:spacing w:line="240" w:lineRule="auto"/>
                    <w:jc w:val="center"/>
                    <w:rPr>
                      <w:sz w:val="21"/>
                      <w:szCs w:val="21"/>
                      <w:u w:val="single"/>
                    </w:rPr>
                  </w:pPr>
                  <w:r>
                    <w:rPr>
                      <w:sz w:val="21"/>
                      <w:szCs w:val="21"/>
                      <w:u w:val="single"/>
                    </w:rPr>
                    <w:t>SS、NH</w:t>
                  </w:r>
                  <w:r>
                    <w:rPr>
                      <w:sz w:val="21"/>
                      <w:szCs w:val="21"/>
                      <w:u w:val="single"/>
                      <w:vertAlign w:val="subscript"/>
                    </w:rPr>
                    <w:t>3</w:t>
                  </w:r>
                  <w:r>
                    <w:rPr>
                      <w:sz w:val="21"/>
                      <w:szCs w:val="21"/>
                      <w:u w:val="single"/>
                    </w:rPr>
                    <w:t>-N</w:t>
                  </w:r>
                  <w:r>
                    <w:rPr>
                      <w:rFonts w:hint="eastAsia"/>
                      <w:sz w:val="21"/>
                      <w:szCs w:val="21"/>
                      <w:u w:val="single"/>
                    </w:rPr>
                    <w:t>、动植物油</w:t>
                  </w:r>
                </w:p>
              </w:tc>
              <w:tc>
                <w:tcPr>
                  <w:tcW w:w="1569" w:type="pct"/>
                  <w:vAlign w:val="center"/>
                </w:tcPr>
                <w:p w14:paraId="570E14B0">
                  <w:pPr>
                    <w:wordWrap w:val="0"/>
                    <w:topLinePunct/>
                    <w:adjustRightInd w:val="0"/>
                    <w:snapToGrid w:val="0"/>
                    <w:spacing w:line="240" w:lineRule="auto"/>
                    <w:jc w:val="center"/>
                    <w:rPr>
                      <w:sz w:val="21"/>
                      <w:szCs w:val="21"/>
                      <w:u w:val="single"/>
                    </w:rPr>
                  </w:pPr>
                  <w:r>
                    <w:rPr>
                      <w:rFonts w:hint="eastAsia"/>
                      <w:sz w:val="21"/>
                      <w:szCs w:val="21"/>
                      <w:u w:val="single"/>
                    </w:rPr>
                    <w:t>隔油</w:t>
                  </w:r>
                  <w:r>
                    <w:rPr>
                      <w:sz w:val="21"/>
                      <w:szCs w:val="21"/>
                      <w:u w:val="single"/>
                    </w:rPr>
                    <w:t>化粪池</w:t>
                  </w:r>
                </w:p>
              </w:tc>
              <w:tc>
                <w:tcPr>
                  <w:tcW w:w="327" w:type="pct"/>
                  <w:vAlign w:val="center"/>
                </w:tcPr>
                <w:p w14:paraId="6B3BD97E">
                  <w:pPr>
                    <w:wordWrap w:val="0"/>
                    <w:topLinePunct/>
                    <w:adjustRightInd w:val="0"/>
                    <w:snapToGrid w:val="0"/>
                    <w:spacing w:line="240" w:lineRule="auto"/>
                    <w:jc w:val="center"/>
                    <w:rPr>
                      <w:sz w:val="21"/>
                      <w:szCs w:val="21"/>
                      <w:u w:val="single"/>
                    </w:rPr>
                  </w:pPr>
                  <w:r>
                    <w:rPr>
                      <w:sz w:val="21"/>
                      <w:szCs w:val="21"/>
                      <w:u w:val="single"/>
                    </w:rPr>
                    <w:t>1座</w:t>
                  </w:r>
                </w:p>
              </w:tc>
              <w:tc>
                <w:tcPr>
                  <w:tcW w:w="478" w:type="pct"/>
                  <w:vAlign w:val="center"/>
                </w:tcPr>
                <w:p w14:paraId="4B6509A9">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lang w:val="en-US" w:eastAsia="zh-CN"/>
                    </w:rPr>
                    <w:t>1</w:t>
                  </w:r>
                </w:p>
              </w:tc>
              <w:tc>
                <w:tcPr>
                  <w:tcW w:w="478" w:type="pct"/>
                  <w:vAlign w:val="center"/>
                </w:tcPr>
                <w:p w14:paraId="01C8675C">
                  <w:pPr>
                    <w:wordWrap w:val="0"/>
                    <w:topLinePunct/>
                    <w:adjustRightInd w:val="0"/>
                    <w:snapToGrid w:val="0"/>
                    <w:spacing w:line="240" w:lineRule="auto"/>
                    <w:jc w:val="center"/>
                    <w:rPr>
                      <w:sz w:val="21"/>
                      <w:szCs w:val="21"/>
                      <w:u w:val="single"/>
                    </w:rPr>
                  </w:pPr>
                  <w:r>
                    <w:rPr>
                      <w:rFonts w:hint="eastAsia"/>
                      <w:sz w:val="21"/>
                      <w:szCs w:val="21"/>
                      <w:u w:val="single"/>
                    </w:rPr>
                    <w:t>新增</w:t>
                  </w:r>
                </w:p>
              </w:tc>
            </w:tr>
            <w:tr w14:paraId="0E46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5" w:type="pct"/>
                  <w:vMerge w:val="continue"/>
                  <w:vAlign w:val="center"/>
                </w:tcPr>
                <w:p w14:paraId="57BCC5CD">
                  <w:pPr>
                    <w:wordWrap w:val="0"/>
                    <w:topLinePunct/>
                    <w:adjustRightInd w:val="0"/>
                    <w:snapToGrid w:val="0"/>
                    <w:spacing w:line="240" w:lineRule="auto"/>
                    <w:jc w:val="center"/>
                    <w:rPr>
                      <w:sz w:val="21"/>
                      <w:szCs w:val="21"/>
                      <w:u w:val="single"/>
                    </w:rPr>
                  </w:pPr>
                </w:p>
              </w:tc>
              <w:tc>
                <w:tcPr>
                  <w:tcW w:w="604" w:type="pct"/>
                  <w:vAlign w:val="center"/>
                </w:tcPr>
                <w:p w14:paraId="1F94A42C">
                  <w:pPr>
                    <w:wordWrap w:val="0"/>
                    <w:topLinePunct/>
                    <w:adjustRightInd w:val="0"/>
                    <w:snapToGrid w:val="0"/>
                    <w:spacing w:line="240" w:lineRule="auto"/>
                    <w:jc w:val="center"/>
                    <w:rPr>
                      <w:sz w:val="21"/>
                      <w:szCs w:val="21"/>
                      <w:u w:val="single"/>
                    </w:rPr>
                  </w:pPr>
                  <w:r>
                    <w:rPr>
                      <w:rFonts w:hint="eastAsia"/>
                      <w:sz w:val="21"/>
                      <w:szCs w:val="21"/>
                      <w:u w:val="single"/>
                    </w:rPr>
                    <w:t>初期雨水</w:t>
                  </w:r>
                </w:p>
              </w:tc>
              <w:tc>
                <w:tcPr>
                  <w:tcW w:w="1168" w:type="pct"/>
                  <w:vAlign w:val="center"/>
                </w:tcPr>
                <w:p w14:paraId="46941497">
                  <w:pPr>
                    <w:wordWrap w:val="0"/>
                    <w:topLinePunct/>
                    <w:adjustRightInd w:val="0"/>
                    <w:snapToGrid w:val="0"/>
                    <w:spacing w:line="240" w:lineRule="auto"/>
                    <w:jc w:val="center"/>
                    <w:rPr>
                      <w:sz w:val="21"/>
                      <w:szCs w:val="21"/>
                      <w:u w:val="single"/>
                    </w:rPr>
                  </w:pPr>
                  <w:r>
                    <w:rPr>
                      <w:rFonts w:hint="eastAsia"/>
                      <w:sz w:val="21"/>
                      <w:szCs w:val="21"/>
                      <w:u w:val="single"/>
                    </w:rPr>
                    <w:t>SS</w:t>
                  </w:r>
                </w:p>
              </w:tc>
              <w:tc>
                <w:tcPr>
                  <w:tcW w:w="1569" w:type="pct"/>
                  <w:vAlign w:val="center"/>
                </w:tcPr>
                <w:p w14:paraId="48194856">
                  <w:pPr>
                    <w:wordWrap w:val="0"/>
                    <w:topLinePunct/>
                    <w:adjustRightInd w:val="0"/>
                    <w:snapToGrid w:val="0"/>
                    <w:spacing w:line="240" w:lineRule="auto"/>
                    <w:jc w:val="center"/>
                    <w:rPr>
                      <w:sz w:val="21"/>
                      <w:szCs w:val="21"/>
                      <w:u w:val="single"/>
                    </w:rPr>
                  </w:pPr>
                  <w:r>
                    <w:rPr>
                      <w:rFonts w:hint="eastAsia"/>
                      <w:sz w:val="21"/>
                      <w:szCs w:val="21"/>
                      <w:u w:val="single"/>
                    </w:rPr>
                    <w:t>初期雨水收集池</w:t>
                  </w:r>
                </w:p>
              </w:tc>
              <w:tc>
                <w:tcPr>
                  <w:tcW w:w="327" w:type="pct"/>
                  <w:vAlign w:val="center"/>
                </w:tcPr>
                <w:p w14:paraId="256B55A2">
                  <w:pPr>
                    <w:wordWrap w:val="0"/>
                    <w:topLinePunct/>
                    <w:adjustRightInd w:val="0"/>
                    <w:snapToGrid w:val="0"/>
                    <w:spacing w:line="240" w:lineRule="auto"/>
                    <w:jc w:val="center"/>
                    <w:rPr>
                      <w:sz w:val="21"/>
                      <w:szCs w:val="21"/>
                      <w:u w:val="single"/>
                    </w:rPr>
                  </w:pPr>
                  <w:r>
                    <w:rPr>
                      <w:rFonts w:hint="eastAsia"/>
                      <w:sz w:val="21"/>
                      <w:szCs w:val="21"/>
                      <w:u w:val="single"/>
                    </w:rPr>
                    <w:t>1座</w:t>
                  </w:r>
                </w:p>
              </w:tc>
              <w:tc>
                <w:tcPr>
                  <w:tcW w:w="478" w:type="pct"/>
                  <w:vAlign w:val="center"/>
                </w:tcPr>
                <w:p w14:paraId="4042F134">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lang w:val="en-US" w:eastAsia="zh-CN"/>
                    </w:rPr>
                    <w:t>5</w:t>
                  </w:r>
                </w:p>
              </w:tc>
              <w:tc>
                <w:tcPr>
                  <w:tcW w:w="478" w:type="pct"/>
                  <w:vAlign w:val="center"/>
                </w:tcPr>
                <w:p w14:paraId="6902F686">
                  <w:pPr>
                    <w:wordWrap w:val="0"/>
                    <w:topLinePunct/>
                    <w:adjustRightInd w:val="0"/>
                    <w:snapToGrid w:val="0"/>
                    <w:spacing w:line="240" w:lineRule="auto"/>
                    <w:jc w:val="center"/>
                    <w:rPr>
                      <w:sz w:val="21"/>
                      <w:szCs w:val="21"/>
                      <w:u w:val="single"/>
                    </w:rPr>
                  </w:pPr>
                  <w:r>
                    <w:rPr>
                      <w:rFonts w:hint="eastAsia"/>
                      <w:sz w:val="21"/>
                      <w:szCs w:val="21"/>
                      <w:u w:val="single"/>
                    </w:rPr>
                    <w:t>新增</w:t>
                  </w:r>
                </w:p>
              </w:tc>
            </w:tr>
            <w:tr w14:paraId="35F9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5" w:type="pct"/>
                  <w:vMerge w:val="continue"/>
                  <w:vAlign w:val="center"/>
                </w:tcPr>
                <w:p w14:paraId="47D9EC80">
                  <w:pPr>
                    <w:wordWrap w:val="0"/>
                    <w:topLinePunct/>
                    <w:adjustRightInd w:val="0"/>
                    <w:snapToGrid w:val="0"/>
                    <w:spacing w:line="240" w:lineRule="auto"/>
                    <w:jc w:val="center"/>
                    <w:rPr>
                      <w:sz w:val="21"/>
                      <w:szCs w:val="21"/>
                      <w:u w:val="single"/>
                    </w:rPr>
                  </w:pPr>
                </w:p>
              </w:tc>
              <w:tc>
                <w:tcPr>
                  <w:tcW w:w="604" w:type="pct"/>
                  <w:vAlign w:val="center"/>
                </w:tcPr>
                <w:p w14:paraId="301B2FF0">
                  <w:pPr>
                    <w:wordWrap w:val="0"/>
                    <w:topLinePunct/>
                    <w:adjustRightInd w:val="0"/>
                    <w:snapToGrid w:val="0"/>
                    <w:spacing w:line="240" w:lineRule="auto"/>
                    <w:jc w:val="center"/>
                    <w:rPr>
                      <w:sz w:val="21"/>
                      <w:szCs w:val="21"/>
                      <w:u w:val="single"/>
                    </w:rPr>
                  </w:pPr>
                  <w:r>
                    <w:rPr>
                      <w:rFonts w:hint="eastAsia"/>
                      <w:sz w:val="21"/>
                      <w:szCs w:val="21"/>
                      <w:u w:val="single"/>
                    </w:rPr>
                    <w:t>生产废水</w:t>
                  </w:r>
                </w:p>
              </w:tc>
              <w:tc>
                <w:tcPr>
                  <w:tcW w:w="1168" w:type="pct"/>
                  <w:vAlign w:val="center"/>
                </w:tcPr>
                <w:p w14:paraId="51A9D6B0">
                  <w:pPr>
                    <w:wordWrap w:val="0"/>
                    <w:topLinePunct/>
                    <w:adjustRightInd w:val="0"/>
                    <w:snapToGrid w:val="0"/>
                    <w:spacing w:line="240" w:lineRule="auto"/>
                    <w:jc w:val="center"/>
                    <w:rPr>
                      <w:sz w:val="21"/>
                      <w:szCs w:val="21"/>
                      <w:u w:val="single"/>
                    </w:rPr>
                  </w:pPr>
                  <w:r>
                    <w:rPr>
                      <w:rFonts w:hint="eastAsia"/>
                      <w:sz w:val="21"/>
                      <w:szCs w:val="21"/>
                      <w:u w:val="single"/>
                    </w:rPr>
                    <w:t>SS</w:t>
                  </w:r>
                </w:p>
              </w:tc>
              <w:tc>
                <w:tcPr>
                  <w:tcW w:w="1569" w:type="pct"/>
                  <w:vAlign w:val="center"/>
                </w:tcPr>
                <w:p w14:paraId="229B3CD9">
                  <w:pPr>
                    <w:wordWrap w:val="0"/>
                    <w:topLinePunct/>
                    <w:adjustRightInd w:val="0"/>
                    <w:snapToGrid w:val="0"/>
                    <w:spacing w:line="240" w:lineRule="auto"/>
                    <w:jc w:val="center"/>
                    <w:rPr>
                      <w:sz w:val="21"/>
                      <w:szCs w:val="21"/>
                      <w:u w:val="single"/>
                    </w:rPr>
                  </w:pPr>
                  <w:r>
                    <w:rPr>
                      <w:rFonts w:hint="eastAsia"/>
                      <w:sz w:val="21"/>
                      <w:szCs w:val="21"/>
                      <w:u w:val="single"/>
                      <w:lang w:eastAsia="zh-CN"/>
                    </w:rPr>
                    <w:t>三级</w:t>
                  </w:r>
                  <w:r>
                    <w:rPr>
                      <w:sz w:val="21"/>
                      <w:szCs w:val="21"/>
                      <w:u w:val="single"/>
                    </w:rPr>
                    <w:t>沉淀池+</w:t>
                  </w:r>
                  <w:r>
                    <w:rPr>
                      <w:rFonts w:hint="eastAsia"/>
                      <w:sz w:val="21"/>
                      <w:szCs w:val="21"/>
                      <w:u w:val="single"/>
                    </w:rPr>
                    <w:t>板框压滤机</w:t>
                  </w:r>
                </w:p>
              </w:tc>
              <w:tc>
                <w:tcPr>
                  <w:tcW w:w="327" w:type="pct"/>
                  <w:vAlign w:val="center"/>
                </w:tcPr>
                <w:p w14:paraId="4233273C">
                  <w:pPr>
                    <w:wordWrap w:val="0"/>
                    <w:topLinePunct/>
                    <w:adjustRightInd w:val="0"/>
                    <w:snapToGrid w:val="0"/>
                    <w:spacing w:line="240" w:lineRule="auto"/>
                    <w:jc w:val="center"/>
                    <w:rPr>
                      <w:sz w:val="21"/>
                      <w:szCs w:val="21"/>
                      <w:u w:val="single"/>
                    </w:rPr>
                  </w:pPr>
                  <w:r>
                    <w:rPr>
                      <w:rFonts w:hint="eastAsia"/>
                      <w:sz w:val="21"/>
                      <w:szCs w:val="21"/>
                      <w:u w:val="single"/>
                    </w:rPr>
                    <w:t>1套</w:t>
                  </w:r>
                </w:p>
              </w:tc>
              <w:tc>
                <w:tcPr>
                  <w:tcW w:w="478" w:type="pct"/>
                  <w:vAlign w:val="center"/>
                </w:tcPr>
                <w:p w14:paraId="62EA7208">
                  <w:pPr>
                    <w:wordWrap w:val="0"/>
                    <w:topLinePunct/>
                    <w:adjustRightInd w:val="0"/>
                    <w:snapToGrid w:val="0"/>
                    <w:spacing w:line="240" w:lineRule="auto"/>
                    <w:jc w:val="center"/>
                    <w:rPr>
                      <w:sz w:val="21"/>
                      <w:szCs w:val="21"/>
                      <w:u w:val="single"/>
                    </w:rPr>
                  </w:pPr>
                  <w:r>
                    <w:rPr>
                      <w:rFonts w:hint="eastAsia"/>
                      <w:sz w:val="21"/>
                      <w:szCs w:val="21"/>
                      <w:u w:val="single"/>
                      <w:lang w:val="en-US" w:eastAsia="zh-CN"/>
                    </w:rPr>
                    <w:t>1</w:t>
                  </w:r>
                  <w:r>
                    <w:rPr>
                      <w:rFonts w:hint="eastAsia"/>
                      <w:sz w:val="21"/>
                      <w:szCs w:val="21"/>
                      <w:u w:val="single"/>
                    </w:rPr>
                    <w:t>0</w:t>
                  </w:r>
                </w:p>
              </w:tc>
              <w:tc>
                <w:tcPr>
                  <w:tcW w:w="478" w:type="pct"/>
                  <w:vAlign w:val="center"/>
                </w:tcPr>
                <w:p w14:paraId="124A1509">
                  <w:pPr>
                    <w:wordWrap w:val="0"/>
                    <w:topLinePunct/>
                    <w:adjustRightInd w:val="0"/>
                    <w:snapToGrid w:val="0"/>
                    <w:spacing w:line="240" w:lineRule="auto"/>
                    <w:jc w:val="center"/>
                    <w:rPr>
                      <w:sz w:val="21"/>
                      <w:szCs w:val="21"/>
                      <w:u w:val="single"/>
                    </w:rPr>
                  </w:pPr>
                  <w:r>
                    <w:rPr>
                      <w:rFonts w:hint="eastAsia"/>
                      <w:sz w:val="21"/>
                      <w:szCs w:val="21"/>
                      <w:u w:val="single"/>
                    </w:rPr>
                    <w:t>新增</w:t>
                  </w:r>
                </w:p>
              </w:tc>
            </w:tr>
            <w:tr w14:paraId="2C96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5" w:type="pct"/>
                  <w:vMerge w:val="restart"/>
                  <w:vAlign w:val="center"/>
                </w:tcPr>
                <w:p w14:paraId="35289CDE">
                  <w:pPr>
                    <w:wordWrap w:val="0"/>
                    <w:topLinePunct/>
                    <w:adjustRightInd w:val="0"/>
                    <w:snapToGrid w:val="0"/>
                    <w:spacing w:line="240" w:lineRule="auto"/>
                    <w:jc w:val="center"/>
                    <w:rPr>
                      <w:sz w:val="21"/>
                      <w:szCs w:val="21"/>
                      <w:u w:val="single"/>
                    </w:rPr>
                  </w:pPr>
                  <w:r>
                    <w:rPr>
                      <w:sz w:val="21"/>
                      <w:szCs w:val="21"/>
                      <w:u w:val="single"/>
                    </w:rPr>
                    <w:t>废气</w:t>
                  </w:r>
                </w:p>
              </w:tc>
              <w:tc>
                <w:tcPr>
                  <w:tcW w:w="604" w:type="pct"/>
                  <w:vAlign w:val="center"/>
                </w:tcPr>
                <w:p w14:paraId="3E783A81">
                  <w:pPr>
                    <w:wordWrap w:val="0"/>
                    <w:topLinePunct/>
                    <w:adjustRightInd w:val="0"/>
                    <w:snapToGrid w:val="0"/>
                    <w:spacing w:line="240" w:lineRule="auto"/>
                    <w:jc w:val="center"/>
                    <w:rPr>
                      <w:sz w:val="21"/>
                      <w:szCs w:val="21"/>
                      <w:u w:val="single"/>
                    </w:rPr>
                  </w:pPr>
                  <w:r>
                    <w:rPr>
                      <w:sz w:val="21"/>
                      <w:szCs w:val="21"/>
                      <w:u w:val="single"/>
                    </w:rPr>
                    <w:t>食堂油烟</w:t>
                  </w:r>
                </w:p>
              </w:tc>
              <w:tc>
                <w:tcPr>
                  <w:tcW w:w="1168" w:type="pct"/>
                  <w:vAlign w:val="center"/>
                </w:tcPr>
                <w:p w14:paraId="12E9EA6E">
                  <w:pPr>
                    <w:wordWrap w:val="0"/>
                    <w:topLinePunct/>
                    <w:adjustRightInd w:val="0"/>
                    <w:snapToGrid w:val="0"/>
                    <w:spacing w:line="240" w:lineRule="auto"/>
                    <w:jc w:val="center"/>
                    <w:rPr>
                      <w:sz w:val="21"/>
                      <w:szCs w:val="21"/>
                      <w:u w:val="single"/>
                    </w:rPr>
                  </w:pPr>
                  <w:r>
                    <w:rPr>
                      <w:sz w:val="21"/>
                      <w:szCs w:val="21"/>
                      <w:u w:val="single"/>
                    </w:rPr>
                    <w:t>油烟</w:t>
                  </w:r>
                </w:p>
              </w:tc>
              <w:tc>
                <w:tcPr>
                  <w:tcW w:w="1569" w:type="pct"/>
                  <w:vAlign w:val="center"/>
                </w:tcPr>
                <w:p w14:paraId="70A09102">
                  <w:pPr>
                    <w:wordWrap w:val="0"/>
                    <w:topLinePunct/>
                    <w:adjustRightInd w:val="0"/>
                    <w:snapToGrid w:val="0"/>
                    <w:spacing w:line="240" w:lineRule="auto"/>
                    <w:jc w:val="center"/>
                    <w:rPr>
                      <w:sz w:val="21"/>
                      <w:szCs w:val="21"/>
                      <w:u w:val="single"/>
                    </w:rPr>
                  </w:pPr>
                  <w:r>
                    <w:rPr>
                      <w:sz w:val="21"/>
                      <w:szCs w:val="21"/>
                      <w:u w:val="single"/>
                    </w:rPr>
                    <w:t>油烟净化器</w:t>
                  </w:r>
                </w:p>
              </w:tc>
              <w:tc>
                <w:tcPr>
                  <w:tcW w:w="327" w:type="pct"/>
                  <w:vAlign w:val="center"/>
                </w:tcPr>
                <w:p w14:paraId="2F7E1C10">
                  <w:pPr>
                    <w:wordWrap w:val="0"/>
                    <w:topLinePunct/>
                    <w:adjustRightInd w:val="0"/>
                    <w:snapToGrid w:val="0"/>
                    <w:spacing w:line="240" w:lineRule="auto"/>
                    <w:jc w:val="center"/>
                    <w:rPr>
                      <w:sz w:val="21"/>
                      <w:szCs w:val="21"/>
                      <w:u w:val="single"/>
                    </w:rPr>
                  </w:pPr>
                  <w:r>
                    <w:rPr>
                      <w:sz w:val="21"/>
                      <w:szCs w:val="21"/>
                      <w:u w:val="single"/>
                    </w:rPr>
                    <w:t>1套</w:t>
                  </w:r>
                </w:p>
              </w:tc>
              <w:tc>
                <w:tcPr>
                  <w:tcW w:w="478" w:type="pct"/>
                  <w:vAlign w:val="center"/>
                </w:tcPr>
                <w:p w14:paraId="104F617A">
                  <w:pPr>
                    <w:wordWrap w:val="0"/>
                    <w:topLinePunct/>
                    <w:adjustRightInd w:val="0"/>
                    <w:snapToGrid w:val="0"/>
                    <w:spacing w:line="240" w:lineRule="auto"/>
                    <w:jc w:val="center"/>
                    <w:rPr>
                      <w:sz w:val="21"/>
                      <w:szCs w:val="21"/>
                      <w:u w:val="single"/>
                    </w:rPr>
                  </w:pPr>
                  <w:r>
                    <w:rPr>
                      <w:rFonts w:hint="eastAsia"/>
                      <w:sz w:val="21"/>
                      <w:szCs w:val="21"/>
                      <w:u w:val="single"/>
                    </w:rPr>
                    <w:t>1</w:t>
                  </w:r>
                </w:p>
              </w:tc>
              <w:tc>
                <w:tcPr>
                  <w:tcW w:w="478" w:type="pct"/>
                  <w:vAlign w:val="center"/>
                </w:tcPr>
                <w:p w14:paraId="21148942">
                  <w:pPr>
                    <w:wordWrap w:val="0"/>
                    <w:topLinePunct/>
                    <w:adjustRightInd w:val="0"/>
                    <w:snapToGrid w:val="0"/>
                    <w:spacing w:line="240" w:lineRule="auto"/>
                    <w:jc w:val="center"/>
                    <w:rPr>
                      <w:sz w:val="21"/>
                      <w:szCs w:val="21"/>
                      <w:u w:val="single"/>
                    </w:rPr>
                  </w:pPr>
                  <w:r>
                    <w:rPr>
                      <w:rFonts w:hint="eastAsia"/>
                      <w:sz w:val="21"/>
                      <w:szCs w:val="21"/>
                      <w:u w:val="single"/>
                    </w:rPr>
                    <w:t>新增</w:t>
                  </w:r>
                </w:p>
              </w:tc>
            </w:tr>
            <w:tr w14:paraId="1AA9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5" w:type="pct"/>
                  <w:vMerge w:val="continue"/>
                  <w:vAlign w:val="center"/>
                </w:tcPr>
                <w:p w14:paraId="6B49A894">
                  <w:pPr>
                    <w:wordWrap w:val="0"/>
                    <w:topLinePunct/>
                    <w:adjustRightInd w:val="0"/>
                    <w:snapToGrid w:val="0"/>
                    <w:spacing w:line="240" w:lineRule="auto"/>
                    <w:jc w:val="center"/>
                    <w:rPr>
                      <w:color w:val="0000C7"/>
                      <w:sz w:val="21"/>
                      <w:szCs w:val="21"/>
                      <w:u w:val="single"/>
                    </w:rPr>
                  </w:pPr>
                </w:p>
              </w:tc>
              <w:tc>
                <w:tcPr>
                  <w:tcW w:w="604" w:type="pct"/>
                  <w:vAlign w:val="center"/>
                </w:tcPr>
                <w:p w14:paraId="3671EDC8">
                  <w:pPr>
                    <w:wordWrap w:val="0"/>
                    <w:topLinePunct/>
                    <w:adjustRightInd w:val="0"/>
                    <w:snapToGrid w:val="0"/>
                    <w:spacing w:line="240" w:lineRule="auto"/>
                    <w:jc w:val="center"/>
                    <w:rPr>
                      <w:sz w:val="21"/>
                      <w:szCs w:val="21"/>
                      <w:u w:val="single"/>
                    </w:rPr>
                  </w:pPr>
                  <w:r>
                    <w:rPr>
                      <w:rFonts w:hint="eastAsia"/>
                      <w:sz w:val="21"/>
                      <w:szCs w:val="21"/>
                      <w:u w:val="single"/>
                    </w:rPr>
                    <w:t>路沿石加工</w:t>
                  </w:r>
                </w:p>
              </w:tc>
              <w:tc>
                <w:tcPr>
                  <w:tcW w:w="1168" w:type="pct"/>
                  <w:vMerge w:val="restart"/>
                  <w:vAlign w:val="center"/>
                </w:tcPr>
                <w:p w14:paraId="2035E57E">
                  <w:pPr>
                    <w:wordWrap w:val="0"/>
                    <w:topLinePunct/>
                    <w:adjustRightInd w:val="0"/>
                    <w:snapToGrid w:val="0"/>
                    <w:spacing w:line="240" w:lineRule="auto"/>
                    <w:jc w:val="center"/>
                    <w:rPr>
                      <w:sz w:val="21"/>
                      <w:szCs w:val="21"/>
                      <w:u w:val="single"/>
                    </w:rPr>
                  </w:pPr>
                  <w:r>
                    <w:rPr>
                      <w:sz w:val="21"/>
                      <w:szCs w:val="21"/>
                      <w:u w:val="single"/>
                    </w:rPr>
                    <w:t>颗粒物</w:t>
                  </w:r>
                </w:p>
              </w:tc>
              <w:tc>
                <w:tcPr>
                  <w:tcW w:w="1569" w:type="pct"/>
                  <w:vAlign w:val="center"/>
                </w:tcPr>
                <w:p w14:paraId="3E45BD68">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lang w:eastAsia="zh-CN"/>
                    </w:rPr>
                    <w:t>湿法作业</w:t>
                  </w:r>
                </w:p>
              </w:tc>
              <w:tc>
                <w:tcPr>
                  <w:tcW w:w="327" w:type="pct"/>
                  <w:vAlign w:val="center"/>
                </w:tcPr>
                <w:p w14:paraId="7D8E6C2E">
                  <w:pPr>
                    <w:wordWrap w:val="0"/>
                    <w:topLinePunct/>
                    <w:adjustRightInd w:val="0"/>
                    <w:snapToGrid w:val="0"/>
                    <w:spacing w:line="240" w:lineRule="auto"/>
                    <w:jc w:val="center"/>
                    <w:rPr>
                      <w:color w:val="0000C7"/>
                      <w:sz w:val="21"/>
                      <w:szCs w:val="21"/>
                      <w:u w:val="single"/>
                    </w:rPr>
                  </w:pPr>
                  <w:r>
                    <w:rPr>
                      <w:rFonts w:hint="eastAsia"/>
                      <w:sz w:val="21"/>
                      <w:szCs w:val="21"/>
                      <w:u w:val="single"/>
                    </w:rPr>
                    <w:t>/</w:t>
                  </w:r>
                </w:p>
              </w:tc>
              <w:tc>
                <w:tcPr>
                  <w:tcW w:w="478" w:type="pct"/>
                  <w:vMerge w:val="restart"/>
                  <w:vAlign w:val="center"/>
                </w:tcPr>
                <w:p w14:paraId="24CAC7A4">
                  <w:pPr>
                    <w:wordWrap w:val="0"/>
                    <w:topLinePunct/>
                    <w:adjustRightInd w:val="0"/>
                    <w:snapToGrid w:val="0"/>
                    <w:spacing w:line="240" w:lineRule="auto"/>
                    <w:jc w:val="center"/>
                    <w:rPr>
                      <w:rFonts w:hint="default"/>
                      <w:color w:val="0000C7"/>
                      <w:sz w:val="21"/>
                      <w:szCs w:val="21"/>
                      <w:u w:val="single"/>
                      <w:lang w:val="en-US"/>
                    </w:rPr>
                  </w:pPr>
                  <w:r>
                    <w:rPr>
                      <w:rFonts w:hint="eastAsia"/>
                      <w:sz w:val="21"/>
                      <w:szCs w:val="21"/>
                      <w:u w:val="single"/>
                      <w:lang w:val="en-US" w:eastAsia="zh-CN"/>
                    </w:rPr>
                    <w:t>20</w:t>
                  </w:r>
                </w:p>
              </w:tc>
              <w:tc>
                <w:tcPr>
                  <w:tcW w:w="478" w:type="pct"/>
                  <w:vAlign w:val="center"/>
                </w:tcPr>
                <w:p w14:paraId="599DC794">
                  <w:pPr>
                    <w:wordWrap w:val="0"/>
                    <w:topLinePunct/>
                    <w:adjustRightInd w:val="0"/>
                    <w:snapToGrid w:val="0"/>
                    <w:spacing w:line="240" w:lineRule="auto"/>
                    <w:jc w:val="center"/>
                    <w:rPr>
                      <w:color w:val="0000C7"/>
                      <w:sz w:val="21"/>
                      <w:szCs w:val="21"/>
                      <w:u w:val="single"/>
                    </w:rPr>
                  </w:pPr>
                  <w:r>
                    <w:rPr>
                      <w:rFonts w:hint="eastAsia"/>
                      <w:sz w:val="21"/>
                      <w:szCs w:val="21"/>
                      <w:u w:val="single"/>
                    </w:rPr>
                    <w:t>新增</w:t>
                  </w:r>
                </w:p>
              </w:tc>
            </w:tr>
            <w:tr w14:paraId="4874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5" w:type="pct"/>
                  <w:vMerge w:val="continue"/>
                  <w:vAlign w:val="center"/>
                </w:tcPr>
                <w:p w14:paraId="0EE72FE5">
                  <w:pPr>
                    <w:wordWrap w:val="0"/>
                    <w:topLinePunct/>
                    <w:adjustRightInd w:val="0"/>
                    <w:snapToGrid w:val="0"/>
                    <w:spacing w:line="240" w:lineRule="auto"/>
                    <w:jc w:val="center"/>
                    <w:rPr>
                      <w:color w:val="0000C7"/>
                      <w:sz w:val="21"/>
                      <w:szCs w:val="21"/>
                      <w:u w:val="single"/>
                    </w:rPr>
                  </w:pPr>
                </w:p>
              </w:tc>
              <w:tc>
                <w:tcPr>
                  <w:tcW w:w="604" w:type="pct"/>
                  <w:vAlign w:val="center"/>
                </w:tcPr>
                <w:p w14:paraId="334D7186">
                  <w:pPr>
                    <w:wordWrap w:val="0"/>
                    <w:topLinePunct/>
                    <w:adjustRightInd w:val="0"/>
                    <w:snapToGrid w:val="0"/>
                    <w:spacing w:line="240" w:lineRule="auto"/>
                    <w:jc w:val="center"/>
                    <w:rPr>
                      <w:rFonts w:hint="eastAsia"/>
                      <w:sz w:val="21"/>
                      <w:szCs w:val="21"/>
                      <w:u w:val="single"/>
                    </w:rPr>
                  </w:pPr>
                  <w:r>
                    <w:rPr>
                      <w:rFonts w:hint="eastAsia" w:ascii="Times New Roman" w:hAnsi="Times New Roman" w:eastAsia="宋体" w:cs="Times New Roman"/>
                      <w:bCs w:val="0"/>
                      <w:kern w:val="2"/>
                      <w:sz w:val="21"/>
                      <w:szCs w:val="21"/>
                      <w:u w:val="single"/>
                      <w:lang w:val="en-US" w:eastAsia="zh-CN" w:bidi="ar-SA"/>
                    </w:rPr>
                    <w:t>墓碑及附属产品和其他板材</w:t>
                  </w:r>
                </w:p>
              </w:tc>
              <w:tc>
                <w:tcPr>
                  <w:tcW w:w="1168" w:type="pct"/>
                  <w:vMerge w:val="continue"/>
                  <w:vAlign w:val="center"/>
                </w:tcPr>
                <w:p w14:paraId="1839C190">
                  <w:pPr>
                    <w:wordWrap w:val="0"/>
                    <w:topLinePunct/>
                    <w:adjustRightInd w:val="0"/>
                    <w:snapToGrid w:val="0"/>
                    <w:spacing w:line="240" w:lineRule="auto"/>
                    <w:jc w:val="center"/>
                    <w:rPr>
                      <w:color w:val="0000C7"/>
                      <w:sz w:val="21"/>
                      <w:szCs w:val="21"/>
                      <w:u w:val="single"/>
                    </w:rPr>
                  </w:pPr>
                </w:p>
              </w:tc>
              <w:tc>
                <w:tcPr>
                  <w:tcW w:w="1569" w:type="pct"/>
                  <w:vAlign w:val="center"/>
                </w:tcPr>
                <w:p w14:paraId="4E32D408">
                  <w:pPr>
                    <w:wordWrap w:val="0"/>
                    <w:topLinePunct/>
                    <w:adjustRightInd w:val="0"/>
                    <w:snapToGrid w:val="0"/>
                    <w:spacing w:line="240" w:lineRule="auto"/>
                    <w:jc w:val="center"/>
                    <w:rPr>
                      <w:sz w:val="21"/>
                      <w:szCs w:val="21"/>
                      <w:u w:val="single"/>
                    </w:rPr>
                  </w:pPr>
                  <w:r>
                    <w:rPr>
                      <w:rFonts w:hint="eastAsia"/>
                      <w:sz w:val="21"/>
                      <w:szCs w:val="21"/>
                      <w:u w:val="single"/>
                    </w:rPr>
                    <w:t>湿式作业</w:t>
                  </w:r>
                </w:p>
              </w:tc>
              <w:tc>
                <w:tcPr>
                  <w:tcW w:w="327" w:type="pct"/>
                  <w:vAlign w:val="center"/>
                </w:tcPr>
                <w:p w14:paraId="48D8057A">
                  <w:pPr>
                    <w:wordWrap w:val="0"/>
                    <w:topLinePunct/>
                    <w:adjustRightInd w:val="0"/>
                    <w:snapToGrid w:val="0"/>
                    <w:spacing w:line="240" w:lineRule="auto"/>
                    <w:jc w:val="center"/>
                    <w:rPr>
                      <w:sz w:val="21"/>
                      <w:szCs w:val="21"/>
                      <w:u w:val="single"/>
                    </w:rPr>
                  </w:pPr>
                  <w:r>
                    <w:rPr>
                      <w:rFonts w:hint="eastAsia"/>
                      <w:sz w:val="21"/>
                      <w:szCs w:val="21"/>
                      <w:u w:val="single"/>
                    </w:rPr>
                    <w:t>/</w:t>
                  </w:r>
                </w:p>
              </w:tc>
              <w:tc>
                <w:tcPr>
                  <w:tcW w:w="478" w:type="pct"/>
                  <w:vMerge w:val="continue"/>
                  <w:vAlign w:val="center"/>
                </w:tcPr>
                <w:p w14:paraId="6E552505">
                  <w:pPr>
                    <w:wordWrap w:val="0"/>
                    <w:topLinePunct/>
                    <w:adjustRightInd w:val="0"/>
                    <w:snapToGrid w:val="0"/>
                    <w:spacing w:line="240" w:lineRule="auto"/>
                    <w:jc w:val="center"/>
                    <w:rPr>
                      <w:color w:val="0000C7"/>
                      <w:sz w:val="21"/>
                      <w:szCs w:val="21"/>
                      <w:u w:val="single"/>
                    </w:rPr>
                  </w:pPr>
                </w:p>
              </w:tc>
              <w:tc>
                <w:tcPr>
                  <w:tcW w:w="478" w:type="pct"/>
                  <w:vAlign w:val="center"/>
                </w:tcPr>
                <w:p w14:paraId="6182742A">
                  <w:pPr>
                    <w:wordWrap w:val="0"/>
                    <w:topLinePunct/>
                    <w:adjustRightInd w:val="0"/>
                    <w:snapToGrid w:val="0"/>
                    <w:spacing w:line="240" w:lineRule="auto"/>
                    <w:jc w:val="center"/>
                    <w:rPr>
                      <w:color w:val="0000C7"/>
                      <w:sz w:val="21"/>
                      <w:szCs w:val="21"/>
                      <w:u w:val="single"/>
                    </w:rPr>
                  </w:pPr>
                  <w:r>
                    <w:rPr>
                      <w:rFonts w:hint="eastAsia"/>
                      <w:sz w:val="21"/>
                      <w:szCs w:val="21"/>
                      <w:u w:val="single"/>
                    </w:rPr>
                    <w:t>新增</w:t>
                  </w:r>
                </w:p>
              </w:tc>
            </w:tr>
            <w:tr w14:paraId="6E7D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5" w:type="pct"/>
                  <w:vMerge w:val="continue"/>
                  <w:vAlign w:val="center"/>
                </w:tcPr>
                <w:p w14:paraId="22AC650B">
                  <w:pPr>
                    <w:wordWrap w:val="0"/>
                    <w:topLinePunct/>
                    <w:adjustRightInd w:val="0"/>
                    <w:snapToGrid w:val="0"/>
                    <w:spacing w:line="240" w:lineRule="auto"/>
                    <w:jc w:val="center"/>
                    <w:rPr>
                      <w:color w:val="0000C7"/>
                      <w:sz w:val="21"/>
                      <w:szCs w:val="21"/>
                      <w:u w:val="single"/>
                    </w:rPr>
                  </w:pPr>
                </w:p>
              </w:tc>
              <w:tc>
                <w:tcPr>
                  <w:tcW w:w="604" w:type="pct"/>
                  <w:vAlign w:val="center"/>
                </w:tcPr>
                <w:p w14:paraId="6722FC02">
                  <w:pPr>
                    <w:wordWrap w:val="0"/>
                    <w:topLinePunct/>
                    <w:adjustRightInd w:val="0"/>
                    <w:snapToGrid w:val="0"/>
                    <w:spacing w:line="240" w:lineRule="auto"/>
                    <w:jc w:val="center"/>
                    <w:rPr>
                      <w:color w:val="0000C7"/>
                      <w:sz w:val="21"/>
                      <w:szCs w:val="21"/>
                      <w:u w:val="single"/>
                    </w:rPr>
                  </w:pPr>
                  <w:r>
                    <w:rPr>
                      <w:rFonts w:hint="eastAsia"/>
                      <w:sz w:val="21"/>
                      <w:szCs w:val="21"/>
                      <w:u w:val="single"/>
                    </w:rPr>
                    <w:t>破碎、筛分、制砂</w:t>
                  </w:r>
                </w:p>
              </w:tc>
              <w:tc>
                <w:tcPr>
                  <w:tcW w:w="1168" w:type="pct"/>
                  <w:vMerge w:val="continue"/>
                  <w:vAlign w:val="center"/>
                </w:tcPr>
                <w:p w14:paraId="34F6B916">
                  <w:pPr>
                    <w:wordWrap w:val="0"/>
                    <w:topLinePunct/>
                    <w:adjustRightInd w:val="0"/>
                    <w:snapToGrid w:val="0"/>
                    <w:spacing w:line="240" w:lineRule="auto"/>
                    <w:jc w:val="center"/>
                    <w:rPr>
                      <w:color w:val="0000C7"/>
                      <w:sz w:val="21"/>
                      <w:szCs w:val="21"/>
                      <w:u w:val="single"/>
                    </w:rPr>
                  </w:pPr>
                </w:p>
              </w:tc>
              <w:tc>
                <w:tcPr>
                  <w:tcW w:w="1569" w:type="pct"/>
                  <w:vAlign w:val="center"/>
                </w:tcPr>
                <w:p w14:paraId="56231659">
                  <w:pPr>
                    <w:wordWrap w:val="0"/>
                    <w:topLinePunct/>
                    <w:adjustRightInd w:val="0"/>
                    <w:snapToGrid w:val="0"/>
                    <w:spacing w:line="240" w:lineRule="auto"/>
                    <w:jc w:val="center"/>
                    <w:rPr>
                      <w:sz w:val="21"/>
                      <w:szCs w:val="21"/>
                      <w:u w:val="single"/>
                    </w:rPr>
                  </w:pPr>
                  <w:r>
                    <w:rPr>
                      <w:rFonts w:hint="eastAsia"/>
                      <w:sz w:val="21"/>
                      <w:szCs w:val="21"/>
                      <w:u w:val="single"/>
                      <w:lang w:eastAsia="zh-CN"/>
                    </w:rPr>
                    <w:t>洒水</w:t>
                  </w:r>
                  <w:r>
                    <w:rPr>
                      <w:rFonts w:hint="eastAsia"/>
                      <w:sz w:val="21"/>
                      <w:szCs w:val="21"/>
                      <w:u w:val="single"/>
                    </w:rPr>
                    <w:t>抑尘，生产车间采用封闭厂房</w:t>
                  </w:r>
                </w:p>
              </w:tc>
              <w:tc>
                <w:tcPr>
                  <w:tcW w:w="327" w:type="pct"/>
                  <w:vAlign w:val="center"/>
                </w:tcPr>
                <w:p w14:paraId="6ED2C624">
                  <w:pPr>
                    <w:wordWrap w:val="0"/>
                    <w:topLinePunct/>
                    <w:adjustRightInd w:val="0"/>
                    <w:snapToGrid w:val="0"/>
                    <w:spacing w:line="240" w:lineRule="auto"/>
                    <w:jc w:val="center"/>
                    <w:rPr>
                      <w:sz w:val="21"/>
                      <w:szCs w:val="21"/>
                      <w:u w:val="single"/>
                    </w:rPr>
                  </w:pPr>
                  <w:r>
                    <w:rPr>
                      <w:rFonts w:hint="eastAsia"/>
                      <w:sz w:val="21"/>
                      <w:szCs w:val="21"/>
                      <w:u w:val="single"/>
                    </w:rPr>
                    <w:t>1套</w:t>
                  </w:r>
                </w:p>
              </w:tc>
              <w:tc>
                <w:tcPr>
                  <w:tcW w:w="478" w:type="pct"/>
                  <w:vMerge w:val="continue"/>
                  <w:vAlign w:val="center"/>
                </w:tcPr>
                <w:p w14:paraId="31334E7A">
                  <w:pPr>
                    <w:wordWrap w:val="0"/>
                    <w:topLinePunct/>
                    <w:adjustRightInd w:val="0"/>
                    <w:snapToGrid w:val="0"/>
                    <w:spacing w:line="240" w:lineRule="auto"/>
                    <w:jc w:val="center"/>
                    <w:rPr>
                      <w:color w:val="0000C7"/>
                      <w:sz w:val="21"/>
                      <w:szCs w:val="21"/>
                      <w:u w:val="single"/>
                    </w:rPr>
                  </w:pPr>
                </w:p>
              </w:tc>
              <w:tc>
                <w:tcPr>
                  <w:tcW w:w="478" w:type="pct"/>
                  <w:vAlign w:val="center"/>
                </w:tcPr>
                <w:p w14:paraId="0A2ECACD">
                  <w:pPr>
                    <w:wordWrap w:val="0"/>
                    <w:topLinePunct/>
                    <w:adjustRightInd w:val="0"/>
                    <w:snapToGrid w:val="0"/>
                    <w:spacing w:line="240" w:lineRule="auto"/>
                    <w:jc w:val="center"/>
                    <w:rPr>
                      <w:color w:val="0000C7"/>
                      <w:sz w:val="21"/>
                      <w:szCs w:val="21"/>
                      <w:u w:val="single"/>
                    </w:rPr>
                  </w:pPr>
                  <w:r>
                    <w:rPr>
                      <w:rFonts w:hint="eastAsia"/>
                      <w:sz w:val="21"/>
                      <w:szCs w:val="21"/>
                      <w:u w:val="single"/>
                    </w:rPr>
                    <w:t>新增</w:t>
                  </w:r>
                </w:p>
              </w:tc>
            </w:tr>
            <w:tr w14:paraId="0EE6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5" w:type="pct"/>
                  <w:vMerge w:val="continue"/>
                  <w:vAlign w:val="center"/>
                </w:tcPr>
                <w:p w14:paraId="72B73E5F">
                  <w:pPr>
                    <w:wordWrap w:val="0"/>
                    <w:topLinePunct/>
                    <w:adjustRightInd w:val="0"/>
                    <w:snapToGrid w:val="0"/>
                    <w:spacing w:line="240" w:lineRule="auto"/>
                    <w:jc w:val="center"/>
                    <w:rPr>
                      <w:color w:val="0000C7"/>
                      <w:sz w:val="21"/>
                      <w:szCs w:val="21"/>
                      <w:u w:val="single"/>
                    </w:rPr>
                  </w:pPr>
                </w:p>
              </w:tc>
              <w:tc>
                <w:tcPr>
                  <w:tcW w:w="604" w:type="pct"/>
                  <w:vAlign w:val="center"/>
                </w:tcPr>
                <w:p w14:paraId="6955163A">
                  <w:pPr>
                    <w:wordWrap w:val="0"/>
                    <w:topLinePunct/>
                    <w:adjustRightInd w:val="0"/>
                    <w:snapToGrid w:val="0"/>
                    <w:spacing w:line="240" w:lineRule="auto"/>
                    <w:jc w:val="center"/>
                    <w:rPr>
                      <w:sz w:val="21"/>
                      <w:szCs w:val="21"/>
                      <w:u w:val="single"/>
                    </w:rPr>
                  </w:pPr>
                  <w:r>
                    <w:rPr>
                      <w:rFonts w:hint="eastAsia"/>
                      <w:sz w:val="21"/>
                      <w:szCs w:val="21"/>
                      <w:u w:val="single"/>
                    </w:rPr>
                    <w:t>投配料、搅拌</w:t>
                  </w:r>
                </w:p>
              </w:tc>
              <w:tc>
                <w:tcPr>
                  <w:tcW w:w="1168" w:type="pct"/>
                  <w:vMerge w:val="continue"/>
                  <w:vAlign w:val="center"/>
                </w:tcPr>
                <w:p w14:paraId="465F2D5A">
                  <w:pPr>
                    <w:wordWrap w:val="0"/>
                    <w:topLinePunct/>
                    <w:adjustRightInd w:val="0"/>
                    <w:snapToGrid w:val="0"/>
                    <w:spacing w:line="240" w:lineRule="auto"/>
                    <w:jc w:val="center"/>
                    <w:rPr>
                      <w:color w:val="0000C7"/>
                      <w:sz w:val="21"/>
                      <w:szCs w:val="21"/>
                      <w:u w:val="single"/>
                    </w:rPr>
                  </w:pPr>
                </w:p>
              </w:tc>
              <w:tc>
                <w:tcPr>
                  <w:tcW w:w="1569" w:type="pct"/>
                  <w:vAlign w:val="center"/>
                </w:tcPr>
                <w:p w14:paraId="655F7837">
                  <w:pPr>
                    <w:wordWrap w:val="0"/>
                    <w:topLinePunct/>
                    <w:adjustRightInd w:val="0"/>
                    <w:snapToGrid w:val="0"/>
                    <w:spacing w:line="240" w:lineRule="auto"/>
                    <w:jc w:val="center"/>
                    <w:rPr>
                      <w:sz w:val="21"/>
                      <w:szCs w:val="21"/>
                      <w:u w:val="single"/>
                    </w:rPr>
                  </w:pPr>
                  <w:r>
                    <w:rPr>
                      <w:rFonts w:hint="eastAsia"/>
                      <w:sz w:val="21"/>
                      <w:szCs w:val="21"/>
                      <w:u w:val="single"/>
                    </w:rPr>
                    <w:t>喷淋装置洒水抑尘</w:t>
                  </w:r>
                </w:p>
              </w:tc>
              <w:tc>
                <w:tcPr>
                  <w:tcW w:w="327" w:type="pct"/>
                  <w:vAlign w:val="center"/>
                </w:tcPr>
                <w:p w14:paraId="1C06C068">
                  <w:pPr>
                    <w:wordWrap w:val="0"/>
                    <w:topLinePunct/>
                    <w:adjustRightInd w:val="0"/>
                    <w:snapToGrid w:val="0"/>
                    <w:spacing w:line="240" w:lineRule="auto"/>
                    <w:jc w:val="center"/>
                    <w:rPr>
                      <w:sz w:val="21"/>
                      <w:szCs w:val="21"/>
                      <w:u w:val="single"/>
                    </w:rPr>
                  </w:pPr>
                  <w:r>
                    <w:rPr>
                      <w:rFonts w:hint="eastAsia"/>
                      <w:sz w:val="21"/>
                      <w:szCs w:val="21"/>
                      <w:u w:val="single"/>
                    </w:rPr>
                    <w:t>1套</w:t>
                  </w:r>
                </w:p>
              </w:tc>
              <w:tc>
                <w:tcPr>
                  <w:tcW w:w="478" w:type="pct"/>
                  <w:vMerge w:val="continue"/>
                  <w:vAlign w:val="center"/>
                </w:tcPr>
                <w:p w14:paraId="4E23B054">
                  <w:pPr>
                    <w:wordWrap w:val="0"/>
                    <w:topLinePunct/>
                    <w:adjustRightInd w:val="0"/>
                    <w:snapToGrid w:val="0"/>
                    <w:spacing w:line="240" w:lineRule="auto"/>
                    <w:jc w:val="center"/>
                    <w:rPr>
                      <w:color w:val="0000C7"/>
                      <w:sz w:val="21"/>
                      <w:szCs w:val="21"/>
                      <w:u w:val="single"/>
                    </w:rPr>
                  </w:pPr>
                </w:p>
              </w:tc>
              <w:tc>
                <w:tcPr>
                  <w:tcW w:w="478" w:type="pct"/>
                  <w:vAlign w:val="center"/>
                </w:tcPr>
                <w:p w14:paraId="315307FC">
                  <w:pPr>
                    <w:wordWrap w:val="0"/>
                    <w:topLinePunct/>
                    <w:adjustRightInd w:val="0"/>
                    <w:snapToGrid w:val="0"/>
                    <w:spacing w:line="240" w:lineRule="auto"/>
                    <w:jc w:val="center"/>
                    <w:rPr>
                      <w:sz w:val="21"/>
                      <w:szCs w:val="21"/>
                      <w:u w:val="single"/>
                    </w:rPr>
                  </w:pPr>
                  <w:r>
                    <w:rPr>
                      <w:rFonts w:hint="eastAsia"/>
                      <w:sz w:val="21"/>
                      <w:szCs w:val="21"/>
                      <w:u w:val="single"/>
                    </w:rPr>
                    <w:t>新增</w:t>
                  </w:r>
                </w:p>
              </w:tc>
            </w:tr>
            <w:tr w14:paraId="40B6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5" w:type="pct"/>
                  <w:vMerge w:val="continue"/>
                  <w:vAlign w:val="center"/>
                </w:tcPr>
                <w:p w14:paraId="481784FF">
                  <w:pPr>
                    <w:wordWrap w:val="0"/>
                    <w:topLinePunct/>
                    <w:adjustRightInd w:val="0"/>
                    <w:snapToGrid w:val="0"/>
                    <w:spacing w:line="240" w:lineRule="auto"/>
                    <w:jc w:val="center"/>
                    <w:rPr>
                      <w:color w:val="0000C7"/>
                      <w:sz w:val="21"/>
                      <w:szCs w:val="21"/>
                      <w:u w:val="single"/>
                    </w:rPr>
                  </w:pPr>
                </w:p>
              </w:tc>
              <w:tc>
                <w:tcPr>
                  <w:tcW w:w="604" w:type="pct"/>
                  <w:vAlign w:val="center"/>
                </w:tcPr>
                <w:p w14:paraId="2F31D7BB">
                  <w:pPr>
                    <w:wordWrap w:val="0"/>
                    <w:topLinePunct/>
                    <w:adjustRightInd w:val="0"/>
                    <w:snapToGrid w:val="0"/>
                    <w:spacing w:line="240" w:lineRule="auto"/>
                    <w:jc w:val="center"/>
                    <w:rPr>
                      <w:sz w:val="21"/>
                      <w:szCs w:val="21"/>
                      <w:u w:val="single"/>
                    </w:rPr>
                  </w:pPr>
                  <w:r>
                    <w:rPr>
                      <w:rFonts w:hint="default"/>
                      <w:kern w:val="2"/>
                      <w:sz w:val="21"/>
                      <w:szCs w:val="21"/>
                      <w:u w:val="single"/>
                      <w:lang w:val="en-US" w:eastAsia="zh-CN"/>
                    </w:rPr>
                    <w:t>水泥筒仓</w:t>
                  </w:r>
                </w:p>
              </w:tc>
              <w:tc>
                <w:tcPr>
                  <w:tcW w:w="1168" w:type="pct"/>
                  <w:vMerge w:val="continue"/>
                  <w:vAlign w:val="center"/>
                </w:tcPr>
                <w:p w14:paraId="07850240">
                  <w:pPr>
                    <w:wordWrap w:val="0"/>
                    <w:topLinePunct/>
                    <w:adjustRightInd w:val="0"/>
                    <w:snapToGrid w:val="0"/>
                    <w:spacing w:line="240" w:lineRule="auto"/>
                    <w:jc w:val="center"/>
                    <w:rPr>
                      <w:color w:val="0000C7"/>
                      <w:sz w:val="21"/>
                      <w:szCs w:val="21"/>
                      <w:u w:val="single"/>
                    </w:rPr>
                  </w:pPr>
                </w:p>
              </w:tc>
              <w:tc>
                <w:tcPr>
                  <w:tcW w:w="1569" w:type="pct"/>
                  <w:vAlign w:val="center"/>
                </w:tcPr>
                <w:p w14:paraId="7B0D7C67">
                  <w:pPr>
                    <w:wordWrap w:val="0"/>
                    <w:topLinePunct/>
                    <w:adjustRightInd w:val="0"/>
                    <w:snapToGrid w:val="0"/>
                    <w:spacing w:line="240" w:lineRule="auto"/>
                    <w:jc w:val="center"/>
                    <w:rPr>
                      <w:sz w:val="21"/>
                      <w:szCs w:val="21"/>
                      <w:u w:val="single"/>
                    </w:rPr>
                  </w:pPr>
                  <w:r>
                    <w:rPr>
                      <w:sz w:val="21"/>
                      <w:szCs w:val="21"/>
                      <w:u w:val="single"/>
                    </w:rPr>
                    <w:t>配套高效仓顶除尘器</w:t>
                  </w:r>
                </w:p>
              </w:tc>
              <w:tc>
                <w:tcPr>
                  <w:tcW w:w="327" w:type="pct"/>
                  <w:vAlign w:val="center"/>
                </w:tcPr>
                <w:p w14:paraId="75539568">
                  <w:pPr>
                    <w:wordWrap w:val="0"/>
                    <w:topLinePunct/>
                    <w:adjustRightInd w:val="0"/>
                    <w:snapToGrid w:val="0"/>
                    <w:spacing w:line="240" w:lineRule="auto"/>
                    <w:jc w:val="center"/>
                    <w:rPr>
                      <w:sz w:val="21"/>
                      <w:szCs w:val="21"/>
                      <w:u w:val="single"/>
                    </w:rPr>
                  </w:pPr>
                  <w:r>
                    <w:rPr>
                      <w:rFonts w:hint="eastAsia"/>
                      <w:sz w:val="21"/>
                      <w:szCs w:val="21"/>
                      <w:u w:val="single"/>
                    </w:rPr>
                    <w:t>/</w:t>
                  </w:r>
                </w:p>
              </w:tc>
              <w:tc>
                <w:tcPr>
                  <w:tcW w:w="478" w:type="pct"/>
                  <w:vMerge w:val="continue"/>
                  <w:vAlign w:val="center"/>
                </w:tcPr>
                <w:p w14:paraId="022C8EC9">
                  <w:pPr>
                    <w:wordWrap w:val="0"/>
                    <w:topLinePunct/>
                    <w:adjustRightInd w:val="0"/>
                    <w:snapToGrid w:val="0"/>
                    <w:spacing w:line="240" w:lineRule="auto"/>
                    <w:jc w:val="center"/>
                    <w:rPr>
                      <w:color w:val="0000C7"/>
                      <w:sz w:val="21"/>
                      <w:szCs w:val="21"/>
                      <w:u w:val="single"/>
                    </w:rPr>
                  </w:pPr>
                </w:p>
              </w:tc>
              <w:tc>
                <w:tcPr>
                  <w:tcW w:w="478" w:type="pct"/>
                  <w:vAlign w:val="center"/>
                </w:tcPr>
                <w:p w14:paraId="7D9DE01C">
                  <w:pPr>
                    <w:wordWrap w:val="0"/>
                    <w:topLinePunct/>
                    <w:adjustRightInd w:val="0"/>
                    <w:snapToGrid w:val="0"/>
                    <w:spacing w:line="240" w:lineRule="auto"/>
                    <w:jc w:val="center"/>
                    <w:rPr>
                      <w:sz w:val="21"/>
                      <w:szCs w:val="21"/>
                      <w:u w:val="single"/>
                    </w:rPr>
                  </w:pPr>
                  <w:r>
                    <w:rPr>
                      <w:rFonts w:hint="eastAsia"/>
                      <w:sz w:val="21"/>
                      <w:szCs w:val="21"/>
                      <w:u w:val="single"/>
                    </w:rPr>
                    <w:t>新增</w:t>
                  </w:r>
                </w:p>
              </w:tc>
            </w:tr>
            <w:tr w14:paraId="53CF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5" w:type="pct"/>
                  <w:vMerge w:val="continue"/>
                  <w:vAlign w:val="center"/>
                </w:tcPr>
                <w:p w14:paraId="3AC8246F">
                  <w:pPr>
                    <w:wordWrap w:val="0"/>
                    <w:topLinePunct/>
                    <w:adjustRightInd w:val="0"/>
                    <w:snapToGrid w:val="0"/>
                    <w:spacing w:line="240" w:lineRule="auto"/>
                    <w:jc w:val="center"/>
                    <w:rPr>
                      <w:color w:val="0000C7"/>
                      <w:sz w:val="21"/>
                      <w:szCs w:val="21"/>
                      <w:u w:val="single"/>
                    </w:rPr>
                  </w:pPr>
                </w:p>
              </w:tc>
              <w:tc>
                <w:tcPr>
                  <w:tcW w:w="604" w:type="pct"/>
                  <w:vAlign w:val="center"/>
                </w:tcPr>
                <w:p w14:paraId="68201C7C">
                  <w:pPr>
                    <w:wordWrap w:val="0"/>
                    <w:topLinePunct/>
                    <w:adjustRightInd w:val="0"/>
                    <w:snapToGrid w:val="0"/>
                    <w:spacing w:line="240" w:lineRule="auto"/>
                    <w:jc w:val="center"/>
                    <w:rPr>
                      <w:sz w:val="21"/>
                      <w:szCs w:val="21"/>
                      <w:u w:val="single"/>
                    </w:rPr>
                  </w:pPr>
                  <w:r>
                    <w:rPr>
                      <w:rFonts w:hint="eastAsia"/>
                      <w:sz w:val="21"/>
                      <w:szCs w:val="21"/>
                      <w:u w:val="single"/>
                    </w:rPr>
                    <w:t>原料堆场</w:t>
                  </w:r>
                </w:p>
              </w:tc>
              <w:tc>
                <w:tcPr>
                  <w:tcW w:w="1168" w:type="pct"/>
                  <w:vMerge w:val="continue"/>
                  <w:vAlign w:val="center"/>
                </w:tcPr>
                <w:p w14:paraId="67962383">
                  <w:pPr>
                    <w:wordWrap w:val="0"/>
                    <w:topLinePunct/>
                    <w:adjustRightInd w:val="0"/>
                    <w:snapToGrid w:val="0"/>
                    <w:spacing w:line="240" w:lineRule="auto"/>
                    <w:jc w:val="center"/>
                    <w:rPr>
                      <w:color w:val="0000C7"/>
                      <w:sz w:val="21"/>
                      <w:szCs w:val="21"/>
                      <w:u w:val="single"/>
                    </w:rPr>
                  </w:pPr>
                </w:p>
              </w:tc>
              <w:tc>
                <w:tcPr>
                  <w:tcW w:w="1569" w:type="pct"/>
                  <w:vAlign w:val="center"/>
                </w:tcPr>
                <w:p w14:paraId="5891A16F">
                  <w:pPr>
                    <w:wordWrap w:val="0"/>
                    <w:topLinePunct/>
                    <w:adjustRightInd w:val="0"/>
                    <w:snapToGrid w:val="0"/>
                    <w:spacing w:line="240" w:lineRule="auto"/>
                    <w:jc w:val="center"/>
                    <w:rPr>
                      <w:sz w:val="21"/>
                      <w:szCs w:val="21"/>
                      <w:u w:val="single"/>
                    </w:rPr>
                  </w:pPr>
                  <w:r>
                    <w:rPr>
                      <w:rStyle w:val="27"/>
                      <w:kern w:val="0"/>
                      <w:szCs w:val="21"/>
                      <w:u w:val="single"/>
                    </w:rPr>
                    <w:t>设置</w:t>
                  </w:r>
                  <w:r>
                    <w:rPr>
                      <w:rStyle w:val="27"/>
                      <w:rFonts w:hint="eastAsia"/>
                      <w:kern w:val="0"/>
                      <w:szCs w:val="21"/>
                      <w:u w:val="single"/>
                    </w:rPr>
                    <w:t>顶棚及三面</w:t>
                  </w:r>
                  <w:r>
                    <w:rPr>
                      <w:rStyle w:val="27"/>
                      <w:kern w:val="0"/>
                      <w:szCs w:val="21"/>
                      <w:u w:val="single"/>
                    </w:rPr>
                    <w:t>围挡，</w:t>
                  </w:r>
                  <w:r>
                    <w:rPr>
                      <w:rFonts w:hint="eastAsia"/>
                      <w:snapToGrid w:val="0"/>
                      <w:spacing w:val="4"/>
                      <w:sz w:val="21"/>
                      <w:szCs w:val="21"/>
                      <w:u w:val="single"/>
                    </w:rPr>
                    <w:t>洒水喷淋</w:t>
                  </w:r>
                  <w:r>
                    <w:rPr>
                      <w:rFonts w:hint="eastAsia"/>
                      <w:snapToGrid w:val="0"/>
                      <w:spacing w:val="4"/>
                      <w:sz w:val="21"/>
                      <w:szCs w:val="21"/>
                      <w:u w:val="single"/>
                      <w:lang w:eastAsia="zh-CN"/>
                    </w:rPr>
                    <w:t>抑尘</w:t>
                  </w:r>
                </w:p>
              </w:tc>
              <w:tc>
                <w:tcPr>
                  <w:tcW w:w="327" w:type="pct"/>
                  <w:vAlign w:val="center"/>
                </w:tcPr>
                <w:p w14:paraId="1E9101C6">
                  <w:pPr>
                    <w:wordWrap w:val="0"/>
                    <w:topLinePunct/>
                    <w:adjustRightInd w:val="0"/>
                    <w:snapToGrid w:val="0"/>
                    <w:spacing w:line="240" w:lineRule="auto"/>
                    <w:jc w:val="center"/>
                    <w:rPr>
                      <w:sz w:val="21"/>
                      <w:szCs w:val="21"/>
                      <w:u w:val="single"/>
                    </w:rPr>
                  </w:pPr>
                  <w:r>
                    <w:rPr>
                      <w:rFonts w:hint="eastAsia"/>
                      <w:sz w:val="21"/>
                      <w:szCs w:val="21"/>
                      <w:u w:val="single"/>
                    </w:rPr>
                    <w:t>1套</w:t>
                  </w:r>
                </w:p>
              </w:tc>
              <w:tc>
                <w:tcPr>
                  <w:tcW w:w="478" w:type="pct"/>
                  <w:vMerge w:val="continue"/>
                  <w:vAlign w:val="center"/>
                </w:tcPr>
                <w:p w14:paraId="53DFD6F5">
                  <w:pPr>
                    <w:wordWrap w:val="0"/>
                    <w:topLinePunct/>
                    <w:adjustRightInd w:val="0"/>
                    <w:snapToGrid w:val="0"/>
                    <w:spacing w:line="240" w:lineRule="auto"/>
                    <w:jc w:val="center"/>
                    <w:rPr>
                      <w:sz w:val="21"/>
                      <w:szCs w:val="21"/>
                      <w:u w:val="single"/>
                    </w:rPr>
                  </w:pPr>
                </w:p>
              </w:tc>
              <w:tc>
                <w:tcPr>
                  <w:tcW w:w="478" w:type="pct"/>
                  <w:vAlign w:val="center"/>
                </w:tcPr>
                <w:p w14:paraId="272F22D1">
                  <w:pPr>
                    <w:wordWrap w:val="0"/>
                    <w:topLinePunct/>
                    <w:adjustRightInd w:val="0"/>
                    <w:snapToGrid w:val="0"/>
                    <w:spacing w:line="240" w:lineRule="auto"/>
                    <w:jc w:val="center"/>
                    <w:rPr>
                      <w:sz w:val="21"/>
                      <w:szCs w:val="21"/>
                      <w:u w:val="single"/>
                    </w:rPr>
                  </w:pPr>
                  <w:r>
                    <w:rPr>
                      <w:rFonts w:hint="eastAsia"/>
                      <w:sz w:val="21"/>
                      <w:szCs w:val="21"/>
                      <w:u w:val="single"/>
                    </w:rPr>
                    <w:t>新增</w:t>
                  </w:r>
                </w:p>
              </w:tc>
            </w:tr>
            <w:tr w14:paraId="1285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5" w:type="pct"/>
                  <w:vMerge w:val="continue"/>
                  <w:vAlign w:val="center"/>
                </w:tcPr>
                <w:p w14:paraId="65AF281A">
                  <w:pPr>
                    <w:wordWrap w:val="0"/>
                    <w:topLinePunct/>
                    <w:adjustRightInd w:val="0"/>
                    <w:snapToGrid w:val="0"/>
                    <w:spacing w:line="240" w:lineRule="auto"/>
                    <w:jc w:val="center"/>
                    <w:rPr>
                      <w:color w:val="0000C7"/>
                      <w:sz w:val="21"/>
                      <w:szCs w:val="21"/>
                      <w:u w:val="single"/>
                    </w:rPr>
                  </w:pPr>
                </w:p>
              </w:tc>
              <w:tc>
                <w:tcPr>
                  <w:tcW w:w="604" w:type="pct"/>
                  <w:vAlign w:val="center"/>
                </w:tcPr>
                <w:p w14:paraId="58F000B3">
                  <w:pPr>
                    <w:wordWrap w:val="0"/>
                    <w:topLinePunct/>
                    <w:adjustRightInd w:val="0"/>
                    <w:snapToGrid w:val="0"/>
                    <w:spacing w:line="240" w:lineRule="auto"/>
                    <w:jc w:val="center"/>
                    <w:rPr>
                      <w:sz w:val="21"/>
                      <w:szCs w:val="21"/>
                      <w:u w:val="single"/>
                    </w:rPr>
                  </w:pPr>
                  <w:r>
                    <w:rPr>
                      <w:rFonts w:hint="eastAsia"/>
                      <w:sz w:val="21"/>
                      <w:szCs w:val="21"/>
                      <w:u w:val="single"/>
                    </w:rPr>
                    <w:t>成品堆场</w:t>
                  </w:r>
                </w:p>
              </w:tc>
              <w:tc>
                <w:tcPr>
                  <w:tcW w:w="1168" w:type="pct"/>
                  <w:vMerge w:val="continue"/>
                  <w:vAlign w:val="center"/>
                </w:tcPr>
                <w:p w14:paraId="33E07F11">
                  <w:pPr>
                    <w:wordWrap w:val="0"/>
                    <w:topLinePunct/>
                    <w:adjustRightInd w:val="0"/>
                    <w:snapToGrid w:val="0"/>
                    <w:spacing w:line="240" w:lineRule="auto"/>
                    <w:jc w:val="center"/>
                    <w:rPr>
                      <w:color w:val="0000C7"/>
                      <w:sz w:val="21"/>
                      <w:szCs w:val="21"/>
                      <w:u w:val="single"/>
                    </w:rPr>
                  </w:pPr>
                </w:p>
              </w:tc>
              <w:tc>
                <w:tcPr>
                  <w:tcW w:w="1569" w:type="pct"/>
                  <w:vAlign w:val="center"/>
                </w:tcPr>
                <w:p w14:paraId="67112C50">
                  <w:pPr>
                    <w:wordWrap w:val="0"/>
                    <w:topLinePunct/>
                    <w:adjustRightInd w:val="0"/>
                    <w:snapToGrid w:val="0"/>
                    <w:spacing w:line="240" w:lineRule="auto"/>
                    <w:jc w:val="center"/>
                    <w:rPr>
                      <w:color w:val="0000C7"/>
                      <w:sz w:val="21"/>
                      <w:szCs w:val="21"/>
                      <w:u w:val="single"/>
                    </w:rPr>
                  </w:pPr>
                  <w:r>
                    <w:rPr>
                      <w:rFonts w:hint="eastAsia"/>
                      <w:sz w:val="21"/>
                      <w:szCs w:val="21"/>
                      <w:u w:val="single"/>
                    </w:rPr>
                    <w:t>设置顶棚，半封闭围挡</w:t>
                  </w:r>
                </w:p>
              </w:tc>
              <w:tc>
                <w:tcPr>
                  <w:tcW w:w="327" w:type="pct"/>
                  <w:vAlign w:val="center"/>
                </w:tcPr>
                <w:p w14:paraId="1B5A7DB8">
                  <w:pPr>
                    <w:wordWrap w:val="0"/>
                    <w:topLinePunct/>
                    <w:adjustRightInd w:val="0"/>
                    <w:snapToGrid w:val="0"/>
                    <w:spacing w:line="240" w:lineRule="auto"/>
                    <w:jc w:val="center"/>
                    <w:rPr>
                      <w:sz w:val="21"/>
                      <w:szCs w:val="21"/>
                      <w:u w:val="single"/>
                    </w:rPr>
                  </w:pPr>
                  <w:r>
                    <w:rPr>
                      <w:rFonts w:hint="eastAsia"/>
                      <w:sz w:val="21"/>
                      <w:szCs w:val="21"/>
                      <w:u w:val="single"/>
                    </w:rPr>
                    <w:t>1套</w:t>
                  </w:r>
                </w:p>
              </w:tc>
              <w:tc>
                <w:tcPr>
                  <w:tcW w:w="478" w:type="pct"/>
                  <w:vMerge w:val="continue"/>
                  <w:vAlign w:val="center"/>
                </w:tcPr>
                <w:p w14:paraId="195F3532">
                  <w:pPr>
                    <w:wordWrap w:val="0"/>
                    <w:topLinePunct/>
                    <w:adjustRightInd w:val="0"/>
                    <w:snapToGrid w:val="0"/>
                    <w:spacing w:line="240" w:lineRule="auto"/>
                    <w:jc w:val="center"/>
                    <w:rPr>
                      <w:color w:val="0000C7"/>
                      <w:sz w:val="21"/>
                      <w:szCs w:val="21"/>
                      <w:u w:val="single"/>
                    </w:rPr>
                  </w:pPr>
                </w:p>
              </w:tc>
              <w:tc>
                <w:tcPr>
                  <w:tcW w:w="478" w:type="pct"/>
                  <w:vAlign w:val="center"/>
                </w:tcPr>
                <w:p w14:paraId="4430FEBF">
                  <w:pPr>
                    <w:wordWrap w:val="0"/>
                    <w:topLinePunct/>
                    <w:adjustRightInd w:val="0"/>
                    <w:snapToGrid w:val="0"/>
                    <w:spacing w:line="240" w:lineRule="auto"/>
                    <w:jc w:val="center"/>
                    <w:rPr>
                      <w:color w:val="0000C7"/>
                      <w:sz w:val="21"/>
                      <w:szCs w:val="21"/>
                      <w:u w:val="single"/>
                    </w:rPr>
                  </w:pPr>
                  <w:r>
                    <w:rPr>
                      <w:rFonts w:hint="eastAsia"/>
                      <w:sz w:val="21"/>
                      <w:szCs w:val="21"/>
                      <w:u w:val="single"/>
                    </w:rPr>
                    <w:t>新增</w:t>
                  </w:r>
                </w:p>
              </w:tc>
            </w:tr>
            <w:tr w14:paraId="74EF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0" w:hRule="atLeast"/>
                <w:jc w:val="center"/>
              </w:trPr>
              <w:tc>
                <w:tcPr>
                  <w:tcW w:w="375" w:type="pct"/>
                  <w:vMerge w:val="continue"/>
                  <w:vAlign w:val="center"/>
                </w:tcPr>
                <w:p w14:paraId="6958774C">
                  <w:pPr>
                    <w:wordWrap w:val="0"/>
                    <w:topLinePunct/>
                    <w:adjustRightInd w:val="0"/>
                    <w:snapToGrid w:val="0"/>
                    <w:spacing w:line="240" w:lineRule="auto"/>
                    <w:jc w:val="center"/>
                    <w:rPr>
                      <w:color w:val="0000C7"/>
                      <w:sz w:val="21"/>
                      <w:szCs w:val="21"/>
                      <w:u w:val="single"/>
                    </w:rPr>
                  </w:pPr>
                </w:p>
              </w:tc>
              <w:tc>
                <w:tcPr>
                  <w:tcW w:w="604" w:type="pct"/>
                  <w:vAlign w:val="center"/>
                </w:tcPr>
                <w:p w14:paraId="766BD1D0">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lang w:eastAsia="zh-CN"/>
                    </w:rPr>
                    <w:t>墓碑打蜡</w:t>
                  </w:r>
                </w:p>
              </w:tc>
              <w:tc>
                <w:tcPr>
                  <w:tcW w:w="1168" w:type="pct"/>
                  <w:vAlign w:val="center"/>
                </w:tcPr>
                <w:p w14:paraId="42DB39DF">
                  <w:pPr>
                    <w:wordWrap w:val="0"/>
                    <w:topLinePunct/>
                    <w:adjustRightInd w:val="0"/>
                    <w:snapToGrid w:val="0"/>
                    <w:spacing w:line="240" w:lineRule="auto"/>
                    <w:jc w:val="center"/>
                    <w:rPr>
                      <w:rFonts w:hint="eastAsia" w:eastAsia="宋体"/>
                      <w:color w:val="0000C7"/>
                      <w:sz w:val="21"/>
                      <w:szCs w:val="21"/>
                      <w:u w:val="single"/>
                      <w:lang w:eastAsia="zh-CN"/>
                    </w:rPr>
                  </w:pPr>
                  <w:r>
                    <w:rPr>
                      <w:rFonts w:hint="eastAsia"/>
                      <w:color w:val="auto"/>
                      <w:sz w:val="21"/>
                      <w:szCs w:val="21"/>
                      <w:u w:val="single"/>
                      <w:lang w:eastAsia="zh-CN"/>
                    </w:rPr>
                    <w:t>有机废气</w:t>
                  </w:r>
                </w:p>
              </w:tc>
              <w:tc>
                <w:tcPr>
                  <w:tcW w:w="1569" w:type="pct"/>
                  <w:vAlign w:val="center"/>
                </w:tcPr>
                <w:p w14:paraId="06996E3A">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lang w:eastAsia="zh-CN"/>
                    </w:rPr>
                    <w:t>生产区加强通风</w:t>
                  </w:r>
                </w:p>
              </w:tc>
              <w:tc>
                <w:tcPr>
                  <w:tcW w:w="327" w:type="pct"/>
                  <w:vAlign w:val="center"/>
                </w:tcPr>
                <w:p w14:paraId="07B5FC1D">
                  <w:pPr>
                    <w:wordWrap w:val="0"/>
                    <w:topLinePunct/>
                    <w:adjustRightInd w:val="0"/>
                    <w:snapToGrid w:val="0"/>
                    <w:spacing w:line="240" w:lineRule="auto"/>
                    <w:jc w:val="center"/>
                    <w:rPr>
                      <w:rFonts w:hint="eastAsia" w:eastAsia="宋体"/>
                      <w:sz w:val="21"/>
                      <w:szCs w:val="21"/>
                      <w:u w:val="single"/>
                      <w:lang w:val="en-US" w:eastAsia="zh-CN"/>
                    </w:rPr>
                  </w:pPr>
                  <w:r>
                    <w:rPr>
                      <w:rFonts w:hint="eastAsia"/>
                      <w:sz w:val="21"/>
                      <w:szCs w:val="21"/>
                      <w:u w:val="single"/>
                      <w:lang w:val="en-US" w:eastAsia="zh-CN"/>
                    </w:rPr>
                    <w:t>/</w:t>
                  </w:r>
                </w:p>
              </w:tc>
              <w:tc>
                <w:tcPr>
                  <w:tcW w:w="478" w:type="pct"/>
                  <w:vMerge w:val="continue"/>
                  <w:vAlign w:val="center"/>
                </w:tcPr>
                <w:p w14:paraId="05EE4B1F">
                  <w:pPr>
                    <w:wordWrap w:val="0"/>
                    <w:topLinePunct/>
                    <w:adjustRightInd w:val="0"/>
                    <w:snapToGrid w:val="0"/>
                    <w:spacing w:line="240" w:lineRule="auto"/>
                    <w:jc w:val="center"/>
                    <w:rPr>
                      <w:color w:val="0000C7"/>
                      <w:sz w:val="21"/>
                      <w:szCs w:val="21"/>
                      <w:u w:val="single"/>
                    </w:rPr>
                  </w:pPr>
                </w:p>
              </w:tc>
              <w:tc>
                <w:tcPr>
                  <w:tcW w:w="478" w:type="pct"/>
                  <w:vAlign w:val="center"/>
                </w:tcPr>
                <w:p w14:paraId="02493765">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lang w:eastAsia="zh-CN"/>
                    </w:rPr>
                    <w:t>新增</w:t>
                  </w:r>
                </w:p>
              </w:tc>
            </w:tr>
            <w:tr w14:paraId="2CF8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375" w:type="pct"/>
                  <w:vMerge w:val="restart"/>
                  <w:vAlign w:val="center"/>
                </w:tcPr>
                <w:p w14:paraId="3E8B7CC6">
                  <w:pPr>
                    <w:wordWrap w:val="0"/>
                    <w:topLinePunct/>
                    <w:adjustRightInd w:val="0"/>
                    <w:snapToGrid w:val="0"/>
                    <w:spacing w:line="240" w:lineRule="auto"/>
                    <w:jc w:val="center"/>
                    <w:rPr>
                      <w:sz w:val="21"/>
                      <w:szCs w:val="21"/>
                      <w:u w:val="single"/>
                    </w:rPr>
                  </w:pPr>
                  <w:r>
                    <w:rPr>
                      <w:sz w:val="21"/>
                      <w:szCs w:val="21"/>
                      <w:u w:val="single"/>
                    </w:rPr>
                    <w:t>固废</w:t>
                  </w:r>
                </w:p>
              </w:tc>
              <w:tc>
                <w:tcPr>
                  <w:tcW w:w="604" w:type="pct"/>
                  <w:vAlign w:val="center"/>
                </w:tcPr>
                <w:p w14:paraId="4774353C">
                  <w:pPr>
                    <w:wordWrap w:val="0"/>
                    <w:topLinePunct/>
                    <w:adjustRightInd w:val="0"/>
                    <w:snapToGrid w:val="0"/>
                    <w:spacing w:line="240" w:lineRule="auto"/>
                    <w:jc w:val="center"/>
                    <w:rPr>
                      <w:sz w:val="21"/>
                      <w:szCs w:val="21"/>
                      <w:u w:val="single"/>
                    </w:rPr>
                  </w:pPr>
                  <w:r>
                    <w:rPr>
                      <w:sz w:val="21"/>
                      <w:szCs w:val="21"/>
                      <w:u w:val="single"/>
                    </w:rPr>
                    <w:t>生产</w:t>
                  </w:r>
                </w:p>
              </w:tc>
              <w:tc>
                <w:tcPr>
                  <w:tcW w:w="1168" w:type="pct"/>
                  <w:vAlign w:val="center"/>
                </w:tcPr>
                <w:p w14:paraId="1EF9B1ED">
                  <w:pPr>
                    <w:wordWrap w:val="0"/>
                    <w:topLinePunct/>
                    <w:adjustRightInd w:val="0"/>
                    <w:snapToGrid w:val="0"/>
                    <w:spacing w:line="240" w:lineRule="auto"/>
                    <w:jc w:val="center"/>
                    <w:rPr>
                      <w:sz w:val="21"/>
                      <w:szCs w:val="21"/>
                      <w:u w:val="single"/>
                    </w:rPr>
                  </w:pPr>
                  <w:r>
                    <w:rPr>
                      <w:sz w:val="21"/>
                      <w:szCs w:val="21"/>
                      <w:u w:val="single"/>
                    </w:rPr>
                    <w:t>一般工业固废</w:t>
                  </w:r>
                </w:p>
              </w:tc>
              <w:tc>
                <w:tcPr>
                  <w:tcW w:w="1569" w:type="pct"/>
                  <w:vAlign w:val="center"/>
                </w:tcPr>
                <w:p w14:paraId="44761256">
                  <w:pPr>
                    <w:wordWrap w:val="0"/>
                    <w:topLinePunct/>
                    <w:adjustRightInd w:val="0"/>
                    <w:snapToGrid w:val="0"/>
                    <w:spacing w:line="240" w:lineRule="auto"/>
                    <w:ind w:left="-120" w:leftChars="-50" w:right="-120" w:rightChars="-50"/>
                    <w:jc w:val="center"/>
                    <w:rPr>
                      <w:sz w:val="21"/>
                      <w:szCs w:val="21"/>
                      <w:u w:val="single"/>
                    </w:rPr>
                  </w:pPr>
                  <w:r>
                    <w:rPr>
                      <w:sz w:val="21"/>
                      <w:szCs w:val="21"/>
                      <w:u w:val="single"/>
                    </w:rPr>
                    <w:t>一般固废暂存区</w:t>
                  </w:r>
                </w:p>
              </w:tc>
              <w:tc>
                <w:tcPr>
                  <w:tcW w:w="327" w:type="pct"/>
                  <w:vAlign w:val="center"/>
                </w:tcPr>
                <w:p w14:paraId="320E2131">
                  <w:pPr>
                    <w:wordWrap w:val="0"/>
                    <w:topLinePunct/>
                    <w:adjustRightInd w:val="0"/>
                    <w:snapToGrid w:val="0"/>
                    <w:spacing w:line="240" w:lineRule="auto"/>
                    <w:jc w:val="center"/>
                    <w:rPr>
                      <w:sz w:val="21"/>
                      <w:szCs w:val="21"/>
                      <w:u w:val="single"/>
                    </w:rPr>
                  </w:pPr>
                  <w:r>
                    <w:rPr>
                      <w:sz w:val="21"/>
                      <w:szCs w:val="21"/>
                      <w:u w:val="single"/>
                    </w:rPr>
                    <w:t>1个</w:t>
                  </w:r>
                </w:p>
              </w:tc>
              <w:tc>
                <w:tcPr>
                  <w:tcW w:w="478" w:type="pct"/>
                  <w:vAlign w:val="center"/>
                </w:tcPr>
                <w:p w14:paraId="3FD740B5">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lang w:val="en-US" w:eastAsia="zh-CN"/>
                    </w:rPr>
                    <w:t>2</w:t>
                  </w:r>
                </w:p>
              </w:tc>
              <w:tc>
                <w:tcPr>
                  <w:tcW w:w="478" w:type="pct"/>
                  <w:vAlign w:val="center"/>
                </w:tcPr>
                <w:p w14:paraId="3707CDD7">
                  <w:pPr>
                    <w:wordWrap w:val="0"/>
                    <w:topLinePunct/>
                    <w:adjustRightInd w:val="0"/>
                    <w:snapToGrid w:val="0"/>
                    <w:spacing w:line="240" w:lineRule="auto"/>
                    <w:jc w:val="center"/>
                    <w:rPr>
                      <w:sz w:val="21"/>
                      <w:szCs w:val="21"/>
                      <w:u w:val="single"/>
                    </w:rPr>
                  </w:pPr>
                  <w:r>
                    <w:rPr>
                      <w:rFonts w:hint="eastAsia"/>
                      <w:sz w:val="21"/>
                      <w:szCs w:val="21"/>
                      <w:u w:val="single"/>
                    </w:rPr>
                    <w:t>新增</w:t>
                  </w:r>
                </w:p>
              </w:tc>
            </w:tr>
            <w:tr w14:paraId="523D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5" w:type="pct"/>
                  <w:vMerge w:val="continue"/>
                  <w:vAlign w:val="center"/>
                </w:tcPr>
                <w:p w14:paraId="0FCAFBA6">
                  <w:pPr>
                    <w:wordWrap w:val="0"/>
                    <w:topLinePunct/>
                    <w:adjustRightInd w:val="0"/>
                    <w:snapToGrid w:val="0"/>
                    <w:spacing w:line="240" w:lineRule="auto"/>
                    <w:jc w:val="center"/>
                    <w:rPr>
                      <w:sz w:val="21"/>
                      <w:szCs w:val="21"/>
                      <w:u w:val="single"/>
                    </w:rPr>
                  </w:pPr>
                </w:p>
              </w:tc>
              <w:tc>
                <w:tcPr>
                  <w:tcW w:w="604" w:type="pct"/>
                  <w:vAlign w:val="center"/>
                </w:tcPr>
                <w:p w14:paraId="33D8474A">
                  <w:pPr>
                    <w:wordWrap w:val="0"/>
                    <w:topLinePunct/>
                    <w:adjustRightInd w:val="0"/>
                    <w:snapToGrid w:val="0"/>
                    <w:spacing w:line="240" w:lineRule="auto"/>
                    <w:jc w:val="center"/>
                    <w:rPr>
                      <w:sz w:val="21"/>
                      <w:szCs w:val="21"/>
                      <w:u w:val="single"/>
                    </w:rPr>
                  </w:pPr>
                  <w:r>
                    <w:rPr>
                      <w:sz w:val="21"/>
                      <w:szCs w:val="21"/>
                      <w:u w:val="single"/>
                    </w:rPr>
                    <w:t>办公生活</w:t>
                  </w:r>
                </w:p>
              </w:tc>
              <w:tc>
                <w:tcPr>
                  <w:tcW w:w="1168" w:type="pct"/>
                  <w:vAlign w:val="center"/>
                </w:tcPr>
                <w:p w14:paraId="5808222D">
                  <w:pPr>
                    <w:wordWrap w:val="0"/>
                    <w:topLinePunct/>
                    <w:adjustRightInd w:val="0"/>
                    <w:snapToGrid w:val="0"/>
                    <w:spacing w:line="240" w:lineRule="auto"/>
                    <w:jc w:val="center"/>
                    <w:rPr>
                      <w:sz w:val="21"/>
                      <w:szCs w:val="21"/>
                      <w:u w:val="single"/>
                    </w:rPr>
                  </w:pPr>
                  <w:r>
                    <w:rPr>
                      <w:sz w:val="21"/>
                      <w:szCs w:val="21"/>
                      <w:u w:val="single"/>
                    </w:rPr>
                    <w:t>生活垃圾</w:t>
                  </w:r>
                </w:p>
              </w:tc>
              <w:tc>
                <w:tcPr>
                  <w:tcW w:w="1569" w:type="pct"/>
                  <w:vAlign w:val="center"/>
                </w:tcPr>
                <w:p w14:paraId="39E9B571">
                  <w:pPr>
                    <w:wordWrap w:val="0"/>
                    <w:topLinePunct/>
                    <w:adjustRightInd w:val="0"/>
                    <w:snapToGrid w:val="0"/>
                    <w:spacing w:line="240" w:lineRule="auto"/>
                    <w:jc w:val="center"/>
                    <w:rPr>
                      <w:sz w:val="21"/>
                      <w:szCs w:val="21"/>
                      <w:u w:val="single"/>
                    </w:rPr>
                  </w:pPr>
                  <w:r>
                    <w:rPr>
                      <w:sz w:val="21"/>
                      <w:szCs w:val="21"/>
                      <w:u w:val="single"/>
                    </w:rPr>
                    <w:t>生活垃圾收集桶</w:t>
                  </w:r>
                </w:p>
              </w:tc>
              <w:tc>
                <w:tcPr>
                  <w:tcW w:w="327" w:type="pct"/>
                  <w:vAlign w:val="center"/>
                </w:tcPr>
                <w:p w14:paraId="34C7C5EF">
                  <w:pPr>
                    <w:wordWrap w:val="0"/>
                    <w:topLinePunct/>
                    <w:adjustRightInd w:val="0"/>
                    <w:snapToGrid w:val="0"/>
                    <w:spacing w:line="240" w:lineRule="auto"/>
                    <w:jc w:val="center"/>
                    <w:rPr>
                      <w:sz w:val="21"/>
                      <w:szCs w:val="21"/>
                      <w:u w:val="single"/>
                    </w:rPr>
                  </w:pPr>
                  <w:r>
                    <w:rPr>
                      <w:sz w:val="21"/>
                      <w:szCs w:val="21"/>
                      <w:u w:val="single"/>
                    </w:rPr>
                    <w:t>5个</w:t>
                  </w:r>
                </w:p>
              </w:tc>
              <w:tc>
                <w:tcPr>
                  <w:tcW w:w="478" w:type="pct"/>
                  <w:vAlign w:val="center"/>
                </w:tcPr>
                <w:p w14:paraId="6AD54A3E">
                  <w:pPr>
                    <w:wordWrap w:val="0"/>
                    <w:topLinePunct/>
                    <w:adjustRightInd w:val="0"/>
                    <w:snapToGrid w:val="0"/>
                    <w:spacing w:line="240" w:lineRule="auto"/>
                    <w:jc w:val="center"/>
                    <w:rPr>
                      <w:sz w:val="21"/>
                      <w:szCs w:val="21"/>
                      <w:u w:val="single"/>
                    </w:rPr>
                  </w:pPr>
                  <w:r>
                    <w:rPr>
                      <w:sz w:val="21"/>
                      <w:szCs w:val="21"/>
                      <w:u w:val="single"/>
                    </w:rPr>
                    <w:t>1</w:t>
                  </w:r>
                </w:p>
              </w:tc>
              <w:tc>
                <w:tcPr>
                  <w:tcW w:w="478" w:type="pct"/>
                  <w:vAlign w:val="center"/>
                </w:tcPr>
                <w:p w14:paraId="61F7136E">
                  <w:pPr>
                    <w:wordWrap w:val="0"/>
                    <w:topLinePunct/>
                    <w:adjustRightInd w:val="0"/>
                    <w:snapToGrid w:val="0"/>
                    <w:spacing w:line="240" w:lineRule="auto"/>
                    <w:jc w:val="center"/>
                    <w:rPr>
                      <w:sz w:val="21"/>
                      <w:szCs w:val="21"/>
                      <w:u w:val="single"/>
                    </w:rPr>
                  </w:pPr>
                  <w:r>
                    <w:rPr>
                      <w:rFonts w:hint="eastAsia"/>
                      <w:sz w:val="21"/>
                      <w:szCs w:val="21"/>
                      <w:u w:val="single"/>
                    </w:rPr>
                    <w:t>新增</w:t>
                  </w:r>
                </w:p>
              </w:tc>
            </w:tr>
            <w:tr w14:paraId="3375E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375" w:type="pct"/>
                  <w:vAlign w:val="center"/>
                </w:tcPr>
                <w:p w14:paraId="6D237738">
                  <w:pPr>
                    <w:wordWrap w:val="0"/>
                    <w:topLinePunct/>
                    <w:adjustRightInd w:val="0"/>
                    <w:snapToGrid w:val="0"/>
                    <w:spacing w:line="240" w:lineRule="auto"/>
                    <w:jc w:val="center"/>
                    <w:rPr>
                      <w:sz w:val="21"/>
                      <w:szCs w:val="21"/>
                      <w:u w:val="single"/>
                    </w:rPr>
                  </w:pPr>
                  <w:r>
                    <w:rPr>
                      <w:sz w:val="21"/>
                      <w:szCs w:val="21"/>
                      <w:u w:val="single"/>
                    </w:rPr>
                    <w:t>噪声</w:t>
                  </w:r>
                </w:p>
              </w:tc>
              <w:tc>
                <w:tcPr>
                  <w:tcW w:w="604" w:type="pct"/>
                  <w:vAlign w:val="center"/>
                </w:tcPr>
                <w:p w14:paraId="135B777C">
                  <w:pPr>
                    <w:wordWrap w:val="0"/>
                    <w:topLinePunct/>
                    <w:adjustRightInd w:val="0"/>
                    <w:snapToGrid w:val="0"/>
                    <w:spacing w:line="240" w:lineRule="auto"/>
                    <w:jc w:val="center"/>
                    <w:rPr>
                      <w:sz w:val="21"/>
                      <w:szCs w:val="21"/>
                      <w:u w:val="single"/>
                    </w:rPr>
                  </w:pPr>
                  <w:r>
                    <w:rPr>
                      <w:sz w:val="21"/>
                      <w:szCs w:val="21"/>
                      <w:u w:val="single"/>
                    </w:rPr>
                    <w:t>生产设备</w:t>
                  </w:r>
                </w:p>
              </w:tc>
              <w:tc>
                <w:tcPr>
                  <w:tcW w:w="1168" w:type="pct"/>
                  <w:vAlign w:val="center"/>
                </w:tcPr>
                <w:p w14:paraId="034F2B00">
                  <w:pPr>
                    <w:wordWrap w:val="0"/>
                    <w:topLinePunct/>
                    <w:adjustRightInd w:val="0"/>
                    <w:snapToGrid w:val="0"/>
                    <w:spacing w:line="240" w:lineRule="auto"/>
                    <w:jc w:val="center"/>
                    <w:rPr>
                      <w:sz w:val="21"/>
                      <w:szCs w:val="21"/>
                      <w:u w:val="single"/>
                    </w:rPr>
                  </w:pPr>
                  <w:r>
                    <w:rPr>
                      <w:sz w:val="21"/>
                      <w:szCs w:val="21"/>
                      <w:u w:val="single"/>
                    </w:rPr>
                    <w:t>机械噪声</w:t>
                  </w:r>
                </w:p>
              </w:tc>
              <w:tc>
                <w:tcPr>
                  <w:tcW w:w="1569" w:type="pct"/>
                  <w:vAlign w:val="center"/>
                </w:tcPr>
                <w:p w14:paraId="5F142611">
                  <w:pPr>
                    <w:wordWrap w:val="0"/>
                    <w:topLinePunct/>
                    <w:adjustRightInd w:val="0"/>
                    <w:snapToGrid w:val="0"/>
                    <w:spacing w:line="240" w:lineRule="auto"/>
                    <w:jc w:val="center"/>
                    <w:rPr>
                      <w:sz w:val="21"/>
                      <w:szCs w:val="21"/>
                      <w:u w:val="single"/>
                    </w:rPr>
                  </w:pPr>
                  <w:r>
                    <w:rPr>
                      <w:sz w:val="21"/>
                      <w:szCs w:val="21"/>
                      <w:u w:val="single"/>
                    </w:rPr>
                    <w:t>消声、隔声、减振措施</w:t>
                  </w:r>
                </w:p>
              </w:tc>
              <w:tc>
                <w:tcPr>
                  <w:tcW w:w="327" w:type="pct"/>
                  <w:vAlign w:val="center"/>
                </w:tcPr>
                <w:p w14:paraId="213C8821">
                  <w:pPr>
                    <w:wordWrap w:val="0"/>
                    <w:topLinePunct/>
                    <w:adjustRightInd w:val="0"/>
                    <w:snapToGrid w:val="0"/>
                    <w:spacing w:line="240" w:lineRule="auto"/>
                    <w:jc w:val="center"/>
                    <w:rPr>
                      <w:sz w:val="21"/>
                      <w:szCs w:val="21"/>
                      <w:u w:val="single"/>
                    </w:rPr>
                  </w:pPr>
                  <w:r>
                    <w:rPr>
                      <w:sz w:val="21"/>
                      <w:szCs w:val="21"/>
                      <w:u w:val="single"/>
                    </w:rPr>
                    <w:t>/</w:t>
                  </w:r>
                </w:p>
              </w:tc>
              <w:tc>
                <w:tcPr>
                  <w:tcW w:w="478" w:type="pct"/>
                  <w:vAlign w:val="center"/>
                </w:tcPr>
                <w:p w14:paraId="2E8D00D0">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lang w:val="en-US" w:eastAsia="zh-CN"/>
                    </w:rPr>
                    <w:t>2</w:t>
                  </w:r>
                </w:p>
              </w:tc>
              <w:tc>
                <w:tcPr>
                  <w:tcW w:w="478" w:type="pct"/>
                  <w:vAlign w:val="center"/>
                </w:tcPr>
                <w:p w14:paraId="1A90D08C">
                  <w:pPr>
                    <w:wordWrap w:val="0"/>
                    <w:topLinePunct/>
                    <w:adjustRightInd w:val="0"/>
                    <w:snapToGrid w:val="0"/>
                    <w:spacing w:line="240" w:lineRule="auto"/>
                    <w:jc w:val="center"/>
                    <w:rPr>
                      <w:sz w:val="21"/>
                      <w:szCs w:val="21"/>
                      <w:u w:val="single"/>
                    </w:rPr>
                  </w:pPr>
                  <w:r>
                    <w:rPr>
                      <w:rFonts w:hint="eastAsia"/>
                      <w:sz w:val="21"/>
                      <w:szCs w:val="21"/>
                      <w:u w:val="single"/>
                    </w:rPr>
                    <w:t>新增</w:t>
                  </w:r>
                </w:p>
              </w:tc>
            </w:tr>
            <w:tr w14:paraId="1449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979" w:type="pct"/>
                  <w:gridSpan w:val="2"/>
                  <w:vAlign w:val="center"/>
                </w:tcPr>
                <w:p w14:paraId="1E2C53F1">
                  <w:pPr>
                    <w:wordWrap w:val="0"/>
                    <w:topLinePunct/>
                    <w:adjustRightInd w:val="0"/>
                    <w:snapToGrid w:val="0"/>
                    <w:spacing w:line="240" w:lineRule="auto"/>
                    <w:jc w:val="center"/>
                    <w:rPr>
                      <w:sz w:val="21"/>
                      <w:szCs w:val="21"/>
                      <w:u w:val="single"/>
                    </w:rPr>
                  </w:pPr>
                  <w:r>
                    <w:rPr>
                      <w:sz w:val="21"/>
                      <w:szCs w:val="21"/>
                      <w:u w:val="single"/>
                    </w:rPr>
                    <w:t>绿化</w:t>
                  </w:r>
                </w:p>
              </w:tc>
              <w:tc>
                <w:tcPr>
                  <w:tcW w:w="2737" w:type="pct"/>
                  <w:gridSpan w:val="2"/>
                  <w:vAlign w:val="center"/>
                </w:tcPr>
                <w:p w14:paraId="6FFE77B1">
                  <w:pPr>
                    <w:wordWrap w:val="0"/>
                    <w:topLinePunct/>
                    <w:adjustRightInd w:val="0"/>
                    <w:snapToGrid w:val="0"/>
                    <w:spacing w:line="240" w:lineRule="auto"/>
                    <w:jc w:val="center"/>
                    <w:rPr>
                      <w:sz w:val="21"/>
                      <w:szCs w:val="21"/>
                      <w:u w:val="single"/>
                    </w:rPr>
                  </w:pPr>
                  <w:r>
                    <w:rPr>
                      <w:sz w:val="21"/>
                      <w:szCs w:val="21"/>
                      <w:u w:val="single"/>
                    </w:rPr>
                    <w:t>乔木、灌木、草地</w:t>
                  </w:r>
                </w:p>
              </w:tc>
              <w:tc>
                <w:tcPr>
                  <w:tcW w:w="327" w:type="pct"/>
                  <w:vAlign w:val="center"/>
                </w:tcPr>
                <w:p w14:paraId="03FBB4D8">
                  <w:pPr>
                    <w:wordWrap w:val="0"/>
                    <w:topLinePunct/>
                    <w:adjustRightInd w:val="0"/>
                    <w:snapToGrid w:val="0"/>
                    <w:spacing w:line="240" w:lineRule="auto"/>
                    <w:jc w:val="center"/>
                    <w:rPr>
                      <w:sz w:val="21"/>
                      <w:szCs w:val="21"/>
                      <w:u w:val="single"/>
                    </w:rPr>
                  </w:pPr>
                  <w:r>
                    <w:rPr>
                      <w:sz w:val="21"/>
                      <w:szCs w:val="21"/>
                      <w:u w:val="single"/>
                    </w:rPr>
                    <w:t>/</w:t>
                  </w:r>
                </w:p>
              </w:tc>
              <w:tc>
                <w:tcPr>
                  <w:tcW w:w="478" w:type="pct"/>
                  <w:vAlign w:val="center"/>
                </w:tcPr>
                <w:p w14:paraId="28398731">
                  <w:pPr>
                    <w:wordWrap w:val="0"/>
                    <w:topLinePunct/>
                    <w:adjustRightInd w:val="0"/>
                    <w:snapToGrid w:val="0"/>
                    <w:spacing w:line="240" w:lineRule="auto"/>
                    <w:jc w:val="center"/>
                    <w:rPr>
                      <w:rFonts w:hint="eastAsia" w:eastAsia="宋体"/>
                      <w:sz w:val="21"/>
                      <w:szCs w:val="21"/>
                      <w:u w:val="single"/>
                      <w:lang w:eastAsia="zh-CN"/>
                    </w:rPr>
                  </w:pPr>
                  <w:r>
                    <w:rPr>
                      <w:rFonts w:hint="eastAsia"/>
                      <w:sz w:val="21"/>
                      <w:szCs w:val="21"/>
                      <w:u w:val="single"/>
                      <w:lang w:val="en-US" w:eastAsia="zh-CN"/>
                    </w:rPr>
                    <w:t>8</w:t>
                  </w:r>
                </w:p>
              </w:tc>
              <w:tc>
                <w:tcPr>
                  <w:tcW w:w="478" w:type="pct"/>
                  <w:vAlign w:val="center"/>
                </w:tcPr>
                <w:p w14:paraId="2A08C22C">
                  <w:pPr>
                    <w:wordWrap w:val="0"/>
                    <w:topLinePunct/>
                    <w:adjustRightInd w:val="0"/>
                    <w:snapToGrid w:val="0"/>
                    <w:spacing w:line="240" w:lineRule="auto"/>
                    <w:jc w:val="center"/>
                    <w:rPr>
                      <w:sz w:val="21"/>
                      <w:szCs w:val="21"/>
                      <w:u w:val="single"/>
                    </w:rPr>
                  </w:pPr>
                  <w:r>
                    <w:rPr>
                      <w:rFonts w:hint="eastAsia"/>
                      <w:sz w:val="21"/>
                      <w:szCs w:val="21"/>
                      <w:u w:val="single"/>
                    </w:rPr>
                    <w:t>新增</w:t>
                  </w:r>
                </w:p>
              </w:tc>
            </w:tr>
            <w:tr w14:paraId="7BA1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4043" w:type="pct"/>
                  <w:gridSpan w:val="5"/>
                  <w:vAlign w:val="center"/>
                </w:tcPr>
                <w:p w14:paraId="49115721">
                  <w:pPr>
                    <w:wordWrap w:val="0"/>
                    <w:topLinePunct/>
                    <w:adjustRightInd w:val="0"/>
                    <w:snapToGrid w:val="0"/>
                    <w:spacing w:line="240" w:lineRule="auto"/>
                    <w:jc w:val="center"/>
                    <w:rPr>
                      <w:sz w:val="21"/>
                      <w:szCs w:val="21"/>
                      <w:u w:val="single"/>
                    </w:rPr>
                  </w:pPr>
                  <w:r>
                    <w:rPr>
                      <w:sz w:val="21"/>
                      <w:szCs w:val="21"/>
                      <w:u w:val="single"/>
                    </w:rPr>
                    <w:t>合计</w:t>
                  </w:r>
                </w:p>
              </w:tc>
              <w:tc>
                <w:tcPr>
                  <w:tcW w:w="478" w:type="pct"/>
                  <w:vAlign w:val="center"/>
                </w:tcPr>
                <w:p w14:paraId="6A06F273">
                  <w:pPr>
                    <w:wordWrap w:val="0"/>
                    <w:topLinePunct/>
                    <w:adjustRightInd w:val="0"/>
                    <w:snapToGrid w:val="0"/>
                    <w:spacing w:line="240" w:lineRule="auto"/>
                    <w:jc w:val="center"/>
                    <w:rPr>
                      <w:rFonts w:hint="default" w:eastAsia="宋体"/>
                      <w:sz w:val="21"/>
                      <w:szCs w:val="21"/>
                      <w:u w:val="single"/>
                      <w:lang w:val="en-US" w:eastAsia="zh-CN"/>
                    </w:rPr>
                  </w:pPr>
                  <w:r>
                    <w:rPr>
                      <w:rFonts w:hint="eastAsia"/>
                      <w:sz w:val="21"/>
                      <w:szCs w:val="21"/>
                      <w:u w:val="single"/>
                      <w:lang w:val="en-US" w:eastAsia="zh-CN"/>
                    </w:rPr>
                    <w:t>50</w:t>
                  </w:r>
                </w:p>
              </w:tc>
              <w:tc>
                <w:tcPr>
                  <w:tcW w:w="478" w:type="pct"/>
                  <w:vAlign w:val="center"/>
                </w:tcPr>
                <w:p w14:paraId="4999B574">
                  <w:pPr>
                    <w:wordWrap w:val="0"/>
                    <w:topLinePunct/>
                    <w:adjustRightInd w:val="0"/>
                    <w:snapToGrid w:val="0"/>
                    <w:spacing w:line="240" w:lineRule="auto"/>
                    <w:jc w:val="center"/>
                    <w:rPr>
                      <w:sz w:val="21"/>
                      <w:szCs w:val="21"/>
                      <w:u w:val="single"/>
                    </w:rPr>
                  </w:pPr>
                  <w:r>
                    <w:rPr>
                      <w:rFonts w:hint="eastAsia"/>
                      <w:sz w:val="21"/>
                      <w:szCs w:val="21"/>
                      <w:u w:val="single"/>
                    </w:rPr>
                    <w:t>/</w:t>
                  </w:r>
                </w:p>
              </w:tc>
            </w:tr>
          </w:tbl>
          <w:p w14:paraId="022EA748">
            <w:pPr>
              <w:pStyle w:val="15"/>
              <w:spacing w:line="360" w:lineRule="auto"/>
              <w:ind w:firstLine="482" w:firstLineChars="200"/>
              <w:rPr>
                <w:rFonts w:hint="eastAsia" w:ascii="Times New Roman" w:hAnsi="Times New Roman" w:eastAsia="宋体"/>
                <w:b/>
                <w:bCs/>
                <w:sz w:val="24"/>
                <w:u w:val="single"/>
                <w:lang w:eastAsia="zh-CN"/>
              </w:rPr>
            </w:pPr>
            <w:r>
              <w:rPr>
                <w:rFonts w:hint="default" w:ascii="Times New Roman" w:hAnsi="Times New Roman" w:eastAsia="宋体" w:cs="Times New Roman"/>
                <w:b/>
                <w:bCs/>
                <w:sz w:val="24"/>
                <w:lang w:val="en-US" w:eastAsia="zh-CN"/>
              </w:rPr>
              <w:t>4.2.10</w:t>
            </w:r>
            <w:r>
              <w:rPr>
                <w:rFonts w:hint="default" w:ascii="Times New Roman" w:hAnsi="Times New Roman" w:eastAsia="宋体" w:cs="Times New Roman"/>
                <w:b/>
                <w:bCs/>
                <w:sz w:val="24"/>
                <w:u w:val="none"/>
                <w:lang w:eastAsia="zh-CN"/>
              </w:rPr>
              <w:t>“三本账”分析</w:t>
            </w:r>
          </w:p>
          <w:p w14:paraId="39202A5C">
            <w:pPr>
              <w:pStyle w:val="15"/>
              <w:spacing w:line="360" w:lineRule="auto"/>
              <w:ind w:firstLine="480" w:firstLineChars="200"/>
              <w:rPr>
                <w:rFonts w:ascii="Times New Roman" w:hAnsi="Times New Roman"/>
                <w:b/>
                <w:bCs/>
                <w:sz w:val="24"/>
                <w:u w:val="single"/>
              </w:rPr>
            </w:pPr>
            <w:r>
              <w:rPr>
                <w:rFonts w:hint="eastAsia"/>
                <w:color w:val="auto"/>
                <w:sz w:val="24"/>
                <w:u w:val="single"/>
              </w:rPr>
              <w:t>项目</w:t>
            </w:r>
            <w:r>
              <w:rPr>
                <w:rFonts w:hint="eastAsia"/>
                <w:bCs/>
                <w:sz w:val="24"/>
                <w:szCs w:val="24"/>
                <w:highlight w:val="none"/>
                <w:u w:val="single"/>
                <w:lang w:eastAsia="zh-CN"/>
              </w:rPr>
              <w:t>改</w:t>
            </w:r>
            <w:r>
              <w:rPr>
                <w:rFonts w:hint="eastAsia"/>
                <w:color w:val="auto"/>
                <w:sz w:val="24"/>
                <w:u w:val="single"/>
              </w:rPr>
              <w:t>扩建前后污染物排放变化情况详见下表：</w:t>
            </w:r>
          </w:p>
          <w:p w14:paraId="3FE88BF7">
            <w:pPr>
              <w:widowControl/>
              <w:kinsoku/>
              <w:wordWrap w:val="0"/>
              <w:overflowPunct/>
              <w:topLinePunct/>
              <w:autoSpaceDE/>
              <w:autoSpaceDN/>
              <w:adjustRightInd w:val="0"/>
              <w:snapToGrid w:val="0"/>
              <w:spacing w:before="0" w:line="240" w:lineRule="auto"/>
              <w:ind w:right="0" w:firstLine="0"/>
              <w:jc w:val="center"/>
              <w:rPr>
                <w:rFonts w:hint="default" w:ascii="Times New Roman" w:hAnsi="Times New Roman" w:eastAsia="宋体" w:cs="Times New Roman"/>
                <w:b/>
                <w:bCs/>
                <w:kern w:val="2"/>
                <w:sz w:val="21"/>
                <w:szCs w:val="21"/>
                <w:u w:val="single"/>
              </w:rPr>
            </w:pPr>
            <w:r>
              <w:rPr>
                <w:rFonts w:ascii="Times New Roman" w:hAnsi="Times New Roman" w:eastAsia="宋体" w:cs="Times New Roman"/>
                <w:b/>
                <w:bCs/>
                <w:kern w:val="2"/>
                <w:sz w:val="21"/>
                <w:szCs w:val="21"/>
                <w:u w:val="single"/>
              </w:rPr>
              <w:t>表</w:t>
            </w:r>
            <w:r>
              <w:rPr>
                <w:rFonts w:hint="default" w:ascii="Times New Roman" w:hAnsi="Times New Roman" w:eastAsia="宋体" w:cs="Times New Roman"/>
                <w:b/>
                <w:bCs/>
                <w:kern w:val="2"/>
                <w:sz w:val="21"/>
                <w:szCs w:val="21"/>
                <w:u w:val="single"/>
                <w:lang w:val="en-US" w:eastAsia="zh-CN"/>
              </w:rPr>
              <w:t>4</w:t>
            </w:r>
            <w:r>
              <w:rPr>
                <w:rFonts w:ascii="Times New Roman" w:hAnsi="Times New Roman" w:eastAsia="宋体" w:cs="Times New Roman"/>
                <w:b/>
                <w:bCs/>
                <w:kern w:val="2"/>
                <w:sz w:val="21"/>
                <w:szCs w:val="21"/>
                <w:u w:val="single"/>
              </w:rPr>
              <w:t>-</w:t>
            </w:r>
            <w:r>
              <w:rPr>
                <w:rFonts w:hint="eastAsia" w:ascii="Times New Roman" w:hAnsi="Times New Roman" w:eastAsia="宋体" w:cs="Times New Roman"/>
                <w:b/>
                <w:bCs/>
                <w:kern w:val="2"/>
                <w:sz w:val="21"/>
                <w:szCs w:val="21"/>
                <w:u w:val="single"/>
                <w:lang w:val="en-US" w:eastAsia="zh-CN"/>
              </w:rPr>
              <w:t>19</w:t>
            </w:r>
            <w:r>
              <w:rPr>
                <w:rFonts w:hint="default" w:ascii="Times New Roman" w:hAnsi="Times New Roman" w:eastAsia="宋体" w:cs="Times New Roman"/>
                <w:b/>
                <w:bCs/>
                <w:kern w:val="2"/>
                <w:sz w:val="21"/>
                <w:szCs w:val="21"/>
                <w:u w:val="single"/>
              </w:rPr>
              <w:t xml:space="preserve">  </w:t>
            </w:r>
            <w:r>
              <w:rPr>
                <w:rFonts w:ascii="Times New Roman" w:hAnsi="Times New Roman" w:eastAsia="宋体" w:cs="Times New Roman"/>
                <w:b/>
                <w:bCs/>
                <w:kern w:val="2"/>
                <w:sz w:val="21"/>
                <w:szCs w:val="21"/>
                <w:u w:val="single"/>
              </w:rPr>
              <w:t>本项目</w:t>
            </w:r>
            <w:r>
              <w:rPr>
                <w:rFonts w:hint="default"/>
                <w:b/>
                <w:bCs/>
                <w:sz w:val="21"/>
                <w:szCs w:val="21"/>
                <w:u w:val="single"/>
                <w:lang w:eastAsia="zh-CN"/>
              </w:rPr>
              <w:t>改</w:t>
            </w:r>
            <w:r>
              <w:rPr>
                <w:rFonts w:hint="default" w:ascii="Times New Roman" w:hAnsi="Times New Roman" w:eastAsia="宋体" w:cs="Times New Roman"/>
                <w:b/>
                <w:bCs/>
                <w:kern w:val="2"/>
                <w:sz w:val="21"/>
                <w:szCs w:val="21"/>
                <w:u w:val="single"/>
              </w:rPr>
              <w:t>扩建前后三本账分析</w:t>
            </w:r>
            <w:r>
              <w:rPr>
                <w:rFonts w:ascii="Times New Roman" w:hAnsi="Times New Roman" w:eastAsia="宋体" w:cs="Times New Roman"/>
                <w:b/>
                <w:bCs/>
                <w:kern w:val="2"/>
                <w:sz w:val="21"/>
                <w:szCs w:val="21"/>
                <w:u w:val="single"/>
              </w:rPr>
              <w:t>表</w:t>
            </w:r>
            <w:r>
              <w:rPr>
                <w:rFonts w:hint="default" w:ascii="Times New Roman" w:hAnsi="Times New Roman" w:eastAsia="宋体" w:cs="Times New Roman"/>
                <w:b/>
                <w:bCs/>
                <w:kern w:val="2"/>
                <w:sz w:val="21"/>
                <w:szCs w:val="21"/>
                <w:u w:val="single"/>
              </w:rPr>
              <w:t>（t/a）</w:t>
            </w:r>
          </w:p>
          <w:tbl>
            <w:tblPr>
              <w:tblStyle w:val="24"/>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71"/>
              <w:gridCol w:w="894"/>
              <w:gridCol w:w="1441"/>
              <w:gridCol w:w="1231"/>
              <w:gridCol w:w="1507"/>
              <w:gridCol w:w="1085"/>
              <w:gridCol w:w="1204"/>
            </w:tblGrid>
            <w:tr w14:paraId="170C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7" w:type="pct"/>
                  <w:gridSpan w:val="3"/>
                  <w:noWrap w:val="0"/>
                  <w:vAlign w:val="center"/>
                </w:tcPr>
                <w:p w14:paraId="740A4E0F">
                  <w:pPr>
                    <w:wordWrap w:val="0"/>
                    <w:topLinePunct/>
                    <w:adjustRightInd w:val="0"/>
                    <w:snapToGrid w:val="0"/>
                    <w:spacing w:line="240" w:lineRule="auto"/>
                    <w:ind w:firstLine="0" w:firstLineChars="0"/>
                    <w:jc w:val="center"/>
                    <w:rPr>
                      <w:rFonts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污染物类别</w:t>
                  </w:r>
                </w:p>
              </w:tc>
              <w:tc>
                <w:tcPr>
                  <w:tcW w:w="851" w:type="pct"/>
                  <w:noWrap w:val="0"/>
                  <w:vAlign w:val="center"/>
                </w:tcPr>
                <w:p w14:paraId="3F9896D3">
                  <w:pPr>
                    <w:wordWrap w:val="0"/>
                    <w:topLinePunct/>
                    <w:adjustRightInd w:val="0"/>
                    <w:snapToGrid w:val="0"/>
                    <w:spacing w:line="240" w:lineRule="auto"/>
                    <w:jc w:val="center"/>
                    <w:rPr>
                      <w:rFonts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现有项目</w:t>
                  </w:r>
                  <w:r>
                    <w:rPr>
                      <w:rFonts w:ascii="Times New Roman" w:hAnsi="Times New Roman" w:eastAsia="宋体" w:cs="Times New Roman"/>
                      <w:b/>
                      <w:bCs/>
                      <w:sz w:val="21"/>
                      <w:szCs w:val="21"/>
                      <w:u w:val="single"/>
                    </w:rPr>
                    <w:t>排放量</w:t>
                  </w:r>
                </w:p>
              </w:tc>
              <w:tc>
                <w:tcPr>
                  <w:tcW w:w="727" w:type="pct"/>
                  <w:noWrap w:val="0"/>
                  <w:vAlign w:val="center"/>
                </w:tcPr>
                <w:p w14:paraId="4CE002CB">
                  <w:pPr>
                    <w:wordWrap w:val="0"/>
                    <w:topLinePunct/>
                    <w:adjustRightInd w:val="0"/>
                    <w:snapToGrid w:val="0"/>
                    <w:spacing w:line="240" w:lineRule="auto"/>
                    <w:ind w:firstLine="0" w:firstLineChars="0"/>
                    <w:jc w:val="center"/>
                    <w:rPr>
                      <w:rFonts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本项目排放量</w:t>
                  </w:r>
                </w:p>
              </w:tc>
              <w:tc>
                <w:tcPr>
                  <w:tcW w:w="890" w:type="pct"/>
                  <w:noWrap w:val="0"/>
                  <w:vAlign w:val="center"/>
                </w:tcPr>
                <w:p w14:paraId="322D0398">
                  <w:pPr>
                    <w:wordWrap w:val="0"/>
                    <w:topLinePunct/>
                    <w:adjustRightInd w:val="0"/>
                    <w:snapToGrid w:val="0"/>
                    <w:spacing w:line="240" w:lineRule="auto"/>
                    <w:ind w:firstLine="0" w:firstLineChars="0"/>
                    <w:jc w:val="center"/>
                    <w:rPr>
                      <w:rFonts w:ascii="Times New Roman" w:hAnsi="Times New Roman" w:eastAsia="宋体" w:cs="Times New Roman"/>
                      <w:b/>
                      <w:bCs/>
                      <w:sz w:val="21"/>
                      <w:szCs w:val="21"/>
                      <w:u w:val="single"/>
                    </w:rPr>
                  </w:pPr>
                  <w:r>
                    <w:rPr>
                      <w:rFonts w:hint="default"/>
                      <w:b/>
                      <w:bCs/>
                      <w:sz w:val="21"/>
                      <w:szCs w:val="21"/>
                      <w:u w:val="single"/>
                      <w:lang w:eastAsia="zh-CN"/>
                    </w:rPr>
                    <w:t>改</w:t>
                  </w:r>
                  <w:r>
                    <w:rPr>
                      <w:rFonts w:hint="default" w:ascii="Times New Roman" w:hAnsi="Times New Roman" w:eastAsia="宋体" w:cs="Times New Roman"/>
                      <w:b/>
                      <w:bCs/>
                      <w:sz w:val="21"/>
                      <w:szCs w:val="21"/>
                      <w:u w:val="single"/>
                    </w:rPr>
                    <w:t>扩建后全厂排放量</w:t>
                  </w:r>
                </w:p>
              </w:tc>
              <w:tc>
                <w:tcPr>
                  <w:tcW w:w="641" w:type="pct"/>
                  <w:noWrap w:val="0"/>
                  <w:vAlign w:val="center"/>
                </w:tcPr>
                <w:p w14:paraId="1BBA4A21">
                  <w:pPr>
                    <w:wordWrap w:val="0"/>
                    <w:topLinePunct/>
                    <w:adjustRightInd w:val="0"/>
                    <w:snapToGrid w:val="0"/>
                    <w:spacing w:line="240" w:lineRule="auto"/>
                    <w:ind w:firstLine="0" w:firstLineChars="0"/>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以新带老量</w:t>
                  </w:r>
                </w:p>
              </w:tc>
              <w:tc>
                <w:tcPr>
                  <w:tcW w:w="711" w:type="pct"/>
                  <w:noWrap w:val="0"/>
                  <w:vAlign w:val="center"/>
                </w:tcPr>
                <w:p w14:paraId="6DF9533B">
                  <w:pPr>
                    <w:wordWrap w:val="0"/>
                    <w:topLinePunct/>
                    <w:adjustRightInd w:val="0"/>
                    <w:snapToGrid w:val="0"/>
                    <w:spacing w:line="240" w:lineRule="auto"/>
                    <w:ind w:firstLine="0" w:firstLineChars="0"/>
                    <w:jc w:val="center"/>
                    <w:rPr>
                      <w:rFonts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排放增减量</w:t>
                  </w:r>
                </w:p>
              </w:tc>
            </w:tr>
            <w:tr w14:paraId="3BBD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51" w:type="pct"/>
                  <w:vMerge w:val="restart"/>
                  <w:noWrap w:val="0"/>
                  <w:vAlign w:val="center"/>
                </w:tcPr>
                <w:p w14:paraId="788FF95B">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废水</w:t>
                  </w:r>
                </w:p>
              </w:tc>
              <w:tc>
                <w:tcPr>
                  <w:tcW w:w="397" w:type="pct"/>
                  <w:vMerge w:val="restart"/>
                  <w:noWrap w:val="0"/>
                  <w:vAlign w:val="center"/>
                </w:tcPr>
                <w:p w14:paraId="4C0F36FB">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综合废水</w:t>
                  </w:r>
                </w:p>
              </w:tc>
              <w:tc>
                <w:tcPr>
                  <w:tcW w:w="527" w:type="pct"/>
                  <w:noWrap w:val="0"/>
                  <w:vAlign w:val="center"/>
                </w:tcPr>
                <w:p w14:paraId="4D06BFAD">
                  <w:pPr>
                    <w:keepNext w:val="0"/>
                    <w:keepLines w:val="0"/>
                    <w:widowControl/>
                    <w:suppressLineNumbers w:val="0"/>
                    <w:spacing w:line="240" w:lineRule="auto"/>
                    <w:jc w:val="center"/>
                    <w:textAlignment w:val="center"/>
                    <w:rPr>
                      <w:rFonts w:ascii="Times New Roman" w:hAnsi="Times New Roman" w:eastAsia="宋体" w:cs="Times New Roman"/>
                      <w:sz w:val="21"/>
                      <w:szCs w:val="21"/>
                      <w:u w:val="single"/>
                    </w:rPr>
                  </w:pPr>
                  <w:r>
                    <w:rPr>
                      <w:rFonts w:ascii="Times New Roman" w:hAnsi="Times New Roman" w:eastAsia="宋体" w:cs="Times New Roman"/>
                      <w:kern w:val="0"/>
                      <w:sz w:val="21"/>
                      <w:szCs w:val="21"/>
                      <w:u w:val="single"/>
                      <w:lang w:val="en-US" w:eastAsia="zh-CN" w:bidi="ar"/>
                    </w:rPr>
                    <w:t>COD</w:t>
                  </w:r>
                </w:p>
              </w:tc>
              <w:tc>
                <w:tcPr>
                  <w:tcW w:w="851" w:type="pct"/>
                  <w:noWrap w:val="0"/>
                  <w:vAlign w:val="center"/>
                </w:tcPr>
                <w:p w14:paraId="6E3DA85F">
                  <w:pPr>
                    <w:keepNext w:val="0"/>
                    <w:keepLines w:val="0"/>
                    <w:widowControl/>
                    <w:suppressLineNumbers w:val="0"/>
                    <w:spacing w:line="240" w:lineRule="auto"/>
                    <w:jc w:val="center"/>
                    <w:textAlignment w:val="center"/>
                    <w:rPr>
                      <w:rFonts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i w:val="0"/>
                      <w:iCs w:val="0"/>
                      <w:kern w:val="0"/>
                      <w:sz w:val="21"/>
                      <w:szCs w:val="21"/>
                      <w:u w:val="single"/>
                      <w:lang w:val="en-US" w:eastAsia="zh-CN" w:bidi="ar"/>
                    </w:rPr>
                    <w:t>0</w:t>
                  </w:r>
                </w:p>
              </w:tc>
              <w:tc>
                <w:tcPr>
                  <w:tcW w:w="727" w:type="pct"/>
                  <w:noWrap w:val="0"/>
                  <w:vAlign w:val="center"/>
                </w:tcPr>
                <w:p w14:paraId="597BDC33">
                  <w:pPr>
                    <w:keepNext w:val="0"/>
                    <w:keepLines w:val="0"/>
                    <w:widowControl/>
                    <w:suppressLineNumbers w:val="0"/>
                    <w:wordWrap w:val="0"/>
                    <w:topLinePunct/>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i w:val="0"/>
                      <w:iCs w:val="0"/>
                      <w:kern w:val="0"/>
                      <w:sz w:val="21"/>
                      <w:szCs w:val="21"/>
                      <w:u w:val="single"/>
                      <w:lang w:val="en-US" w:eastAsia="zh-CN" w:bidi="ar"/>
                    </w:rPr>
                    <w:t>0</w:t>
                  </w:r>
                </w:p>
              </w:tc>
              <w:tc>
                <w:tcPr>
                  <w:tcW w:w="890" w:type="pct"/>
                  <w:noWrap w:val="0"/>
                  <w:vAlign w:val="center"/>
                </w:tcPr>
                <w:p w14:paraId="124F89D3">
                  <w:pPr>
                    <w:keepNext w:val="0"/>
                    <w:keepLines w:val="0"/>
                    <w:widowControl/>
                    <w:suppressLineNumbers w:val="0"/>
                    <w:wordWrap w:val="0"/>
                    <w:topLinePunct/>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i w:val="0"/>
                      <w:iCs w:val="0"/>
                      <w:kern w:val="0"/>
                      <w:sz w:val="21"/>
                      <w:szCs w:val="21"/>
                      <w:u w:val="single"/>
                      <w:lang w:val="en-US" w:eastAsia="zh-CN" w:bidi="ar"/>
                    </w:rPr>
                    <w:t>0</w:t>
                  </w:r>
                </w:p>
              </w:tc>
              <w:tc>
                <w:tcPr>
                  <w:tcW w:w="641" w:type="pct"/>
                  <w:noWrap w:val="0"/>
                  <w:vAlign w:val="center"/>
                </w:tcPr>
                <w:p w14:paraId="4AF7830C">
                  <w:pPr>
                    <w:widowControl/>
                    <w:wordWrap w:val="0"/>
                    <w:topLinePunct/>
                    <w:adjustRightInd w:val="0"/>
                    <w:snapToGrid w:val="0"/>
                    <w:spacing w:line="240" w:lineRule="auto"/>
                    <w:ind w:firstLine="0" w:firstLineChars="0"/>
                    <w:jc w:val="center"/>
                    <w:textAlignment w:val="auto"/>
                    <w:rPr>
                      <w:rFonts w:ascii="Times New Roman" w:hAnsi="Times New Roman" w:eastAsia="宋体" w:cs="Times New Roman"/>
                      <w:kern w:val="2"/>
                      <w:sz w:val="21"/>
                      <w:szCs w:val="21"/>
                      <w:u w:val="single"/>
                      <w:lang w:bidi="ar-SA"/>
                    </w:rPr>
                  </w:pPr>
                  <w:r>
                    <w:rPr>
                      <w:rFonts w:hint="eastAsia" w:ascii="Times New Roman" w:hAnsi="Times New Roman" w:eastAsia="宋体" w:cs="Times New Roman"/>
                      <w:i w:val="0"/>
                      <w:iCs w:val="0"/>
                      <w:kern w:val="0"/>
                      <w:sz w:val="21"/>
                      <w:szCs w:val="21"/>
                      <w:u w:val="single"/>
                      <w:lang w:val="en-US" w:eastAsia="zh-CN" w:bidi="ar"/>
                    </w:rPr>
                    <w:t>0</w:t>
                  </w:r>
                </w:p>
              </w:tc>
              <w:tc>
                <w:tcPr>
                  <w:tcW w:w="711" w:type="pct"/>
                  <w:noWrap w:val="0"/>
                  <w:vAlign w:val="center"/>
                </w:tcPr>
                <w:p w14:paraId="0D0CFBFD">
                  <w:pPr>
                    <w:keepNext w:val="0"/>
                    <w:keepLines w:val="0"/>
                    <w:widowControl/>
                    <w:suppressLineNumbers w:val="0"/>
                    <w:wordWrap w:val="0"/>
                    <w:topLinePunct/>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i w:val="0"/>
                      <w:iCs w:val="0"/>
                      <w:kern w:val="0"/>
                      <w:sz w:val="21"/>
                      <w:szCs w:val="21"/>
                      <w:u w:val="single"/>
                      <w:lang w:val="en-US" w:eastAsia="zh-CN" w:bidi="ar"/>
                    </w:rPr>
                    <w:t>0</w:t>
                  </w:r>
                </w:p>
              </w:tc>
            </w:tr>
            <w:tr w14:paraId="3603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251" w:type="pct"/>
                  <w:vMerge w:val="continue"/>
                  <w:noWrap w:val="0"/>
                  <w:vAlign w:val="center"/>
                </w:tcPr>
                <w:p w14:paraId="2E14E7F9">
                  <w:pPr>
                    <w:wordWrap w:val="0"/>
                    <w:topLinePunct/>
                    <w:adjustRightInd w:val="0"/>
                    <w:snapToGrid w:val="0"/>
                    <w:spacing w:line="240" w:lineRule="auto"/>
                    <w:ind w:firstLine="0"/>
                    <w:jc w:val="center"/>
                    <w:rPr>
                      <w:rFonts w:hint="default" w:ascii="Times New Roman" w:hAnsi="Times New Roman" w:eastAsia="宋体" w:cs="Times New Roman"/>
                      <w:sz w:val="21"/>
                      <w:szCs w:val="21"/>
                      <w:u w:val="single"/>
                    </w:rPr>
                  </w:pPr>
                </w:p>
              </w:tc>
              <w:tc>
                <w:tcPr>
                  <w:tcW w:w="397" w:type="pct"/>
                  <w:vMerge w:val="continue"/>
                  <w:noWrap w:val="0"/>
                  <w:vAlign w:val="center"/>
                </w:tcPr>
                <w:p w14:paraId="018C69BA">
                  <w:pPr>
                    <w:wordWrap w:val="0"/>
                    <w:topLinePunct/>
                    <w:adjustRightInd w:val="0"/>
                    <w:snapToGrid w:val="0"/>
                    <w:spacing w:line="240" w:lineRule="auto"/>
                    <w:ind w:firstLine="0" w:firstLineChars="0"/>
                    <w:jc w:val="center"/>
                    <w:rPr>
                      <w:rFonts w:ascii="Times New Roman" w:hAnsi="Times New Roman" w:eastAsia="宋体" w:cs="Times New Roman"/>
                      <w:sz w:val="21"/>
                      <w:szCs w:val="21"/>
                      <w:u w:val="single"/>
                    </w:rPr>
                  </w:pPr>
                </w:p>
              </w:tc>
              <w:tc>
                <w:tcPr>
                  <w:tcW w:w="527" w:type="pct"/>
                  <w:noWrap w:val="0"/>
                  <w:vAlign w:val="center"/>
                </w:tcPr>
                <w:p w14:paraId="5F24022B">
                  <w:pPr>
                    <w:keepNext w:val="0"/>
                    <w:keepLines w:val="0"/>
                    <w:widowControl/>
                    <w:suppressLineNumbers w:val="0"/>
                    <w:spacing w:line="240" w:lineRule="auto"/>
                    <w:jc w:val="center"/>
                    <w:textAlignment w:val="center"/>
                    <w:rPr>
                      <w:rFonts w:ascii="Times New Roman" w:hAnsi="Times New Roman" w:eastAsia="宋体" w:cs="Times New Roman"/>
                      <w:sz w:val="21"/>
                      <w:szCs w:val="21"/>
                      <w:u w:val="single"/>
                    </w:rPr>
                  </w:pPr>
                  <w:r>
                    <w:rPr>
                      <w:rFonts w:ascii="Times New Roman" w:hAnsi="Times New Roman" w:eastAsia="宋体" w:cs="Times New Roman"/>
                      <w:kern w:val="0"/>
                      <w:sz w:val="21"/>
                      <w:szCs w:val="21"/>
                      <w:u w:val="single"/>
                      <w:lang w:val="en-US" w:eastAsia="zh-CN" w:bidi="ar"/>
                    </w:rPr>
                    <w:t>BOD</w:t>
                  </w:r>
                  <w:r>
                    <w:rPr>
                      <w:rFonts w:ascii="Times New Roman" w:hAnsi="Times New Roman" w:eastAsia="宋体" w:cs="Times New Roman"/>
                      <w:kern w:val="0"/>
                      <w:sz w:val="21"/>
                      <w:szCs w:val="21"/>
                      <w:u w:val="single"/>
                      <w:vertAlign w:val="subscript"/>
                      <w:lang w:val="en-US" w:eastAsia="zh-CN" w:bidi="ar"/>
                    </w:rPr>
                    <w:t>5</w:t>
                  </w:r>
                </w:p>
              </w:tc>
              <w:tc>
                <w:tcPr>
                  <w:tcW w:w="851" w:type="pct"/>
                  <w:noWrap w:val="0"/>
                  <w:vAlign w:val="center"/>
                </w:tcPr>
                <w:p w14:paraId="1B1BE078">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i w:val="0"/>
                      <w:iCs w:val="0"/>
                      <w:kern w:val="0"/>
                      <w:sz w:val="21"/>
                      <w:szCs w:val="21"/>
                      <w:u w:val="single"/>
                      <w:lang w:val="en-US" w:eastAsia="zh-CN" w:bidi="ar"/>
                    </w:rPr>
                    <w:t>0</w:t>
                  </w:r>
                </w:p>
              </w:tc>
              <w:tc>
                <w:tcPr>
                  <w:tcW w:w="727" w:type="pct"/>
                  <w:noWrap w:val="0"/>
                  <w:vAlign w:val="center"/>
                </w:tcPr>
                <w:p w14:paraId="7F7694DD">
                  <w:pPr>
                    <w:keepNext w:val="0"/>
                    <w:keepLines w:val="0"/>
                    <w:widowControl/>
                    <w:suppressLineNumbers w:val="0"/>
                    <w:wordWrap w:val="0"/>
                    <w:topLinePunct/>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i w:val="0"/>
                      <w:iCs w:val="0"/>
                      <w:kern w:val="0"/>
                      <w:sz w:val="21"/>
                      <w:szCs w:val="21"/>
                      <w:u w:val="single"/>
                      <w:lang w:val="en-US" w:eastAsia="zh-CN" w:bidi="ar"/>
                    </w:rPr>
                    <w:t>0</w:t>
                  </w:r>
                </w:p>
              </w:tc>
              <w:tc>
                <w:tcPr>
                  <w:tcW w:w="890" w:type="pct"/>
                  <w:noWrap w:val="0"/>
                  <w:vAlign w:val="center"/>
                </w:tcPr>
                <w:p w14:paraId="4A1F355F">
                  <w:pPr>
                    <w:keepNext w:val="0"/>
                    <w:keepLines w:val="0"/>
                    <w:widowControl/>
                    <w:suppressLineNumbers w:val="0"/>
                    <w:wordWrap w:val="0"/>
                    <w:topLinePunct/>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i w:val="0"/>
                      <w:iCs w:val="0"/>
                      <w:kern w:val="0"/>
                      <w:sz w:val="21"/>
                      <w:szCs w:val="21"/>
                      <w:u w:val="single"/>
                      <w:lang w:val="en-US" w:eastAsia="zh-CN" w:bidi="ar"/>
                    </w:rPr>
                    <w:t>0</w:t>
                  </w:r>
                </w:p>
              </w:tc>
              <w:tc>
                <w:tcPr>
                  <w:tcW w:w="641" w:type="pct"/>
                  <w:noWrap w:val="0"/>
                  <w:vAlign w:val="center"/>
                </w:tcPr>
                <w:p w14:paraId="20C57194">
                  <w:pPr>
                    <w:widowControl/>
                    <w:wordWrap w:val="0"/>
                    <w:topLinePunct/>
                    <w:adjustRightInd w:val="0"/>
                    <w:snapToGrid w:val="0"/>
                    <w:spacing w:line="240" w:lineRule="auto"/>
                    <w:ind w:firstLine="0" w:firstLineChars="0"/>
                    <w:jc w:val="center"/>
                    <w:textAlignment w:val="auto"/>
                    <w:rPr>
                      <w:rFonts w:ascii="Times New Roman" w:hAnsi="Times New Roman" w:eastAsia="宋体" w:cs="Times New Roman"/>
                      <w:kern w:val="2"/>
                      <w:sz w:val="21"/>
                      <w:szCs w:val="21"/>
                      <w:u w:val="single"/>
                      <w:lang w:bidi="ar-SA"/>
                    </w:rPr>
                  </w:pPr>
                  <w:r>
                    <w:rPr>
                      <w:rFonts w:hint="eastAsia" w:ascii="Times New Roman" w:hAnsi="Times New Roman" w:eastAsia="宋体" w:cs="Times New Roman"/>
                      <w:i w:val="0"/>
                      <w:iCs w:val="0"/>
                      <w:kern w:val="0"/>
                      <w:sz w:val="21"/>
                      <w:szCs w:val="21"/>
                      <w:u w:val="single"/>
                      <w:lang w:val="en-US" w:eastAsia="zh-CN" w:bidi="ar"/>
                    </w:rPr>
                    <w:t>0</w:t>
                  </w:r>
                </w:p>
              </w:tc>
              <w:tc>
                <w:tcPr>
                  <w:tcW w:w="711" w:type="pct"/>
                  <w:noWrap w:val="0"/>
                  <w:vAlign w:val="center"/>
                </w:tcPr>
                <w:p w14:paraId="27E946AC">
                  <w:pPr>
                    <w:keepNext w:val="0"/>
                    <w:keepLines w:val="0"/>
                    <w:widowControl/>
                    <w:suppressLineNumbers w:val="0"/>
                    <w:wordWrap w:val="0"/>
                    <w:topLinePunct/>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i w:val="0"/>
                      <w:iCs w:val="0"/>
                      <w:kern w:val="0"/>
                      <w:sz w:val="21"/>
                      <w:szCs w:val="21"/>
                      <w:u w:val="single"/>
                      <w:lang w:val="en-US" w:eastAsia="zh-CN" w:bidi="ar"/>
                    </w:rPr>
                    <w:t>0</w:t>
                  </w:r>
                </w:p>
              </w:tc>
            </w:tr>
            <w:tr w14:paraId="3C11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251" w:type="pct"/>
                  <w:vMerge w:val="continue"/>
                  <w:noWrap w:val="0"/>
                  <w:vAlign w:val="center"/>
                </w:tcPr>
                <w:p w14:paraId="793595BE">
                  <w:pPr>
                    <w:wordWrap w:val="0"/>
                    <w:topLinePunct/>
                    <w:adjustRightInd w:val="0"/>
                    <w:snapToGrid w:val="0"/>
                    <w:spacing w:line="240" w:lineRule="auto"/>
                    <w:ind w:firstLine="0"/>
                    <w:jc w:val="center"/>
                    <w:rPr>
                      <w:rFonts w:hint="default" w:ascii="Times New Roman" w:hAnsi="Times New Roman" w:eastAsia="宋体" w:cs="Times New Roman"/>
                      <w:sz w:val="21"/>
                      <w:szCs w:val="21"/>
                      <w:u w:val="single"/>
                    </w:rPr>
                  </w:pPr>
                </w:p>
              </w:tc>
              <w:tc>
                <w:tcPr>
                  <w:tcW w:w="397" w:type="pct"/>
                  <w:vMerge w:val="continue"/>
                  <w:noWrap w:val="0"/>
                  <w:vAlign w:val="center"/>
                </w:tcPr>
                <w:p w14:paraId="437C7D9F">
                  <w:pPr>
                    <w:wordWrap w:val="0"/>
                    <w:topLinePunct/>
                    <w:adjustRightInd w:val="0"/>
                    <w:snapToGrid w:val="0"/>
                    <w:spacing w:line="240" w:lineRule="auto"/>
                    <w:ind w:firstLine="0" w:firstLineChars="0"/>
                    <w:jc w:val="center"/>
                    <w:rPr>
                      <w:rFonts w:ascii="Times New Roman" w:hAnsi="Times New Roman" w:eastAsia="宋体" w:cs="Times New Roman"/>
                      <w:sz w:val="21"/>
                      <w:szCs w:val="21"/>
                      <w:u w:val="single"/>
                    </w:rPr>
                  </w:pPr>
                </w:p>
              </w:tc>
              <w:tc>
                <w:tcPr>
                  <w:tcW w:w="527" w:type="pct"/>
                  <w:noWrap w:val="0"/>
                  <w:vAlign w:val="center"/>
                </w:tcPr>
                <w:p w14:paraId="4B2D03F1">
                  <w:pPr>
                    <w:keepNext w:val="0"/>
                    <w:keepLines w:val="0"/>
                    <w:widowControl/>
                    <w:suppressLineNumbers w:val="0"/>
                    <w:spacing w:line="240" w:lineRule="auto"/>
                    <w:jc w:val="center"/>
                    <w:textAlignment w:val="center"/>
                    <w:rPr>
                      <w:rFonts w:ascii="Times New Roman" w:hAnsi="Times New Roman" w:eastAsia="宋体" w:cs="Times New Roman"/>
                      <w:sz w:val="21"/>
                      <w:szCs w:val="21"/>
                      <w:u w:val="single"/>
                    </w:rPr>
                  </w:pPr>
                  <w:r>
                    <w:rPr>
                      <w:rFonts w:ascii="Times New Roman" w:hAnsi="Times New Roman" w:eastAsia="宋体" w:cs="Times New Roman"/>
                      <w:kern w:val="0"/>
                      <w:sz w:val="21"/>
                      <w:szCs w:val="21"/>
                      <w:u w:val="single"/>
                      <w:lang w:val="en-US" w:eastAsia="zh-CN" w:bidi="ar"/>
                    </w:rPr>
                    <w:t>SS</w:t>
                  </w:r>
                </w:p>
              </w:tc>
              <w:tc>
                <w:tcPr>
                  <w:tcW w:w="851" w:type="pct"/>
                  <w:noWrap w:val="0"/>
                  <w:vAlign w:val="center"/>
                </w:tcPr>
                <w:p w14:paraId="41B28AFF">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i w:val="0"/>
                      <w:iCs w:val="0"/>
                      <w:kern w:val="0"/>
                      <w:sz w:val="21"/>
                      <w:szCs w:val="21"/>
                      <w:u w:val="single"/>
                      <w:lang w:val="en-US" w:eastAsia="zh-CN" w:bidi="ar"/>
                    </w:rPr>
                    <w:t>0</w:t>
                  </w:r>
                </w:p>
              </w:tc>
              <w:tc>
                <w:tcPr>
                  <w:tcW w:w="727" w:type="pct"/>
                  <w:noWrap w:val="0"/>
                  <w:vAlign w:val="center"/>
                </w:tcPr>
                <w:p w14:paraId="55B2D8A3">
                  <w:pPr>
                    <w:keepNext w:val="0"/>
                    <w:keepLines w:val="0"/>
                    <w:widowControl/>
                    <w:suppressLineNumbers w:val="0"/>
                    <w:wordWrap w:val="0"/>
                    <w:topLinePunct/>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i w:val="0"/>
                      <w:iCs w:val="0"/>
                      <w:kern w:val="0"/>
                      <w:sz w:val="21"/>
                      <w:szCs w:val="21"/>
                      <w:u w:val="single"/>
                      <w:lang w:val="en-US" w:eastAsia="zh-CN" w:bidi="ar"/>
                    </w:rPr>
                    <w:t>0</w:t>
                  </w:r>
                </w:p>
              </w:tc>
              <w:tc>
                <w:tcPr>
                  <w:tcW w:w="890" w:type="pct"/>
                  <w:noWrap w:val="0"/>
                  <w:vAlign w:val="center"/>
                </w:tcPr>
                <w:p w14:paraId="065C00C5">
                  <w:pPr>
                    <w:keepNext w:val="0"/>
                    <w:keepLines w:val="0"/>
                    <w:widowControl/>
                    <w:suppressLineNumbers w:val="0"/>
                    <w:wordWrap w:val="0"/>
                    <w:topLinePunct/>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i w:val="0"/>
                      <w:iCs w:val="0"/>
                      <w:kern w:val="0"/>
                      <w:sz w:val="21"/>
                      <w:szCs w:val="21"/>
                      <w:u w:val="single"/>
                      <w:lang w:val="en-US" w:eastAsia="zh-CN" w:bidi="ar"/>
                    </w:rPr>
                    <w:t>0</w:t>
                  </w:r>
                </w:p>
              </w:tc>
              <w:tc>
                <w:tcPr>
                  <w:tcW w:w="641" w:type="pct"/>
                  <w:noWrap w:val="0"/>
                  <w:vAlign w:val="center"/>
                </w:tcPr>
                <w:p w14:paraId="1803C22C">
                  <w:pPr>
                    <w:widowControl/>
                    <w:wordWrap w:val="0"/>
                    <w:topLinePunct/>
                    <w:adjustRightInd w:val="0"/>
                    <w:snapToGrid w:val="0"/>
                    <w:spacing w:line="240" w:lineRule="auto"/>
                    <w:ind w:firstLine="0" w:firstLineChars="0"/>
                    <w:jc w:val="center"/>
                    <w:textAlignment w:val="auto"/>
                    <w:rPr>
                      <w:rFonts w:ascii="Times New Roman" w:hAnsi="Times New Roman" w:eastAsia="宋体" w:cs="Times New Roman"/>
                      <w:kern w:val="2"/>
                      <w:sz w:val="21"/>
                      <w:szCs w:val="21"/>
                      <w:u w:val="single"/>
                      <w:lang w:bidi="ar-SA"/>
                    </w:rPr>
                  </w:pPr>
                  <w:r>
                    <w:rPr>
                      <w:rFonts w:hint="eastAsia" w:ascii="Times New Roman" w:hAnsi="Times New Roman" w:eastAsia="宋体" w:cs="Times New Roman"/>
                      <w:i w:val="0"/>
                      <w:iCs w:val="0"/>
                      <w:kern w:val="0"/>
                      <w:sz w:val="21"/>
                      <w:szCs w:val="21"/>
                      <w:u w:val="single"/>
                      <w:lang w:val="en-US" w:eastAsia="zh-CN" w:bidi="ar"/>
                    </w:rPr>
                    <w:t>0</w:t>
                  </w:r>
                </w:p>
              </w:tc>
              <w:tc>
                <w:tcPr>
                  <w:tcW w:w="711" w:type="pct"/>
                  <w:noWrap w:val="0"/>
                  <w:vAlign w:val="center"/>
                </w:tcPr>
                <w:p w14:paraId="6C3F2D71">
                  <w:pPr>
                    <w:keepNext w:val="0"/>
                    <w:keepLines w:val="0"/>
                    <w:widowControl/>
                    <w:suppressLineNumbers w:val="0"/>
                    <w:wordWrap w:val="0"/>
                    <w:topLinePunct/>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i w:val="0"/>
                      <w:iCs w:val="0"/>
                      <w:kern w:val="0"/>
                      <w:sz w:val="21"/>
                      <w:szCs w:val="21"/>
                      <w:u w:val="single"/>
                      <w:lang w:val="en-US" w:eastAsia="zh-CN" w:bidi="ar"/>
                    </w:rPr>
                    <w:t>0</w:t>
                  </w:r>
                </w:p>
              </w:tc>
            </w:tr>
            <w:tr w14:paraId="67A8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51" w:type="pct"/>
                  <w:vMerge w:val="continue"/>
                  <w:noWrap w:val="0"/>
                  <w:vAlign w:val="center"/>
                </w:tcPr>
                <w:p w14:paraId="7B359CB0">
                  <w:pPr>
                    <w:wordWrap w:val="0"/>
                    <w:topLinePunct/>
                    <w:adjustRightInd w:val="0"/>
                    <w:snapToGrid w:val="0"/>
                    <w:spacing w:line="240" w:lineRule="auto"/>
                    <w:ind w:firstLine="0"/>
                    <w:jc w:val="center"/>
                    <w:rPr>
                      <w:rFonts w:hint="default" w:ascii="Times New Roman" w:hAnsi="Times New Roman" w:eastAsia="宋体" w:cs="Times New Roman"/>
                      <w:sz w:val="21"/>
                      <w:szCs w:val="21"/>
                      <w:u w:val="single"/>
                    </w:rPr>
                  </w:pPr>
                </w:p>
              </w:tc>
              <w:tc>
                <w:tcPr>
                  <w:tcW w:w="397" w:type="pct"/>
                  <w:vMerge w:val="continue"/>
                  <w:noWrap w:val="0"/>
                  <w:vAlign w:val="center"/>
                </w:tcPr>
                <w:p w14:paraId="03805A86">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rPr>
                  </w:pPr>
                </w:p>
              </w:tc>
              <w:tc>
                <w:tcPr>
                  <w:tcW w:w="527" w:type="pct"/>
                  <w:noWrap w:val="0"/>
                  <w:vAlign w:val="center"/>
                </w:tcPr>
                <w:p w14:paraId="7F15E9D6">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u w:val="single"/>
                    </w:rPr>
                  </w:pPr>
                  <w:r>
                    <w:rPr>
                      <w:rFonts w:hint="default" w:ascii="Times New Roman" w:hAnsi="Times New Roman" w:eastAsia="宋体" w:cs="Times New Roman"/>
                      <w:kern w:val="0"/>
                      <w:sz w:val="21"/>
                      <w:szCs w:val="21"/>
                      <w:u w:val="single"/>
                      <w:lang w:val="en-US" w:eastAsia="zh-CN" w:bidi="ar"/>
                    </w:rPr>
                    <w:t>氨氮</w:t>
                  </w:r>
                </w:p>
              </w:tc>
              <w:tc>
                <w:tcPr>
                  <w:tcW w:w="851" w:type="pct"/>
                  <w:noWrap w:val="0"/>
                  <w:vAlign w:val="center"/>
                </w:tcPr>
                <w:p w14:paraId="4168B876">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i w:val="0"/>
                      <w:iCs w:val="0"/>
                      <w:kern w:val="0"/>
                      <w:sz w:val="21"/>
                      <w:szCs w:val="21"/>
                      <w:u w:val="single"/>
                      <w:lang w:val="en-US" w:eastAsia="zh-CN" w:bidi="ar"/>
                    </w:rPr>
                    <w:t>0</w:t>
                  </w:r>
                </w:p>
              </w:tc>
              <w:tc>
                <w:tcPr>
                  <w:tcW w:w="727" w:type="pct"/>
                  <w:noWrap w:val="0"/>
                  <w:vAlign w:val="center"/>
                </w:tcPr>
                <w:p w14:paraId="6B0A628B">
                  <w:pPr>
                    <w:keepNext w:val="0"/>
                    <w:keepLines w:val="0"/>
                    <w:widowControl/>
                    <w:suppressLineNumbers w:val="0"/>
                    <w:wordWrap w:val="0"/>
                    <w:topLinePunct/>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i w:val="0"/>
                      <w:iCs w:val="0"/>
                      <w:kern w:val="0"/>
                      <w:sz w:val="21"/>
                      <w:szCs w:val="21"/>
                      <w:u w:val="single"/>
                      <w:lang w:val="en-US" w:eastAsia="zh-CN" w:bidi="ar"/>
                    </w:rPr>
                    <w:t>0</w:t>
                  </w:r>
                </w:p>
              </w:tc>
              <w:tc>
                <w:tcPr>
                  <w:tcW w:w="890" w:type="pct"/>
                  <w:noWrap w:val="0"/>
                  <w:vAlign w:val="center"/>
                </w:tcPr>
                <w:p w14:paraId="6D3DBBD6">
                  <w:pPr>
                    <w:keepNext w:val="0"/>
                    <w:keepLines w:val="0"/>
                    <w:widowControl/>
                    <w:suppressLineNumbers w:val="0"/>
                    <w:wordWrap w:val="0"/>
                    <w:topLinePunct/>
                    <w:adjustRightInd w:val="0"/>
                    <w:snapToGrid w:val="0"/>
                    <w:spacing w:line="240" w:lineRule="auto"/>
                    <w:jc w:val="center"/>
                    <w:textAlignment w:val="auto"/>
                    <w:rPr>
                      <w:rFonts w:ascii="Times New Roman" w:hAnsi="Times New Roman" w:eastAsia="宋体" w:cs="Times New Roman"/>
                      <w:kern w:val="2"/>
                      <w:sz w:val="21"/>
                      <w:szCs w:val="21"/>
                      <w:u w:val="single"/>
                      <w:lang w:bidi="ar-SA"/>
                    </w:rPr>
                  </w:pPr>
                  <w:r>
                    <w:rPr>
                      <w:rFonts w:hint="eastAsia" w:ascii="Times New Roman" w:hAnsi="Times New Roman" w:eastAsia="宋体" w:cs="Times New Roman"/>
                      <w:i w:val="0"/>
                      <w:iCs w:val="0"/>
                      <w:kern w:val="0"/>
                      <w:sz w:val="21"/>
                      <w:szCs w:val="21"/>
                      <w:u w:val="single"/>
                      <w:lang w:val="en-US" w:eastAsia="zh-CN" w:bidi="ar"/>
                    </w:rPr>
                    <w:t>0</w:t>
                  </w:r>
                </w:p>
              </w:tc>
              <w:tc>
                <w:tcPr>
                  <w:tcW w:w="641" w:type="pct"/>
                  <w:noWrap w:val="0"/>
                  <w:vAlign w:val="center"/>
                </w:tcPr>
                <w:p w14:paraId="4EA9D506">
                  <w:pPr>
                    <w:widowControl/>
                    <w:wordWrap w:val="0"/>
                    <w:topLinePunct/>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i w:val="0"/>
                      <w:iCs w:val="0"/>
                      <w:kern w:val="0"/>
                      <w:sz w:val="21"/>
                      <w:szCs w:val="21"/>
                      <w:u w:val="single"/>
                      <w:lang w:val="en-US" w:eastAsia="zh-CN" w:bidi="ar"/>
                    </w:rPr>
                    <w:t>0</w:t>
                  </w:r>
                </w:p>
              </w:tc>
              <w:tc>
                <w:tcPr>
                  <w:tcW w:w="711" w:type="pct"/>
                  <w:noWrap w:val="0"/>
                  <w:vAlign w:val="center"/>
                </w:tcPr>
                <w:p w14:paraId="4A4871B1">
                  <w:pPr>
                    <w:keepNext w:val="0"/>
                    <w:keepLines w:val="0"/>
                    <w:widowControl/>
                    <w:suppressLineNumbers w:val="0"/>
                    <w:wordWrap w:val="0"/>
                    <w:topLinePunct/>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i w:val="0"/>
                      <w:iCs w:val="0"/>
                      <w:kern w:val="0"/>
                      <w:sz w:val="21"/>
                      <w:szCs w:val="21"/>
                      <w:u w:val="single"/>
                      <w:lang w:val="en-US" w:eastAsia="zh-CN" w:bidi="ar"/>
                    </w:rPr>
                    <w:t>0</w:t>
                  </w:r>
                </w:p>
              </w:tc>
            </w:tr>
            <w:tr w14:paraId="2511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251" w:type="pct"/>
                  <w:vMerge w:val="continue"/>
                  <w:noWrap w:val="0"/>
                  <w:vAlign w:val="center"/>
                </w:tcPr>
                <w:p w14:paraId="2608E8B6">
                  <w:pPr>
                    <w:wordWrap w:val="0"/>
                    <w:topLinePunct/>
                    <w:adjustRightInd w:val="0"/>
                    <w:snapToGrid w:val="0"/>
                    <w:spacing w:line="240" w:lineRule="auto"/>
                    <w:ind w:firstLine="0"/>
                    <w:jc w:val="center"/>
                    <w:rPr>
                      <w:rFonts w:hint="default" w:ascii="Times New Roman" w:hAnsi="Times New Roman" w:eastAsia="宋体" w:cs="Times New Roman"/>
                      <w:sz w:val="21"/>
                      <w:szCs w:val="21"/>
                      <w:u w:val="single"/>
                    </w:rPr>
                  </w:pPr>
                </w:p>
              </w:tc>
              <w:tc>
                <w:tcPr>
                  <w:tcW w:w="397" w:type="pct"/>
                  <w:vMerge w:val="continue"/>
                  <w:noWrap w:val="0"/>
                  <w:vAlign w:val="center"/>
                </w:tcPr>
                <w:p w14:paraId="358C4FED">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rPr>
                  </w:pPr>
                </w:p>
              </w:tc>
              <w:tc>
                <w:tcPr>
                  <w:tcW w:w="527" w:type="pct"/>
                  <w:vMerge w:val="restart"/>
                  <w:noWrap w:val="0"/>
                  <w:vAlign w:val="center"/>
                </w:tcPr>
                <w:p w14:paraId="3F6AC0B7">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u w:val="single"/>
                    </w:rPr>
                  </w:pPr>
                  <w:r>
                    <w:rPr>
                      <w:rFonts w:hint="default" w:ascii="Times New Roman" w:hAnsi="Times New Roman" w:eastAsia="宋体" w:cs="Times New Roman"/>
                      <w:kern w:val="0"/>
                      <w:sz w:val="21"/>
                      <w:szCs w:val="21"/>
                      <w:u w:val="single"/>
                      <w:lang w:val="en-US" w:eastAsia="zh-CN" w:bidi="ar"/>
                    </w:rPr>
                    <w:t>动植物油</w:t>
                  </w:r>
                </w:p>
              </w:tc>
              <w:tc>
                <w:tcPr>
                  <w:tcW w:w="851" w:type="pct"/>
                  <w:vMerge w:val="restart"/>
                  <w:noWrap w:val="0"/>
                  <w:vAlign w:val="center"/>
                </w:tcPr>
                <w:p w14:paraId="75631FEC">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i w:val="0"/>
                      <w:iCs w:val="0"/>
                      <w:kern w:val="0"/>
                      <w:sz w:val="21"/>
                      <w:szCs w:val="21"/>
                      <w:u w:val="single"/>
                      <w:lang w:val="en-US" w:eastAsia="zh-CN" w:bidi="ar"/>
                    </w:rPr>
                    <w:t>0</w:t>
                  </w:r>
                </w:p>
              </w:tc>
              <w:tc>
                <w:tcPr>
                  <w:tcW w:w="727" w:type="pct"/>
                  <w:vMerge w:val="restart"/>
                  <w:noWrap w:val="0"/>
                  <w:vAlign w:val="center"/>
                </w:tcPr>
                <w:p w14:paraId="04DD0A0C">
                  <w:pPr>
                    <w:keepNext w:val="0"/>
                    <w:keepLines w:val="0"/>
                    <w:widowControl/>
                    <w:suppressLineNumbers w:val="0"/>
                    <w:wordWrap w:val="0"/>
                    <w:topLinePunct/>
                    <w:adjustRightInd w:val="0"/>
                    <w:snapToGrid w:val="0"/>
                    <w:spacing w:line="240" w:lineRule="auto"/>
                    <w:jc w:val="center"/>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i w:val="0"/>
                      <w:iCs w:val="0"/>
                      <w:kern w:val="0"/>
                      <w:sz w:val="21"/>
                      <w:szCs w:val="21"/>
                      <w:u w:val="single"/>
                      <w:lang w:val="en-US" w:eastAsia="zh-CN" w:bidi="ar"/>
                    </w:rPr>
                    <w:t>0</w:t>
                  </w:r>
                </w:p>
              </w:tc>
              <w:tc>
                <w:tcPr>
                  <w:tcW w:w="890" w:type="pct"/>
                  <w:vMerge w:val="restart"/>
                  <w:noWrap w:val="0"/>
                  <w:vAlign w:val="center"/>
                </w:tcPr>
                <w:p w14:paraId="1688DB3D">
                  <w:pPr>
                    <w:keepNext w:val="0"/>
                    <w:keepLines w:val="0"/>
                    <w:widowControl/>
                    <w:suppressLineNumbers w:val="0"/>
                    <w:wordWrap w:val="0"/>
                    <w:topLinePunct/>
                    <w:adjustRightInd w:val="0"/>
                    <w:snapToGrid w:val="0"/>
                    <w:spacing w:line="240" w:lineRule="auto"/>
                    <w:jc w:val="center"/>
                    <w:textAlignment w:val="auto"/>
                    <w:rPr>
                      <w:rFonts w:ascii="Times New Roman" w:hAnsi="Times New Roman" w:eastAsia="宋体" w:cs="Times New Roman"/>
                      <w:kern w:val="2"/>
                      <w:sz w:val="21"/>
                      <w:szCs w:val="21"/>
                      <w:u w:val="single"/>
                      <w:lang w:bidi="ar-SA"/>
                    </w:rPr>
                  </w:pPr>
                  <w:r>
                    <w:rPr>
                      <w:rFonts w:hint="eastAsia" w:ascii="Times New Roman" w:hAnsi="Times New Roman" w:eastAsia="宋体" w:cs="Times New Roman"/>
                      <w:i w:val="0"/>
                      <w:iCs w:val="0"/>
                      <w:kern w:val="0"/>
                      <w:sz w:val="21"/>
                      <w:szCs w:val="21"/>
                      <w:u w:val="single"/>
                      <w:lang w:val="en-US" w:eastAsia="zh-CN" w:bidi="ar"/>
                    </w:rPr>
                    <w:t>0</w:t>
                  </w:r>
                </w:p>
              </w:tc>
              <w:tc>
                <w:tcPr>
                  <w:tcW w:w="641" w:type="pct"/>
                  <w:noWrap w:val="0"/>
                  <w:vAlign w:val="center"/>
                </w:tcPr>
                <w:p w14:paraId="3D09C84E">
                  <w:pPr>
                    <w:widowControl/>
                    <w:wordWrap w:val="0"/>
                    <w:topLinePunct/>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i w:val="0"/>
                      <w:iCs w:val="0"/>
                      <w:kern w:val="0"/>
                      <w:sz w:val="21"/>
                      <w:szCs w:val="21"/>
                      <w:u w:val="single"/>
                      <w:lang w:val="en-US" w:eastAsia="zh-CN" w:bidi="ar"/>
                    </w:rPr>
                    <w:t>0</w:t>
                  </w:r>
                </w:p>
              </w:tc>
              <w:tc>
                <w:tcPr>
                  <w:tcW w:w="711" w:type="pct"/>
                  <w:noWrap w:val="0"/>
                  <w:vAlign w:val="center"/>
                </w:tcPr>
                <w:p w14:paraId="1946A16F">
                  <w:pPr>
                    <w:wordWrap w:val="0"/>
                    <w:topLinePunct/>
                    <w:jc w:val="center"/>
                    <w:rPr>
                      <w:rFonts w:hint="default" w:ascii="Times New Roman" w:hAnsi="Times New Roman" w:eastAsia="宋体" w:cs="Times New Roman"/>
                      <w:sz w:val="21"/>
                      <w:szCs w:val="21"/>
                      <w:u w:val="single"/>
                    </w:rPr>
                  </w:pPr>
                  <w:r>
                    <w:rPr>
                      <w:rFonts w:hint="eastAsia" w:ascii="Times New Roman" w:hAnsi="Times New Roman" w:eastAsia="宋体" w:cs="Times New Roman"/>
                      <w:i w:val="0"/>
                      <w:iCs w:val="0"/>
                      <w:kern w:val="0"/>
                      <w:sz w:val="21"/>
                      <w:szCs w:val="21"/>
                      <w:u w:val="single"/>
                      <w:lang w:val="en-US" w:eastAsia="zh-CN" w:bidi="ar"/>
                    </w:rPr>
                    <w:t>0</w:t>
                  </w:r>
                </w:p>
              </w:tc>
            </w:tr>
            <w:tr w14:paraId="4BD2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51" w:type="pct"/>
                  <w:vMerge w:val="restart"/>
                  <w:noWrap w:val="0"/>
                  <w:vAlign w:val="center"/>
                </w:tcPr>
                <w:p w14:paraId="64F8A6A2">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废气</w:t>
                  </w:r>
                </w:p>
              </w:tc>
              <w:tc>
                <w:tcPr>
                  <w:tcW w:w="397" w:type="pct"/>
                  <w:vMerge w:val="restart"/>
                  <w:noWrap w:val="0"/>
                  <w:vAlign w:val="center"/>
                </w:tcPr>
                <w:p w14:paraId="1EF1C3F0">
                  <w:pPr>
                    <w:wordWrap w:val="0"/>
                    <w:topLinePunct/>
                    <w:adjustRightInd w:val="0"/>
                    <w:snapToGrid w:val="0"/>
                    <w:spacing w:line="240" w:lineRule="auto"/>
                    <w:ind w:right="0" w:rightChars="0" w:firstLine="0" w:firstLineChars="0"/>
                    <w:jc w:val="center"/>
                    <w:rPr>
                      <w:rFonts w:hint="default" w:ascii="Times New Roman" w:hAnsi="Times New Roman" w:eastAsia="宋体" w:cs="Times New Roman"/>
                      <w:bCs w:val="0"/>
                      <w:sz w:val="21"/>
                      <w:szCs w:val="21"/>
                      <w:u w:val="single"/>
                      <w:lang w:eastAsia="zh-CN"/>
                    </w:rPr>
                  </w:pPr>
                  <w:r>
                    <w:rPr>
                      <w:rFonts w:hint="eastAsia" w:ascii="Times New Roman" w:hAnsi="Times New Roman" w:eastAsia="宋体" w:cs="Times New Roman"/>
                      <w:bCs w:val="0"/>
                      <w:sz w:val="21"/>
                      <w:szCs w:val="21"/>
                      <w:u w:val="single"/>
                      <w:lang w:eastAsia="zh-CN"/>
                    </w:rPr>
                    <w:t>生产废气</w:t>
                  </w:r>
                </w:p>
              </w:tc>
              <w:tc>
                <w:tcPr>
                  <w:tcW w:w="527" w:type="pct"/>
                  <w:vMerge w:val="restart"/>
                  <w:noWrap w:val="0"/>
                  <w:vAlign w:val="center"/>
                </w:tcPr>
                <w:p w14:paraId="4C2AE376">
                  <w:pPr>
                    <w:widowControl/>
                    <w:wordWrap w:val="0"/>
                    <w:topLinePunct/>
                    <w:adjustRightInd w:val="0"/>
                    <w:snapToGrid w:val="0"/>
                    <w:spacing w:line="240" w:lineRule="auto"/>
                    <w:jc w:val="center"/>
                    <w:rPr>
                      <w:rFonts w:hint="eastAsia" w:ascii="Times New Roman" w:hAnsi="Times New Roman" w:eastAsia="宋体" w:cs="Times New Roman"/>
                      <w:bCs w:val="0"/>
                      <w:sz w:val="21"/>
                      <w:szCs w:val="21"/>
                      <w:u w:val="single"/>
                      <w:lang w:eastAsia="zh-CN"/>
                    </w:rPr>
                  </w:pPr>
                  <w:r>
                    <w:rPr>
                      <w:rFonts w:hint="eastAsia" w:ascii="Times New Roman" w:hAnsi="Times New Roman" w:eastAsia="宋体" w:cs="Times New Roman"/>
                      <w:bCs w:val="0"/>
                      <w:sz w:val="21"/>
                      <w:szCs w:val="21"/>
                      <w:u w:val="single"/>
                      <w:lang w:eastAsia="zh-CN"/>
                    </w:rPr>
                    <w:t>颗粒物</w:t>
                  </w:r>
                </w:p>
              </w:tc>
              <w:tc>
                <w:tcPr>
                  <w:tcW w:w="851" w:type="pct"/>
                  <w:vMerge w:val="restart"/>
                  <w:noWrap w:val="0"/>
                  <w:vAlign w:val="center"/>
                </w:tcPr>
                <w:p w14:paraId="3B298C1C">
                  <w:pPr>
                    <w:widowControl/>
                    <w:wordWrap w:val="0"/>
                    <w:topLinePunct/>
                    <w:adjustRightInd w:val="0"/>
                    <w:snapToGrid w:val="0"/>
                    <w:spacing w:line="240" w:lineRule="auto"/>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0.229</w:t>
                  </w:r>
                </w:p>
              </w:tc>
              <w:tc>
                <w:tcPr>
                  <w:tcW w:w="727" w:type="pct"/>
                  <w:vMerge w:val="restart"/>
                  <w:noWrap w:val="0"/>
                  <w:vAlign w:val="center"/>
                </w:tcPr>
                <w:p w14:paraId="74014414">
                  <w:pPr>
                    <w:widowControl/>
                    <w:adjustRightInd w:val="0"/>
                    <w:snapToGrid w:val="0"/>
                    <w:spacing w:line="240" w:lineRule="auto"/>
                    <w:jc w:val="center"/>
                    <w:rPr>
                      <w:rFonts w:hint="default" w:ascii="Times New Roman" w:hAnsi="Times New Roman" w:eastAsia="宋体" w:cs="Times New Roman"/>
                      <w:bCs w:val="0"/>
                      <w:sz w:val="21"/>
                      <w:szCs w:val="21"/>
                      <w:u w:val="single"/>
                      <w:lang w:val="en-US" w:eastAsia="zh-CN"/>
                    </w:rPr>
                  </w:pPr>
                  <w:r>
                    <w:rPr>
                      <w:rFonts w:eastAsiaTheme="minorEastAsia"/>
                      <w:kern w:val="0"/>
                      <w:sz w:val="20"/>
                    </w:rPr>
                    <w:t>0.</w:t>
                  </w:r>
                  <w:r>
                    <w:rPr>
                      <w:rFonts w:hint="eastAsia" w:eastAsiaTheme="minorEastAsia"/>
                      <w:kern w:val="0"/>
                      <w:sz w:val="20"/>
                      <w:lang w:val="en-US" w:eastAsia="zh-CN"/>
                    </w:rPr>
                    <w:t>377</w:t>
                  </w:r>
                </w:p>
              </w:tc>
              <w:tc>
                <w:tcPr>
                  <w:tcW w:w="890" w:type="pct"/>
                  <w:vMerge w:val="restart"/>
                  <w:noWrap w:val="0"/>
                  <w:vAlign w:val="center"/>
                </w:tcPr>
                <w:p w14:paraId="3F867F18">
                  <w:pPr>
                    <w:widowControl/>
                    <w:adjustRightInd w:val="0"/>
                    <w:snapToGrid w:val="0"/>
                    <w:spacing w:line="240" w:lineRule="auto"/>
                    <w:jc w:val="center"/>
                    <w:rPr>
                      <w:rFonts w:hint="default" w:ascii="Times New Roman" w:hAnsi="Times New Roman" w:eastAsia="宋体" w:cs="Times New Roman"/>
                      <w:bCs w:val="0"/>
                      <w:kern w:val="2"/>
                      <w:sz w:val="21"/>
                      <w:szCs w:val="21"/>
                      <w:u w:val="single"/>
                      <w:lang w:val="en-US" w:eastAsia="zh-CN" w:bidi="ar-SA"/>
                    </w:rPr>
                  </w:pPr>
                  <w:r>
                    <w:rPr>
                      <w:rFonts w:eastAsiaTheme="minorEastAsia"/>
                      <w:kern w:val="0"/>
                      <w:sz w:val="20"/>
                    </w:rPr>
                    <w:t>0.</w:t>
                  </w:r>
                  <w:r>
                    <w:rPr>
                      <w:rFonts w:hint="eastAsia" w:eastAsiaTheme="minorEastAsia"/>
                      <w:kern w:val="0"/>
                      <w:sz w:val="20"/>
                      <w:lang w:val="en-US" w:eastAsia="zh-CN"/>
                    </w:rPr>
                    <w:t>377</w:t>
                  </w:r>
                </w:p>
              </w:tc>
              <w:tc>
                <w:tcPr>
                  <w:tcW w:w="641" w:type="pct"/>
                  <w:noWrap w:val="0"/>
                  <w:vAlign w:val="center"/>
                </w:tcPr>
                <w:p w14:paraId="773D293A">
                  <w:pPr>
                    <w:widowControl/>
                    <w:wordWrap w:val="0"/>
                    <w:topLinePunct/>
                    <w:adjustRightInd w:val="0"/>
                    <w:snapToGrid w:val="0"/>
                    <w:spacing w:line="240" w:lineRule="auto"/>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lang w:val="en-US" w:eastAsia="zh-CN"/>
                    </w:rPr>
                    <w:t>0.229</w:t>
                  </w:r>
                </w:p>
              </w:tc>
              <w:tc>
                <w:tcPr>
                  <w:tcW w:w="711" w:type="pct"/>
                  <w:noWrap w:val="0"/>
                  <w:vAlign w:val="center"/>
                </w:tcPr>
                <w:p w14:paraId="2C282E86">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+0.148</w:t>
                  </w:r>
                </w:p>
              </w:tc>
            </w:tr>
            <w:tr w14:paraId="591D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51" w:type="pct"/>
                  <w:vMerge w:val="continue"/>
                  <w:noWrap w:val="0"/>
                  <w:vAlign w:val="center"/>
                </w:tcPr>
                <w:p w14:paraId="76DF59D0">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rPr>
                  </w:pPr>
                </w:p>
              </w:tc>
              <w:tc>
                <w:tcPr>
                  <w:tcW w:w="397" w:type="pct"/>
                  <w:vMerge w:val="continue"/>
                  <w:noWrap w:val="0"/>
                  <w:vAlign w:val="center"/>
                </w:tcPr>
                <w:p w14:paraId="08607224">
                  <w:pPr>
                    <w:wordWrap w:val="0"/>
                    <w:topLinePunct/>
                    <w:adjustRightInd w:val="0"/>
                    <w:snapToGrid w:val="0"/>
                    <w:spacing w:line="240" w:lineRule="auto"/>
                    <w:ind w:right="0" w:rightChars="0" w:firstLine="0" w:firstLineChars="0"/>
                    <w:jc w:val="center"/>
                    <w:rPr>
                      <w:rFonts w:hint="default" w:ascii="Times New Roman" w:hAnsi="Times New Roman" w:eastAsia="宋体" w:cs="Times New Roman"/>
                      <w:bCs w:val="0"/>
                      <w:sz w:val="21"/>
                      <w:szCs w:val="21"/>
                      <w:u w:val="single"/>
                    </w:rPr>
                  </w:pPr>
                </w:p>
              </w:tc>
              <w:tc>
                <w:tcPr>
                  <w:tcW w:w="527" w:type="pct"/>
                  <w:noWrap w:val="0"/>
                  <w:vAlign w:val="center"/>
                </w:tcPr>
                <w:p w14:paraId="36AA9BDC">
                  <w:pPr>
                    <w:wordWrap w:val="0"/>
                    <w:topLinePunct/>
                    <w:jc w:val="center"/>
                    <w:rPr>
                      <w:rFonts w:hint="eastAsia" w:ascii="Times New Roman" w:hAnsi="Times New Roman" w:eastAsia="宋体" w:cs="Times New Roman"/>
                      <w:snapToGrid/>
                      <w:kern w:val="2"/>
                      <w:sz w:val="21"/>
                      <w:szCs w:val="21"/>
                      <w:u w:val="single"/>
                      <w:lang w:eastAsia="zh-CN"/>
                    </w:rPr>
                  </w:pPr>
                  <w:r>
                    <w:rPr>
                      <w:rFonts w:hint="eastAsia" w:cs="Times New Roman"/>
                      <w:snapToGrid/>
                      <w:kern w:val="2"/>
                      <w:sz w:val="21"/>
                      <w:szCs w:val="21"/>
                      <w:u w:val="single"/>
                      <w:lang w:eastAsia="zh-CN"/>
                    </w:rPr>
                    <w:t>有机废气</w:t>
                  </w:r>
                </w:p>
              </w:tc>
              <w:tc>
                <w:tcPr>
                  <w:tcW w:w="851" w:type="pct"/>
                  <w:noWrap w:val="0"/>
                  <w:vAlign w:val="center"/>
                </w:tcPr>
                <w:p w14:paraId="3B4C683D">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0</w:t>
                  </w:r>
                </w:p>
              </w:tc>
              <w:tc>
                <w:tcPr>
                  <w:tcW w:w="727" w:type="pct"/>
                  <w:noWrap w:val="0"/>
                  <w:vAlign w:val="center"/>
                </w:tcPr>
                <w:p w14:paraId="47C9387A">
                  <w:pPr>
                    <w:widowControl/>
                    <w:adjustRightInd w:val="0"/>
                    <w:snapToGrid w:val="0"/>
                    <w:spacing w:line="240" w:lineRule="auto"/>
                    <w:jc w:val="center"/>
                    <w:rPr>
                      <w:rFonts w:hint="eastAsia" w:eastAsiaTheme="minorEastAsia"/>
                      <w:kern w:val="0"/>
                      <w:sz w:val="20"/>
                      <w:lang w:eastAsia="zh-CN"/>
                    </w:rPr>
                  </w:pPr>
                  <w:r>
                    <w:rPr>
                      <w:rFonts w:hint="eastAsia" w:eastAsiaTheme="minorEastAsia"/>
                      <w:kern w:val="0"/>
                      <w:sz w:val="20"/>
                      <w:lang w:eastAsia="zh-CN"/>
                    </w:rPr>
                    <w:t>少量</w:t>
                  </w:r>
                </w:p>
              </w:tc>
              <w:tc>
                <w:tcPr>
                  <w:tcW w:w="890" w:type="pct"/>
                  <w:noWrap w:val="0"/>
                  <w:vAlign w:val="center"/>
                </w:tcPr>
                <w:p w14:paraId="280A3CA0">
                  <w:pPr>
                    <w:widowControl/>
                    <w:adjustRightInd w:val="0"/>
                    <w:snapToGrid w:val="0"/>
                    <w:spacing w:line="240" w:lineRule="auto"/>
                    <w:jc w:val="center"/>
                    <w:rPr>
                      <w:rFonts w:eastAsiaTheme="minorEastAsia"/>
                      <w:kern w:val="0"/>
                      <w:sz w:val="20"/>
                    </w:rPr>
                  </w:pPr>
                  <w:r>
                    <w:rPr>
                      <w:rFonts w:hint="eastAsia" w:eastAsiaTheme="minorEastAsia"/>
                      <w:kern w:val="0"/>
                      <w:sz w:val="20"/>
                      <w:lang w:eastAsia="zh-CN"/>
                    </w:rPr>
                    <w:t>少量</w:t>
                  </w:r>
                </w:p>
              </w:tc>
              <w:tc>
                <w:tcPr>
                  <w:tcW w:w="641" w:type="pct"/>
                  <w:noWrap w:val="0"/>
                  <w:vAlign w:val="center"/>
                </w:tcPr>
                <w:p w14:paraId="65AFFC39">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0</w:t>
                  </w:r>
                </w:p>
              </w:tc>
              <w:tc>
                <w:tcPr>
                  <w:tcW w:w="711" w:type="pct"/>
                  <w:noWrap w:val="0"/>
                  <w:vAlign w:val="center"/>
                </w:tcPr>
                <w:p w14:paraId="0EE3D36F">
                  <w:pPr>
                    <w:wordWrap w:val="0"/>
                    <w:topLinePunct/>
                    <w:adjustRightInd w:val="0"/>
                    <w:snapToGrid w:val="0"/>
                    <w:spacing w:line="240" w:lineRule="auto"/>
                    <w:ind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w:t>
                  </w:r>
                  <w:r>
                    <w:rPr>
                      <w:rFonts w:hint="eastAsia" w:eastAsiaTheme="minorEastAsia"/>
                      <w:kern w:val="0"/>
                      <w:sz w:val="20"/>
                      <w:lang w:eastAsia="zh-CN"/>
                    </w:rPr>
                    <w:t>少量</w:t>
                  </w:r>
                </w:p>
              </w:tc>
            </w:tr>
            <w:tr w14:paraId="0231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51" w:type="pct"/>
                  <w:vMerge w:val="continue"/>
                  <w:noWrap w:val="0"/>
                  <w:vAlign w:val="center"/>
                </w:tcPr>
                <w:p w14:paraId="065B2A1B">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rPr>
                  </w:pPr>
                </w:p>
              </w:tc>
              <w:tc>
                <w:tcPr>
                  <w:tcW w:w="397" w:type="pct"/>
                  <w:noWrap w:val="0"/>
                  <w:vAlign w:val="center"/>
                </w:tcPr>
                <w:p w14:paraId="284E969B">
                  <w:pPr>
                    <w:wordWrap w:val="0"/>
                    <w:topLinePunct/>
                    <w:adjustRightInd w:val="0"/>
                    <w:snapToGrid w:val="0"/>
                    <w:spacing w:line="240" w:lineRule="auto"/>
                    <w:ind w:right="0" w:rightChars="0"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Cs w:val="0"/>
                      <w:sz w:val="21"/>
                      <w:szCs w:val="21"/>
                      <w:u w:val="single"/>
                    </w:rPr>
                    <w:t>食堂</w:t>
                  </w:r>
                </w:p>
              </w:tc>
              <w:tc>
                <w:tcPr>
                  <w:tcW w:w="527" w:type="pct"/>
                  <w:noWrap w:val="0"/>
                  <w:vAlign w:val="center"/>
                </w:tcPr>
                <w:p w14:paraId="56EBC6D8">
                  <w:pPr>
                    <w:wordWrap w:val="0"/>
                    <w:topLinePunct/>
                    <w:jc w:val="center"/>
                    <w:rPr>
                      <w:rFonts w:hint="eastAsia" w:ascii="Times New Roman" w:hAnsi="Times New Roman" w:eastAsia="宋体" w:cs="Times New Roman"/>
                      <w:bCs w:val="0"/>
                      <w:sz w:val="21"/>
                      <w:szCs w:val="21"/>
                      <w:u w:val="single"/>
                      <w:lang w:eastAsia="zh-CN"/>
                    </w:rPr>
                  </w:pPr>
                  <w:r>
                    <w:rPr>
                      <w:rFonts w:hint="eastAsia" w:ascii="Times New Roman" w:hAnsi="Times New Roman" w:eastAsia="宋体" w:cs="Times New Roman"/>
                      <w:snapToGrid/>
                      <w:kern w:val="2"/>
                      <w:sz w:val="21"/>
                      <w:szCs w:val="21"/>
                      <w:u w:val="single"/>
                      <w:lang w:eastAsia="zh-CN"/>
                    </w:rPr>
                    <w:t>油烟（</w:t>
                  </w:r>
                  <w:r>
                    <w:rPr>
                      <w:rFonts w:ascii="Times New Roman" w:hAnsi="Times New Roman" w:eastAsia="宋体" w:cs="Times New Roman"/>
                      <w:snapToGrid w:val="0"/>
                      <w:spacing w:val="4"/>
                      <w:kern w:val="2"/>
                      <w:sz w:val="21"/>
                      <w:szCs w:val="21"/>
                      <w:u w:val="single"/>
                      <w:lang w:bidi="ar"/>
                    </w:rPr>
                    <w:t>kg/a</w:t>
                  </w:r>
                  <w:r>
                    <w:rPr>
                      <w:rFonts w:hint="eastAsia" w:ascii="Times New Roman" w:hAnsi="Times New Roman" w:eastAsia="宋体" w:cs="Times New Roman"/>
                      <w:snapToGrid/>
                      <w:kern w:val="2"/>
                      <w:sz w:val="21"/>
                      <w:szCs w:val="21"/>
                      <w:u w:val="single"/>
                      <w:lang w:eastAsia="zh-CN"/>
                    </w:rPr>
                    <w:t>）</w:t>
                  </w:r>
                </w:p>
              </w:tc>
              <w:tc>
                <w:tcPr>
                  <w:tcW w:w="851" w:type="pct"/>
                  <w:noWrap w:val="0"/>
                  <w:vAlign w:val="center"/>
                </w:tcPr>
                <w:p w14:paraId="39E81D62">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0.31</w:t>
                  </w:r>
                </w:p>
              </w:tc>
              <w:tc>
                <w:tcPr>
                  <w:tcW w:w="727" w:type="pct"/>
                  <w:noWrap w:val="0"/>
                  <w:vAlign w:val="center"/>
                </w:tcPr>
                <w:p w14:paraId="538DA2CA">
                  <w:pPr>
                    <w:widowControl/>
                    <w:adjustRightInd w:val="0"/>
                    <w:snapToGrid w:val="0"/>
                    <w:spacing w:line="240" w:lineRule="auto"/>
                    <w:jc w:val="center"/>
                    <w:rPr>
                      <w:rFonts w:ascii="Times New Roman" w:hAnsi="Times New Roman" w:eastAsia="宋体" w:cs="Times New Roman"/>
                      <w:bCs w:val="0"/>
                      <w:sz w:val="21"/>
                      <w:szCs w:val="21"/>
                      <w:u w:val="single"/>
                    </w:rPr>
                  </w:pPr>
                  <w:r>
                    <w:rPr>
                      <w:rFonts w:eastAsiaTheme="minorEastAsia"/>
                      <w:kern w:val="0"/>
                      <w:sz w:val="20"/>
                    </w:rPr>
                    <w:t>0.76</w:t>
                  </w:r>
                </w:p>
              </w:tc>
              <w:tc>
                <w:tcPr>
                  <w:tcW w:w="890" w:type="pct"/>
                  <w:noWrap w:val="0"/>
                  <w:vAlign w:val="center"/>
                </w:tcPr>
                <w:p w14:paraId="74AAA3C9">
                  <w:pPr>
                    <w:widowControl/>
                    <w:adjustRightInd w:val="0"/>
                    <w:snapToGrid w:val="0"/>
                    <w:spacing w:line="240" w:lineRule="auto"/>
                    <w:jc w:val="center"/>
                    <w:rPr>
                      <w:rFonts w:ascii="Times New Roman" w:hAnsi="Times New Roman" w:eastAsia="宋体" w:cs="Times New Roman"/>
                      <w:bCs w:val="0"/>
                      <w:kern w:val="2"/>
                      <w:sz w:val="21"/>
                      <w:szCs w:val="21"/>
                      <w:u w:val="single"/>
                      <w:lang w:val="en-US" w:eastAsia="zh-CN" w:bidi="ar-SA"/>
                    </w:rPr>
                  </w:pPr>
                  <w:r>
                    <w:rPr>
                      <w:rFonts w:eastAsiaTheme="minorEastAsia"/>
                      <w:kern w:val="0"/>
                      <w:sz w:val="20"/>
                    </w:rPr>
                    <w:t>0.76</w:t>
                  </w:r>
                </w:p>
              </w:tc>
              <w:tc>
                <w:tcPr>
                  <w:tcW w:w="641" w:type="pct"/>
                  <w:noWrap w:val="0"/>
                  <w:vAlign w:val="center"/>
                </w:tcPr>
                <w:p w14:paraId="7CEC5E11">
                  <w:pPr>
                    <w:wordWrap w:val="0"/>
                    <w:topLinePunct/>
                    <w:adjustRightInd w:val="0"/>
                    <w:snapToGrid w:val="0"/>
                    <w:spacing w:line="240" w:lineRule="auto"/>
                    <w:ind w:firstLine="0" w:firstLineChars="0"/>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lang w:val="en-US" w:eastAsia="zh-CN"/>
                    </w:rPr>
                    <w:t>0.31</w:t>
                  </w:r>
                </w:p>
              </w:tc>
              <w:tc>
                <w:tcPr>
                  <w:tcW w:w="711" w:type="pct"/>
                  <w:noWrap w:val="0"/>
                  <w:vAlign w:val="center"/>
                </w:tcPr>
                <w:p w14:paraId="293964DD">
                  <w:pPr>
                    <w:wordWrap w:val="0"/>
                    <w:topLinePunct/>
                    <w:adjustRightInd w:val="0"/>
                    <w:snapToGrid w:val="0"/>
                    <w:spacing w:line="240" w:lineRule="auto"/>
                    <w:ind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+0.45</w:t>
                  </w:r>
                </w:p>
              </w:tc>
            </w:tr>
            <w:tr w14:paraId="47B2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51" w:type="pct"/>
                  <w:vMerge w:val="restart"/>
                  <w:noWrap w:val="0"/>
                  <w:vAlign w:val="center"/>
                </w:tcPr>
                <w:p w14:paraId="76ECDEC9">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固废</w:t>
                  </w:r>
                </w:p>
                <w:p w14:paraId="7EC7BFE7">
                  <w:pPr>
                    <w:wordWrap w:val="0"/>
                    <w:topLinePunct/>
                    <w:adjustRightInd w:val="0"/>
                    <w:snapToGrid w:val="0"/>
                    <w:spacing w:line="240" w:lineRule="auto"/>
                    <w:jc w:val="center"/>
                    <w:rPr>
                      <w:rFonts w:ascii="Times New Roman" w:hAnsi="Times New Roman" w:eastAsia="宋体" w:cs="Times New Roman"/>
                      <w:kern w:val="2"/>
                      <w:sz w:val="21"/>
                      <w:szCs w:val="21"/>
                      <w:u w:val="single"/>
                      <w:lang w:val="en-US" w:eastAsia="zh-CN" w:bidi="ar-SA"/>
                    </w:rPr>
                  </w:pPr>
                </w:p>
              </w:tc>
              <w:tc>
                <w:tcPr>
                  <w:tcW w:w="925" w:type="pct"/>
                  <w:gridSpan w:val="2"/>
                  <w:noWrap w:val="0"/>
                  <w:vAlign w:val="center"/>
                </w:tcPr>
                <w:p w14:paraId="1F5BE1A6">
                  <w:pPr>
                    <w:widowControl/>
                    <w:adjustRightInd w:val="0"/>
                    <w:snapToGrid w:val="0"/>
                    <w:spacing w:line="240" w:lineRule="auto"/>
                    <w:jc w:val="center"/>
                    <w:rPr>
                      <w:rFonts w:ascii="Times New Roman" w:hAnsi="Times New Roman" w:eastAsia="宋体" w:cs="Times New Roman"/>
                      <w:bCs w:val="0"/>
                      <w:sz w:val="21"/>
                      <w:szCs w:val="21"/>
                      <w:u w:val="single"/>
                    </w:rPr>
                  </w:pPr>
                  <w:r>
                    <w:rPr>
                      <w:rFonts w:eastAsiaTheme="minorEastAsia"/>
                      <w:sz w:val="21"/>
                      <w:szCs w:val="21"/>
                      <w:u w:val="single"/>
                    </w:rPr>
                    <w:t>切割磨光及雕刻沉淀污泥</w:t>
                  </w:r>
                </w:p>
              </w:tc>
              <w:tc>
                <w:tcPr>
                  <w:tcW w:w="851" w:type="pct"/>
                  <w:noWrap w:val="0"/>
                  <w:vAlign w:val="center"/>
                </w:tcPr>
                <w:p w14:paraId="21630D27">
                  <w:pPr>
                    <w:widowControl/>
                    <w:adjustRightInd w:val="0"/>
                    <w:snapToGrid w:val="0"/>
                    <w:spacing w:line="240" w:lineRule="auto"/>
                    <w:jc w:val="center"/>
                    <w:rPr>
                      <w:rFonts w:hint="default" w:ascii="Times New Roman" w:hAnsi="Times New Roman" w:eastAsia="宋体" w:cs="Times New Roman"/>
                      <w:bCs w:val="0"/>
                      <w:kern w:val="2"/>
                      <w:sz w:val="21"/>
                      <w:szCs w:val="21"/>
                      <w:u w:val="single"/>
                      <w:lang w:val="en-US" w:eastAsia="zh-CN" w:bidi="ar"/>
                    </w:rPr>
                  </w:pPr>
                  <w:r>
                    <w:rPr>
                      <w:rFonts w:hint="eastAsia" w:ascii="Times New Roman" w:hAnsi="Times New Roman" w:eastAsia="宋体" w:cs="Times New Roman"/>
                      <w:bCs w:val="0"/>
                      <w:sz w:val="21"/>
                      <w:szCs w:val="21"/>
                      <w:u w:val="single"/>
                      <w:lang w:val="en-US" w:eastAsia="zh-CN" w:bidi="ar"/>
                    </w:rPr>
                    <w:t>0.62</w:t>
                  </w:r>
                </w:p>
              </w:tc>
              <w:tc>
                <w:tcPr>
                  <w:tcW w:w="727" w:type="pct"/>
                  <w:noWrap w:val="0"/>
                  <w:vAlign w:val="center"/>
                </w:tcPr>
                <w:p w14:paraId="100098C2">
                  <w:pPr>
                    <w:wordWrap w:val="0"/>
                    <w:topLinePunct/>
                    <w:jc w:val="center"/>
                    <w:rPr>
                      <w:rFonts w:hint="default" w:ascii="Times New Roman" w:hAnsi="Times New Roman" w:eastAsia="宋体" w:cs="Times New Roman"/>
                      <w:snapToGrid/>
                      <w:kern w:val="2"/>
                      <w:sz w:val="21"/>
                      <w:szCs w:val="21"/>
                      <w:u w:val="single"/>
                      <w:lang w:val="en-US" w:eastAsia="zh-CN" w:bidi="ar-SA"/>
                    </w:rPr>
                  </w:pPr>
                  <w:r>
                    <w:rPr>
                      <w:rFonts w:eastAsiaTheme="minorEastAsia"/>
                      <w:sz w:val="21"/>
                      <w:szCs w:val="21"/>
                    </w:rPr>
                    <w:t>0.68</w:t>
                  </w:r>
                </w:p>
              </w:tc>
              <w:tc>
                <w:tcPr>
                  <w:tcW w:w="890" w:type="pct"/>
                  <w:noWrap w:val="0"/>
                  <w:vAlign w:val="center"/>
                </w:tcPr>
                <w:p w14:paraId="341639A4">
                  <w:pPr>
                    <w:wordWrap w:val="0"/>
                    <w:topLinePunct/>
                    <w:jc w:val="center"/>
                    <w:rPr>
                      <w:rFonts w:hint="default" w:ascii="Times New Roman" w:hAnsi="Times New Roman" w:eastAsia="宋体" w:cs="Times New Roman"/>
                      <w:snapToGrid/>
                      <w:kern w:val="2"/>
                      <w:sz w:val="21"/>
                      <w:szCs w:val="21"/>
                      <w:u w:val="single"/>
                      <w:lang w:val="en-US" w:eastAsia="zh-CN" w:bidi="ar-SA"/>
                    </w:rPr>
                  </w:pPr>
                  <w:r>
                    <w:rPr>
                      <w:rFonts w:eastAsiaTheme="minorEastAsia"/>
                      <w:sz w:val="21"/>
                      <w:szCs w:val="21"/>
                    </w:rPr>
                    <w:t>0.68</w:t>
                  </w:r>
                </w:p>
              </w:tc>
              <w:tc>
                <w:tcPr>
                  <w:tcW w:w="641" w:type="pct"/>
                  <w:noWrap w:val="0"/>
                  <w:vAlign w:val="center"/>
                </w:tcPr>
                <w:p w14:paraId="134AA7AC">
                  <w:pPr>
                    <w:widowControl/>
                    <w:adjustRightInd w:val="0"/>
                    <w:snapToGrid w:val="0"/>
                    <w:spacing w:line="240" w:lineRule="auto"/>
                    <w:jc w:val="center"/>
                    <w:rPr>
                      <w:rFonts w:ascii="Times New Roman" w:hAnsi="Times New Roman" w:eastAsia="宋体" w:cs="Times New Roman"/>
                      <w:kern w:val="2"/>
                      <w:sz w:val="21"/>
                      <w:szCs w:val="21"/>
                      <w:u w:val="single"/>
                      <w:lang w:bidi="ar-SA"/>
                    </w:rPr>
                  </w:pPr>
                  <w:r>
                    <w:rPr>
                      <w:rFonts w:hint="eastAsia" w:ascii="Times New Roman" w:hAnsi="Times New Roman" w:eastAsia="宋体" w:cs="Times New Roman"/>
                      <w:bCs w:val="0"/>
                      <w:sz w:val="21"/>
                      <w:szCs w:val="21"/>
                      <w:u w:val="single"/>
                      <w:lang w:val="en-US" w:eastAsia="zh-CN" w:bidi="ar"/>
                    </w:rPr>
                    <w:t>0.62</w:t>
                  </w:r>
                </w:p>
              </w:tc>
              <w:tc>
                <w:tcPr>
                  <w:tcW w:w="711" w:type="pct"/>
                  <w:noWrap w:val="0"/>
                  <w:vAlign w:val="center"/>
                </w:tcPr>
                <w:p w14:paraId="2934A744">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+0.06</w:t>
                  </w:r>
                </w:p>
              </w:tc>
            </w:tr>
            <w:tr w14:paraId="7F55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51" w:type="pct"/>
                  <w:vMerge w:val="continue"/>
                  <w:noWrap w:val="0"/>
                  <w:vAlign w:val="center"/>
                </w:tcPr>
                <w:p w14:paraId="5323D76E">
                  <w:pPr>
                    <w:wordWrap w:val="0"/>
                    <w:topLinePunct/>
                    <w:adjustRightInd w:val="0"/>
                    <w:snapToGrid w:val="0"/>
                    <w:spacing w:line="240" w:lineRule="auto"/>
                    <w:ind w:firstLine="0"/>
                    <w:jc w:val="center"/>
                    <w:rPr>
                      <w:rFonts w:hint="default" w:ascii="Times New Roman" w:hAnsi="Times New Roman" w:eastAsia="宋体" w:cs="Times New Roman"/>
                      <w:sz w:val="21"/>
                      <w:szCs w:val="21"/>
                      <w:u w:val="single"/>
                    </w:rPr>
                  </w:pPr>
                </w:p>
              </w:tc>
              <w:tc>
                <w:tcPr>
                  <w:tcW w:w="925" w:type="pct"/>
                  <w:gridSpan w:val="2"/>
                  <w:noWrap w:val="0"/>
                  <w:vAlign w:val="center"/>
                </w:tcPr>
                <w:p w14:paraId="3673D531">
                  <w:pPr>
                    <w:widowControl/>
                    <w:adjustRightInd w:val="0"/>
                    <w:snapToGrid w:val="0"/>
                    <w:spacing w:line="240" w:lineRule="auto"/>
                    <w:jc w:val="center"/>
                    <w:rPr>
                      <w:rFonts w:hint="default" w:ascii="Times New Roman" w:hAnsi="Times New Roman" w:eastAsia="宋体" w:cs="Times New Roman"/>
                      <w:bCs w:val="0"/>
                      <w:sz w:val="21"/>
                      <w:szCs w:val="21"/>
                      <w:u w:val="single"/>
                    </w:rPr>
                  </w:pPr>
                  <w:r>
                    <w:rPr>
                      <w:rFonts w:hint="eastAsia" w:eastAsiaTheme="minorEastAsia"/>
                      <w:sz w:val="21"/>
                      <w:szCs w:val="21"/>
                      <w:u w:val="single"/>
                      <w:lang w:eastAsia="zh-CN"/>
                    </w:rPr>
                    <w:t>废抛光布</w:t>
                  </w:r>
                </w:p>
              </w:tc>
              <w:tc>
                <w:tcPr>
                  <w:tcW w:w="851" w:type="pct"/>
                  <w:noWrap w:val="0"/>
                  <w:vAlign w:val="center"/>
                </w:tcPr>
                <w:p w14:paraId="20747DC2">
                  <w:pPr>
                    <w:widowControl/>
                    <w:adjustRightInd w:val="0"/>
                    <w:snapToGrid w:val="0"/>
                    <w:spacing w:line="240" w:lineRule="auto"/>
                    <w:jc w:val="center"/>
                    <w:rPr>
                      <w:rFonts w:hint="default" w:ascii="Times New Roman" w:hAnsi="Times New Roman" w:eastAsia="宋体" w:cs="Times New Roman"/>
                      <w:bCs w:val="0"/>
                      <w:kern w:val="2"/>
                      <w:sz w:val="21"/>
                      <w:szCs w:val="21"/>
                      <w:u w:val="single"/>
                      <w:lang w:val="en-US" w:eastAsia="zh-CN" w:bidi="ar"/>
                    </w:rPr>
                  </w:pPr>
                  <w:r>
                    <w:rPr>
                      <w:rFonts w:hint="eastAsia" w:ascii="Times New Roman" w:hAnsi="Times New Roman" w:eastAsia="宋体" w:cs="Times New Roman"/>
                      <w:bCs w:val="0"/>
                      <w:sz w:val="21"/>
                      <w:szCs w:val="21"/>
                      <w:u w:val="single"/>
                      <w:lang w:val="en-US" w:eastAsia="zh-CN" w:bidi="ar"/>
                    </w:rPr>
                    <w:t>0.01</w:t>
                  </w:r>
                </w:p>
              </w:tc>
              <w:tc>
                <w:tcPr>
                  <w:tcW w:w="727" w:type="pct"/>
                  <w:noWrap w:val="0"/>
                  <w:vAlign w:val="center"/>
                </w:tcPr>
                <w:p w14:paraId="6000817F">
                  <w:pPr>
                    <w:wordWrap w:val="0"/>
                    <w:topLinePunct/>
                    <w:jc w:val="center"/>
                    <w:rPr>
                      <w:rFonts w:hint="default" w:ascii="Times New Roman" w:hAnsi="Times New Roman" w:eastAsia="宋体" w:cs="Times New Roman"/>
                      <w:kern w:val="2"/>
                      <w:sz w:val="21"/>
                      <w:szCs w:val="21"/>
                      <w:u w:val="single"/>
                      <w:lang w:val="en-US" w:eastAsia="zh-CN" w:bidi="ar-SA"/>
                    </w:rPr>
                  </w:pPr>
                  <w:r>
                    <w:rPr>
                      <w:rFonts w:hint="eastAsia" w:eastAsiaTheme="minorEastAsia"/>
                      <w:sz w:val="21"/>
                      <w:szCs w:val="21"/>
                      <w:u w:val="single"/>
                    </w:rPr>
                    <w:t>0.01</w:t>
                  </w:r>
                </w:p>
              </w:tc>
              <w:tc>
                <w:tcPr>
                  <w:tcW w:w="890" w:type="pct"/>
                  <w:noWrap w:val="0"/>
                  <w:vAlign w:val="center"/>
                </w:tcPr>
                <w:p w14:paraId="7180A05B">
                  <w:pPr>
                    <w:wordWrap w:val="0"/>
                    <w:topLinePunct/>
                    <w:jc w:val="center"/>
                    <w:rPr>
                      <w:rFonts w:hint="default" w:ascii="Times New Roman" w:hAnsi="Times New Roman" w:eastAsia="宋体" w:cs="Times New Roman"/>
                      <w:kern w:val="2"/>
                      <w:sz w:val="21"/>
                      <w:szCs w:val="21"/>
                      <w:u w:val="single"/>
                      <w:lang w:val="en-US" w:eastAsia="zh-CN" w:bidi="ar-SA"/>
                    </w:rPr>
                  </w:pPr>
                  <w:r>
                    <w:rPr>
                      <w:rFonts w:hint="eastAsia" w:eastAsiaTheme="minorEastAsia"/>
                      <w:sz w:val="21"/>
                      <w:szCs w:val="21"/>
                      <w:u w:val="single"/>
                    </w:rPr>
                    <w:t>0.01</w:t>
                  </w:r>
                </w:p>
              </w:tc>
              <w:tc>
                <w:tcPr>
                  <w:tcW w:w="641" w:type="pct"/>
                  <w:noWrap w:val="0"/>
                  <w:vAlign w:val="center"/>
                </w:tcPr>
                <w:p w14:paraId="53DAAF36">
                  <w:pPr>
                    <w:widowControl/>
                    <w:adjustRightInd w:val="0"/>
                    <w:snapToGrid w:val="0"/>
                    <w:spacing w:line="240" w:lineRule="auto"/>
                    <w:jc w:val="center"/>
                    <w:rPr>
                      <w:rFonts w:ascii="Times New Roman" w:hAnsi="Times New Roman" w:eastAsia="宋体" w:cs="Times New Roman"/>
                      <w:kern w:val="2"/>
                      <w:sz w:val="21"/>
                      <w:szCs w:val="21"/>
                      <w:u w:val="single"/>
                      <w:lang w:bidi="ar-SA"/>
                    </w:rPr>
                  </w:pPr>
                  <w:r>
                    <w:rPr>
                      <w:rFonts w:hint="eastAsia" w:ascii="Times New Roman" w:hAnsi="Times New Roman" w:eastAsia="宋体" w:cs="Times New Roman"/>
                      <w:bCs w:val="0"/>
                      <w:sz w:val="21"/>
                      <w:szCs w:val="21"/>
                      <w:u w:val="single"/>
                      <w:lang w:val="en-US" w:eastAsia="zh-CN" w:bidi="ar"/>
                    </w:rPr>
                    <w:t>0.01</w:t>
                  </w:r>
                </w:p>
              </w:tc>
              <w:tc>
                <w:tcPr>
                  <w:tcW w:w="711" w:type="pct"/>
                  <w:noWrap w:val="0"/>
                  <w:vAlign w:val="center"/>
                </w:tcPr>
                <w:p w14:paraId="54445701">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w:t>
                  </w:r>
                </w:p>
              </w:tc>
            </w:tr>
            <w:tr w14:paraId="7867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51" w:type="pct"/>
                  <w:vMerge w:val="continue"/>
                  <w:noWrap w:val="0"/>
                  <w:vAlign w:val="center"/>
                </w:tcPr>
                <w:p w14:paraId="1AD1BF76">
                  <w:pPr>
                    <w:wordWrap w:val="0"/>
                    <w:topLinePunct/>
                    <w:adjustRightInd w:val="0"/>
                    <w:snapToGrid w:val="0"/>
                    <w:spacing w:line="240" w:lineRule="auto"/>
                    <w:ind w:firstLine="0"/>
                    <w:jc w:val="center"/>
                    <w:rPr>
                      <w:rFonts w:hint="default" w:ascii="Times New Roman" w:hAnsi="Times New Roman" w:eastAsia="宋体" w:cs="Times New Roman"/>
                      <w:sz w:val="21"/>
                      <w:szCs w:val="21"/>
                      <w:u w:val="single"/>
                    </w:rPr>
                  </w:pPr>
                </w:p>
              </w:tc>
              <w:tc>
                <w:tcPr>
                  <w:tcW w:w="925" w:type="pct"/>
                  <w:gridSpan w:val="2"/>
                  <w:noWrap w:val="0"/>
                  <w:vAlign w:val="center"/>
                </w:tcPr>
                <w:p w14:paraId="48A866A6">
                  <w:pPr>
                    <w:widowControl/>
                    <w:adjustRightInd w:val="0"/>
                    <w:snapToGrid w:val="0"/>
                    <w:spacing w:line="240" w:lineRule="auto"/>
                    <w:jc w:val="center"/>
                    <w:rPr>
                      <w:rFonts w:hint="default" w:ascii="Times New Roman" w:hAnsi="Times New Roman" w:eastAsia="宋体" w:cs="Times New Roman"/>
                      <w:bCs w:val="0"/>
                      <w:sz w:val="21"/>
                      <w:szCs w:val="21"/>
                      <w:u w:val="single"/>
                      <w:lang w:eastAsia="zh-CN"/>
                    </w:rPr>
                  </w:pPr>
                  <w:r>
                    <w:rPr>
                      <w:rFonts w:hint="eastAsia" w:eastAsiaTheme="minorEastAsia"/>
                      <w:sz w:val="21"/>
                      <w:szCs w:val="21"/>
                      <w:u w:val="single"/>
                    </w:rPr>
                    <w:t>废边角料</w:t>
                  </w:r>
                  <w:r>
                    <w:rPr>
                      <w:rFonts w:hint="eastAsia" w:eastAsiaTheme="minorEastAsia"/>
                      <w:sz w:val="21"/>
                      <w:szCs w:val="21"/>
                      <w:u w:val="single"/>
                      <w:lang w:eastAsia="zh-CN"/>
                    </w:rPr>
                    <w:t>及不合格产品</w:t>
                  </w:r>
                </w:p>
              </w:tc>
              <w:tc>
                <w:tcPr>
                  <w:tcW w:w="851" w:type="pct"/>
                  <w:noWrap w:val="0"/>
                  <w:vAlign w:val="center"/>
                </w:tcPr>
                <w:p w14:paraId="6D37550D">
                  <w:pPr>
                    <w:widowControl/>
                    <w:adjustRightInd w:val="0"/>
                    <w:snapToGrid w:val="0"/>
                    <w:spacing w:line="240" w:lineRule="auto"/>
                    <w:jc w:val="center"/>
                    <w:rPr>
                      <w:rFonts w:hint="default" w:ascii="Times New Roman" w:hAnsi="Times New Roman" w:eastAsia="宋体" w:cs="Times New Roman"/>
                      <w:bCs w:val="0"/>
                      <w:kern w:val="2"/>
                      <w:sz w:val="21"/>
                      <w:szCs w:val="21"/>
                      <w:u w:val="single"/>
                      <w:lang w:val="en-US" w:eastAsia="zh-CN" w:bidi="ar"/>
                    </w:rPr>
                  </w:pPr>
                  <w:r>
                    <w:rPr>
                      <w:rFonts w:hint="eastAsia" w:ascii="Times New Roman" w:hAnsi="Times New Roman" w:eastAsia="宋体" w:cs="Times New Roman"/>
                      <w:bCs w:val="0"/>
                      <w:sz w:val="21"/>
                      <w:szCs w:val="21"/>
                      <w:u w:val="single"/>
                      <w:lang w:val="en-US" w:eastAsia="zh-CN" w:bidi="ar"/>
                    </w:rPr>
                    <w:t>806</w:t>
                  </w:r>
                </w:p>
              </w:tc>
              <w:tc>
                <w:tcPr>
                  <w:tcW w:w="727" w:type="pct"/>
                  <w:noWrap w:val="0"/>
                  <w:vAlign w:val="center"/>
                </w:tcPr>
                <w:p w14:paraId="1242E57A">
                  <w:pPr>
                    <w:wordWrap w:val="0"/>
                    <w:topLinePunct/>
                    <w:jc w:val="center"/>
                    <w:rPr>
                      <w:rFonts w:hint="default" w:ascii="Times New Roman" w:hAnsi="Times New Roman" w:eastAsia="宋体" w:cs="Times New Roman"/>
                      <w:kern w:val="2"/>
                      <w:sz w:val="21"/>
                      <w:szCs w:val="21"/>
                      <w:u w:val="single"/>
                      <w:lang w:val="en-US" w:eastAsia="zh-CN" w:bidi="ar-SA"/>
                    </w:rPr>
                  </w:pPr>
                  <w:r>
                    <w:rPr>
                      <w:rFonts w:hint="eastAsia" w:eastAsiaTheme="minorEastAsia"/>
                      <w:sz w:val="21"/>
                      <w:szCs w:val="21"/>
                      <w:u w:val="single"/>
                    </w:rPr>
                    <w:t>8</w:t>
                  </w:r>
                  <w:r>
                    <w:rPr>
                      <w:rFonts w:hint="eastAsia" w:eastAsiaTheme="minorEastAsia"/>
                      <w:sz w:val="21"/>
                      <w:szCs w:val="21"/>
                      <w:u w:val="single"/>
                      <w:lang w:val="en-US" w:eastAsia="zh-CN"/>
                    </w:rPr>
                    <w:t>11</w:t>
                  </w:r>
                </w:p>
              </w:tc>
              <w:tc>
                <w:tcPr>
                  <w:tcW w:w="890" w:type="pct"/>
                  <w:noWrap w:val="0"/>
                  <w:vAlign w:val="center"/>
                </w:tcPr>
                <w:p w14:paraId="4673215F">
                  <w:pPr>
                    <w:wordWrap w:val="0"/>
                    <w:topLinePunct/>
                    <w:jc w:val="center"/>
                    <w:rPr>
                      <w:rFonts w:hint="default" w:ascii="Times New Roman" w:hAnsi="Times New Roman" w:eastAsia="宋体" w:cs="Times New Roman"/>
                      <w:kern w:val="2"/>
                      <w:sz w:val="21"/>
                      <w:szCs w:val="21"/>
                      <w:u w:val="single"/>
                      <w:lang w:val="en-US" w:eastAsia="zh-CN" w:bidi="ar-SA"/>
                    </w:rPr>
                  </w:pPr>
                  <w:r>
                    <w:rPr>
                      <w:rFonts w:hint="eastAsia" w:eastAsiaTheme="minorEastAsia"/>
                      <w:sz w:val="21"/>
                      <w:szCs w:val="21"/>
                      <w:u w:val="single"/>
                    </w:rPr>
                    <w:t>8</w:t>
                  </w:r>
                  <w:r>
                    <w:rPr>
                      <w:rFonts w:hint="eastAsia" w:eastAsiaTheme="minorEastAsia"/>
                      <w:sz w:val="21"/>
                      <w:szCs w:val="21"/>
                      <w:u w:val="single"/>
                      <w:lang w:val="en-US" w:eastAsia="zh-CN"/>
                    </w:rPr>
                    <w:t>11</w:t>
                  </w:r>
                </w:p>
              </w:tc>
              <w:tc>
                <w:tcPr>
                  <w:tcW w:w="641" w:type="pct"/>
                  <w:noWrap w:val="0"/>
                  <w:vAlign w:val="center"/>
                </w:tcPr>
                <w:p w14:paraId="2409B213">
                  <w:pPr>
                    <w:widowControl/>
                    <w:adjustRightInd w:val="0"/>
                    <w:snapToGrid w:val="0"/>
                    <w:spacing w:line="240" w:lineRule="auto"/>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bCs w:val="0"/>
                      <w:sz w:val="21"/>
                      <w:szCs w:val="21"/>
                      <w:u w:val="single"/>
                      <w:lang w:val="en-US" w:eastAsia="zh-CN" w:bidi="ar"/>
                    </w:rPr>
                    <w:t>806</w:t>
                  </w:r>
                </w:p>
              </w:tc>
              <w:tc>
                <w:tcPr>
                  <w:tcW w:w="711" w:type="pct"/>
                  <w:noWrap w:val="0"/>
                  <w:vAlign w:val="center"/>
                </w:tcPr>
                <w:p w14:paraId="068BA018">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+5</w:t>
                  </w:r>
                </w:p>
              </w:tc>
            </w:tr>
            <w:tr w14:paraId="777A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continue"/>
                  <w:noWrap w:val="0"/>
                  <w:vAlign w:val="center"/>
                </w:tcPr>
                <w:p w14:paraId="652908AB">
                  <w:pPr>
                    <w:wordWrap w:val="0"/>
                    <w:topLinePunct/>
                    <w:adjustRightInd w:val="0"/>
                    <w:snapToGrid w:val="0"/>
                    <w:spacing w:line="240" w:lineRule="auto"/>
                    <w:ind w:firstLine="0"/>
                    <w:jc w:val="center"/>
                    <w:rPr>
                      <w:rFonts w:hint="default" w:ascii="Times New Roman" w:hAnsi="Times New Roman" w:eastAsia="宋体" w:cs="Times New Roman"/>
                      <w:sz w:val="21"/>
                      <w:szCs w:val="21"/>
                      <w:u w:val="single"/>
                    </w:rPr>
                  </w:pPr>
                </w:p>
              </w:tc>
              <w:tc>
                <w:tcPr>
                  <w:tcW w:w="925" w:type="pct"/>
                  <w:gridSpan w:val="2"/>
                  <w:noWrap w:val="0"/>
                  <w:vAlign w:val="center"/>
                </w:tcPr>
                <w:p w14:paraId="7ACE3D4C">
                  <w:pPr>
                    <w:widowControl/>
                    <w:adjustRightInd w:val="0"/>
                    <w:snapToGrid w:val="0"/>
                    <w:spacing w:line="240" w:lineRule="auto"/>
                    <w:jc w:val="center"/>
                    <w:rPr>
                      <w:rFonts w:hint="default" w:ascii="Times New Roman" w:hAnsi="Times New Roman" w:eastAsia="宋体" w:cs="Times New Roman"/>
                      <w:bCs w:val="0"/>
                      <w:sz w:val="21"/>
                      <w:szCs w:val="21"/>
                      <w:u w:val="single"/>
                    </w:rPr>
                  </w:pPr>
                  <w:r>
                    <w:rPr>
                      <w:rFonts w:eastAsiaTheme="majorEastAsia"/>
                      <w:sz w:val="21"/>
                      <w:szCs w:val="21"/>
                      <w:u w:val="single"/>
                    </w:rPr>
                    <w:t>生活垃圾</w:t>
                  </w:r>
                </w:p>
              </w:tc>
              <w:tc>
                <w:tcPr>
                  <w:tcW w:w="851" w:type="pct"/>
                  <w:noWrap w:val="0"/>
                  <w:vAlign w:val="center"/>
                </w:tcPr>
                <w:p w14:paraId="3D8B31D9">
                  <w:pPr>
                    <w:widowControl/>
                    <w:adjustRightInd w:val="0"/>
                    <w:snapToGrid w:val="0"/>
                    <w:spacing w:line="240" w:lineRule="auto"/>
                    <w:jc w:val="center"/>
                    <w:rPr>
                      <w:rFonts w:hint="default" w:ascii="Times New Roman" w:hAnsi="Times New Roman" w:eastAsia="宋体" w:cs="Times New Roman"/>
                      <w:bCs w:val="0"/>
                      <w:kern w:val="2"/>
                      <w:sz w:val="21"/>
                      <w:szCs w:val="21"/>
                      <w:u w:val="single"/>
                      <w:lang w:val="en-US" w:eastAsia="zh-CN" w:bidi="ar"/>
                    </w:rPr>
                  </w:pPr>
                  <w:r>
                    <w:rPr>
                      <w:rFonts w:hint="eastAsia" w:ascii="Times New Roman" w:hAnsi="Times New Roman" w:eastAsia="宋体" w:cs="Times New Roman"/>
                      <w:bCs w:val="0"/>
                      <w:sz w:val="21"/>
                      <w:szCs w:val="21"/>
                      <w:u w:val="single"/>
                      <w:lang w:val="en-US" w:eastAsia="zh-CN" w:bidi="ar"/>
                    </w:rPr>
                    <w:t>1.2</w:t>
                  </w:r>
                </w:p>
              </w:tc>
              <w:tc>
                <w:tcPr>
                  <w:tcW w:w="727" w:type="pct"/>
                  <w:noWrap w:val="0"/>
                  <w:vAlign w:val="center"/>
                </w:tcPr>
                <w:p w14:paraId="2BBC8256">
                  <w:pPr>
                    <w:wordWrap w:val="0"/>
                    <w:topLinePunct/>
                    <w:jc w:val="center"/>
                    <w:rPr>
                      <w:rFonts w:hint="default" w:ascii="Times New Roman" w:hAnsi="Times New Roman" w:eastAsia="宋体" w:cs="Times New Roman"/>
                      <w:snapToGrid/>
                      <w:kern w:val="2"/>
                      <w:sz w:val="21"/>
                      <w:szCs w:val="21"/>
                      <w:u w:val="single"/>
                      <w:lang w:val="en-US" w:eastAsia="zh-CN" w:bidi="ar-SA"/>
                    </w:rPr>
                  </w:pPr>
                  <w:r>
                    <w:rPr>
                      <w:rFonts w:hint="eastAsia" w:eastAsiaTheme="minorEastAsia"/>
                      <w:sz w:val="21"/>
                      <w:szCs w:val="21"/>
                    </w:rPr>
                    <w:t>3</w:t>
                  </w:r>
                </w:p>
              </w:tc>
              <w:tc>
                <w:tcPr>
                  <w:tcW w:w="890" w:type="pct"/>
                  <w:noWrap w:val="0"/>
                  <w:vAlign w:val="center"/>
                </w:tcPr>
                <w:p w14:paraId="6A51F05B">
                  <w:pPr>
                    <w:wordWrap w:val="0"/>
                    <w:topLinePunct/>
                    <w:jc w:val="center"/>
                    <w:rPr>
                      <w:rFonts w:hint="default" w:ascii="Times New Roman" w:hAnsi="Times New Roman" w:eastAsia="宋体" w:cs="Times New Roman"/>
                      <w:snapToGrid/>
                      <w:kern w:val="2"/>
                      <w:sz w:val="21"/>
                      <w:szCs w:val="21"/>
                      <w:u w:val="single"/>
                      <w:lang w:val="en-US" w:eastAsia="zh-CN" w:bidi="ar-SA"/>
                    </w:rPr>
                  </w:pPr>
                  <w:r>
                    <w:rPr>
                      <w:rFonts w:hint="eastAsia" w:eastAsiaTheme="minorEastAsia"/>
                      <w:sz w:val="21"/>
                      <w:szCs w:val="21"/>
                    </w:rPr>
                    <w:t>3</w:t>
                  </w:r>
                </w:p>
              </w:tc>
              <w:tc>
                <w:tcPr>
                  <w:tcW w:w="641" w:type="pct"/>
                  <w:noWrap w:val="0"/>
                  <w:vAlign w:val="center"/>
                </w:tcPr>
                <w:p w14:paraId="0E9DA7ED">
                  <w:pPr>
                    <w:widowControl/>
                    <w:adjustRightInd w:val="0"/>
                    <w:snapToGrid w:val="0"/>
                    <w:spacing w:line="240" w:lineRule="auto"/>
                    <w:jc w:val="center"/>
                    <w:rPr>
                      <w:rFonts w:ascii="Times New Roman" w:hAnsi="Times New Roman" w:eastAsia="宋体" w:cs="Times New Roman"/>
                      <w:kern w:val="2"/>
                      <w:sz w:val="21"/>
                      <w:szCs w:val="21"/>
                      <w:u w:val="single"/>
                      <w:lang w:bidi="ar-SA"/>
                    </w:rPr>
                  </w:pPr>
                  <w:r>
                    <w:rPr>
                      <w:rFonts w:hint="eastAsia" w:ascii="Times New Roman" w:hAnsi="Times New Roman" w:eastAsia="宋体" w:cs="Times New Roman"/>
                      <w:bCs w:val="0"/>
                      <w:sz w:val="21"/>
                      <w:szCs w:val="21"/>
                      <w:u w:val="single"/>
                      <w:lang w:val="en-US" w:eastAsia="zh-CN" w:bidi="ar"/>
                    </w:rPr>
                    <w:t>1.2</w:t>
                  </w:r>
                </w:p>
              </w:tc>
              <w:tc>
                <w:tcPr>
                  <w:tcW w:w="711" w:type="pct"/>
                  <w:noWrap w:val="0"/>
                  <w:vAlign w:val="center"/>
                </w:tcPr>
                <w:p w14:paraId="7A6B6855">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+1.8</w:t>
                  </w:r>
                </w:p>
              </w:tc>
            </w:tr>
            <w:tr w14:paraId="7801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251" w:type="pct"/>
                  <w:vMerge w:val="continue"/>
                  <w:noWrap w:val="0"/>
                  <w:vAlign w:val="center"/>
                </w:tcPr>
                <w:p w14:paraId="3FC59C18">
                  <w:pPr>
                    <w:wordWrap w:val="0"/>
                    <w:topLinePunct/>
                    <w:adjustRightInd w:val="0"/>
                    <w:snapToGrid w:val="0"/>
                    <w:spacing w:line="240" w:lineRule="auto"/>
                    <w:ind w:firstLine="0"/>
                    <w:jc w:val="center"/>
                    <w:rPr>
                      <w:rFonts w:hint="default" w:ascii="Times New Roman" w:hAnsi="Times New Roman" w:eastAsia="宋体" w:cs="Times New Roman"/>
                      <w:sz w:val="21"/>
                      <w:szCs w:val="21"/>
                      <w:u w:val="single"/>
                    </w:rPr>
                  </w:pPr>
                </w:p>
              </w:tc>
              <w:tc>
                <w:tcPr>
                  <w:tcW w:w="925" w:type="pct"/>
                  <w:gridSpan w:val="2"/>
                  <w:noWrap w:val="0"/>
                  <w:vAlign w:val="center"/>
                </w:tcPr>
                <w:p w14:paraId="67B71EF1">
                  <w:pPr>
                    <w:widowControl/>
                    <w:adjustRightInd w:val="0"/>
                    <w:snapToGrid w:val="0"/>
                    <w:spacing w:line="240" w:lineRule="auto"/>
                    <w:jc w:val="center"/>
                    <w:rPr>
                      <w:rFonts w:hint="default" w:ascii="Times New Roman" w:hAnsi="Times New Roman" w:eastAsia="宋体" w:cs="Times New Roman"/>
                      <w:bCs w:val="0"/>
                      <w:sz w:val="21"/>
                      <w:szCs w:val="21"/>
                      <w:u w:val="single"/>
                    </w:rPr>
                  </w:pPr>
                  <w:r>
                    <w:rPr>
                      <w:rFonts w:eastAsiaTheme="minorEastAsia"/>
                      <w:sz w:val="21"/>
                      <w:szCs w:val="21"/>
                      <w:u w:val="single"/>
                    </w:rPr>
                    <w:t>废包装材料</w:t>
                  </w:r>
                </w:p>
              </w:tc>
              <w:tc>
                <w:tcPr>
                  <w:tcW w:w="851" w:type="pct"/>
                  <w:noWrap w:val="0"/>
                  <w:vAlign w:val="center"/>
                </w:tcPr>
                <w:p w14:paraId="70BC8541">
                  <w:pPr>
                    <w:widowControl/>
                    <w:adjustRightInd w:val="0"/>
                    <w:snapToGrid w:val="0"/>
                    <w:spacing w:line="240" w:lineRule="auto"/>
                    <w:jc w:val="center"/>
                    <w:rPr>
                      <w:rFonts w:hint="default" w:ascii="Times New Roman" w:hAnsi="Times New Roman" w:eastAsia="宋体" w:cs="Times New Roman"/>
                      <w:bCs w:val="0"/>
                      <w:kern w:val="2"/>
                      <w:sz w:val="21"/>
                      <w:szCs w:val="21"/>
                      <w:u w:val="single"/>
                      <w:lang w:val="en-US" w:eastAsia="zh-CN" w:bidi="ar"/>
                    </w:rPr>
                  </w:pPr>
                  <w:r>
                    <w:rPr>
                      <w:rFonts w:hint="eastAsia" w:ascii="Times New Roman" w:hAnsi="Times New Roman" w:eastAsia="宋体" w:cs="Times New Roman"/>
                      <w:bCs w:val="0"/>
                      <w:sz w:val="21"/>
                      <w:szCs w:val="21"/>
                      <w:u w:val="single"/>
                      <w:lang w:val="en-US" w:eastAsia="zh-CN" w:bidi="ar"/>
                    </w:rPr>
                    <w:t>0.005</w:t>
                  </w:r>
                </w:p>
              </w:tc>
              <w:tc>
                <w:tcPr>
                  <w:tcW w:w="727" w:type="pct"/>
                  <w:noWrap w:val="0"/>
                  <w:vAlign w:val="center"/>
                </w:tcPr>
                <w:p w14:paraId="0A0FC480">
                  <w:pPr>
                    <w:wordWrap w:val="0"/>
                    <w:topLinePunct/>
                    <w:jc w:val="center"/>
                    <w:rPr>
                      <w:rFonts w:hint="default" w:ascii="Times New Roman" w:hAnsi="Times New Roman" w:eastAsia="宋体" w:cs="Times New Roman"/>
                      <w:snapToGrid/>
                      <w:kern w:val="2"/>
                      <w:sz w:val="21"/>
                      <w:szCs w:val="21"/>
                      <w:u w:val="single"/>
                      <w:lang w:val="en-US" w:eastAsia="zh-CN" w:bidi="ar-SA"/>
                    </w:rPr>
                  </w:pPr>
                  <w:r>
                    <w:rPr>
                      <w:rFonts w:hint="eastAsia" w:eastAsiaTheme="minorEastAsia"/>
                      <w:sz w:val="21"/>
                      <w:szCs w:val="21"/>
                    </w:rPr>
                    <w:t>0.01</w:t>
                  </w:r>
                </w:p>
              </w:tc>
              <w:tc>
                <w:tcPr>
                  <w:tcW w:w="890" w:type="pct"/>
                  <w:noWrap w:val="0"/>
                  <w:vAlign w:val="center"/>
                </w:tcPr>
                <w:p w14:paraId="0DB7B65E">
                  <w:pPr>
                    <w:wordWrap w:val="0"/>
                    <w:topLinePunct/>
                    <w:jc w:val="center"/>
                    <w:rPr>
                      <w:rFonts w:hint="default" w:ascii="Times New Roman" w:hAnsi="Times New Roman" w:eastAsia="宋体" w:cs="Times New Roman"/>
                      <w:snapToGrid/>
                      <w:kern w:val="2"/>
                      <w:sz w:val="21"/>
                      <w:szCs w:val="21"/>
                      <w:u w:val="single"/>
                      <w:lang w:val="en-US" w:eastAsia="zh-CN" w:bidi="ar-SA"/>
                    </w:rPr>
                  </w:pPr>
                  <w:r>
                    <w:rPr>
                      <w:rFonts w:hint="eastAsia" w:eastAsiaTheme="minorEastAsia"/>
                      <w:sz w:val="21"/>
                      <w:szCs w:val="21"/>
                    </w:rPr>
                    <w:t>0.01</w:t>
                  </w:r>
                </w:p>
              </w:tc>
              <w:tc>
                <w:tcPr>
                  <w:tcW w:w="641" w:type="pct"/>
                  <w:noWrap w:val="0"/>
                  <w:vAlign w:val="center"/>
                </w:tcPr>
                <w:p w14:paraId="55428D7E">
                  <w:pPr>
                    <w:widowControl/>
                    <w:adjustRightInd w:val="0"/>
                    <w:snapToGrid w:val="0"/>
                    <w:spacing w:line="240" w:lineRule="auto"/>
                    <w:jc w:val="center"/>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bCs w:val="0"/>
                      <w:sz w:val="21"/>
                      <w:szCs w:val="21"/>
                      <w:u w:val="single"/>
                      <w:lang w:val="en-US" w:eastAsia="zh-CN" w:bidi="ar"/>
                    </w:rPr>
                    <w:t>0.005</w:t>
                  </w:r>
                </w:p>
              </w:tc>
              <w:tc>
                <w:tcPr>
                  <w:tcW w:w="711" w:type="pct"/>
                  <w:noWrap w:val="0"/>
                  <w:vAlign w:val="center"/>
                </w:tcPr>
                <w:p w14:paraId="0E77FA9D">
                  <w:pPr>
                    <w:wordWrap w:val="0"/>
                    <w:topLinePunct/>
                    <w:adjustRightInd w:val="0"/>
                    <w:snapToGrid w:val="0"/>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+0.005</w:t>
                  </w:r>
                </w:p>
              </w:tc>
            </w:tr>
          </w:tbl>
          <w:p w14:paraId="6B93FC65">
            <w:pPr>
              <w:ind w:firstLine="482" w:firstLineChars="200"/>
              <w:rPr>
                <w:b/>
                <w:bCs/>
              </w:rPr>
            </w:pPr>
            <w:r>
              <w:rPr>
                <w:b/>
                <w:bCs/>
              </w:rPr>
              <w:t>4.2.</w:t>
            </w:r>
            <w:r>
              <w:rPr>
                <w:rFonts w:hint="eastAsia"/>
                <w:b/>
                <w:bCs/>
              </w:rPr>
              <w:t>1</w:t>
            </w:r>
            <w:r>
              <w:rPr>
                <w:rFonts w:hint="eastAsia"/>
                <w:b/>
                <w:bCs/>
                <w:lang w:val="en-US" w:eastAsia="zh-CN"/>
              </w:rPr>
              <w:t>1</w:t>
            </w:r>
            <w:r>
              <w:rPr>
                <w:b/>
                <w:bCs/>
              </w:rPr>
              <w:t>排污许可衔接</w:t>
            </w:r>
          </w:p>
          <w:p w14:paraId="461E3AE8">
            <w:pPr>
              <w:widowControl/>
              <w:ind w:firstLine="480" w:firstLineChars="200"/>
              <w:jc w:val="both"/>
              <w:rPr>
                <w:rFonts w:hint="eastAsia"/>
                <w:bCs/>
                <w:u w:val="single"/>
                <w:lang w:eastAsia="zh-CN"/>
              </w:rPr>
            </w:pPr>
            <w:r>
              <w:rPr>
                <w:bCs/>
                <w:u w:val="single"/>
              </w:rPr>
              <w:t>根据《固定污染源排污许可分类管理名录（2019年版）》第四条，现有排污单位应当在生态环境部规定的实施时限内申请取得排污许可证或者填报排污登记表。新建排污单位应当在启动生产设施或者发生实际排污之前申请取得排污许可证或者填报排污登记表。本项目属于</w:t>
            </w:r>
            <w:r>
              <w:rPr>
                <w:rFonts w:hint="eastAsia"/>
                <w:bCs/>
                <w:u w:val="single"/>
                <w:lang w:val="en-US" w:eastAsia="zh-CN"/>
              </w:rPr>
              <w:t>改</w:t>
            </w:r>
            <w:r>
              <w:rPr>
                <w:bCs/>
                <w:u w:val="single"/>
              </w:rPr>
              <w:t>扩建项目，</w:t>
            </w:r>
            <w:r>
              <w:rPr>
                <w:rFonts w:hint="eastAsia"/>
                <w:bCs/>
                <w:u w:val="single"/>
                <w:lang w:eastAsia="zh-CN"/>
              </w:rPr>
              <w:t>但由于现有项目根据</w:t>
            </w:r>
            <w:r>
              <w:rPr>
                <w:rFonts w:hint="eastAsia"/>
                <w:bCs/>
                <w:u w:val="single"/>
              </w:rPr>
              <w:t>《建设项目环境影响评价分类管理名录（2021年版）》</w:t>
            </w:r>
            <w:r>
              <w:rPr>
                <w:rFonts w:hint="eastAsia"/>
                <w:bCs/>
                <w:u w:val="single"/>
                <w:lang w:eastAsia="zh-CN"/>
              </w:rPr>
              <w:t>，</w:t>
            </w:r>
            <w:r>
              <w:rPr>
                <w:rFonts w:hint="eastAsia" w:ascii="Times New Roman" w:hAnsi="Times New Roman" w:eastAsia="宋体" w:cs="Times New Roman"/>
                <w:kern w:val="2"/>
                <w:sz w:val="24"/>
                <w:szCs w:val="24"/>
                <w:u w:val="single"/>
                <w:lang w:val="en-US" w:eastAsia="zh-CN" w:bidi="ar-SA"/>
              </w:rPr>
              <w:t>墓碑及附属产品和其他板材生产线</w:t>
            </w:r>
            <w:r>
              <w:rPr>
                <w:rFonts w:hint="eastAsia"/>
                <w:u w:val="single"/>
              </w:rPr>
              <w:t>属于</w:t>
            </w:r>
            <w:r>
              <w:rPr>
                <w:rFonts w:ascii="宋体" w:hAnsi="宋体"/>
                <w:u w:val="single"/>
              </w:rPr>
              <w:t>“</w:t>
            </w:r>
            <w:r>
              <w:rPr>
                <w:u w:val="single"/>
              </w:rPr>
              <w:t>二十七、非金属矿物制品业30，56砖瓦、石材等建筑材料制造303</w:t>
            </w:r>
            <w:r>
              <w:rPr>
                <w:rFonts w:ascii="宋体" w:hAnsi="宋体"/>
                <w:u w:val="single"/>
              </w:rPr>
              <w:t>”</w:t>
            </w:r>
            <w:r>
              <w:rPr>
                <w:u w:val="single"/>
              </w:rPr>
              <w:t>中的</w:t>
            </w:r>
            <w:r>
              <w:rPr>
                <w:rFonts w:ascii="宋体" w:hAnsi="宋体"/>
                <w:u w:val="single"/>
              </w:rPr>
              <w:t>“</w:t>
            </w:r>
            <w:r>
              <w:rPr>
                <w:u w:val="single"/>
              </w:rPr>
              <w:t>粘土砖瓦及建筑砌块制造；建筑用石加工；防水建筑材料制造；隔热、隔音材料制造；其他建筑材料制造（含干粉砂浆搅拌站）以上均不含利用石材板材切割、打磨、成型的</w:t>
            </w:r>
            <w:r>
              <w:rPr>
                <w:rFonts w:ascii="宋体" w:hAnsi="宋体"/>
                <w:u w:val="single"/>
              </w:rPr>
              <w:t>”</w:t>
            </w:r>
            <w:r>
              <w:rPr>
                <w:rFonts w:hint="eastAsia"/>
                <w:bCs/>
                <w:u w:val="single"/>
              </w:rPr>
              <w:t>，</w:t>
            </w:r>
            <w:r>
              <w:rPr>
                <w:rFonts w:hint="eastAsia"/>
                <w:bCs/>
                <w:u w:val="single"/>
                <w:lang w:eastAsia="zh-CN"/>
              </w:rPr>
              <w:t>现有项目需办理排污许可登记手续，企业未办理。本次环评后，</w:t>
            </w:r>
            <w:r>
              <w:rPr>
                <w:bCs/>
                <w:u w:val="single"/>
              </w:rPr>
              <w:t>企业</w:t>
            </w:r>
            <w:r>
              <w:rPr>
                <w:rFonts w:hint="eastAsia"/>
                <w:bCs/>
                <w:u w:val="single"/>
                <w:lang w:eastAsia="zh-CN"/>
              </w:rPr>
              <w:t>需</w:t>
            </w:r>
            <w:r>
              <w:rPr>
                <w:rFonts w:hint="eastAsia"/>
                <w:bCs/>
                <w:u w:val="single"/>
              </w:rPr>
              <w:t>办理排污许可手续</w:t>
            </w:r>
            <w:r>
              <w:rPr>
                <w:rFonts w:hint="eastAsia"/>
                <w:bCs/>
                <w:u w:val="single"/>
                <w:lang w:eastAsia="zh-CN"/>
              </w:rPr>
              <w:t>。</w:t>
            </w:r>
          </w:p>
          <w:p w14:paraId="7F14460D">
            <w:pPr>
              <w:widowControl/>
              <w:ind w:firstLine="480" w:firstLineChars="200"/>
              <w:jc w:val="both"/>
              <w:rPr>
                <w:color w:val="0000C7"/>
              </w:rPr>
            </w:pPr>
            <w:r>
              <w:rPr>
                <w:bCs/>
                <w:u w:val="single"/>
              </w:rPr>
              <w:t>根据《国民经济行业分类》（GB/T4754-2017）（2019年修订），本项目属于“303</w:t>
            </w:r>
            <w:r>
              <w:rPr>
                <w:rFonts w:hint="eastAsia"/>
                <w:bCs/>
                <w:u w:val="single"/>
              </w:rPr>
              <w:t>2建筑用石加工</w:t>
            </w:r>
            <w:r>
              <w:rPr>
                <w:bCs/>
                <w:u w:val="single"/>
              </w:rPr>
              <w:t>”</w:t>
            </w:r>
            <w:r>
              <w:rPr>
                <w:rFonts w:hint="eastAsia"/>
                <w:bCs/>
                <w:u w:val="single"/>
              </w:rPr>
              <w:t>以及“水泥制品制造”</w:t>
            </w:r>
            <w:r>
              <w:rPr>
                <w:bCs/>
                <w:u w:val="single"/>
              </w:rPr>
              <w:t>，根据《固定污染源排污许可分类管理名录（2019版）》中的“</w:t>
            </w:r>
            <w:r>
              <w:rPr>
                <w:rFonts w:hint="eastAsia"/>
                <w:bCs/>
                <w:u w:val="single"/>
              </w:rPr>
              <w:t>二十五</w:t>
            </w:r>
            <w:r>
              <w:rPr>
                <w:bCs/>
                <w:u w:val="single"/>
              </w:rPr>
              <w:t>、</w:t>
            </w:r>
            <w:r>
              <w:rPr>
                <w:rFonts w:hint="eastAsia"/>
                <w:bCs/>
                <w:u w:val="single"/>
              </w:rPr>
              <w:t>非金属矿物制品</w:t>
            </w:r>
            <w:r>
              <w:rPr>
                <w:bCs/>
                <w:u w:val="single"/>
              </w:rPr>
              <w:t>业</w:t>
            </w:r>
            <w:r>
              <w:rPr>
                <w:rFonts w:hint="eastAsia"/>
                <w:bCs/>
                <w:u w:val="single"/>
              </w:rPr>
              <w:t>30 64</w:t>
            </w:r>
            <w:r>
              <w:rPr>
                <w:bCs/>
                <w:u w:val="single"/>
              </w:rPr>
              <w:t>砖瓦、石材等建筑材料制造</w:t>
            </w:r>
            <w:r>
              <w:rPr>
                <w:rFonts w:hint="eastAsia"/>
                <w:bCs/>
                <w:u w:val="single"/>
              </w:rPr>
              <w:t>303</w:t>
            </w:r>
            <w:r>
              <w:rPr>
                <w:bCs/>
                <w:u w:val="single"/>
              </w:rPr>
              <w:t>”“</w:t>
            </w:r>
            <w:r>
              <w:rPr>
                <w:rFonts w:hint="eastAsia"/>
                <w:bCs/>
                <w:u w:val="single"/>
              </w:rPr>
              <w:t>粘土砖瓦及建筑砌块制造3031（除以煤或者煤矸石为燃料的烧结砖瓦以外的），建筑用石加工3032，防水建筑材料制造3033，隔热和隔音材料制造3034，其他建筑材料制造3039，以上均不含仅切割加工的</w:t>
            </w:r>
            <w:r>
              <w:rPr>
                <w:bCs/>
                <w:u w:val="single"/>
              </w:rPr>
              <w:t>”属于简化管理，</w:t>
            </w:r>
            <w:r>
              <w:rPr>
                <w:rFonts w:hint="eastAsia"/>
                <w:bCs/>
                <w:u w:val="single"/>
              </w:rPr>
              <w:t>“二十五</w:t>
            </w:r>
            <w:r>
              <w:rPr>
                <w:bCs/>
                <w:u w:val="single"/>
              </w:rPr>
              <w:t>、</w:t>
            </w:r>
            <w:r>
              <w:rPr>
                <w:rFonts w:hint="eastAsia"/>
                <w:bCs/>
                <w:u w:val="single"/>
              </w:rPr>
              <w:t>非金属矿物制品</w:t>
            </w:r>
            <w:r>
              <w:rPr>
                <w:bCs/>
                <w:u w:val="single"/>
              </w:rPr>
              <w:t>业</w:t>
            </w:r>
            <w:r>
              <w:rPr>
                <w:rFonts w:hint="eastAsia"/>
                <w:bCs/>
                <w:u w:val="single"/>
              </w:rPr>
              <w:t>30 63水泥、石灰和石膏制造 301，石膏、 水泥制品及类似制品制造 302”“水泥制品制造3021，砼结构构件制造3022，石棉水泥制品制造 3023，轻质建筑材料制造 3024，其他水泥类似制品制造 3029”属于登记管理，</w:t>
            </w:r>
            <w:r>
              <w:rPr>
                <w:bCs/>
                <w:u w:val="single"/>
              </w:rPr>
              <w:t>因此企业属于简化管理的排污单位，企业</w:t>
            </w:r>
            <w:r>
              <w:rPr>
                <w:rFonts w:hint="eastAsia"/>
                <w:bCs/>
                <w:u w:val="single"/>
              </w:rPr>
              <w:t>应及时办理排污许可手续</w:t>
            </w:r>
            <w:r>
              <w:rPr>
                <w:bCs/>
                <w:u w:val="single"/>
              </w:rPr>
              <w:t>。</w:t>
            </w:r>
          </w:p>
        </w:tc>
      </w:tr>
    </w:tbl>
    <w:p w14:paraId="25DD983F">
      <w:pPr>
        <w:adjustRightInd w:val="0"/>
        <w:snapToGrid w:val="0"/>
        <w:rPr>
          <w:b/>
          <w:color w:val="0000C7"/>
          <w:kern w:val="0"/>
          <w:sz w:val="28"/>
          <w:szCs w:val="28"/>
        </w:rPr>
        <w:sectPr>
          <w:pgSz w:w="11907" w:h="16840"/>
          <w:pgMar w:top="1701" w:right="1531" w:bottom="2127" w:left="1531" w:header="851" w:footer="851" w:gutter="0"/>
          <w:cols w:space="720" w:num="1"/>
          <w:docGrid w:linePitch="326" w:charSpace="0"/>
        </w:sectPr>
      </w:pPr>
    </w:p>
    <w:p w14:paraId="3D56C287">
      <w:pPr>
        <w:pStyle w:val="53"/>
        <w:wordWrap w:val="0"/>
        <w:topLinePunct/>
        <w:rPr>
          <w:rFonts w:ascii="Times New Roman" w:hAnsi="Times New Roman" w:cs="Times New Roman"/>
        </w:rPr>
      </w:pPr>
      <w:bookmarkStart w:id="111" w:name="_Toc69851323"/>
      <w:r>
        <w:rPr>
          <w:rFonts w:hint="eastAsia" w:ascii="Times New Roman" w:hAnsi="Times New Roman" w:cs="Times New Roman"/>
          <w:lang w:val="en-US" w:eastAsia="zh-CN"/>
        </w:rPr>
        <w:t xml:space="preserve">  </w:t>
      </w:r>
      <w:r>
        <w:rPr>
          <w:rFonts w:ascii="Times New Roman" w:hAnsi="Times New Roman" w:cs="Times New Roman"/>
        </w:rPr>
        <w:t>五、</w:t>
      </w:r>
      <w:bookmarkStart w:id="112" w:name="_Hlk54167917"/>
      <w:r>
        <w:rPr>
          <w:rFonts w:ascii="Times New Roman" w:hAnsi="Times New Roman" w:cs="Times New Roman"/>
        </w:rPr>
        <w:t>环境保护措施监督检查清单</w:t>
      </w:r>
      <w:bookmarkEnd w:id="111"/>
      <w:bookmarkEnd w:id="112"/>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1399"/>
        <w:gridCol w:w="1843"/>
        <w:gridCol w:w="2177"/>
        <w:gridCol w:w="1816"/>
      </w:tblGrid>
      <w:tr w14:paraId="1C3812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tcBorders>
              <w:tl2br w:val="single" w:color="auto" w:sz="4" w:space="0"/>
            </w:tcBorders>
            <w:vAlign w:val="center"/>
          </w:tcPr>
          <w:p w14:paraId="4C118C74">
            <w:pPr>
              <w:wordWrap w:val="0"/>
              <w:topLinePunct/>
              <w:adjustRightInd w:val="0"/>
              <w:snapToGrid w:val="0"/>
              <w:spacing w:line="240" w:lineRule="auto"/>
              <w:jc w:val="right"/>
              <w:rPr>
                <w:b/>
                <w:bCs/>
                <w:sz w:val="21"/>
                <w:szCs w:val="21"/>
              </w:rPr>
            </w:pPr>
            <w:r>
              <w:rPr>
                <w:b/>
                <w:bCs/>
                <w:sz w:val="21"/>
                <w:szCs w:val="21"/>
              </w:rPr>
              <w:t>内容</w:t>
            </w:r>
          </w:p>
          <w:p w14:paraId="3344F5CE">
            <w:pPr>
              <w:wordWrap w:val="0"/>
              <w:topLinePunct/>
              <w:adjustRightInd w:val="0"/>
              <w:snapToGrid w:val="0"/>
              <w:spacing w:line="240" w:lineRule="auto"/>
              <w:jc w:val="right"/>
              <w:rPr>
                <w:b/>
                <w:bCs/>
                <w:sz w:val="21"/>
                <w:szCs w:val="21"/>
              </w:rPr>
            </w:pPr>
          </w:p>
          <w:p w14:paraId="6831C161">
            <w:pPr>
              <w:wordWrap w:val="0"/>
              <w:topLinePunct/>
              <w:adjustRightInd w:val="0"/>
              <w:snapToGrid w:val="0"/>
              <w:spacing w:line="240" w:lineRule="auto"/>
              <w:jc w:val="left"/>
              <w:rPr>
                <w:b/>
                <w:bCs/>
                <w:sz w:val="21"/>
                <w:szCs w:val="21"/>
              </w:rPr>
            </w:pPr>
            <w:r>
              <w:rPr>
                <w:b/>
                <w:bCs/>
                <w:sz w:val="21"/>
                <w:szCs w:val="21"/>
              </w:rPr>
              <w:t>要素</w:t>
            </w:r>
          </w:p>
        </w:tc>
        <w:tc>
          <w:tcPr>
            <w:tcW w:w="772" w:type="pct"/>
            <w:vAlign w:val="center"/>
          </w:tcPr>
          <w:p w14:paraId="1419AC15">
            <w:pPr>
              <w:wordWrap w:val="0"/>
              <w:topLinePunct/>
              <w:adjustRightInd w:val="0"/>
              <w:snapToGrid w:val="0"/>
              <w:spacing w:line="240" w:lineRule="auto"/>
              <w:jc w:val="center"/>
              <w:rPr>
                <w:b/>
                <w:bCs/>
                <w:sz w:val="21"/>
                <w:szCs w:val="21"/>
              </w:rPr>
            </w:pPr>
            <w:r>
              <w:rPr>
                <w:b/>
                <w:bCs/>
                <w:sz w:val="21"/>
                <w:szCs w:val="21"/>
              </w:rPr>
              <w:t>排放口(编号、名称)/污染源</w:t>
            </w:r>
          </w:p>
        </w:tc>
        <w:tc>
          <w:tcPr>
            <w:tcW w:w="1017" w:type="pct"/>
            <w:vAlign w:val="center"/>
          </w:tcPr>
          <w:p w14:paraId="7005889A">
            <w:pPr>
              <w:wordWrap w:val="0"/>
              <w:topLinePunct/>
              <w:adjustRightInd w:val="0"/>
              <w:snapToGrid w:val="0"/>
              <w:spacing w:line="240" w:lineRule="auto"/>
              <w:jc w:val="center"/>
              <w:rPr>
                <w:b/>
                <w:bCs/>
                <w:sz w:val="21"/>
                <w:szCs w:val="21"/>
              </w:rPr>
            </w:pPr>
            <w:r>
              <w:rPr>
                <w:b/>
                <w:bCs/>
                <w:sz w:val="21"/>
                <w:szCs w:val="21"/>
              </w:rPr>
              <w:t>污染物项目</w:t>
            </w:r>
          </w:p>
        </w:tc>
        <w:tc>
          <w:tcPr>
            <w:tcW w:w="1201" w:type="pct"/>
            <w:vAlign w:val="center"/>
          </w:tcPr>
          <w:p w14:paraId="049441CC">
            <w:pPr>
              <w:wordWrap w:val="0"/>
              <w:topLinePunct/>
              <w:adjustRightInd w:val="0"/>
              <w:snapToGrid w:val="0"/>
              <w:spacing w:line="240" w:lineRule="auto"/>
              <w:jc w:val="center"/>
              <w:rPr>
                <w:b/>
                <w:bCs/>
                <w:sz w:val="21"/>
                <w:szCs w:val="21"/>
              </w:rPr>
            </w:pPr>
            <w:r>
              <w:rPr>
                <w:b/>
                <w:bCs/>
                <w:sz w:val="21"/>
                <w:szCs w:val="21"/>
              </w:rPr>
              <w:t>环境保护措施</w:t>
            </w:r>
          </w:p>
        </w:tc>
        <w:tc>
          <w:tcPr>
            <w:tcW w:w="1002" w:type="pct"/>
            <w:vAlign w:val="center"/>
          </w:tcPr>
          <w:p w14:paraId="4E4B4828">
            <w:pPr>
              <w:wordWrap w:val="0"/>
              <w:topLinePunct/>
              <w:adjustRightInd w:val="0"/>
              <w:snapToGrid w:val="0"/>
              <w:spacing w:line="240" w:lineRule="auto"/>
              <w:jc w:val="center"/>
              <w:rPr>
                <w:b/>
                <w:bCs/>
                <w:sz w:val="21"/>
                <w:szCs w:val="21"/>
              </w:rPr>
            </w:pPr>
            <w:r>
              <w:rPr>
                <w:b/>
                <w:bCs/>
                <w:sz w:val="21"/>
                <w:szCs w:val="21"/>
              </w:rPr>
              <w:t>执行标准</w:t>
            </w:r>
          </w:p>
        </w:tc>
      </w:tr>
      <w:tr w14:paraId="763783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007" w:type="pct"/>
            <w:vMerge w:val="restart"/>
            <w:vAlign w:val="center"/>
          </w:tcPr>
          <w:p w14:paraId="6D53A517">
            <w:pPr>
              <w:wordWrap w:val="0"/>
              <w:topLinePunct/>
              <w:adjustRightInd w:val="0"/>
              <w:snapToGrid w:val="0"/>
              <w:spacing w:line="240" w:lineRule="auto"/>
              <w:jc w:val="center"/>
              <w:rPr>
                <w:sz w:val="21"/>
                <w:szCs w:val="21"/>
              </w:rPr>
            </w:pPr>
            <w:r>
              <w:rPr>
                <w:sz w:val="21"/>
                <w:szCs w:val="21"/>
              </w:rPr>
              <w:t>大气环境</w:t>
            </w:r>
          </w:p>
        </w:tc>
        <w:tc>
          <w:tcPr>
            <w:tcW w:w="772" w:type="pct"/>
            <w:vAlign w:val="center"/>
          </w:tcPr>
          <w:p w14:paraId="625DD408">
            <w:pPr>
              <w:wordWrap w:val="0"/>
              <w:topLinePunct/>
              <w:adjustRightInd w:val="0"/>
              <w:snapToGrid w:val="0"/>
              <w:spacing w:line="240" w:lineRule="auto"/>
              <w:jc w:val="center"/>
              <w:rPr>
                <w:sz w:val="21"/>
                <w:szCs w:val="21"/>
              </w:rPr>
            </w:pPr>
            <w:r>
              <w:rPr>
                <w:rFonts w:hint="eastAsia"/>
                <w:sz w:val="21"/>
                <w:szCs w:val="21"/>
              </w:rPr>
              <w:t>成品堆场</w:t>
            </w:r>
          </w:p>
        </w:tc>
        <w:tc>
          <w:tcPr>
            <w:tcW w:w="1017" w:type="pct"/>
            <w:vAlign w:val="center"/>
          </w:tcPr>
          <w:p w14:paraId="046AE0C0">
            <w:pPr>
              <w:wordWrap w:val="0"/>
              <w:topLinePunct/>
              <w:adjustRightInd w:val="0"/>
              <w:snapToGrid w:val="0"/>
              <w:spacing w:line="240" w:lineRule="auto"/>
              <w:jc w:val="center"/>
              <w:rPr>
                <w:sz w:val="21"/>
                <w:szCs w:val="21"/>
              </w:rPr>
            </w:pPr>
            <w:r>
              <w:rPr>
                <w:sz w:val="21"/>
                <w:szCs w:val="21"/>
              </w:rPr>
              <w:t>颗粒物</w:t>
            </w:r>
          </w:p>
        </w:tc>
        <w:tc>
          <w:tcPr>
            <w:tcW w:w="1201" w:type="pct"/>
            <w:vAlign w:val="center"/>
          </w:tcPr>
          <w:p w14:paraId="4423FE57">
            <w:pPr>
              <w:wordWrap w:val="0"/>
              <w:topLinePunct/>
              <w:adjustRightInd w:val="0"/>
              <w:snapToGrid w:val="0"/>
              <w:spacing w:line="240" w:lineRule="auto"/>
              <w:jc w:val="center"/>
              <w:rPr>
                <w:sz w:val="21"/>
                <w:szCs w:val="21"/>
              </w:rPr>
            </w:pPr>
            <w:r>
              <w:rPr>
                <w:rStyle w:val="27"/>
                <w:kern w:val="0"/>
                <w:szCs w:val="21"/>
              </w:rPr>
              <w:t>无组织排放，设置</w:t>
            </w:r>
            <w:r>
              <w:rPr>
                <w:rStyle w:val="27"/>
                <w:rFonts w:hint="eastAsia"/>
                <w:kern w:val="0"/>
                <w:szCs w:val="21"/>
              </w:rPr>
              <w:t>顶棚，三面围挡</w:t>
            </w:r>
            <w:r>
              <w:rPr>
                <w:rStyle w:val="27"/>
                <w:kern w:val="0"/>
                <w:szCs w:val="21"/>
              </w:rPr>
              <w:t>。</w:t>
            </w:r>
          </w:p>
        </w:tc>
        <w:tc>
          <w:tcPr>
            <w:tcW w:w="1002" w:type="pct"/>
            <w:vMerge w:val="restart"/>
            <w:vAlign w:val="center"/>
          </w:tcPr>
          <w:p w14:paraId="0AD68E83">
            <w:pPr>
              <w:wordWrap w:val="0"/>
              <w:topLinePunct/>
              <w:adjustRightInd w:val="0"/>
              <w:snapToGrid w:val="0"/>
              <w:spacing w:line="240" w:lineRule="auto"/>
              <w:jc w:val="center"/>
              <w:rPr>
                <w:sz w:val="21"/>
                <w:szCs w:val="21"/>
              </w:rPr>
            </w:pPr>
          </w:p>
          <w:p w14:paraId="2DD5A789">
            <w:pPr>
              <w:wordWrap w:val="0"/>
              <w:topLinePunct/>
              <w:adjustRightInd w:val="0"/>
              <w:snapToGrid w:val="0"/>
              <w:spacing w:line="240" w:lineRule="auto"/>
              <w:jc w:val="center"/>
              <w:rPr>
                <w:rStyle w:val="27"/>
                <w:kern w:val="0"/>
                <w:szCs w:val="21"/>
              </w:rPr>
            </w:pPr>
          </w:p>
          <w:p w14:paraId="16ED30AE">
            <w:pPr>
              <w:wordWrap w:val="0"/>
              <w:topLinePunct/>
              <w:adjustRightInd w:val="0"/>
              <w:snapToGrid w:val="0"/>
              <w:spacing w:line="240" w:lineRule="auto"/>
              <w:jc w:val="center"/>
              <w:rPr>
                <w:sz w:val="21"/>
                <w:szCs w:val="21"/>
              </w:rPr>
            </w:pPr>
          </w:p>
          <w:p w14:paraId="307467F1">
            <w:pPr>
              <w:wordWrap w:val="0"/>
              <w:topLinePunct/>
              <w:adjustRightInd w:val="0"/>
              <w:snapToGrid w:val="0"/>
              <w:spacing w:line="240" w:lineRule="auto"/>
              <w:jc w:val="center"/>
              <w:rPr>
                <w:sz w:val="21"/>
                <w:szCs w:val="21"/>
              </w:rPr>
            </w:pPr>
          </w:p>
          <w:p w14:paraId="27A764B7">
            <w:pPr>
              <w:wordWrap w:val="0"/>
              <w:topLinePunct/>
              <w:adjustRightInd w:val="0"/>
              <w:snapToGrid w:val="0"/>
              <w:spacing w:line="240" w:lineRule="auto"/>
              <w:jc w:val="center"/>
              <w:rPr>
                <w:rStyle w:val="27"/>
                <w:kern w:val="0"/>
                <w:szCs w:val="21"/>
              </w:rPr>
            </w:pPr>
          </w:p>
          <w:p w14:paraId="6D5638B7">
            <w:pPr>
              <w:wordWrap w:val="0"/>
              <w:topLinePunct/>
              <w:adjustRightInd w:val="0"/>
              <w:snapToGrid w:val="0"/>
              <w:spacing w:line="240" w:lineRule="auto"/>
              <w:jc w:val="center"/>
              <w:rPr>
                <w:rStyle w:val="27"/>
                <w:kern w:val="0"/>
                <w:szCs w:val="21"/>
              </w:rPr>
            </w:pPr>
            <w:r>
              <w:rPr>
                <w:rStyle w:val="27"/>
                <w:rFonts w:hint="eastAsia"/>
                <w:kern w:val="0"/>
                <w:szCs w:val="21"/>
              </w:rPr>
              <w:t>《水泥工业大气污染物排放标准》</w:t>
            </w:r>
            <w:r>
              <w:rPr>
                <w:rStyle w:val="27"/>
                <w:kern w:val="0"/>
                <w:szCs w:val="21"/>
              </w:rPr>
              <w:t>（GB</w:t>
            </w:r>
            <w:r>
              <w:rPr>
                <w:rStyle w:val="27"/>
                <w:rFonts w:hint="eastAsia"/>
                <w:kern w:val="0"/>
                <w:szCs w:val="21"/>
              </w:rPr>
              <w:t>4915</w:t>
            </w:r>
            <w:r>
              <w:rPr>
                <w:rStyle w:val="27"/>
                <w:kern w:val="0"/>
                <w:szCs w:val="21"/>
              </w:rPr>
              <w:t>-20</w:t>
            </w:r>
            <w:r>
              <w:rPr>
                <w:rStyle w:val="27"/>
                <w:rFonts w:hint="eastAsia"/>
                <w:kern w:val="0"/>
                <w:szCs w:val="21"/>
              </w:rPr>
              <w:t>13</w:t>
            </w:r>
            <w:r>
              <w:rPr>
                <w:rStyle w:val="27"/>
                <w:kern w:val="0"/>
                <w:szCs w:val="21"/>
              </w:rPr>
              <w:t>）</w:t>
            </w:r>
            <w:r>
              <w:rPr>
                <w:rStyle w:val="27"/>
                <w:rFonts w:hint="eastAsia"/>
                <w:kern w:val="0"/>
                <w:szCs w:val="21"/>
              </w:rPr>
              <w:t>中表3的大气污染物无组织排放限值</w:t>
            </w:r>
          </w:p>
        </w:tc>
      </w:tr>
      <w:tr w14:paraId="693A7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007" w:type="pct"/>
            <w:vMerge w:val="continue"/>
            <w:vAlign w:val="center"/>
          </w:tcPr>
          <w:p w14:paraId="5985B6E6">
            <w:pPr>
              <w:wordWrap w:val="0"/>
              <w:topLinePunct/>
              <w:adjustRightInd w:val="0"/>
              <w:snapToGrid w:val="0"/>
              <w:spacing w:line="240" w:lineRule="auto"/>
              <w:jc w:val="center"/>
              <w:rPr>
                <w:color w:val="0000C7"/>
                <w:sz w:val="21"/>
                <w:szCs w:val="21"/>
              </w:rPr>
            </w:pPr>
          </w:p>
        </w:tc>
        <w:tc>
          <w:tcPr>
            <w:tcW w:w="772" w:type="pct"/>
            <w:vAlign w:val="center"/>
          </w:tcPr>
          <w:p w14:paraId="59A7F4EF">
            <w:pPr>
              <w:wordWrap w:val="0"/>
              <w:topLinePunct/>
              <w:adjustRightInd w:val="0"/>
              <w:snapToGrid w:val="0"/>
              <w:spacing w:line="240" w:lineRule="auto"/>
              <w:jc w:val="center"/>
              <w:rPr>
                <w:rStyle w:val="27"/>
                <w:kern w:val="0"/>
                <w:szCs w:val="21"/>
              </w:rPr>
            </w:pPr>
            <w:r>
              <w:rPr>
                <w:rStyle w:val="27"/>
                <w:rFonts w:hint="eastAsia"/>
                <w:kern w:val="0"/>
                <w:szCs w:val="21"/>
              </w:rPr>
              <w:t>原料堆场</w:t>
            </w:r>
          </w:p>
        </w:tc>
        <w:tc>
          <w:tcPr>
            <w:tcW w:w="1017" w:type="pct"/>
            <w:vAlign w:val="center"/>
          </w:tcPr>
          <w:p w14:paraId="6D2BAA32">
            <w:pPr>
              <w:wordWrap w:val="0"/>
              <w:topLinePunct/>
              <w:adjustRightInd w:val="0"/>
              <w:snapToGrid w:val="0"/>
              <w:spacing w:line="240" w:lineRule="auto"/>
              <w:jc w:val="center"/>
              <w:rPr>
                <w:rStyle w:val="27"/>
                <w:kern w:val="0"/>
                <w:szCs w:val="21"/>
              </w:rPr>
            </w:pPr>
            <w:r>
              <w:rPr>
                <w:rStyle w:val="27"/>
                <w:kern w:val="0"/>
                <w:szCs w:val="21"/>
              </w:rPr>
              <w:t>颗粒物</w:t>
            </w:r>
          </w:p>
        </w:tc>
        <w:tc>
          <w:tcPr>
            <w:tcW w:w="1201" w:type="pct"/>
            <w:vAlign w:val="center"/>
          </w:tcPr>
          <w:p w14:paraId="72C97AE6">
            <w:pPr>
              <w:wordWrap w:val="0"/>
              <w:topLinePunct/>
              <w:adjustRightInd w:val="0"/>
              <w:snapToGrid w:val="0"/>
              <w:spacing w:line="240" w:lineRule="auto"/>
              <w:jc w:val="center"/>
              <w:rPr>
                <w:rStyle w:val="27"/>
                <w:kern w:val="0"/>
                <w:szCs w:val="21"/>
              </w:rPr>
            </w:pPr>
            <w:r>
              <w:rPr>
                <w:rStyle w:val="27"/>
                <w:kern w:val="0"/>
                <w:szCs w:val="21"/>
              </w:rPr>
              <w:t>设置</w:t>
            </w:r>
            <w:r>
              <w:rPr>
                <w:rStyle w:val="27"/>
                <w:rFonts w:hint="eastAsia"/>
                <w:kern w:val="0"/>
                <w:szCs w:val="21"/>
              </w:rPr>
              <w:t>顶棚及三面</w:t>
            </w:r>
            <w:r>
              <w:rPr>
                <w:rStyle w:val="27"/>
                <w:kern w:val="0"/>
                <w:szCs w:val="21"/>
              </w:rPr>
              <w:t>围挡，采取</w:t>
            </w:r>
            <w:r>
              <w:rPr>
                <w:rFonts w:hint="eastAsia"/>
                <w:snapToGrid w:val="0"/>
                <w:spacing w:val="4"/>
                <w:sz w:val="21"/>
                <w:szCs w:val="21"/>
              </w:rPr>
              <w:t>洒水喷淋</w:t>
            </w:r>
            <w:r>
              <w:rPr>
                <w:rFonts w:hint="eastAsia"/>
                <w:snapToGrid w:val="0"/>
                <w:spacing w:val="4"/>
                <w:sz w:val="21"/>
                <w:szCs w:val="21"/>
                <w:lang w:eastAsia="zh-CN"/>
              </w:rPr>
              <w:t>抑尘</w:t>
            </w:r>
            <w:r>
              <w:rPr>
                <w:rStyle w:val="27"/>
                <w:kern w:val="0"/>
                <w:szCs w:val="21"/>
              </w:rPr>
              <w:t>、定期清扫地面保持整洁</w:t>
            </w:r>
            <w:r>
              <w:rPr>
                <w:rStyle w:val="27"/>
                <w:rFonts w:hint="eastAsia"/>
                <w:kern w:val="0"/>
                <w:szCs w:val="21"/>
              </w:rPr>
              <w:t>，</w:t>
            </w:r>
            <w:r>
              <w:rPr>
                <w:rStyle w:val="27"/>
                <w:kern w:val="0"/>
                <w:szCs w:val="21"/>
              </w:rPr>
              <w:t>无组织排放。</w:t>
            </w:r>
          </w:p>
        </w:tc>
        <w:tc>
          <w:tcPr>
            <w:tcW w:w="1002" w:type="pct"/>
            <w:vMerge w:val="continue"/>
            <w:vAlign w:val="center"/>
          </w:tcPr>
          <w:p w14:paraId="0B0E1C56">
            <w:pPr>
              <w:wordWrap w:val="0"/>
              <w:topLinePunct/>
              <w:adjustRightInd w:val="0"/>
              <w:snapToGrid w:val="0"/>
              <w:spacing w:line="240" w:lineRule="auto"/>
              <w:jc w:val="center"/>
              <w:rPr>
                <w:rStyle w:val="27"/>
                <w:kern w:val="0"/>
                <w:szCs w:val="21"/>
              </w:rPr>
            </w:pPr>
          </w:p>
        </w:tc>
      </w:tr>
      <w:tr w14:paraId="101B5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007" w:type="pct"/>
            <w:vMerge w:val="continue"/>
            <w:vAlign w:val="center"/>
          </w:tcPr>
          <w:p w14:paraId="3F878DB7">
            <w:pPr>
              <w:wordWrap w:val="0"/>
              <w:topLinePunct/>
              <w:adjustRightInd w:val="0"/>
              <w:snapToGrid w:val="0"/>
              <w:spacing w:line="240" w:lineRule="auto"/>
              <w:jc w:val="center"/>
              <w:rPr>
                <w:color w:val="0000C7"/>
                <w:sz w:val="21"/>
                <w:szCs w:val="21"/>
              </w:rPr>
            </w:pPr>
          </w:p>
        </w:tc>
        <w:tc>
          <w:tcPr>
            <w:tcW w:w="772" w:type="pct"/>
            <w:vAlign w:val="center"/>
          </w:tcPr>
          <w:p w14:paraId="37D82327">
            <w:pPr>
              <w:wordWrap w:val="0"/>
              <w:topLinePunct/>
              <w:adjustRightInd w:val="0"/>
              <w:snapToGrid w:val="0"/>
              <w:spacing w:line="240" w:lineRule="auto"/>
              <w:jc w:val="center"/>
              <w:rPr>
                <w:color w:val="0000C7"/>
                <w:sz w:val="21"/>
                <w:szCs w:val="21"/>
              </w:rPr>
            </w:pPr>
            <w:r>
              <w:rPr>
                <w:rFonts w:hint="eastAsia"/>
                <w:sz w:val="21"/>
                <w:szCs w:val="21"/>
              </w:rPr>
              <w:t>路沿石加工</w:t>
            </w:r>
          </w:p>
        </w:tc>
        <w:tc>
          <w:tcPr>
            <w:tcW w:w="1017" w:type="pct"/>
            <w:vAlign w:val="center"/>
          </w:tcPr>
          <w:p w14:paraId="2417D3BF">
            <w:pPr>
              <w:wordWrap w:val="0"/>
              <w:topLinePunct/>
              <w:adjustRightInd w:val="0"/>
              <w:snapToGrid w:val="0"/>
              <w:spacing w:line="240" w:lineRule="auto"/>
              <w:jc w:val="center"/>
              <w:rPr>
                <w:sz w:val="21"/>
                <w:szCs w:val="21"/>
              </w:rPr>
            </w:pPr>
            <w:r>
              <w:rPr>
                <w:sz w:val="21"/>
                <w:szCs w:val="21"/>
              </w:rPr>
              <w:t>颗粒物</w:t>
            </w:r>
          </w:p>
        </w:tc>
        <w:tc>
          <w:tcPr>
            <w:tcW w:w="1201" w:type="pct"/>
            <w:vAlign w:val="center"/>
          </w:tcPr>
          <w:p w14:paraId="4C62979E">
            <w:pPr>
              <w:wordWrap w:val="0"/>
              <w:topLinePunct/>
              <w:adjustRightInd w:val="0"/>
              <w:snapToGrid w:val="0"/>
              <w:spacing w:line="240" w:lineRule="auto"/>
              <w:jc w:val="center"/>
              <w:rPr>
                <w:rStyle w:val="27"/>
                <w:kern w:val="0"/>
                <w:szCs w:val="21"/>
              </w:rPr>
            </w:pPr>
            <w:r>
              <w:rPr>
                <w:rStyle w:val="27"/>
                <w:rFonts w:hint="eastAsia"/>
                <w:kern w:val="0"/>
                <w:szCs w:val="21"/>
              </w:rPr>
              <w:t>采取湿法作业，无组织排放。</w:t>
            </w:r>
          </w:p>
        </w:tc>
        <w:tc>
          <w:tcPr>
            <w:tcW w:w="1002" w:type="pct"/>
            <w:vMerge w:val="continue"/>
            <w:vAlign w:val="center"/>
          </w:tcPr>
          <w:p w14:paraId="3B4498D6">
            <w:pPr>
              <w:wordWrap w:val="0"/>
              <w:topLinePunct/>
              <w:adjustRightInd w:val="0"/>
              <w:snapToGrid w:val="0"/>
              <w:spacing w:line="240" w:lineRule="auto"/>
              <w:jc w:val="center"/>
              <w:rPr>
                <w:sz w:val="21"/>
                <w:szCs w:val="21"/>
              </w:rPr>
            </w:pPr>
          </w:p>
        </w:tc>
      </w:tr>
      <w:tr w14:paraId="53C8E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007" w:type="pct"/>
            <w:vMerge w:val="continue"/>
            <w:vAlign w:val="center"/>
          </w:tcPr>
          <w:p w14:paraId="78140061">
            <w:pPr>
              <w:wordWrap w:val="0"/>
              <w:topLinePunct/>
              <w:adjustRightInd w:val="0"/>
              <w:snapToGrid w:val="0"/>
              <w:spacing w:line="240" w:lineRule="auto"/>
              <w:jc w:val="center"/>
              <w:rPr>
                <w:color w:val="0000C7"/>
                <w:sz w:val="21"/>
                <w:szCs w:val="21"/>
              </w:rPr>
            </w:pPr>
          </w:p>
        </w:tc>
        <w:tc>
          <w:tcPr>
            <w:tcW w:w="772" w:type="pct"/>
            <w:vAlign w:val="center"/>
          </w:tcPr>
          <w:p w14:paraId="22F1E0D5">
            <w:pPr>
              <w:wordWrap w:val="0"/>
              <w:topLinePunct/>
              <w:adjustRightInd w:val="0"/>
              <w:snapToGrid w:val="0"/>
              <w:spacing w:line="240" w:lineRule="auto"/>
              <w:jc w:val="center"/>
              <w:rPr>
                <w:sz w:val="21"/>
                <w:szCs w:val="21"/>
              </w:rPr>
            </w:pPr>
            <w:r>
              <w:rPr>
                <w:rFonts w:hint="default" w:ascii="Times New Roman" w:hAnsi="Times New Roman" w:eastAsia="宋体" w:cs="Times New Roman"/>
                <w:bCs w:val="0"/>
                <w:kern w:val="2"/>
                <w:sz w:val="21"/>
                <w:szCs w:val="21"/>
                <w:lang w:val="en-US" w:eastAsia="zh-CN" w:bidi="ar-SA"/>
              </w:rPr>
              <w:t>墓碑及附属产品和其他板材</w:t>
            </w:r>
            <w:r>
              <w:rPr>
                <w:rFonts w:hint="eastAsia"/>
                <w:sz w:val="21"/>
                <w:szCs w:val="21"/>
              </w:rPr>
              <w:t>加工</w:t>
            </w:r>
          </w:p>
        </w:tc>
        <w:tc>
          <w:tcPr>
            <w:tcW w:w="1017" w:type="pct"/>
            <w:vAlign w:val="center"/>
          </w:tcPr>
          <w:p w14:paraId="73A9144D">
            <w:pPr>
              <w:wordWrap w:val="0"/>
              <w:topLinePunct/>
              <w:adjustRightInd w:val="0"/>
              <w:snapToGrid w:val="0"/>
              <w:spacing w:line="240" w:lineRule="auto"/>
              <w:jc w:val="center"/>
              <w:rPr>
                <w:sz w:val="21"/>
                <w:szCs w:val="21"/>
              </w:rPr>
            </w:pPr>
            <w:r>
              <w:rPr>
                <w:sz w:val="21"/>
                <w:szCs w:val="21"/>
              </w:rPr>
              <w:t>颗粒物</w:t>
            </w:r>
          </w:p>
        </w:tc>
        <w:tc>
          <w:tcPr>
            <w:tcW w:w="1201" w:type="pct"/>
            <w:vAlign w:val="center"/>
          </w:tcPr>
          <w:p w14:paraId="40EAFFB3">
            <w:pPr>
              <w:wordWrap w:val="0"/>
              <w:topLinePunct/>
              <w:adjustRightInd w:val="0"/>
              <w:snapToGrid w:val="0"/>
              <w:spacing w:line="240" w:lineRule="auto"/>
              <w:jc w:val="center"/>
              <w:rPr>
                <w:rStyle w:val="27"/>
                <w:kern w:val="0"/>
                <w:szCs w:val="21"/>
              </w:rPr>
            </w:pPr>
            <w:r>
              <w:rPr>
                <w:rStyle w:val="27"/>
                <w:rFonts w:hint="eastAsia"/>
                <w:kern w:val="0"/>
                <w:szCs w:val="21"/>
              </w:rPr>
              <w:t>采用湿法作业，无组织排放。</w:t>
            </w:r>
          </w:p>
        </w:tc>
        <w:tc>
          <w:tcPr>
            <w:tcW w:w="1002" w:type="pct"/>
            <w:vMerge w:val="continue"/>
            <w:vAlign w:val="center"/>
          </w:tcPr>
          <w:p w14:paraId="0C0AC5B4">
            <w:pPr>
              <w:wordWrap w:val="0"/>
              <w:topLinePunct/>
              <w:adjustRightInd w:val="0"/>
              <w:snapToGrid w:val="0"/>
              <w:spacing w:line="240" w:lineRule="auto"/>
              <w:jc w:val="center"/>
              <w:rPr>
                <w:sz w:val="21"/>
                <w:szCs w:val="21"/>
              </w:rPr>
            </w:pPr>
          </w:p>
        </w:tc>
      </w:tr>
      <w:tr w14:paraId="57AA5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007" w:type="pct"/>
            <w:vMerge w:val="continue"/>
            <w:vAlign w:val="center"/>
          </w:tcPr>
          <w:p w14:paraId="06E9F049">
            <w:pPr>
              <w:wordWrap w:val="0"/>
              <w:topLinePunct/>
              <w:adjustRightInd w:val="0"/>
              <w:snapToGrid w:val="0"/>
              <w:spacing w:line="240" w:lineRule="auto"/>
              <w:jc w:val="center"/>
              <w:rPr>
                <w:color w:val="0000C7"/>
                <w:sz w:val="21"/>
                <w:szCs w:val="21"/>
              </w:rPr>
            </w:pPr>
          </w:p>
        </w:tc>
        <w:tc>
          <w:tcPr>
            <w:tcW w:w="772" w:type="pct"/>
            <w:vAlign w:val="center"/>
          </w:tcPr>
          <w:p w14:paraId="321A2CA8">
            <w:pPr>
              <w:wordWrap w:val="0"/>
              <w:topLinePunct/>
              <w:adjustRightInd w:val="0"/>
              <w:snapToGrid w:val="0"/>
              <w:spacing w:line="240" w:lineRule="auto"/>
              <w:jc w:val="center"/>
              <w:rPr>
                <w:rStyle w:val="27"/>
                <w:kern w:val="0"/>
                <w:szCs w:val="21"/>
              </w:rPr>
            </w:pPr>
            <w:r>
              <w:rPr>
                <w:rStyle w:val="27"/>
                <w:rFonts w:hint="eastAsia"/>
                <w:kern w:val="0"/>
                <w:szCs w:val="21"/>
              </w:rPr>
              <w:t>破碎、筛分、制砂粉尘</w:t>
            </w:r>
          </w:p>
        </w:tc>
        <w:tc>
          <w:tcPr>
            <w:tcW w:w="1017" w:type="pct"/>
            <w:vAlign w:val="center"/>
          </w:tcPr>
          <w:p w14:paraId="702CA24B">
            <w:pPr>
              <w:wordWrap w:val="0"/>
              <w:topLinePunct/>
              <w:adjustRightInd w:val="0"/>
              <w:snapToGrid w:val="0"/>
              <w:spacing w:line="240" w:lineRule="auto"/>
              <w:jc w:val="center"/>
              <w:rPr>
                <w:rStyle w:val="27"/>
                <w:kern w:val="0"/>
                <w:szCs w:val="21"/>
              </w:rPr>
            </w:pPr>
            <w:r>
              <w:rPr>
                <w:rStyle w:val="27"/>
                <w:kern w:val="0"/>
                <w:szCs w:val="21"/>
              </w:rPr>
              <w:t>颗粒物</w:t>
            </w:r>
          </w:p>
        </w:tc>
        <w:tc>
          <w:tcPr>
            <w:tcW w:w="1201" w:type="pct"/>
            <w:vAlign w:val="center"/>
          </w:tcPr>
          <w:p w14:paraId="195FEA76">
            <w:pPr>
              <w:wordWrap w:val="0"/>
              <w:topLinePunct/>
              <w:adjustRightInd w:val="0"/>
              <w:snapToGrid w:val="0"/>
              <w:spacing w:line="240" w:lineRule="auto"/>
              <w:jc w:val="center"/>
              <w:rPr>
                <w:rStyle w:val="27"/>
                <w:kern w:val="0"/>
                <w:szCs w:val="21"/>
              </w:rPr>
            </w:pPr>
            <w:r>
              <w:rPr>
                <w:rStyle w:val="27"/>
                <w:rFonts w:hint="eastAsia"/>
                <w:kern w:val="0"/>
                <w:szCs w:val="21"/>
              </w:rPr>
              <w:t>采用</w:t>
            </w:r>
            <w:r>
              <w:rPr>
                <w:rFonts w:hint="eastAsia"/>
                <w:snapToGrid w:val="0"/>
                <w:spacing w:val="4"/>
                <w:sz w:val="21"/>
                <w:szCs w:val="21"/>
                <w:lang w:eastAsia="zh-CN"/>
              </w:rPr>
              <w:t>干法作业</w:t>
            </w:r>
            <w:r>
              <w:rPr>
                <w:rStyle w:val="27"/>
                <w:rFonts w:hint="eastAsia"/>
                <w:kern w:val="0"/>
                <w:szCs w:val="21"/>
              </w:rPr>
              <w:t>的生产工艺，</w:t>
            </w:r>
            <w:r>
              <w:rPr>
                <w:rStyle w:val="27"/>
                <w:rFonts w:hint="eastAsia"/>
                <w:kern w:val="0"/>
                <w:szCs w:val="21"/>
                <w:lang w:eastAsia="zh-CN"/>
              </w:rPr>
              <w:t>同时采用密闭生产工序，</w:t>
            </w:r>
            <w:r>
              <w:rPr>
                <w:rFonts w:hint="eastAsia"/>
                <w:kern w:val="2"/>
                <w:sz w:val="21"/>
                <w:szCs w:val="21"/>
                <w:lang w:eastAsia="zh-CN"/>
              </w:rPr>
              <w:t>采取喷淋降尘</w:t>
            </w:r>
            <w:r>
              <w:rPr>
                <w:rFonts w:hint="eastAsia"/>
                <w:kern w:val="2"/>
                <w:sz w:val="21"/>
                <w:szCs w:val="21"/>
              </w:rPr>
              <w:t>，</w:t>
            </w:r>
            <w:r>
              <w:rPr>
                <w:rStyle w:val="27"/>
                <w:rFonts w:hint="eastAsia"/>
                <w:kern w:val="0"/>
                <w:szCs w:val="21"/>
              </w:rPr>
              <w:t>无组织排放。</w:t>
            </w:r>
          </w:p>
        </w:tc>
        <w:tc>
          <w:tcPr>
            <w:tcW w:w="1002" w:type="pct"/>
            <w:vMerge w:val="continue"/>
            <w:vAlign w:val="center"/>
          </w:tcPr>
          <w:p w14:paraId="2D2E8D64">
            <w:pPr>
              <w:wordWrap w:val="0"/>
              <w:topLinePunct/>
              <w:adjustRightInd w:val="0"/>
              <w:snapToGrid w:val="0"/>
              <w:spacing w:line="240" w:lineRule="auto"/>
              <w:jc w:val="center"/>
              <w:rPr>
                <w:rStyle w:val="27"/>
                <w:kern w:val="0"/>
                <w:szCs w:val="21"/>
              </w:rPr>
            </w:pPr>
          </w:p>
        </w:tc>
      </w:tr>
      <w:tr w14:paraId="04B0E4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007" w:type="pct"/>
            <w:vMerge w:val="continue"/>
            <w:vAlign w:val="center"/>
          </w:tcPr>
          <w:p w14:paraId="11C6A49D">
            <w:pPr>
              <w:wordWrap w:val="0"/>
              <w:topLinePunct/>
              <w:adjustRightInd w:val="0"/>
              <w:snapToGrid w:val="0"/>
              <w:spacing w:line="240" w:lineRule="auto"/>
              <w:jc w:val="center"/>
              <w:rPr>
                <w:color w:val="0000C7"/>
                <w:sz w:val="21"/>
                <w:szCs w:val="21"/>
              </w:rPr>
            </w:pPr>
          </w:p>
        </w:tc>
        <w:tc>
          <w:tcPr>
            <w:tcW w:w="772" w:type="pct"/>
            <w:vAlign w:val="center"/>
          </w:tcPr>
          <w:p w14:paraId="132D1457">
            <w:pPr>
              <w:wordWrap w:val="0"/>
              <w:topLinePunct/>
              <w:adjustRightInd w:val="0"/>
              <w:snapToGrid w:val="0"/>
              <w:spacing w:line="240" w:lineRule="auto"/>
              <w:jc w:val="center"/>
              <w:rPr>
                <w:rStyle w:val="27"/>
                <w:kern w:val="0"/>
                <w:szCs w:val="24"/>
              </w:rPr>
            </w:pPr>
            <w:r>
              <w:rPr>
                <w:rStyle w:val="27"/>
                <w:kern w:val="0"/>
              </w:rPr>
              <w:t>透水砖、路面砖</w:t>
            </w:r>
            <w:r>
              <w:rPr>
                <w:rStyle w:val="27"/>
                <w:kern w:val="0"/>
                <w:szCs w:val="24"/>
              </w:rPr>
              <w:t>生产</w:t>
            </w:r>
            <w:r>
              <w:rPr>
                <w:rStyle w:val="27"/>
                <w:rFonts w:hint="default"/>
                <w:kern w:val="0"/>
                <w:szCs w:val="24"/>
              </w:rPr>
              <w:t>线投料、输送及搅拌</w:t>
            </w:r>
          </w:p>
        </w:tc>
        <w:tc>
          <w:tcPr>
            <w:tcW w:w="1017" w:type="pct"/>
            <w:vAlign w:val="center"/>
          </w:tcPr>
          <w:p w14:paraId="107CA8DB">
            <w:pPr>
              <w:wordWrap w:val="0"/>
              <w:topLinePunct/>
              <w:adjustRightInd w:val="0"/>
              <w:snapToGrid w:val="0"/>
              <w:spacing w:line="240" w:lineRule="auto"/>
              <w:jc w:val="center"/>
              <w:rPr>
                <w:rStyle w:val="27"/>
                <w:kern w:val="0"/>
                <w:szCs w:val="21"/>
              </w:rPr>
            </w:pPr>
            <w:r>
              <w:rPr>
                <w:rStyle w:val="27"/>
                <w:kern w:val="0"/>
                <w:szCs w:val="21"/>
              </w:rPr>
              <w:t>颗粒物</w:t>
            </w:r>
          </w:p>
        </w:tc>
        <w:tc>
          <w:tcPr>
            <w:tcW w:w="1201" w:type="pct"/>
            <w:vAlign w:val="center"/>
          </w:tcPr>
          <w:p w14:paraId="5C35CEA1">
            <w:pPr>
              <w:wordWrap w:val="0"/>
              <w:topLinePunct/>
              <w:adjustRightInd w:val="0"/>
              <w:snapToGrid w:val="0"/>
              <w:spacing w:line="240" w:lineRule="auto"/>
              <w:jc w:val="center"/>
              <w:rPr>
                <w:rStyle w:val="27"/>
                <w:kern w:val="0"/>
                <w:szCs w:val="21"/>
              </w:rPr>
            </w:pPr>
            <w:r>
              <w:rPr>
                <w:rStyle w:val="27"/>
                <w:rFonts w:hint="eastAsia"/>
                <w:kern w:val="0"/>
                <w:szCs w:val="21"/>
              </w:rPr>
              <w:t>设置喷淋装置进行洒水抑尘。</w:t>
            </w:r>
          </w:p>
        </w:tc>
        <w:tc>
          <w:tcPr>
            <w:tcW w:w="1002" w:type="pct"/>
            <w:vMerge w:val="continue"/>
            <w:vAlign w:val="center"/>
          </w:tcPr>
          <w:p w14:paraId="6AC8123C">
            <w:pPr>
              <w:wordWrap w:val="0"/>
              <w:topLinePunct/>
              <w:adjustRightInd w:val="0"/>
              <w:snapToGrid w:val="0"/>
              <w:spacing w:line="240" w:lineRule="auto"/>
              <w:jc w:val="center"/>
              <w:rPr>
                <w:rStyle w:val="27"/>
                <w:kern w:val="0"/>
                <w:szCs w:val="21"/>
              </w:rPr>
            </w:pPr>
          </w:p>
        </w:tc>
      </w:tr>
      <w:tr w14:paraId="5479A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007" w:type="pct"/>
            <w:vMerge w:val="continue"/>
            <w:vAlign w:val="center"/>
          </w:tcPr>
          <w:p w14:paraId="26A8D832">
            <w:pPr>
              <w:wordWrap w:val="0"/>
              <w:topLinePunct/>
              <w:adjustRightInd w:val="0"/>
              <w:snapToGrid w:val="0"/>
              <w:spacing w:line="240" w:lineRule="auto"/>
              <w:jc w:val="center"/>
              <w:rPr>
                <w:color w:val="0000C7"/>
                <w:sz w:val="21"/>
                <w:szCs w:val="21"/>
              </w:rPr>
            </w:pPr>
          </w:p>
        </w:tc>
        <w:tc>
          <w:tcPr>
            <w:tcW w:w="772" w:type="pct"/>
            <w:vAlign w:val="center"/>
          </w:tcPr>
          <w:p w14:paraId="0A32A43B">
            <w:pPr>
              <w:wordWrap w:val="0"/>
              <w:topLinePunct/>
              <w:adjustRightInd w:val="0"/>
              <w:snapToGrid w:val="0"/>
              <w:spacing w:line="240" w:lineRule="auto"/>
              <w:jc w:val="center"/>
              <w:rPr>
                <w:rStyle w:val="27"/>
                <w:kern w:val="0"/>
                <w:szCs w:val="21"/>
              </w:rPr>
            </w:pPr>
            <w:r>
              <w:rPr>
                <w:rStyle w:val="27"/>
                <w:kern w:val="0"/>
              </w:rPr>
              <w:t>水泥筒仓</w:t>
            </w:r>
            <w:r>
              <w:rPr>
                <w:rStyle w:val="27"/>
                <w:rFonts w:hint="eastAsia"/>
                <w:kern w:val="0"/>
                <w:szCs w:val="21"/>
              </w:rPr>
              <w:t>呼吸孔粉尘</w:t>
            </w:r>
          </w:p>
        </w:tc>
        <w:tc>
          <w:tcPr>
            <w:tcW w:w="1017" w:type="pct"/>
            <w:vAlign w:val="center"/>
          </w:tcPr>
          <w:p w14:paraId="63873F7D">
            <w:pPr>
              <w:wordWrap w:val="0"/>
              <w:topLinePunct/>
              <w:adjustRightInd w:val="0"/>
              <w:snapToGrid w:val="0"/>
              <w:spacing w:line="240" w:lineRule="auto"/>
              <w:jc w:val="center"/>
              <w:rPr>
                <w:rStyle w:val="27"/>
                <w:kern w:val="0"/>
                <w:szCs w:val="21"/>
              </w:rPr>
            </w:pPr>
            <w:r>
              <w:rPr>
                <w:rStyle w:val="27"/>
                <w:kern w:val="0"/>
                <w:szCs w:val="21"/>
              </w:rPr>
              <w:t>颗粒物</w:t>
            </w:r>
          </w:p>
        </w:tc>
        <w:tc>
          <w:tcPr>
            <w:tcW w:w="1201" w:type="pct"/>
            <w:vAlign w:val="center"/>
          </w:tcPr>
          <w:p w14:paraId="2F62BCA4">
            <w:pPr>
              <w:wordWrap w:val="0"/>
              <w:topLinePunct/>
              <w:adjustRightInd w:val="0"/>
              <w:snapToGrid w:val="0"/>
              <w:spacing w:line="240" w:lineRule="auto"/>
              <w:jc w:val="center"/>
              <w:rPr>
                <w:rStyle w:val="27"/>
                <w:kern w:val="0"/>
                <w:szCs w:val="21"/>
              </w:rPr>
            </w:pPr>
            <w:r>
              <w:rPr>
                <w:rStyle w:val="27"/>
                <w:kern w:val="0"/>
              </w:rPr>
              <w:t>筒仓</w:t>
            </w:r>
            <w:r>
              <w:rPr>
                <w:rStyle w:val="27"/>
                <w:kern w:val="0"/>
                <w:szCs w:val="21"/>
              </w:rPr>
              <w:t>顶部配套高效仓顶除尘器</w:t>
            </w:r>
            <w:r>
              <w:rPr>
                <w:rStyle w:val="27"/>
                <w:rFonts w:hint="eastAsia"/>
                <w:kern w:val="0"/>
                <w:szCs w:val="21"/>
              </w:rPr>
              <w:t>，</w:t>
            </w:r>
            <w:r>
              <w:rPr>
                <w:rStyle w:val="27"/>
                <w:rFonts w:hint="eastAsia"/>
                <w:kern w:val="0"/>
                <w:szCs w:val="21"/>
                <w:lang w:val="en-US" w:eastAsia="zh-CN"/>
              </w:rPr>
              <w:t>筒仓</w:t>
            </w:r>
            <w:r>
              <w:rPr>
                <w:rStyle w:val="27"/>
                <w:kern w:val="0"/>
                <w:szCs w:val="21"/>
              </w:rPr>
              <w:t>呼吸孔粉尘以无组织形式排放</w:t>
            </w:r>
            <w:r>
              <w:rPr>
                <w:rStyle w:val="27"/>
                <w:rFonts w:hint="eastAsia"/>
                <w:kern w:val="0"/>
                <w:szCs w:val="21"/>
              </w:rPr>
              <w:t>。</w:t>
            </w:r>
          </w:p>
        </w:tc>
        <w:tc>
          <w:tcPr>
            <w:tcW w:w="1002" w:type="pct"/>
            <w:vMerge w:val="continue"/>
            <w:vAlign w:val="center"/>
          </w:tcPr>
          <w:p w14:paraId="487B873D">
            <w:pPr>
              <w:wordWrap w:val="0"/>
              <w:topLinePunct/>
              <w:adjustRightInd w:val="0"/>
              <w:snapToGrid w:val="0"/>
              <w:spacing w:line="240" w:lineRule="auto"/>
              <w:jc w:val="center"/>
              <w:rPr>
                <w:rStyle w:val="27"/>
                <w:kern w:val="0"/>
                <w:szCs w:val="21"/>
              </w:rPr>
            </w:pPr>
          </w:p>
        </w:tc>
      </w:tr>
      <w:tr w14:paraId="5F1A7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007" w:type="pct"/>
            <w:vMerge w:val="continue"/>
            <w:vAlign w:val="center"/>
          </w:tcPr>
          <w:p w14:paraId="04224FCF">
            <w:pPr>
              <w:wordWrap w:val="0"/>
              <w:topLinePunct/>
              <w:adjustRightInd w:val="0"/>
              <w:snapToGrid w:val="0"/>
              <w:spacing w:line="240" w:lineRule="auto"/>
              <w:jc w:val="center"/>
              <w:rPr>
                <w:color w:val="0000C7"/>
                <w:sz w:val="21"/>
                <w:szCs w:val="21"/>
              </w:rPr>
            </w:pPr>
          </w:p>
        </w:tc>
        <w:tc>
          <w:tcPr>
            <w:tcW w:w="772" w:type="pct"/>
            <w:vAlign w:val="center"/>
          </w:tcPr>
          <w:p w14:paraId="2EC69F44">
            <w:pPr>
              <w:wordWrap w:val="0"/>
              <w:topLinePunct/>
              <w:adjustRightInd w:val="0"/>
              <w:snapToGrid w:val="0"/>
              <w:spacing w:line="240" w:lineRule="auto"/>
              <w:jc w:val="center"/>
              <w:rPr>
                <w:kern w:val="2"/>
                <w:szCs w:val="21"/>
                <w:u w:val="single"/>
              </w:rPr>
            </w:pPr>
            <w:r>
              <w:rPr>
                <w:rFonts w:hint="default"/>
                <w:kern w:val="2"/>
                <w:sz w:val="21"/>
                <w:szCs w:val="21"/>
                <w:u w:val="single"/>
                <w:lang w:eastAsia="zh-CN"/>
              </w:rPr>
              <w:t>墓碑打蜡、风干</w:t>
            </w:r>
          </w:p>
        </w:tc>
        <w:tc>
          <w:tcPr>
            <w:tcW w:w="1017" w:type="pct"/>
            <w:vAlign w:val="center"/>
          </w:tcPr>
          <w:p w14:paraId="77F580EA">
            <w:pPr>
              <w:wordWrap w:val="0"/>
              <w:topLinePunct/>
              <w:adjustRightInd w:val="0"/>
              <w:snapToGrid w:val="0"/>
              <w:spacing w:line="240" w:lineRule="auto"/>
              <w:jc w:val="center"/>
              <w:rPr>
                <w:rFonts w:hint="default" w:eastAsia="宋体"/>
                <w:kern w:val="2"/>
                <w:sz w:val="21"/>
                <w:szCs w:val="21"/>
                <w:u w:val="single"/>
                <w:lang w:val="en-US" w:eastAsia="zh-CN"/>
              </w:rPr>
            </w:pPr>
            <w:r>
              <w:rPr>
                <w:rFonts w:hint="default"/>
                <w:kern w:val="2"/>
                <w:sz w:val="21"/>
                <w:szCs w:val="21"/>
                <w:u w:val="single"/>
                <w:lang w:val="en-US" w:eastAsia="zh-CN"/>
              </w:rPr>
              <w:t>VOCs</w:t>
            </w:r>
          </w:p>
        </w:tc>
        <w:tc>
          <w:tcPr>
            <w:tcW w:w="1201" w:type="pct"/>
            <w:vAlign w:val="center"/>
          </w:tcPr>
          <w:p w14:paraId="2F225D73">
            <w:pPr>
              <w:wordWrap w:val="0"/>
              <w:topLinePunct/>
              <w:adjustRightInd w:val="0"/>
              <w:snapToGrid w:val="0"/>
              <w:spacing w:line="240" w:lineRule="auto"/>
              <w:jc w:val="center"/>
              <w:rPr>
                <w:rFonts w:hint="default" w:eastAsia="宋体"/>
                <w:kern w:val="2"/>
                <w:sz w:val="21"/>
                <w:szCs w:val="21"/>
                <w:u w:val="single"/>
                <w:lang w:eastAsia="zh-CN"/>
              </w:rPr>
            </w:pPr>
            <w:r>
              <w:rPr>
                <w:rFonts w:hint="default"/>
                <w:kern w:val="2"/>
                <w:sz w:val="21"/>
                <w:szCs w:val="21"/>
                <w:u w:val="single"/>
                <w:lang w:eastAsia="zh-CN"/>
              </w:rPr>
              <w:t>加强通风</w:t>
            </w:r>
          </w:p>
        </w:tc>
        <w:tc>
          <w:tcPr>
            <w:tcW w:w="1002" w:type="pct"/>
            <w:vAlign w:val="center"/>
          </w:tcPr>
          <w:p w14:paraId="55FC576D">
            <w:pPr>
              <w:wordWrap w:val="0"/>
              <w:topLinePunct/>
              <w:adjustRightInd w:val="0"/>
              <w:snapToGrid w:val="0"/>
              <w:spacing w:line="240" w:lineRule="auto"/>
              <w:jc w:val="center"/>
              <w:rPr>
                <w:kern w:val="2"/>
                <w:sz w:val="21"/>
                <w:szCs w:val="21"/>
                <w:u w:val="single"/>
              </w:rPr>
            </w:pPr>
            <w:r>
              <w:rPr>
                <w:sz w:val="21"/>
                <w:szCs w:val="21"/>
                <w:u w:val="single"/>
              </w:rPr>
              <w:t>《大气污染综合排放标准》（GB16297-1996）</w:t>
            </w:r>
          </w:p>
        </w:tc>
      </w:tr>
      <w:tr w14:paraId="53C36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continue"/>
            <w:vAlign w:val="center"/>
          </w:tcPr>
          <w:p w14:paraId="73B83821">
            <w:pPr>
              <w:wordWrap w:val="0"/>
              <w:topLinePunct/>
              <w:adjustRightInd w:val="0"/>
              <w:snapToGrid w:val="0"/>
              <w:spacing w:line="240" w:lineRule="auto"/>
              <w:jc w:val="center"/>
              <w:rPr>
                <w:color w:val="0000C7"/>
                <w:sz w:val="21"/>
                <w:szCs w:val="21"/>
              </w:rPr>
            </w:pPr>
          </w:p>
        </w:tc>
        <w:tc>
          <w:tcPr>
            <w:tcW w:w="772" w:type="pct"/>
            <w:vAlign w:val="center"/>
          </w:tcPr>
          <w:p w14:paraId="4D512B5D">
            <w:pPr>
              <w:wordWrap w:val="0"/>
              <w:topLinePunct/>
              <w:adjustRightInd w:val="0"/>
              <w:snapToGrid w:val="0"/>
              <w:spacing w:line="240" w:lineRule="auto"/>
              <w:jc w:val="center"/>
              <w:rPr>
                <w:sz w:val="21"/>
                <w:szCs w:val="21"/>
                <w:u w:val="single"/>
              </w:rPr>
            </w:pPr>
            <w:r>
              <w:rPr>
                <w:sz w:val="21"/>
                <w:szCs w:val="21"/>
                <w:u w:val="single"/>
              </w:rPr>
              <w:t>食堂废气</w:t>
            </w:r>
          </w:p>
        </w:tc>
        <w:tc>
          <w:tcPr>
            <w:tcW w:w="1017" w:type="pct"/>
            <w:vAlign w:val="center"/>
          </w:tcPr>
          <w:p w14:paraId="7BB9241A">
            <w:pPr>
              <w:wordWrap w:val="0"/>
              <w:topLinePunct/>
              <w:adjustRightInd w:val="0"/>
              <w:snapToGrid w:val="0"/>
              <w:spacing w:line="240" w:lineRule="auto"/>
              <w:jc w:val="center"/>
              <w:rPr>
                <w:sz w:val="21"/>
                <w:szCs w:val="21"/>
                <w:u w:val="single"/>
              </w:rPr>
            </w:pPr>
            <w:r>
              <w:rPr>
                <w:sz w:val="21"/>
                <w:szCs w:val="21"/>
                <w:u w:val="single"/>
              </w:rPr>
              <w:t>油烟</w:t>
            </w:r>
          </w:p>
        </w:tc>
        <w:tc>
          <w:tcPr>
            <w:tcW w:w="1201" w:type="pct"/>
            <w:vAlign w:val="center"/>
          </w:tcPr>
          <w:p w14:paraId="5755628E">
            <w:pPr>
              <w:wordWrap w:val="0"/>
              <w:topLinePunct/>
              <w:adjustRightInd w:val="0"/>
              <w:snapToGrid w:val="0"/>
              <w:spacing w:line="240" w:lineRule="auto"/>
              <w:jc w:val="center"/>
              <w:rPr>
                <w:rStyle w:val="27"/>
                <w:kern w:val="0"/>
                <w:szCs w:val="21"/>
                <w:u w:val="single"/>
              </w:rPr>
            </w:pPr>
            <w:r>
              <w:rPr>
                <w:rStyle w:val="27"/>
                <w:rFonts w:hint="eastAsia"/>
                <w:kern w:val="0"/>
                <w:szCs w:val="21"/>
                <w:u w:val="single"/>
              </w:rPr>
              <w:t>经</w:t>
            </w:r>
            <w:r>
              <w:rPr>
                <w:rStyle w:val="27"/>
                <w:kern w:val="0"/>
                <w:szCs w:val="21"/>
                <w:u w:val="single"/>
              </w:rPr>
              <w:t>一套油烟净化装置处理后排放。</w:t>
            </w:r>
          </w:p>
        </w:tc>
        <w:tc>
          <w:tcPr>
            <w:tcW w:w="1002" w:type="pct"/>
            <w:vAlign w:val="center"/>
          </w:tcPr>
          <w:p w14:paraId="6C915794">
            <w:pPr>
              <w:wordWrap w:val="0"/>
              <w:topLinePunct/>
              <w:adjustRightInd w:val="0"/>
              <w:snapToGrid w:val="0"/>
              <w:spacing w:line="240" w:lineRule="auto"/>
              <w:jc w:val="center"/>
              <w:rPr>
                <w:rFonts w:hint="default"/>
                <w:sz w:val="21"/>
                <w:szCs w:val="21"/>
                <w:u w:val="single"/>
                <w:lang w:val="en-US"/>
              </w:rPr>
            </w:pPr>
            <w:r>
              <w:rPr>
                <w:sz w:val="21"/>
                <w:szCs w:val="21"/>
                <w:u w:val="single"/>
              </w:rPr>
              <w:t>《饮食业油烟排放标准（试行）》（GB18483-2001）</w:t>
            </w:r>
          </w:p>
        </w:tc>
      </w:tr>
      <w:tr w14:paraId="3846B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restart"/>
            <w:vAlign w:val="center"/>
          </w:tcPr>
          <w:p w14:paraId="7AB10AFA">
            <w:pPr>
              <w:wordWrap w:val="0"/>
              <w:topLinePunct/>
              <w:adjustRightInd w:val="0"/>
              <w:snapToGrid w:val="0"/>
              <w:spacing w:line="240" w:lineRule="auto"/>
              <w:jc w:val="center"/>
              <w:rPr>
                <w:sz w:val="21"/>
                <w:szCs w:val="21"/>
              </w:rPr>
            </w:pPr>
            <w:r>
              <w:rPr>
                <w:sz w:val="21"/>
                <w:szCs w:val="21"/>
              </w:rPr>
              <w:t>地表水环境</w:t>
            </w:r>
          </w:p>
        </w:tc>
        <w:tc>
          <w:tcPr>
            <w:tcW w:w="772" w:type="pct"/>
            <w:vAlign w:val="center"/>
          </w:tcPr>
          <w:p w14:paraId="628D48C0">
            <w:pPr>
              <w:wordWrap w:val="0"/>
              <w:topLinePunct/>
              <w:adjustRightInd w:val="0"/>
              <w:snapToGrid w:val="0"/>
              <w:spacing w:line="240" w:lineRule="auto"/>
              <w:jc w:val="center"/>
              <w:rPr>
                <w:sz w:val="21"/>
                <w:szCs w:val="21"/>
              </w:rPr>
            </w:pPr>
            <w:r>
              <w:rPr>
                <w:sz w:val="21"/>
                <w:szCs w:val="21"/>
              </w:rPr>
              <w:t>生活污水</w:t>
            </w:r>
          </w:p>
        </w:tc>
        <w:tc>
          <w:tcPr>
            <w:tcW w:w="1017" w:type="pct"/>
            <w:vAlign w:val="center"/>
          </w:tcPr>
          <w:p w14:paraId="64EFE5F5">
            <w:pPr>
              <w:wordWrap w:val="0"/>
              <w:topLinePunct/>
              <w:adjustRightInd w:val="0"/>
              <w:snapToGrid w:val="0"/>
              <w:spacing w:line="240" w:lineRule="auto"/>
              <w:jc w:val="center"/>
              <w:rPr>
                <w:sz w:val="21"/>
                <w:szCs w:val="21"/>
              </w:rPr>
            </w:pPr>
            <w:r>
              <w:rPr>
                <w:sz w:val="21"/>
                <w:szCs w:val="21"/>
              </w:rPr>
              <w:t>COD</w:t>
            </w:r>
            <w:r>
              <w:rPr>
                <w:sz w:val="21"/>
                <w:szCs w:val="21"/>
                <w:vertAlign w:val="subscript"/>
              </w:rPr>
              <w:t>cr</w:t>
            </w:r>
            <w:r>
              <w:rPr>
                <w:kern w:val="0"/>
                <w:sz w:val="21"/>
                <w:szCs w:val="21"/>
              </w:rPr>
              <w:t>、氨氮、BOD</w:t>
            </w:r>
            <w:r>
              <w:rPr>
                <w:kern w:val="0"/>
                <w:sz w:val="21"/>
                <w:szCs w:val="21"/>
                <w:vertAlign w:val="subscript"/>
              </w:rPr>
              <w:t>5</w:t>
            </w:r>
            <w:r>
              <w:rPr>
                <w:kern w:val="0"/>
                <w:sz w:val="21"/>
                <w:szCs w:val="21"/>
              </w:rPr>
              <w:t>、SS、动植物油</w:t>
            </w:r>
          </w:p>
        </w:tc>
        <w:tc>
          <w:tcPr>
            <w:tcW w:w="1201" w:type="pct"/>
            <w:vAlign w:val="center"/>
          </w:tcPr>
          <w:p w14:paraId="3508994F">
            <w:pPr>
              <w:wordWrap w:val="0"/>
              <w:topLinePunct/>
              <w:adjustRightInd w:val="0"/>
              <w:snapToGrid w:val="0"/>
              <w:spacing w:line="240" w:lineRule="auto"/>
              <w:jc w:val="center"/>
              <w:rPr>
                <w:sz w:val="21"/>
                <w:szCs w:val="21"/>
              </w:rPr>
            </w:pPr>
            <w:r>
              <w:rPr>
                <w:kern w:val="0"/>
                <w:sz w:val="21"/>
                <w:szCs w:val="21"/>
              </w:rPr>
              <w:t>经</w:t>
            </w:r>
            <w:r>
              <w:rPr>
                <w:rFonts w:hint="eastAsia"/>
                <w:kern w:val="0"/>
                <w:sz w:val="21"/>
                <w:szCs w:val="21"/>
              </w:rPr>
              <w:t>隔油</w:t>
            </w:r>
            <w:r>
              <w:rPr>
                <w:kern w:val="0"/>
                <w:sz w:val="21"/>
                <w:szCs w:val="21"/>
              </w:rPr>
              <w:t>化粪池处理用于周边林地、</w:t>
            </w:r>
            <w:r>
              <w:rPr>
                <w:rFonts w:hint="eastAsia"/>
                <w:kern w:val="0"/>
                <w:sz w:val="21"/>
                <w:szCs w:val="21"/>
              </w:rPr>
              <w:t>菜地</w:t>
            </w:r>
            <w:r>
              <w:rPr>
                <w:kern w:val="0"/>
                <w:sz w:val="21"/>
                <w:szCs w:val="21"/>
              </w:rPr>
              <w:t>浇灌，不外排</w:t>
            </w:r>
            <w:r>
              <w:rPr>
                <w:sz w:val="21"/>
                <w:szCs w:val="21"/>
              </w:rPr>
              <w:t>。</w:t>
            </w:r>
          </w:p>
        </w:tc>
        <w:tc>
          <w:tcPr>
            <w:tcW w:w="1002" w:type="pct"/>
            <w:vAlign w:val="center"/>
          </w:tcPr>
          <w:p w14:paraId="5A721B33">
            <w:pPr>
              <w:wordWrap w:val="0"/>
              <w:topLinePunct/>
              <w:adjustRightInd w:val="0"/>
              <w:snapToGrid w:val="0"/>
              <w:spacing w:line="240" w:lineRule="auto"/>
              <w:jc w:val="center"/>
              <w:rPr>
                <w:sz w:val="21"/>
                <w:szCs w:val="21"/>
              </w:rPr>
            </w:pPr>
            <w:r>
              <w:rPr>
                <w:rFonts w:hint="eastAsia"/>
                <w:sz w:val="21"/>
                <w:szCs w:val="21"/>
              </w:rPr>
              <w:t>/</w:t>
            </w:r>
          </w:p>
        </w:tc>
      </w:tr>
      <w:tr w14:paraId="298FE4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1007" w:type="pct"/>
            <w:vMerge w:val="continue"/>
            <w:vAlign w:val="center"/>
          </w:tcPr>
          <w:p w14:paraId="3D4FDB84">
            <w:pPr>
              <w:wordWrap w:val="0"/>
              <w:topLinePunct/>
              <w:adjustRightInd w:val="0"/>
              <w:snapToGrid w:val="0"/>
              <w:spacing w:line="240" w:lineRule="auto"/>
              <w:jc w:val="center"/>
              <w:rPr>
                <w:sz w:val="21"/>
                <w:szCs w:val="21"/>
              </w:rPr>
            </w:pPr>
          </w:p>
        </w:tc>
        <w:tc>
          <w:tcPr>
            <w:tcW w:w="772" w:type="pct"/>
            <w:vAlign w:val="center"/>
          </w:tcPr>
          <w:p w14:paraId="75FD5979">
            <w:pPr>
              <w:wordWrap w:val="0"/>
              <w:topLinePunct/>
              <w:adjustRightInd w:val="0"/>
              <w:snapToGrid w:val="0"/>
              <w:spacing w:line="240" w:lineRule="auto"/>
              <w:jc w:val="center"/>
              <w:rPr>
                <w:sz w:val="21"/>
                <w:szCs w:val="21"/>
              </w:rPr>
            </w:pPr>
            <w:r>
              <w:rPr>
                <w:rFonts w:hint="eastAsia"/>
                <w:sz w:val="21"/>
                <w:szCs w:val="21"/>
              </w:rPr>
              <w:t>生产废水</w:t>
            </w:r>
          </w:p>
        </w:tc>
        <w:tc>
          <w:tcPr>
            <w:tcW w:w="1017" w:type="pct"/>
            <w:vAlign w:val="center"/>
          </w:tcPr>
          <w:p w14:paraId="54E43950">
            <w:pPr>
              <w:wordWrap w:val="0"/>
              <w:topLinePunct/>
              <w:adjustRightInd w:val="0"/>
              <w:snapToGrid w:val="0"/>
              <w:spacing w:line="240" w:lineRule="auto"/>
              <w:jc w:val="center"/>
              <w:rPr>
                <w:sz w:val="21"/>
                <w:szCs w:val="21"/>
              </w:rPr>
            </w:pPr>
            <w:r>
              <w:rPr>
                <w:rFonts w:hint="eastAsia"/>
                <w:sz w:val="21"/>
                <w:szCs w:val="21"/>
              </w:rPr>
              <w:t>SS</w:t>
            </w:r>
          </w:p>
        </w:tc>
        <w:tc>
          <w:tcPr>
            <w:tcW w:w="1201" w:type="pct"/>
            <w:vAlign w:val="center"/>
          </w:tcPr>
          <w:p w14:paraId="7D263CAF">
            <w:pPr>
              <w:wordWrap w:val="0"/>
              <w:topLinePunct/>
              <w:adjustRightInd w:val="0"/>
              <w:snapToGrid w:val="0"/>
              <w:spacing w:line="240" w:lineRule="auto"/>
              <w:jc w:val="center"/>
              <w:rPr>
                <w:kern w:val="0"/>
                <w:sz w:val="21"/>
                <w:szCs w:val="21"/>
              </w:rPr>
            </w:pPr>
            <w:r>
              <w:rPr>
                <w:rFonts w:hint="eastAsia"/>
                <w:kern w:val="0"/>
                <w:sz w:val="21"/>
                <w:szCs w:val="21"/>
              </w:rPr>
              <w:t>经</w:t>
            </w:r>
            <w:r>
              <w:rPr>
                <w:rFonts w:hint="eastAsia"/>
                <w:kern w:val="0"/>
                <w:sz w:val="21"/>
                <w:szCs w:val="21"/>
                <w:lang w:eastAsia="zh-CN"/>
              </w:rPr>
              <w:t>三级</w:t>
            </w:r>
            <w:r>
              <w:rPr>
                <w:kern w:val="0"/>
                <w:sz w:val="21"/>
                <w:szCs w:val="21"/>
              </w:rPr>
              <w:t>沉淀池+</w:t>
            </w:r>
            <w:r>
              <w:rPr>
                <w:rFonts w:hint="eastAsia"/>
                <w:kern w:val="0"/>
                <w:sz w:val="21"/>
                <w:szCs w:val="21"/>
              </w:rPr>
              <w:t>板框压滤机</w:t>
            </w:r>
            <w:r>
              <w:rPr>
                <w:kern w:val="0"/>
                <w:sz w:val="21"/>
                <w:szCs w:val="21"/>
              </w:rPr>
              <w:t>处理后回用于生产，不外排</w:t>
            </w:r>
            <w:r>
              <w:rPr>
                <w:rFonts w:hint="eastAsia"/>
                <w:kern w:val="0"/>
                <w:sz w:val="21"/>
                <w:szCs w:val="21"/>
              </w:rPr>
              <w:t>。</w:t>
            </w:r>
          </w:p>
        </w:tc>
        <w:tc>
          <w:tcPr>
            <w:tcW w:w="1002" w:type="pct"/>
            <w:vAlign w:val="center"/>
          </w:tcPr>
          <w:p w14:paraId="789E4B73">
            <w:pPr>
              <w:wordWrap w:val="0"/>
              <w:topLinePunct/>
              <w:adjustRightInd w:val="0"/>
              <w:snapToGrid w:val="0"/>
              <w:spacing w:line="240" w:lineRule="auto"/>
              <w:jc w:val="center"/>
              <w:rPr>
                <w:sz w:val="21"/>
                <w:szCs w:val="21"/>
              </w:rPr>
            </w:pPr>
            <w:r>
              <w:rPr>
                <w:rFonts w:hint="eastAsia"/>
                <w:sz w:val="21"/>
                <w:szCs w:val="21"/>
              </w:rPr>
              <w:t>/</w:t>
            </w:r>
          </w:p>
        </w:tc>
      </w:tr>
      <w:tr w14:paraId="046C0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1007" w:type="pct"/>
            <w:vMerge w:val="continue"/>
            <w:vAlign w:val="center"/>
          </w:tcPr>
          <w:p w14:paraId="4C006FF7">
            <w:pPr>
              <w:wordWrap w:val="0"/>
              <w:topLinePunct/>
              <w:adjustRightInd w:val="0"/>
              <w:snapToGrid w:val="0"/>
              <w:spacing w:line="240" w:lineRule="auto"/>
              <w:jc w:val="center"/>
              <w:rPr>
                <w:color w:val="0000C7"/>
                <w:sz w:val="21"/>
                <w:szCs w:val="21"/>
              </w:rPr>
            </w:pPr>
          </w:p>
        </w:tc>
        <w:tc>
          <w:tcPr>
            <w:tcW w:w="772" w:type="pct"/>
            <w:vAlign w:val="center"/>
          </w:tcPr>
          <w:p w14:paraId="1D8BB24C">
            <w:pPr>
              <w:wordWrap w:val="0"/>
              <w:topLinePunct/>
              <w:adjustRightInd w:val="0"/>
              <w:snapToGrid w:val="0"/>
              <w:spacing w:line="240" w:lineRule="auto"/>
              <w:jc w:val="center"/>
              <w:rPr>
                <w:sz w:val="21"/>
                <w:szCs w:val="21"/>
              </w:rPr>
            </w:pPr>
            <w:r>
              <w:rPr>
                <w:rFonts w:hint="eastAsia"/>
                <w:sz w:val="21"/>
                <w:szCs w:val="21"/>
              </w:rPr>
              <w:t>初期雨水</w:t>
            </w:r>
          </w:p>
        </w:tc>
        <w:tc>
          <w:tcPr>
            <w:tcW w:w="1017" w:type="pct"/>
            <w:vAlign w:val="center"/>
          </w:tcPr>
          <w:p w14:paraId="4C0A3AC1">
            <w:pPr>
              <w:wordWrap w:val="0"/>
              <w:topLinePunct/>
              <w:adjustRightInd w:val="0"/>
              <w:snapToGrid w:val="0"/>
              <w:spacing w:line="240" w:lineRule="auto"/>
              <w:jc w:val="center"/>
              <w:rPr>
                <w:sz w:val="21"/>
                <w:szCs w:val="21"/>
              </w:rPr>
            </w:pPr>
            <w:r>
              <w:rPr>
                <w:rFonts w:hint="eastAsia"/>
                <w:sz w:val="21"/>
                <w:szCs w:val="21"/>
              </w:rPr>
              <w:t>SS</w:t>
            </w:r>
          </w:p>
        </w:tc>
        <w:tc>
          <w:tcPr>
            <w:tcW w:w="1201" w:type="pct"/>
            <w:vAlign w:val="center"/>
          </w:tcPr>
          <w:p w14:paraId="53D8BDDF">
            <w:pPr>
              <w:wordWrap w:val="0"/>
              <w:topLinePunct/>
              <w:adjustRightInd w:val="0"/>
              <w:snapToGrid w:val="0"/>
              <w:spacing w:line="240" w:lineRule="auto"/>
              <w:jc w:val="center"/>
              <w:rPr>
                <w:kern w:val="0"/>
                <w:sz w:val="21"/>
                <w:szCs w:val="21"/>
              </w:rPr>
            </w:pPr>
            <w:r>
              <w:rPr>
                <w:kern w:val="0"/>
                <w:sz w:val="21"/>
                <w:szCs w:val="21"/>
              </w:rPr>
              <w:t>厂区四周</w:t>
            </w:r>
            <w:r>
              <w:rPr>
                <w:rFonts w:hint="eastAsia"/>
                <w:kern w:val="0"/>
                <w:sz w:val="21"/>
                <w:szCs w:val="21"/>
              </w:rPr>
              <w:t>修整完善</w:t>
            </w:r>
            <w:r>
              <w:rPr>
                <w:kern w:val="0"/>
                <w:sz w:val="21"/>
                <w:szCs w:val="21"/>
              </w:rPr>
              <w:t>排水沟，大气降水依地势自流入排水沟，排水沟末端连接初期雨水收集池，</w:t>
            </w:r>
            <w:r>
              <w:rPr>
                <w:rFonts w:hint="eastAsia"/>
                <w:kern w:val="0"/>
                <w:sz w:val="21"/>
                <w:szCs w:val="21"/>
              </w:rPr>
              <w:t>初期</w:t>
            </w:r>
            <w:r>
              <w:rPr>
                <w:kern w:val="0"/>
                <w:sz w:val="21"/>
                <w:szCs w:val="21"/>
              </w:rPr>
              <w:t>雨水经沉淀后回用于厂区降尘洒水，不外排</w:t>
            </w:r>
            <w:r>
              <w:rPr>
                <w:rFonts w:hint="default" w:ascii="Times New Roman" w:hAnsi="Times New Roman" w:eastAsia="宋体" w:cs="Times New Roman"/>
                <w:kern w:val="0"/>
                <w:sz w:val="21"/>
                <w:szCs w:val="21"/>
                <w:lang w:eastAsia="zh-CN"/>
              </w:rPr>
              <w:t>，并</w:t>
            </w:r>
            <w:r>
              <w:rPr>
                <w:rFonts w:hint="default" w:ascii="Times New Roman" w:hAnsi="Times New Roman" w:eastAsia="宋体" w:cs="Times New Roman"/>
                <w:kern w:val="0"/>
                <w:sz w:val="21"/>
                <w:szCs w:val="21"/>
                <w:lang w:val="en-US" w:eastAsia="zh-CN"/>
              </w:rPr>
              <w:t>设置</w:t>
            </w:r>
            <w:r>
              <w:rPr>
                <w:rFonts w:ascii="Times New Roman" w:hAnsi="Times New Roman" w:eastAsia="宋体" w:cs="Times New Roman"/>
                <w:kern w:val="0"/>
                <w:sz w:val="21"/>
                <w:szCs w:val="21"/>
              </w:rPr>
              <w:t>初期雨水截断阀门</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多余雨水直接外排</w:t>
            </w:r>
            <w:r>
              <w:rPr>
                <w:kern w:val="0"/>
                <w:sz w:val="21"/>
                <w:szCs w:val="21"/>
              </w:rPr>
              <w:t>。</w:t>
            </w:r>
          </w:p>
        </w:tc>
        <w:tc>
          <w:tcPr>
            <w:tcW w:w="1002" w:type="pct"/>
            <w:vAlign w:val="center"/>
          </w:tcPr>
          <w:p w14:paraId="3A3E4FB3">
            <w:pPr>
              <w:wordWrap w:val="0"/>
              <w:topLinePunct/>
              <w:adjustRightInd w:val="0"/>
              <w:snapToGrid w:val="0"/>
              <w:spacing w:line="240" w:lineRule="auto"/>
              <w:jc w:val="center"/>
              <w:rPr>
                <w:sz w:val="21"/>
                <w:szCs w:val="21"/>
              </w:rPr>
            </w:pPr>
            <w:r>
              <w:rPr>
                <w:rFonts w:hint="eastAsia"/>
                <w:sz w:val="21"/>
                <w:szCs w:val="21"/>
              </w:rPr>
              <w:t>/</w:t>
            </w:r>
          </w:p>
        </w:tc>
      </w:tr>
      <w:tr w14:paraId="777B47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007" w:type="pct"/>
            <w:vAlign w:val="center"/>
          </w:tcPr>
          <w:p w14:paraId="599411FC">
            <w:pPr>
              <w:wordWrap w:val="0"/>
              <w:topLinePunct/>
              <w:adjustRightInd w:val="0"/>
              <w:snapToGrid w:val="0"/>
              <w:spacing w:line="240" w:lineRule="auto"/>
              <w:jc w:val="center"/>
              <w:rPr>
                <w:sz w:val="21"/>
                <w:szCs w:val="21"/>
              </w:rPr>
            </w:pPr>
            <w:r>
              <w:rPr>
                <w:sz w:val="21"/>
                <w:szCs w:val="21"/>
              </w:rPr>
              <w:t>声环境</w:t>
            </w:r>
          </w:p>
        </w:tc>
        <w:tc>
          <w:tcPr>
            <w:tcW w:w="772" w:type="pct"/>
            <w:vAlign w:val="center"/>
          </w:tcPr>
          <w:p w14:paraId="5C3FD663">
            <w:pPr>
              <w:wordWrap w:val="0"/>
              <w:topLinePunct/>
              <w:adjustRightInd w:val="0"/>
              <w:snapToGrid w:val="0"/>
              <w:spacing w:line="240" w:lineRule="auto"/>
              <w:jc w:val="center"/>
              <w:rPr>
                <w:sz w:val="21"/>
                <w:szCs w:val="21"/>
              </w:rPr>
            </w:pPr>
            <w:r>
              <w:rPr>
                <w:sz w:val="21"/>
                <w:szCs w:val="21"/>
              </w:rPr>
              <w:t>生产过程</w:t>
            </w:r>
          </w:p>
        </w:tc>
        <w:tc>
          <w:tcPr>
            <w:tcW w:w="1017" w:type="pct"/>
            <w:vAlign w:val="center"/>
          </w:tcPr>
          <w:p w14:paraId="24D74C09">
            <w:pPr>
              <w:wordWrap w:val="0"/>
              <w:topLinePunct/>
              <w:adjustRightInd w:val="0"/>
              <w:snapToGrid w:val="0"/>
              <w:spacing w:line="240" w:lineRule="auto"/>
              <w:jc w:val="center"/>
              <w:rPr>
                <w:sz w:val="21"/>
                <w:szCs w:val="21"/>
              </w:rPr>
            </w:pPr>
            <w:r>
              <w:rPr>
                <w:bCs/>
                <w:sz w:val="21"/>
                <w:szCs w:val="21"/>
              </w:rPr>
              <w:t>生产设备及运输车辆噪声</w:t>
            </w:r>
          </w:p>
        </w:tc>
        <w:tc>
          <w:tcPr>
            <w:tcW w:w="1201" w:type="pct"/>
            <w:vAlign w:val="center"/>
          </w:tcPr>
          <w:p w14:paraId="4B449B5F">
            <w:pPr>
              <w:wordWrap w:val="0"/>
              <w:topLinePunct/>
              <w:adjustRightInd w:val="0"/>
              <w:snapToGrid w:val="0"/>
              <w:spacing w:line="240" w:lineRule="auto"/>
              <w:jc w:val="center"/>
              <w:rPr>
                <w:sz w:val="21"/>
                <w:szCs w:val="21"/>
              </w:rPr>
            </w:pPr>
            <w:r>
              <w:rPr>
                <w:bCs/>
                <w:sz w:val="21"/>
                <w:szCs w:val="21"/>
              </w:rPr>
              <w:t>合理布局、基础减振、消声器</w:t>
            </w:r>
            <w:r>
              <w:rPr>
                <w:sz w:val="21"/>
                <w:szCs w:val="21"/>
              </w:rPr>
              <w:t>等。</w:t>
            </w:r>
          </w:p>
        </w:tc>
        <w:tc>
          <w:tcPr>
            <w:tcW w:w="1002" w:type="pct"/>
            <w:vAlign w:val="center"/>
          </w:tcPr>
          <w:p w14:paraId="3DFD7864">
            <w:pPr>
              <w:wordWrap w:val="0"/>
              <w:topLinePunct/>
              <w:adjustRightInd w:val="0"/>
              <w:snapToGrid w:val="0"/>
              <w:spacing w:line="240" w:lineRule="auto"/>
              <w:jc w:val="center"/>
              <w:rPr>
                <w:sz w:val="21"/>
                <w:szCs w:val="21"/>
              </w:rPr>
            </w:pPr>
            <w:r>
              <w:rPr>
                <w:sz w:val="21"/>
                <w:szCs w:val="21"/>
              </w:rPr>
              <w:t>厂界噪声执行《工业企业厂界环境噪声排放标准》(GB12348-2008)中的</w:t>
            </w:r>
            <w:r>
              <w:rPr>
                <w:rFonts w:hint="eastAsia"/>
                <w:sz w:val="21"/>
                <w:szCs w:val="21"/>
              </w:rPr>
              <w:t>2</w:t>
            </w:r>
            <w:r>
              <w:rPr>
                <w:sz w:val="21"/>
                <w:szCs w:val="21"/>
              </w:rPr>
              <w:t>类及4类标准，敏感点噪声执行2类</w:t>
            </w:r>
            <w:r>
              <w:rPr>
                <w:rFonts w:hint="eastAsia"/>
                <w:sz w:val="21"/>
                <w:szCs w:val="21"/>
              </w:rPr>
              <w:t>及4a类</w:t>
            </w:r>
            <w:r>
              <w:rPr>
                <w:sz w:val="21"/>
                <w:szCs w:val="21"/>
              </w:rPr>
              <w:t>标准</w:t>
            </w:r>
          </w:p>
        </w:tc>
      </w:tr>
      <w:tr w14:paraId="5B4E9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007" w:type="pct"/>
            <w:vAlign w:val="center"/>
          </w:tcPr>
          <w:p w14:paraId="60587EEE">
            <w:pPr>
              <w:wordWrap w:val="0"/>
              <w:topLinePunct/>
              <w:adjustRightInd w:val="0"/>
              <w:snapToGrid w:val="0"/>
              <w:spacing w:line="240" w:lineRule="auto"/>
              <w:jc w:val="center"/>
              <w:rPr>
                <w:sz w:val="21"/>
                <w:szCs w:val="21"/>
              </w:rPr>
            </w:pPr>
            <w:r>
              <w:rPr>
                <w:sz w:val="21"/>
                <w:szCs w:val="21"/>
              </w:rPr>
              <w:t>电磁辐射</w:t>
            </w:r>
          </w:p>
        </w:tc>
        <w:tc>
          <w:tcPr>
            <w:tcW w:w="3992" w:type="pct"/>
            <w:gridSpan w:val="4"/>
            <w:vAlign w:val="center"/>
          </w:tcPr>
          <w:p w14:paraId="49BF0556">
            <w:pPr>
              <w:wordWrap w:val="0"/>
              <w:topLinePunct/>
              <w:adjustRightInd w:val="0"/>
              <w:snapToGrid w:val="0"/>
              <w:spacing w:line="240" w:lineRule="auto"/>
              <w:jc w:val="center"/>
              <w:rPr>
                <w:sz w:val="21"/>
                <w:szCs w:val="21"/>
              </w:rPr>
            </w:pPr>
            <w:r>
              <w:rPr>
                <w:sz w:val="21"/>
                <w:szCs w:val="21"/>
              </w:rPr>
              <w:t>本项目不涉及电磁辐射设备</w:t>
            </w:r>
          </w:p>
        </w:tc>
      </w:tr>
      <w:tr w14:paraId="7838F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007" w:type="pct"/>
            <w:vAlign w:val="center"/>
          </w:tcPr>
          <w:p w14:paraId="04B8E07C">
            <w:pPr>
              <w:wordWrap w:val="0"/>
              <w:topLinePunct/>
              <w:adjustRightInd w:val="0"/>
              <w:snapToGrid w:val="0"/>
              <w:spacing w:line="240" w:lineRule="auto"/>
              <w:jc w:val="center"/>
              <w:rPr>
                <w:sz w:val="21"/>
                <w:szCs w:val="21"/>
              </w:rPr>
            </w:pPr>
            <w:r>
              <w:rPr>
                <w:sz w:val="21"/>
                <w:szCs w:val="21"/>
              </w:rPr>
              <w:t>固体废物</w:t>
            </w:r>
          </w:p>
        </w:tc>
        <w:tc>
          <w:tcPr>
            <w:tcW w:w="3992" w:type="pct"/>
            <w:gridSpan w:val="4"/>
            <w:vAlign w:val="center"/>
          </w:tcPr>
          <w:p w14:paraId="104247EB">
            <w:pPr>
              <w:wordWrap w:val="0"/>
              <w:topLinePunct/>
              <w:adjustRightInd w:val="0"/>
              <w:snapToGrid w:val="0"/>
              <w:spacing w:line="240" w:lineRule="auto"/>
              <w:jc w:val="center"/>
              <w:rPr>
                <w:sz w:val="21"/>
                <w:szCs w:val="21"/>
              </w:rPr>
            </w:pPr>
            <w:r>
              <w:rPr>
                <w:rFonts w:eastAsiaTheme="minorEastAsia"/>
                <w:sz w:val="21"/>
                <w:szCs w:val="21"/>
              </w:rPr>
              <w:t>切割磨光及雕刻沉淀污泥</w:t>
            </w:r>
            <w:r>
              <w:rPr>
                <w:sz w:val="21"/>
                <w:szCs w:val="21"/>
              </w:rPr>
              <w:t>通过脱水后，</w:t>
            </w:r>
            <w:r>
              <w:rPr>
                <w:rFonts w:eastAsiaTheme="minorEastAsia"/>
                <w:kern w:val="0"/>
                <w:sz w:val="21"/>
                <w:szCs w:val="21"/>
              </w:rPr>
              <w:t>场区原料区暂存后回用于项目制砖</w:t>
            </w:r>
            <w:r>
              <w:rPr>
                <w:sz w:val="21"/>
                <w:szCs w:val="21"/>
              </w:rPr>
              <w:t>；</w:t>
            </w:r>
            <w:r>
              <w:rPr>
                <w:rFonts w:eastAsiaTheme="minorEastAsia"/>
                <w:sz w:val="21"/>
                <w:szCs w:val="21"/>
              </w:rPr>
              <w:t>废包装材料</w:t>
            </w:r>
            <w:r>
              <w:rPr>
                <w:rFonts w:hint="eastAsia" w:eastAsiaTheme="minorEastAsia"/>
                <w:sz w:val="21"/>
                <w:szCs w:val="21"/>
                <w:lang w:eastAsia="zh-CN"/>
              </w:rPr>
              <w:t>、废抛光布</w:t>
            </w:r>
            <w:r>
              <w:rPr>
                <w:rFonts w:eastAsiaTheme="minorEastAsia"/>
                <w:kern w:val="0"/>
                <w:sz w:val="21"/>
                <w:szCs w:val="21"/>
              </w:rPr>
              <w:t>交由环卫部门统一清理</w:t>
            </w:r>
            <w:r>
              <w:rPr>
                <w:rFonts w:hint="eastAsia" w:eastAsiaTheme="minorEastAsia"/>
                <w:kern w:val="0"/>
                <w:sz w:val="21"/>
                <w:szCs w:val="21"/>
              </w:rPr>
              <w:t>；废边角料</w:t>
            </w:r>
            <w:r>
              <w:rPr>
                <w:rFonts w:hint="eastAsia" w:eastAsiaTheme="minorEastAsia"/>
                <w:bCs w:val="0"/>
                <w:kern w:val="0"/>
                <w:sz w:val="21"/>
                <w:szCs w:val="21"/>
                <w:lang w:eastAsia="zh-CN"/>
              </w:rPr>
              <w:t>及不合格品</w:t>
            </w:r>
            <w:r>
              <w:rPr>
                <w:rFonts w:eastAsiaTheme="minorEastAsia"/>
                <w:sz w:val="21"/>
                <w:szCs w:val="21"/>
              </w:rPr>
              <w:t>收集后作为本企业的</w:t>
            </w:r>
            <w:r>
              <w:rPr>
                <w:rFonts w:hint="eastAsia" w:ascii="Times New Roman" w:hAnsi="Times New Roman" w:eastAsia="宋体" w:cs="Times New Roman"/>
                <w:kern w:val="2"/>
                <w:sz w:val="21"/>
                <w:szCs w:val="21"/>
                <w:u w:val="none"/>
                <w:lang w:val="en-US" w:eastAsia="zh-CN" w:bidi="ar-SA"/>
              </w:rPr>
              <w:t>透水砖、路面砖</w:t>
            </w:r>
            <w:r>
              <w:rPr>
                <w:rFonts w:hint="eastAsia" w:eastAsia="宋体"/>
                <w:sz w:val="21"/>
                <w:szCs w:val="21"/>
              </w:rPr>
              <w:t>生</w:t>
            </w:r>
            <w:r>
              <w:rPr>
                <w:rFonts w:eastAsiaTheme="minorEastAsia"/>
                <w:sz w:val="21"/>
                <w:szCs w:val="21"/>
              </w:rPr>
              <w:t>产的原料</w:t>
            </w:r>
            <w:r>
              <w:rPr>
                <w:rFonts w:hint="eastAsia" w:eastAsiaTheme="minorEastAsia"/>
                <w:sz w:val="21"/>
                <w:szCs w:val="21"/>
              </w:rPr>
              <w:t>；</w:t>
            </w:r>
            <w:r>
              <w:rPr>
                <w:rFonts w:hint="eastAsia"/>
                <w:sz w:val="21"/>
                <w:szCs w:val="21"/>
              </w:rPr>
              <w:t>生活垃圾</w:t>
            </w:r>
            <w:r>
              <w:rPr>
                <w:sz w:val="21"/>
                <w:szCs w:val="21"/>
              </w:rPr>
              <w:t>收集后</w:t>
            </w:r>
            <w:r>
              <w:rPr>
                <w:rFonts w:hint="eastAsia"/>
                <w:sz w:val="21"/>
                <w:szCs w:val="21"/>
              </w:rPr>
              <w:t>运至附近垃圾中转站</w:t>
            </w:r>
            <w:r>
              <w:rPr>
                <w:sz w:val="21"/>
                <w:szCs w:val="21"/>
              </w:rPr>
              <w:t>。</w:t>
            </w:r>
          </w:p>
        </w:tc>
      </w:tr>
      <w:tr w14:paraId="47E68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07" w:type="pct"/>
            <w:vAlign w:val="center"/>
          </w:tcPr>
          <w:p w14:paraId="2A19C834">
            <w:pPr>
              <w:wordWrap w:val="0"/>
              <w:topLinePunct/>
              <w:adjustRightInd w:val="0"/>
              <w:snapToGrid w:val="0"/>
              <w:spacing w:line="240" w:lineRule="auto"/>
              <w:jc w:val="center"/>
              <w:rPr>
                <w:sz w:val="21"/>
                <w:szCs w:val="21"/>
                <w:u w:val="single"/>
              </w:rPr>
            </w:pPr>
            <w:r>
              <w:rPr>
                <w:sz w:val="21"/>
                <w:szCs w:val="21"/>
                <w:u w:val="single"/>
              </w:rPr>
              <w:t>土壤及地下水</w:t>
            </w:r>
          </w:p>
          <w:p w14:paraId="005CFFE1">
            <w:pPr>
              <w:wordWrap w:val="0"/>
              <w:topLinePunct/>
              <w:adjustRightInd w:val="0"/>
              <w:snapToGrid w:val="0"/>
              <w:spacing w:line="240" w:lineRule="auto"/>
              <w:jc w:val="center"/>
              <w:rPr>
                <w:sz w:val="21"/>
                <w:szCs w:val="21"/>
                <w:u w:val="single"/>
              </w:rPr>
            </w:pPr>
            <w:r>
              <w:rPr>
                <w:sz w:val="21"/>
                <w:szCs w:val="21"/>
                <w:u w:val="single"/>
              </w:rPr>
              <w:t>污染防治措施</w:t>
            </w:r>
          </w:p>
        </w:tc>
        <w:tc>
          <w:tcPr>
            <w:tcW w:w="3992" w:type="pct"/>
            <w:gridSpan w:val="4"/>
            <w:vAlign w:val="center"/>
          </w:tcPr>
          <w:p w14:paraId="343054AD">
            <w:pPr>
              <w:wordWrap w:val="0"/>
              <w:topLinePunct/>
              <w:adjustRightInd w:val="0"/>
              <w:snapToGrid w:val="0"/>
              <w:spacing w:line="240" w:lineRule="auto"/>
              <w:jc w:val="center"/>
              <w:rPr>
                <w:sz w:val="21"/>
                <w:szCs w:val="21"/>
                <w:u w:val="single"/>
              </w:rPr>
            </w:pPr>
            <w:r>
              <w:rPr>
                <w:rFonts w:hint="eastAsia"/>
                <w:bCs w:val="0"/>
                <w:sz w:val="21"/>
                <w:szCs w:val="21"/>
                <w:u w:val="single"/>
              </w:rPr>
              <w:t>厂区地面进行硬化</w:t>
            </w:r>
            <w:r>
              <w:rPr>
                <w:rFonts w:hint="eastAsia"/>
                <w:bCs w:val="0"/>
                <w:sz w:val="21"/>
                <w:szCs w:val="21"/>
                <w:u w:val="single"/>
                <w:lang w:eastAsia="zh-CN"/>
              </w:rPr>
              <w:t>，</w:t>
            </w:r>
            <w:r>
              <w:rPr>
                <w:rFonts w:hint="eastAsia"/>
                <w:sz w:val="21"/>
                <w:szCs w:val="21"/>
                <w:u w:val="single"/>
              </w:rPr>
              <w:t>将厂区划分为一般防渗区和简单防渗区。一般污染防治区主要包括生产车间区域、隔油化粪池、沉淀池等区域；简单防渗区主要是指综合办公楼</w:t>
            </w:r>
            <w:r>
              <w:rPr>
                <w:rFonts w:hint="eastAsia"/>
                <w:bCs w:val="0"/>
                <w:kern w:val="2"/>
                <w:sz w:val="21"/>
                <w:szCs w:val="21"/>
                <w:u w:val="single"/>
                <w:lang w:eastAsia="zh-CN"/>
              </w:rPr>
              <w:t>。</w:t>
            </w:r>
          </w:p>
        </w:tc>
      </w:tr>
      <w:tr w14:paraId="441D8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7" w:type="pct"/>
            <w:vAlign w:val="center"/>
          </w:tcPr>
          <w:p w14:paraId="5C07B2CD">
            <w:pPr>
              <w:wordWrap w:val="0"/>
              <w:topLinePunct/>
              <w:adjustRightInd w:val="0"/>
              <w:snapToGrid w:val="0"/>
              <w:spacing w:line="240" w:lineRule="auto"/>
              <w:jc w:val="center"/>
              <w:rPr>
                <w:sz w:val="21"/>
                <w:szCs w:val="21"/>
              </w:rPr>
            </w:pPr>
            <w:r>
              <w:rPr>
                <w:sz w:val="21"/>
                <w:szCs w:val="21"/>
              </w:rPr>
              <w:t>生态保护措施</w:t>
            </w:r>
          </w:p>
        </w:tc>
        <w:tc>
          <w:tcPr>
            <w:tcW w:w="3992" w:type="pct"/>
            <w:gridSpan w:val="4"/>
            <w:vAlign w:val="center"/>
          </w:tcPr>
          <w:p w14:paraId="2B8065E5">
            <w:pPr>
              <w:wordWrap w:val="0"/>
              <w:topLinePunct/>
              <w:adjustRightInd w:val="0"/>
              <w:snapToGrid w:val="0"/>
              <w:spacing w:line="240" w:lineRule="auto"/>
              <w:jc w:val="center"/>
              <w:rPr>
                <w:sz w:val="21"/>
                <w:szCs w:val="21"/>
              </w:rPr>
            </w:pPr>
            <w:r>
              <w:rPr>
                <w:sz w:val="21"/>
                <w:szCs w:val="21"/>
              </w:rPr>
              <w:t>/</w:t>
            </w:r>
          </w:p>
        </w:tc>
      </w:tr>
      <w:tr w14:paraId="5B1D7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007" w:type="pct"/>
            <w:vAlign w:val="center"/>
          </w:tcPr>
          <w:p w14:paraId="5862005A">
            <w:pPr>
              <w:wordWrap w:val="0"/>
              <w:topLinePunct/>
              <w:adjustRightInd w:val="0"/>
              <w:snapToGrid w:val="0"/>
              <w:spacing w:line="240" w:lineRule="auto"/>
              <w:jc w:val="center"/>
              <w:rPr>
                <w:spacing w:val="-8"/>
                <w:sz w:val="21"/>
                <w:szCs w:val="21"/>
              </w:rPr>
            </w:pPr>
            <w:r>
              <w:rPr>
                <w:spacing w:val="-8"/>
                <w:sz w:val="21"/>
                <w:szCs w:val="21"/>
              </w:rPr>
              <w:t>环境风险</w:t>
            </w:r>
          </w:p>
          <w:p w14:paraId="4ECF86DF">
            <w:pPr>
              <w:wordWrap w:val="0"/>
              <w:topLinePunct/>
              <w:adjustRightInd w:val="0"/>
              <w:snapToGrid w:val="0"/>
              <w:spacing w:line="240" w:lineRule="auto"/>
              <w:jc w:val="center"/>
              <w:rPr>
                <w:spacing w:val="-8"/>
                <w:sz w:val="21"/>
                <w:szCs w:val="21"/>
              </w:rPr>
            </w:pPr>
            <w:r>
              <w:rPr>
                <w:spacing w:val="-8"/>
                <w:sz w:val="21"/>
                <w:szCs w:val="21"/>
              </w:rPr>
              <w:t>防范措施</w:t>
            </w:r>
          </w:p>
        </w:tc>
        <w:tc>
          <w:tcPr>
            <w:tcW w:w="3992" w:type="pct"/>
            <w:gridSpan w:val="4"/>
            <w:vAlign w:val="center"/>
          </w:tcPr>
          <w:p w14:paraId="11CCA4B4">
            <w:pPr>
              <w:tabs>
                <w:tab w:val="left" w:pos="159"/>
              </w:tabs>
              <w:wordWrap w:val="0"/>
              <w:topLinePunct/>
              <w:adjustRightInd w:val="0"/>
              <w:snapToGrid w:val="0"/>
              <w:spacing w:line="240" w:lineRule="auto"/>
              <w:jc w:val="center"/>
              <w:rPr>
                <w:sz w:val="21"/>
                <w:szCs w:val="21"/>
              </w:rPr>
            </w:pPr>
            <w:r>
              <w:rPr>
                <w:sz w:val="21"/>
                <w:szCs w:val="21"/>
              </w:rPr>
              <w:t>厂区应配置手提式干粉灭火器。</w:t>
            </w:r>
          </w:p>
        </w:tc>
      </w:tr>
      <w:tr w14:paraId="540B2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1007" w:type="pct"/>
            <w:vAlign w:val="center"/>
          </w:tcPr>
          <w:p w14:paraId="07287C82">
            <w:pPr>
              <w:wordWrap w:val="0"/>
              <w:topLinePunct/>
              <w:adjustRightInd w:val="0"/>
              <w:snapToGrid w:val="0"/>
              <w:spacing w:line="240" w:lineRule="auto"/>
              <w:jc w:val="center"/>
              <w:rPr>
                <w:spacing w:val="-8"/>
                <w:sz w:val="21"/>
                <w:szCs w:val="21"/>
              </w:rPr>
            </w:pPr>
            <w:r>
              <w:rPr>
                <w:spacing w:val="-8"/>
                <w:sz w:val="21"/>
                <w:szCs w:val="21"/>
              </w:rPr>
              <w:t>其他环境</w:t>
            </w:r>
          </w:p>
          <w:p w14:paraId="39D0A261">
            <w:pPr>
              <w:wordWrap w:val="0"/>
              <w:topLinePunct/>
              <w:adjustRightInd w:val="0"/>
              <w:snapToGrid w:val="0"/>
              <w:spacing w:line="240" w:lineRule="auto"/>
              <w:jc w:val="center"/>
              <w:rPr>
                <w:spacing w:val="-8"/>
                <w:sz w:val="21"/>
                <w:szCs w:val="21"/>
              </w:rPr>
            </w:pPr>
            <w:r>
              <w:rPr>
                <w:spacing w:val="-8"/>
                <w:sz w:val="21"/>
                <w:szCs w:val="21"/>
              </w:rPr>
              <w:t>管理要求</w:t>
            </w:r>
          </w:p>
        </w:tc>
        <w:tc>
          <w:tcPr>
            <w:tcW w:w="3992" w:type="pct"/>
            <w:gridSpan w:val="4"/>
            <w:vAlign w:val="center"/>
          </w:tcPr>
          <w:p w14:paraId="228C381C">
            <w:pPr>
              <w:wordWrap w:val="0"/>
              <w:topLinePunct/>
              <w:adjustRightInd w:val="0"/>
              <w:snapToGrid w:val="0"/>
              <w:spacing w:line="240" w:lineRule="auto"/>
              <w:rPr>
                <w:sz w:val="21"/>
                <w:szCs w:val="21"/>
              </w:rPr>
            </w:pPr>
            <w:r>
              <w:rPr>
                <w:sz w:val="21"/>
                <w:szCs w:val="21"/>
              </w:rPr>
              <w:t>1、本项目</w:t>
            </w:r>
            <w:r>
              <w:rPr>
                <w:rFonts w:hint="eastAsia"/>
                <w:sz w:val="21"/>
                <w:szCs w:val="21"/>
              </w:rPr>
              <w:t>应及时办理排污许可手续</w:t>
            </w:r>
            <w:r>
              <w:rPr>
                <w:sz w:val="21"/>
                <w:szCs w:val="21"/>
              </w:rPr>
              <w:t>；</w:t>
            </w:r>
          </w:p>
          <w:p w14:paraId="4A807E3F">
            <w:pPr>
              <w:wordWrap w:val="0"/>
              <w:topLinePunct/>
              <w:adjustRightInd w:val="0"/>
              <w:snapToGrid w:val="0"/>
              <w:spacing w:line="240" w:lineRule="auto"/>
              <w:rPr>
                <w:sz w:val="21"/>
                <w:szCs w:val="21"/>
              </w:rPr>
            </w:pPr>
            <w:r>
              <w:rPr>
                <w:sz w:val="21"/>
                <w:szCs w:val="21"/>
              </w:rPr>
              <w:t>2、本项目应</w:t>
            </w:r>
            <w:r>
              <w:rPr>
                <w:rFonts w:hint="eastAsia"/>
                <w:sz w:val="21"/>
                <w:szCs w:val="21"/>
              </w:rPr>
              <w:t>及时编制</w:t>
            </w:r>
            <w:r>
              <w:rPr>
                <w:sz w:val="21"/>
                <w:szCs w:val="21"/>
              </w:rPr>
              <w:t>应急预案</w:t>
            </w:r>
            <w:r>
              <w:rPr>
                <w:rFonts w:hint="eastAsia"/>
                <w:sz w:val="21"/>
                <w:szCs w:val="21"/>
                <w:lang w:val="en-US" w:eastAsia="zh-CN"/>
              </w:rPr>
              <w:t>并备案</w:t>
            </w:r>
            <w:r>
              <w:rPr>
                <w:sz w:val="21"/>
                <w:szCs w:val="21"/>
              </w:rPr>
              <w:t>；</w:t>
            </w:r>
          </w:p>
          <w:p w14:paraId="7C35BC67">
            <w:pPr>
              <w:pStyle w:val="10"/>
              <w:spacing w:after="0" w:line="240" w:lineRule="auto"/>
              <w:rPr>
                <w:sz w:val="21"/>
                <w:szCs w:val="21"/>
              </w:rPr>
            </w:pPr>
            <w:r>
              <w:rPr>
                <w:rStyle w:val="27"/>
                <w:szCs w:val="21"/>
              </w:rPr>
              <w:t>3、</w:t>
            </w:r>
            <w:r>
              <w:rPr>
                <w:sz w:val="21"/>
                <w:szCs w:val="21"/>
              </w:rPr>
              <w:t>本项目在取得环评批复后，并配套环评要求的环保设施，在具备投入正常生产的条件下应尽快完成本项目验收工作。</w:t>
            </w:r>
          </w:p>
        </w:tc>
      </w:tr>
    </w:tbl>
    <w:p w14:paraId="690C8179">
      <w:pPr>
        <w:adjustRightInd w:val="0"/>
        <w:snapToGrid w:val="0"/>
        <w:spacing w:line="240" w:lineRule="auto"/>
        <w:jc w:val="center"/>
        <w:rPr>
          <w:snapToGrid w:val="0"/>
          <w:color w:val="0000C7"/>
        </w:rPr>
      </w:pPr>
    </w:p>
    <w:p w14:paraId="78A3CECC">
      <w:pPr>
        <w:pStyle w:val="31"/>
        <w:numPr>
          <w:ilvl w:val="0"/>
          <w:numId w:val="0"/>
        </w:numPr>
        <w:rPr>
          <w:snapToGrid w:val="0"/>
        </w:rPr>
      </w:pPr>
      <w:r>
        <w:rPr>
          <w:snapToGrid w:val="0"/>
          <w:color w:val="0000C7"/>
          <w:szCs w:val="20"/>
        </w:rPr>
        <w:br w:type="page"/>
      </w:r>
      <w:bookmarkStart w:id="113" w:name="_Toc68160402"/>
      <w:bookmarkStart w:id="114" w:name="_Toc29005"/>
      <w:r>
        <w:rPr>
          <w:b w:val="0"/>
          <w:snapToGrid w:val="0"/>
          <w:kern w:val="0"/>
          <w:sz w:val="30"/>
          <w:szCs w:val="30"/>
        </w:rPr>
        <w:t>六、结论</w:t>
      </w:r>
      <w:bookmarkEnd w:id="113"/>
      <w:bookmarkEnd w:id="114"/>
    </w:p>
    <w:tbl>
      <w:tblPr>
        <w:tblStyle w:val="24"/>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06B8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4B5B7C25">
            <w:pPr>
              <w:ind w:firstLine="480" w:firstLineChars="200"/>
              <w:rPr>
                <w:color w:val="0000C7"/>
              </w:rPr>
            </w:pPr>
          </w:p>
          <w:p w14:paraId="14935A3F">
            <w:pPr>
              <w:ind w:firstLine="480" w:firstLineChars="200"/>
              <w:rPr>
                <w:color w:val="0000C7"/>
              </w:rPr>
            </w:pPr>
          </w:p>
          <w:p w14:paraId="358494B9">
            <w:pPr>
              <w:ind w:firstLine="480" w:firstLineChars="200"/>
              <w:rPr>
                <w:color w:val="0000C7"/>
              </w:rPr>
            </w:pPr>
          </w:p>
          <w:p w14:paraId="36ECD58C">
            <w:pPr>
              <w:ind w:firstLine="480" w:firstLineChars="200"/>
              <w:rPr>
                <w:color w:val="0000C7"/>
              </w:rPr>
            </w:pPr>
          </w:p>
          <w:p w14:paraId="1731D223">
            <w:pPr>
              <w:ind w:firstLine="480" w:firstLineChars="200"/>
              <w:rPr>
                <w:color w:val="0000C7"/>
              </w:rPr>
            </w:pPr>
          </w:p>
          <w:p w14:paraId="0C60C0A1">
            <w:pPr>
              <w:ind w:firstLine="480" w:firstLineChars="200"/>
              <w:rPr>
                <w:color w:val="0000C7"/>
              </w:rPr>
            </w:pPr>
          </w:p>
          <w:p w14:paraId="112C0A56">
            <w:pPr>
              <w:ind w:firstLine="480" w:firstLineChars="200"/>
              <w:rPr>
                <w:color w:val="0000C7"/>
              </w:rPr>
            </w:pPr>
          </w:p>
          <w:p w14:paraId="0F4EEF99">
            <w:pPr>
              <w:ind w:firstLine="480" w:firstLineChars="200"/>
              <w:rPr>
                <w:color w:val="0000C7"/>
              </w:rPr>
            </w:pPr>
          </w:p>
          <w:p w14:paraId="2AD890C2">
            <w:pPr>
              <w:ind w:firstLine="480" w:firstLineChars="200"/>
              <w:rPr>
                <w:color w:val="0000C7"/>
              </w:rPr>
            </w:pPr>
          </w:p>
          <w:p w14:paraId="52685A6E">
            <w:pPr>
              <w:ind w:firstLine="480" w:firstLineChars="200"/>
              <w:rPr>
                <w:color w:val="0000C7"/>
              </w:rPr>
            </w:pPr>
          </w:p>
          <w:p w14:paraId="25371381">
            <w:pPr>
              <w:ind w:firstLine="480" w:firstLineChars="200"/>
              <w:rPr>
                <w:color w:val="0000C7"/>
              </w:rPr>
            </w:pPr>
          </w:p>
          <w:p w14:paraId="64121BFF">
            <w:pPr>
              <w:ind w:firstLine="480" w:firstLineChars="200"/>
            </w:pPr>
            <w:r>
              <w:t>“</w:t>
            </w:r>
            <w:r>
              <w:rPr>
                <w:rFonts w:hint="eastAsia"/>
              </w:rPr>
              <w:t>靖州县鑫宏石材雕刻加工生产</w:t>
            </w:r>
            <w:r>
              <w:t>项目”符合国家产业政策；项目选址符合相关规划要求，通过采取有效的环保措施可实现达标排放，对周边环境的影响也能控制在可接受程度。因此，建设单位在严格执行环保“三同时”制度，严格落实本报告提出的各项环保措施后，项目建设对环境的影响是可接受的。因此，从环保的角度分析，本项目的建设是可行的。</w:t>
            </w:r>
          </w:p>
          <w:p w14:paraId="73309884">
            <w:pPr>
              <w:ind w:firstLine="480" w:firstLineChars="200"/>
              <w:rPr>
                <w:color w:val="0000C7"/>
              </w:rPr>
            </w:pPr>
          </w:p>
          <w:p w14:paraId="4567E0C5">
            <w:pPr>
              <w:ind w:firstLine="480" w:firstLineChars="200"/>
              <w:rPr>
                <w:color w:val="0000C7"/>
              </w:rPr>
            </w:pPr>
          </w:p>
          <w:p w14:paraId="51B601F2">
            <w:pPr>
              <w:ind w:firstLine="480" w:firstLineChars="200"/>
              <w:rPr>
                <w:color w:val="0000C7"/>
              </w:rPr>
            </w:pPr>
          </w:p>
          <w:p w14:paraId="12D8FCC3">
            <w:pPr>
              <w:ind w:firstLine="480" w:firstLineChars="200"/>
              <w:rPr>
                <w:color w:val="0000C7"/>
              </w:rPr>
            </w:pPr>
          </w:p>
          <w:p w14:paraId="01D715D2">
            <w:pPr>
              <w:ind w:firstLine="480" w:firstLineChars="200"/>
              <w:rPr>
                <w:color w:val="0000C7"/>
              </w:rPr>
            </w:pPr>
          </w:p>
          <w:p w14:paraId="24B7049B">
            <w:pPr>
              <w:ind w:firstLine="480" w:firstLineChars="200"/>
              <w:rPr>
                <w:color w:val="0000C7"/>
              </w:rPr>
            </w:pPr>
          </w:p>
          <w:p w14:paraId="7D2AA0D6">
            <w:pPr>
              <w:ind w:firstLine="480" w:firstLineChars="200"/>
              <w:rPr>
                <w:color w:val="0000C7"/>
              </w:rPr>
            </w:pPr>
          </w:p>
          <w:p w14:paraId="0A897609">
            <w:pPr>
              <w:ind w:firstLine="480" w:firstLineChars="200"/>
              <w:rPr>
                <w:color w:val="0000C7"/>
              </w:rPr>
            </w:pPr>
          </w:p>
          <w:p w14:paraId="10FED960">
            <w:pPr>
              <w:ind w:firstLine="480" w:firstLineChars="200"/>
              <w:rPr>
                <w:color w:val="0000C7"/>
              </w:rPr>
            </w:pPr>
          </w:p>
          <w:p w14:paraId="49ED1850">
            <w:pPr>
              <w:ind w:firstLine="480" w:firstLineChars="200"/>
              <w:rPr>
                <w:color w:val="0000C7"/>
              </w:rPr>
            </w:pPr>
          </w:p>
          <w:p w14:paraId="3400B13A">
            <w:pPr>
              <w:ind w:firstLine="480" w:firstLineChars="200"/>
              <w:rPr>
                <w:color w:val="0000C7"/>
              </w:rPr>
            </w:pPr>
          </w:p>
        </w:tc>
      </w:tr>
    </w:tbl>
    <w:p w14:paraId="7783074B">
      <w:pPr>
        <w:spacing w:line="240" w:lineRule="auto"/>
        <w:rPr>
          <w:color w:val="0000C7"/>
          <w:sz w:val="21"/>
        </w:rPr>
        <w:sectPr>
          <w:pgSz w:w="11906" w:h="16838"/>
          <w:pgMar w:top="1701" w:right="1531" w:bottom="1701" w:left="1531" w:header="851" w:footer="851" w:gutter="0"/>
          <w:cols w:space="720" w:num="1"/>
          <w:docGrid w:linePitch="312" w:charSpace="0"/>
        </w:sectPr>
      </w:pPr>
    </w:p>
    <w:p w14:paraId="54A42285">
      <w:pPr>
        <w:widowControl/>
        <w:adjustRightInd w:val="0"/>
        <w:snapToGrid w:val="0"/>
        <w:spacing w:line="240" w:lineRule="auto"/>
        <w:jc w:val="left"/>
        <w:outlineLvl w:val="0"/>
        <w:rPr>
          <w:snapToGrid w:val="0"/>
          <w:kern w:val="0"/>
          <w:sz w:val="32"/>
          <w:szCs w:val="32"/>
        </w:rPr>
      </w:pPr>
      <w:bookmarkStart w:id="115" w:name="_Toc68160403"/>
      <w:bookmarkStart w:id="116" w:name="_Toc19927"/>
      <w:r>
        <w:rPr>
          <w:snapToGrid w:val="0"/>
          <w:kern w:val="0"/>
          <w:sz w:val="32"/>
          <w:szCs w:val="32"/>
        </w:rPr>
        <w:t>附表</w:t>
      </w:r>
      <w:bookmarkEnd w:id="115"/>
      <w:bookmarkEnd w:id="116"/>
    </w:p>
    <w:p w14:paraId="46FC94B5">
      <w:pPr>
        <w:widowControl/>
        <w:adjustRightInd w:val="0"/>
        <w:snapToGrid w:val="0"/>
        <w:jc w:val="center"/>
        <w:outlineLvl w:val="0"/>
        <w:rPr>
          <w:snapToGrid w:val="0"/>
          <w:kern w:val="0"/>
          <w:sz w:val="38"/>
          <w:szCs w:val="38"/>
        </w:rPr>
      </w:pPr>
      <w:bookmarkStart w:id="117" w:name="_Toc9062"/>
      <w:bookmarkStart w:id="118" w:name="_Toc68160404"/>
      <w:r>
        <w:rPr>
          <w:snapToGrid w:val="0"/>
          <w:kern w:val="0"/>
          <w:sz w:val="38"/>
          <w:szCs w:val="38"/>
        </w:rPr>
        <w:t>建设项目污染物排放量汇总表</w:t>
      </w:r>
      <w:bookmarkEnd w:id="117"/>
      <w:bookmarkEnd w:id="118"/>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1411"/>
        <w:gridCol w:w="1700"/>
        <w:gridCol w:w="1268"/>
        <w:gridCol w:w="1700"/>
        <w:gridCol w:w="1554"/>
        <w:gridCol w:w="1762"/>
        <w:gridCol w:w="1961"/>
        <w:gridCol w:w="1077"/>
      </w:tblGrid>
      <w:tr w14:paraId="76EB3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64" w:type="pct"/>
            <w:tcBorders>
              <w:tl2br w:val="single" w:color="auto" w:sz="4" w:space="0"/>
            </w:tcBorders>
            <w:tcMar>
              <w:left w:w="28" w:type="dxa"/>
              <w:right w:w="28" w:type="dxa"/>
            </w:tcMar>
            <w:vAlign w:val="center"/>
          </w:tcPr>
          <w:p w14:paraId="546641B3">
            <w:pPr>
              <w:adjustRightInd w:val="0"/>
              <w:snapToGrid w:val="0"/>
              <w:spacing w:line="240" w:lineRule="auto"/>
              <w:jc w:val="center"/>
              <w:rPr>
                <w:rFonts w:eastAsiaTheme="minorEastAsia"/>
                <w:snapToGrid w:val="0"/>
                <w:spacing w:val="-6"/>
                <w:kern w:val="21"/>
                <w:sz w:val="21"/>
                <w:szCs w:val="21"/>
                <w:u w:val="single"/>
              </w:rPr>
            </w:pPr>
            <w:r>
              <w:rPr>
                <w:rFonts w:eastAsiaTheme="minorEastAsia"/>
                <w:snapToGrid w:val="0"/>
                <w:spacing w:val="-6"/>
                <w:kern w:val="21"/>
                <w:sz w:val="21"/>
                <w:szCs w:val="21"/>
                <w:u w:val="single"/>
              </w:rPr>
              <w:t>项目</w:t>
            </w:r>
          </w:p>
          <w:p w14:paraId="59D43762">
            <w:pPr>
              <w:adjustRightInd w:val="0"/>
              <w:snapToGrid w:val="0"/>
              <w:spacing w:line="240" w:lineRule="auto"/>
              <w:jc w:val="center"/>
              <w:rPr>
                <w:rFonts w:eastAsiaTheme="minorEastAsia"/>
                <w:snapToGrid w:val="0"/>
                <w:spacing w:val="-6"/>
                <w:kern w:val="21"/>
                <w:sz w:val="21"/>
                <w:szCs w:val="21"/>
                <w:u w:val="single"/>
              </w:rPr>
            </w:pPr>
            <w:r>
              <w:rPr>
                <w:rFonts w:eastAsiaTheme="minorEastAsia"/>
                <w:snapToGrid w:val="0"/>
                <w:spacing w:val="-6"/>
                <w:kern w:val="21"/>
                <w:sz w:val="21"/>
                <w:szCs w:val="21"/>
                <w:u w:val="single"/>
              </w:rPr>
              <w:t>分类</w:t>
            </w:r>
          </w:p>
        </w:tc>
        <w:tc>
          <w:tcPr>
            <w:tcW w:w="503" w:type="pct"/>
            <w:tcMar>
              <w:left w:w="28" w:type="dxa"/>
              <w:right w:w="28" w:type="dxa"/>
            </w:tcMar>
            <w:vAlign w:val="center"/>
          </w:tcPr>
          <w:p w14:paraId="4D4AE86B">
            <w:pPr>
              <w:adjustRightInd w:val="0"/>
              <w:snapToGrid w:val="0"/>
              <w:spacing w:line="240" w:lineRule="auto"/>
              <w:jc w:val="center"/>
              <w:rPr>
                <w:rFonts w:eastAsiaTheme="minorEastAsia"/>
                <w:snapToGrid w:val="0"/>
                <w:spacing w:val="-6"/>
                <w:kern w:val="21"/>
                <w:sz w:val="21"/>
                <w:szCs w:val="21"/>
                <w:u w:val="single"/>
              </w:rPr>
            </w:pPr>
            <w:r>
              <w:rPr>
                <w:rFonts w:eastAsiaTheme="minorEastAsia"/>
                <w:snapToGrid w:val="0"/>
                <w:spacing w:val="-6"/>
                <w:kern w:val="21"/>
                <w:sz w:val="21"/>
                <w:szCs w:val="21"/>
                <w:u w:val="single"/>
              </w:rPr>
              <w:t>污染物名称</w:t>
            </w:r>
          </w:p>
        </w:tc>
        <w:tc>
          <w:tcPr>
            <w:tcW w:w="606" w:type="pct"/>
            <w:tcMar>
              <w:left w:w="28" w:type="dxa"/>
              <w:right w:w="28" w:type="dxa"/>
            </w:tcMar>
            <w:vAlign w:val="center"/>
          </w:tcPr>
          <w:p w14:paraId="4690A6BF">
            <w:pPr>
              <w:adjustRightInd w:val="0"/>
              <w:snapToGrid w:val="0"/>
              <w:spacing w:line="240" w:lineRule="auto"/>
              <w:jc w:val="center"/>
              <w:rPr>
                <w:rFonts w:eastAsiaTheme="minorEastAsia"/>
                <w:snapToGrid w:val="0"/>
                <w:spacing w:val="-6"/>
                <w:kern w:val="21"/>
                <w:sz w:val="21"/>
                <w:szCs w:val="21"/>
                <w:highlight w:val="none"/>
                <w:u w:val="single"/>
              </w:rPr>
            </w:pPr>
            <w:r>
              <w:rPr>
                <w:rFonts w:eastAsiaTheme="minorEastAsia"/>
                <w:snapToGrid w:val="0"/>
                <w:spacing w:val="-6"/>
                <w:kern w:val="21"/>
                <w:sz w:val="21"/>
                <w:szCs w:val="21"/>
                <w:highlight w:val="none"/>
                <w:u w:val="single"/>
              </w:rPr>
              <w:t>现有工程</w:t>
            </w:r>
          </w:p>
          <w:p w14:paraId="2F98FA12">
            <w:pPr>
              <w:adjustRightInd w:val="0"/>
              <w:snapToGrid w:val="0"/>
              <w:spacing w:line="240" w:lineRule="auto"/>
              <w:jc w:val="center"/>
              <w:rPr>
                <w:rFonts w:eastAsiaTheme="minorEastAsia"/>
                <w:snapToGrid w:val="0"/>
                <w:spacing w:val="-6"/>
                <w:kern w:val="21"/>
                <w:sz w:val="21"/>
                <w:szCs w:val="21"/>
                <w:highlight w:val="none"/>
                <w:u w:val="single"/>
              </w:rPr>
            </w:pPr>
            <w:r>
              <w:rPr>
                <w:rFonts w:eastAsiaTheme="minorEastAsia"/>
                <w:snapToGrid w:val="0"/>
                <w:spacing w:val="-6"/>
                <w:kern w:val="21"/>
                <w:sz w:val="21"/>
                <w:szCs w:val="21"/>
                <w:highlight w:val="none"/>
                <w:u w:val="single"/>
              </w:rPr>
              <w:t>排放量（固体废物产生量）</w:t>
            </w:r>
            <w:r>
              <w:rPr>
                <w:rFonts w:eastAsiaTheme="minorEastAsia"/>
                <w:snapToGrid w:val="0"/>
                <w:spacing w:val="-6"/>
                <w:kern w:val="21"/>
                <w:sz w:val="21"/>
                <w:szCs w:val="21"/>
                <w:highlight w:val="none"/>
                <w:u w:val="single"/>
              </w:rPr>
              <w:fldChar w:fldCharType="begin"/>
            </w:r>
            <w:r>
              <w:rPr>
                <w:rFonts w:eastAsiaTheme="minorEastAsia"/>
                <w:snapToGrid w:val="0"/>
                <w:spacing w:val="-6"/>
                <w:kern w:val="21"/>
                <w:sz w:val="21"/>
                <w:szCs w:val="21"/>
                <w:highlight w:val="none"/>
                <w:u w:val="single"/>
              </w:rPr>
              <w:instrText xml:space="preserve"> = 1 \* GB3 \* MERGEFORMAT </w:instrText>
            </w:r>
            <w:r>
              <w:rPr>
                <w:rFonts w:eastAsiaTheme="minorEastAsia"/>
                <w:snapToGrid w:val="0"/>
                <w:spacing w:val="-6"/>
                <w:kern w:val="21"/>
                <w:sz w:val="21"/>
                <w:szCs w:val="21"/>
                <w:highlight w:val="none"/>
                <w:u w:val="single"/>
              </w:rPr>
              <w:fldChar w:fldCharType="separate"/>
            </w:r>
            <w:r>
              <w:rPr>
                <w:rFonts w:eastAsiaTheme="minorEastAsia"/>
                <w:sz w:val="21"/>
                <w:szCs w:val="21"/>
                <w:highlight w:val="none"/>
                <w:u w:val="single"/>
              </w:rPr>
              <w:t>①</w:t>
            </w:r>
            <w:r>
              <w:rPr>
                <w:rFonts w:eastAsiaTheme="minorEastAsia"/>
                <w:snapToGrid w:val="0"/>
                <w:spacing w:val="-6"/>
                <w:kern w:val="21"/>
                <w:sz w:val="21"/>
                <w:szCs w:val="21"/>
                <w:highlight w:val="none"/>
                <w:u w:val="single"/>
              </w:rPr>
              <w:fldChar w:fldCharType="end"/>
            </w:r>
          </w:p>
        </w:tc>
        <w:tc>
          <w:tcPr>
            <w:tcW w:w="452" w:type="pct"/>
            <w:tcMar>
              <w:left w:w="28" w:type="dxa"/>
              <w:right w:w="28" w:type="dxa"/>
            </w:tcMar>
            <w:vAlign w:val="center"/>
          </w:tcPr>
          <w:p w14:paraId="083A7087">
            <w:pPr>
              <w:adjustRightInd w:val="0"/>
              <w:snapToGrid w:val="0"/>
              <w:spacing w:line="240" w:lineRule="auto"/>
              <w:jc w:val="center"/>
              <w:rPr>
                <w:rFonts w:eastAsiaTheme="minorEastAsia"/>
                <w:snapToGrid w:val="0"/>
                <w:spacing w:val="-6"/>
                <w:kern w:val="21"/>
                <w:sz w:val="21"/>
                <w:szCs w:val="21"/>
                <w:highlight w:val="none"/>
                <w:u w:val="single"/>
              </w:rPr>
            </w:pPr>
            <w:r>
              <w:rPr>
                <w:rFonts w:eastAsiaTheme="minorEastAsia"/>
                <w:snapToGrid w:val="0"/>
                <w:spacing w:val="-6"/>
                <w:kern w:val="21"/>
                <w:sz w:val="21"/>
                <w:szCs w:val="21"/>
                <w:highlight w:val="none"/>
                <w:u w:val="single"/>
              </w:rPr>
              <w:t>现有工程</w:t>
            </w:r>
          </w:p>
          <w:p w14:paraId="2A5CEBED">
            <w:pPr>
              <w:adjustRightInd w:val="0"/>
              <w:snapToGrid w:val="0"/>
              <w:spacing w:line="240" w:lineRule="auto"/>
              <w:jc w:val="center"/>
              <w:rPr>
                <w:rFonts w:eastAsiaTheme="minorEastAsia"/>
                <w:snapToGrid w:val="0"/>
                <w:spacing w:val="-6"/>
                <w:kern w:val="21"/>
                <w:sz w:val="21"/>
                <w:szCs w:val="21"/>
                <w:highlight w:val="none"/>
                <w:u w:val="single"/>
              </w:rPr>
            </w:pPr>
            <w:r>
              <w:rPr>
                <w:rFonts w:eastAsiaTheme="minorEastAsia"/>
                <w:snapToGrid w:val="0"/>
                <w:spacing w:val="-6"/>
                <w:kern w:val="21"/>
                <w:sz w:val="21"/>
                <w:szCs w:val="21"/>
                <w:highlight w:val="none"/>
                <w:u w:val="single"/>
              </w:rPr>
              <w:t>许可排放量</w:t>
            </w:r>
          </w:p>
          <w:p w14:paraId="31178223">
            <w:pPr>
              <w:adjustRightInd w:val="0"/>
              <w:snapToGrid w:val="0"/>
              <w:spacing w:line="259" w:lineRule="auto"/>
              <w:jc w:val="center"/>
              <w:rPr>
                <w:rFonts w:eastAsiaTheme="minorEastAsia"/>
                <w:snapToGrid w:val="0"/>
                <w:spacing w:val="-6"/>
                <w:kern w:val="21"/>
                <w:sz w:val="21"/>
                <w:szCs w:val="21"/>
                <w:highlight w:val="none"/>
                <w:u w:val="single"/>
              </w:rPr>
            </w:pPr>
            <w:r>
              <w:rPr>
                <w:rFonts w:eastAsiaTheme="minorEastAsia"/>
                <w:snapToGrid w:val="0"/>
                <w:spacing w:val="-6"/>
                <w:kern w:val="21"/>
                <w:sz w:val="21"/>
                <w:szCs w:val="21"/>
                <w:highlight w:val="none"/>
                <w:u w:val="single"/>
              </w:rPr>
              <w:fldChar w:fldCharType="begin"/>
            </w:r>
            <w:r>
              <w:rPr>
                <w:rFonts w:eastAsiaTheme="minorEastAsia"/>
                <w:snapToGrid w:val="0"/>
                <w:spacing w:val="-6"/>
                <w:kern w:val="21"/>
                <w:sz w:val="21"/>
                <w:szCs w:val="21"/>
                <w:highlight w:val="none"/>
                <w:u w:val="single"/>
              </w:rPr>
              <w:instrText xml:space="preserve"> = 2 \* GB3 \* MERGEFORMAT </w:instrText>
            </w:r>
            <w:r>
              <w:rPr>
                <w:rFonts w:eastAsiaTheme="minorEastAsia"/>
                <w:snapToGrid w:val="0"/>
                <w:spacing w:val="-6"/>
                <w:kern w:val="21"/>
                <w:sz w:val="21"/>
                <w:szCs w:val="21"/>
                <w:highlight w:val="none"/>
                <w:u w:val="single"/>
              </w:rPr>
              <w:fldChar w:fldCharType="separate"/>
            </w:r>
            <w:r>
              <w:rPr>
                <w:rFonts w:eastAsiaTheme="minorEastAsia"/>
                <w:snapToGrid w:val="0"/>
                <w:spacing w:val="-6"/>
                <w:kern w:val="21"/>
                <w:sz w:val="21"/>
                <w:szCs w:val="21"/>
                <w:highlight w:val="none"/>
                <w:u w:val="single"/>
              </w:rPr>
              <w:t>②</w:t>
            </w:r>
            <w:r>
              <w:rPr>
                <w:rFonts w:eastAsiaTheme="minorEastAsia"/>
                <w:snapToGrid w:val="0"/>
                <w:spacing w:val="-6"/>
                <w:kern w:val="21"/>
                <w:sz w:val="21"/>
                <w:szCs w:val="21"/>
                <w:highlight w:val="none"/>
                <w:u w:val="single"/>
              </w:rPr>
              <w:fldChar w:fldCharType="end"/>
            </w:r>
          </w:p>
        </w:tc>
        <w:tc>
          <w:tcPr>
            <w:tcW w:w="606" w:type="pct"/>
            <w:tcMar>
              <w:left w:w="28" w:type="dxa"/>
              <w:right w:w="28" w:type="dxa"/>
            </w:tcMar>
            <w:vAlign w:val="center"/>
          </w:tcPr>
          <w:p w14:paraId="47AA0773">
            <w:pPr>
              <w:adjustRightInd w:val="0"/>
              <w:snapToGrid w:val="0"/>
              <w:spacing w:line="240" w:lineRule="auto"/>
              <w:jc w:val="center"/>
              <w:rPr>
                <w:rFonts w:eastAsiaTheme="minorEastAsia"/>
                <w:snapToGrid w:val="0"/>
                <w:spacing w:val="-6"/>
                <w:kern w:val="21"/>
                <w:sz w:val="21"/>
                <w:szCs w:val="21"/>
                <w:u w:val="single"/>
              </w:rPr>
            </w:pPr>
            <w:r>
              <w:rPr>
                <w:rFonts w:eastAsiaTheme="minorEastAsia"/>
                <w:snapToGrid w:val="0"/>
                <w:spacing w:val="-6"/>
                <w:kern w:val="21"/>
                <w:sz w:val="21"/>
                <w:szCs w:val="21"/>
                <w:u w:val="single"/>
              </w:rPr>
              <w:t>在建工程</w:t>
            </w:r>
          </w:p>
          <w:p w14:paraId="05B80098">
            <w:pPr>
              <w:adjustRightInd w:val="0"/>
              <w:snapToGrid w:val="0"/>
              <w:spacing w:line="240" w:lineRule="auto"/>
              <w:jc w:val="center"/>
              <w:rPr>
                <w:rFonts w:eastAsiaTheme="minorEastAsia"/>
                <w:snapToGrid w:val="0"/>
                <w:spacing w:val="-6"/>
                <w:kern w:val="21"/>
                <w:sz w:val="21"/>
                <w:szCs w:val="21"/>
                <w:u w:val="single"/>
              </w:rPr>
            </w:pPr>
            <w:r>
              <w:rPr>
                <w:rFonts w:eastAsiaTheme="minorEastAsia"/>
                <w:snapToGrid w:val="0"/>
                <w:spacing w:val="-6"/>
                <w:kern w:val="21"/>
                <w:sz w:val="21"/>
                <w:szCs w:val="21"/>
                <w:u w:val="single"/>
              </w:rPr>
              <w:t>排放量（固体废物产生量）</w:t>
            </w:r>
            <w:r>
              <w:rPr>
                <w:rFonts w:eastAsiaTheme="minorEastAsia"/>
                <w:snapToGrid w:val="0"/>
                <w:spacing w:val="-6"/>
                <w:kern w:val="21"/>
                <w:sz w:val="21"/>
                <w:szCs w:val="21"/>
                <w:u w:val="single"/>
              </w:rPr>
              <w:fldChar w:fldCharType="begin"/>
            </w:r>
            <w:r>
              <w:rPr>
                <w:rFonts w:eastAsiaTheme="minorEastAsia"/>
                <w:snapToGrid w:val="0"/>
                <w:spacing w:val="-6"/>
                <w:kern w:val="21"/>
                <w:sz w:val="21"/>
                <w:szCs w:val="21"/>
                <w:u w:val="single"/>
              </w:rPr>
              <w:instrText xml:space="preserve"> = 3 \* GB3 \* MERGEFORMAT </w:instrText>
            </w:r>
            <w:r>
              <w:rPr>
                <w:rFonts w:eastAsiaTheme="minorEastAsia"/>
                <w:snapToGrid w:val="0"/>
                <w:spacing w:val="-6"/>
                <w:kern w:val="21"/>
                <w:sz w:val="21"/>
                <w:szCs w:val="21"/>
                <w:u w:val="single"/>
              </w:rPr>
              <w:fldChar w:fldCharType="separate"/>
            </w:r>
            <w:r>
              <w:rPr>
                <w:rFonts w:eastAsiaTheme="minorEastAsia"/>
                <w:sz w:val="21"/>
                <w:szCs w:val="21"/>
                <w:u w:val="single"/>
              </w:rPr>
              <w:t>③</w:t>
            </w:r>
            <w:r>
              <w:rPr>
                <w:rFonts w:eastAsiaTheme="minorEastAsia"/>
                <w:snapToGrid w:val="0"/>
                <w:spacing w:val="-6"/>
                <w:kern w:val="21"/>
                <w:sz w:val="21"/>
                <w:szCs w:val="21"/>
                <w:u w:val="single"/>
              </w:rPr>
              <w:fldChar w:fldCharType="end"/>
            </w:r>
          </w:p>
        </w:tc>
        <w:tc>
          <w:tcPr>
            <w:tcW w:w="554" w:type="pct"/>
            <w:tcMar>
              <w:left w:w="28" w:type="dxa"/>
              <w:right w:w="28" w:type="dxa"/>
            </w:tcMar>
            <w:vAlign w:val="center"/>
          </w:tcPr>
          <w:p w14:paraId="6D2451EC">
            <w:pPr>
              <w:adjustRightInd w:val="0"/>
              <w:snapToGrid w:val="0"/>
              <w:spacing w:line="240" w:lineRule="auto"/>
              <w:jc w:val="center"/>
              <w:rPr>
                <w:rFonts w:eastAsiaTheme="minorEastAsia"/>
                <w:snapToGrid w:val="0"/>
                <w:spacing w:val="-6"/>
                <w:kern w:val="21"/>
                <w:sz w:val="21"/>
                <w:szCs w:val="21"/>
                <w:u w:val="single"/>
              </w:rPr>
            </w:pPr>
            <w:r>
              <w:rPr>
                <w:rFonts w:eastAsiaTheme="minorEastAsia"/>
                <w:snapToGrid w:val="0"/>
                <w:spacing w:val="-6"/>
                <w:kern w:val="21"/>
                <w:sz w:val="21"/>
                <w:szCs w:val="21"/>
                <w:u w:val="single"/>
              </w:rPr>
              <w:t>本项目</w:t>
            </w:r>
          </w:p>
          <w:p w14:paraId="07F93624">
            <w:pPr>
              <w:adjustRightInd w:val="0"/>
              <w:snapToGrid w:val="0"/>
              <w:spacing w:line="240" w:lineRule="auto"/>
              <w:jc w:val="center"/>
              <w:rPr>
                <w:rFonts w:eastAsiaTheme="minorEastAsia"/>
                <w:snapToGrid w:val="0"/>
                <w:spacing w:val="-6"/>
                <w:kern w:val="21"/>
                <w:sz w:val="21"/>
                <w:szCs w:val="21"/>
                <w:u w:val="single"/>
              </w:rPr>
            </w:pPr>
            <w:r>
              <w:rPr>
                <w:rFonts w:eastAsiaTheme="minorEastAsia"/>
                <w:snapToGrid w:val="0"/>
                <w:spacing w:val="-6"/>
                <w:kern w:val="21"/>
                <w:sz w:val="21"/>
                <w:szCs w:val="21"/>
                <w:u w:val="single"/>
              </w:rPr>
              <w:t>排放量（固体废物产生量）</w:t>
            </w:r>
            <w:r>
              <w:rPr>
                <w:rFonts w:eastAsiaTheme="minorEastAsia"/>
                <w:snapToGrid w:val="0"/>
                <w:spacing w:val="-6"/>
                <w:kern w:val="21"/>
                <w:sz w:val="21"/>
                <w:szCs w:val="21"/>
                <w:u w:val="single"/>
              </w:rPr>
              <w:fldChar w:fldCharType="begin"/>
            </w:r>
            <w:r>
              <w:rPr>
                <w:rFonts w:eastAsiaTheme="minorEastAsia"/>
                <w:snapToGrid w:val="0"/>
                <w:spacing w:val="-6"/>
                <w:kern w:val="21"/>
                <w:sz w:val="21"/>
                <w:szCs w:val="21"/>
                <w:u w:val="single"/>
              </w:rPr>
              <w:instrText xml:space="preserve"> = 4 \* GB3 \* MERGEFORMAT </w:instrText>
            </w:r>
            <w:r>
              <w:rPr>
                <w:rFonts w:eastAsiaTheme="minorEastAsia"/>
                <w:snapToGrid w:val="0"/>
                <w:spacing w:val="-6"/>
                <w:kern w:val="21"/>
                <w:sz w:val="21"/>
                <w:szCs w:val="21"/>
                <w:u w:val="single"/>
              </w:rPr>
              <w:fldChar w:fldCharType="separate"/>
            </w:r>
            <w:r>
              <w:rPr>
                <w:rFonts w:eastAsiaTheme="minorEastAsia"/>
                <w:sz w:val="21"/>
                <w:szCs w:val="21"/>
                <w:u w:val="single"/>
              </w:rPr>
              <w:t>④</w:t>
            </w:r>
            <w:r>
              <w:rPr>
                <w:rFonts w:eastAsiaTheme="minorEastAsia"/>
                <w:snapToGrid w:val="0"/>
                <w:spacing w:val="-6"/>
                <w:kern w:val="21"/>
                <w:sz w:val="21"/>
                <w:szCs w:val="21"/>
                <w:u w:val="single"/>
              </w:rPr>
              <w:fldChar w:fldCharType="end"/>
            </w:r>
          </w:p>
        </w:tc>
        <w:tc>
          <w:tcPr>
            <w:tcW w:w="628" w:type="pct"/>
            <w:tcMar>
              <w:left w:w="28" w:type="dxa"/>
              <w:right w:w="28" w:type="dxa"/>
            </w:tcMar>
            <w:vAlign w:val="center"/>
          </w:tcPr>
          <w:p w14:paraId="3C337615">
            <w:pPr>
              <w:adjustRightInd w:val="0"/>
              <w:snapToGrid w:val="0"/>
              <w:spacing w:line="240" w:lineRule="auto"/>
              <w:jc w:val="center"/>
              <w:rPr>
                <w:rFonts w:eastAsiaTheme="minorEastAsia"/>
                <w:snapToGrid w:val="0"/>
                <w:spacing w:val="-16"/>
                <w:kern w:val="21"/>
                <w:sz w:val="21"/>
                <w:szCs w:val="21"/>
                <w:u w:val="single"/>
              </w:rPr>
            </w:pPr>
            <w:r>
              <w:rPr>
                <w:rFonts w:eastAsiaTheme="minorEastAsia"/>
                <w:snapToGrid w:val="0"/>
                <w:spacing w:val="-16"/>
                <w:kern w:val="21"/>
                <w:sz w:val="21"/>
                <w:szCs w:val="21"/>
                <w:u w:val="single"/>
              </w:rPr>
              <w:t>以新带老削减量</w:t>
            </w:r>
          </w:p>
          <w:p w14:paraId="32059E42">
            <w:pPr>
              <w:adjustRightInd w:val="0"/>
              <w:snapToGrid w:val="0"/>
              <w:spacing w:line="240" w:lineRule="auto"/>
              <w:jc w:val="center"/>
              <w:rPr>
                <w:rFonts w:eastAsiaTheme="minorEastAsia"/>
                <w:snapToGrid w:val="0"/>
                <w:spacing w:val="-16"/>
                <w:kern w:val="21"/>
                <w:sz w:val="21"/>
                <w:szCs w:val="21"/>
                <w:u w:val="single"/>
              </w:rPr>
            </w:pPr>
            <w:r>
              <w:rPr>
                <w:rFonts w:eastAsiaTheme="minorEastAsia"/>
                <w:snapToGrid w:val="0"/>
                <w:spacing w:val="-16"/>
                <w:kern w:val="21"/>
                <w:sz w:val="21"/>
                <w:szCs w:val="21"/>
                <w:u w:val="single"/>
              </w:rPr>
              <w:t>（新建项目不填）</w:t>
            </w:r>
            <w:r>
              <w:rPr>
                <w:rFonts w:eastAsiaTheme="minorEastAsia"/>
                <w:snapToGrid w:val="0"/>
                <w:spacing w:val="-16"/>
                <w:kern w:val="21"/>
                <w:sz w:val="21"/>
                <w:szCs w:val="21"/>
                <w:u w:val="single"/>
              </w:rPr>
              <w:fldChar w:fldCharType="begin"/>
            </w:r>
            <w:r>
              <w:rPr>
                <w:rFonts w:eastAsiaTheme="minorEastAsia"/>
                <w:snapToGrid w:val="0"/>
                <w:spacing w:val="-16"/>
                <w:kern w:val="21"/>
                <w:sz w:val="21"/>
                <w:szCs w:val="21"/>
                <w:u w:val="single"/>
              </w:rPr>
              <w:instrText xml:space="preserve"> = 5 \* GB3 \* MERGEFORMAT </w:instrText>
            </w:r>
            <w:r>
              <w:rPr>
                <w:rFonts w:eastAsiaTheme="minorEastAsia"/>
                <w:snapToGrid w:val="0"/>
                <w:spacing w:val="-16"/>
                <w:kern w:val="21"/>
                <w:sz w:val="21"/>
                <w:szCs w:val="21"/>
                <w:u w:val="single"/>
              </w:rPr>
              <w:fldChar w:fldCharType="separate"/>
            </w:r>
            <w:r>
              <w:rPr>
                <w:rFonts w:eastAsiaTheme="minorEastAsia"/>
                <w:sz w:val="21"/>
                <w:szCs w:val="21"/>
                <w:u w:val="single"/>
              </w:rPr>
              <w:t>⑤</w:t>
            </w:r>
            <w:r>
              <w:rPr>
                <w:rFonts w:eastAsiaTheme="minorEastAsia"/>
                <w:snapToGrid w:val="0"/>
                <w:spacing w:val="-16"/>
                <w:kern w:val="21"/>
                <w:sz w:val="21"/>
                <w:szCs w:val="21"/>
                <w:u w:val="single"/>
              </w:rPr>
              <w:fldChar w:fldCharType="end"/>
            </w:r>
          </w:p>
        </w:tc>
        <w:tc>
          <w:tcPr>
            <w:tcW w:w="699" w:type="pct"/>
            <w:tcMar>
              <w:left w:w="28" w:type="dxa"/>
              <w:right w:w="28" w:type="dxa"/>
            </w:tcMar>
            <w:vAlign w:val="center"/>
          </w:tcPr>
          <w:p w14:paraId="0429389B">
            <w:pPr>
              <w:adjustRightInd w:val="0"/>
              <w:snapToGrid w:val="0"/>
              <w:spacing w:line="240" w:lineRule="auto"/>
              <w:jc w:val="center"/>
              <w:rPr>
                <w:rFonts w:eastAsiaTheme="minorEastAsia"/>
                <w:snapToGrid w:val="0"/>
                <w:spacing w:val="-16"/>
                <w:kern w:val="21"/>
                <w:sz w:val="21"/>
                <w:szCs w:val="21"/>
                <w:u w:val="single"/>
              </w:rPr>
            </w:pPr>
            <w:r>
              <w:rPr>
                <w:rFonts w:eastAsiaTheme="minorEastAsia"/>
                <w:snapToGrid w:val="0"/>
                <w:spacing w:val="-16"/>
                <w:kern w:val="21"/>
                <w:sz w:val="21"/>
                <w:szCs w:val="21"/>
                <w:u w:val="single"/>
              </w:rPr>
              <w:t>本项目建成后</w:t>
            </w:r>
          </w:p>
          <w:p w14:paraId="1D135CE3">
            <w:pPr>
              <w:adjustRightInd w:val="0"/>
              <w:snapToGrid w:val="0"/>
              <w:spacing w:line="240" w:lineRule="auto"/>
              <w:jc w:val="center"/>
              <w:rPr>
                <w:rFonts w:eastAsiaTheme="minorEastAsia"/>
                <w:snapToGrid w:val="0"/>
                <w:spacing w:val="-16"/>
                <w:kern w:val="21"/>
                <w:sz w:val="21"/>
                <w:szCs w:val="21"/>
                <w:u w:val="single"/>
              </w:rPr>
            </w:pPr>
            <w:r>
              <w:rPr>
                <w:rFonts w:eastAsiaTheme="minorEastAsia"/>
                <w:snapToGrid w:val="0"/>
                <w:spacing w:val="-16"/>
                <w:kern w:val="21"/>
                <w:sz w:val="21"/>
                <w:szCs w:val="21"/>
                <w:u w:val="single"/>
              </w:rPr>
              <w:t>全厂排放量（固体废物产生量）</w:t>
            </w:r>
            <w:r>
              <w:rPr>
                <w:rFonts w:eastAsiaTheme="minorEastAsia"/>
                <w:snapToGrid w:val="0"/>
                <w:spacing w:val="-16"/>
                <w:kern w:val="21"/>
                <w:sz w:val="21"/>
                <w:szCs w:val="21"/>
                <w:u w:val="single"/>
              </w:rPr>
              <w:fldChar w:fldCharType="begin"/>
            </w:r>
            <w:r>
              <w:rPr>
                <w:rFonts w:eastAsiaTheme="minorEastAsia"/>
                <w:snapToGrid w:val="0"/>
                <w:spacing w:val="-16"/>
                <w:kern w:val="21"/>
                <w:sz w:val="21"/>
                <w:szCs w:val="21"/>
                <w:u w:val="single"/>
              </w:rPr>
              <w:instrText xml:space="preserve"> = 6 \* GB3 \* MERGEFORMAT </w:instrText>
            </w:r>
            <w:r>
              <w:rPr>
                <w:rFonts w:eastAsiaTheme="minorEastAsia"/>
                <w:snapToGrid w:val="0"/>
                <w:spacing w:val="-16"/>
                <w:kern w:val="21"/>
                <w:sz w:val="21"/>
                <w:szCs w:val="21"/>
                <w:u w:val="single"/>
              </w:rPr>
              <w:fldChar w:fldCharType="separate"/>
            </w:r>
            <w:r>
              <w:rPr>
                <w:rFonts w:eastAsiaTheme="minorEastAsia"/>
                <w:sz w:val="21"/>
                <w:szCs w:val="21"/>
                <w:u w:val="single"/>
              </w:rPr>
              <w:t>⑥</w:t>
            </w:r>
            <w:r>
              <w:rPr>
                <w:rFonts w:eastAsiaTheme="minorEastAsia"/>
                <w:snapToGrid w:val="0"/>
                <w:spacing w:val="-16"/>
                <w:kern w:val="21"/>
                <w:sz w:val="21"/>
                <w:szCs w:val="21"/>
                <w:u w:val="single"/>
              </w:rPr>
              <w:fldChar w:fldCharType="end"/>
            </w:r>
          </w:p>
        </w:tc>
        <w:tc>
          <w:tcPr>
            <w:tcW w:w="384" w:type="pct"/>
            <w:tcMar>
              <w:left w:w="28" w:type="dxa"/>
              <w:right w:w="28" w:type="dxa"/>
            </w:tcMar>
            <w:vAlign w:val="center"/>
          </w:tcPr>
          <w:p w14:paraId="1C29BE65">
            <w:pPr>
              <w:adjustRightInd w:val="0"/>
              <w:snapToGrid w:val="0"/>
              <w:spacing w:line="240" w:lineRule="auto"/>
              <w:jc w:val="center"/>
              <w:rPr>
                <w:rFonts w:eastAsiaTheme="minorEastAsia"/>
                <w:snapToGrid w:val="0"/>
                <w:spacing w:val="-6"/>
                <w:kern w:val="21"/>
                <w:sz w:val="21"/>
                <w:szCs w:val="21"/>
                <w:u w:val="single"/>
              </w:rPr>
            </w:pPr>
            <w:r>
              <w:rPr>
                <w:rFonts w:eastAsiaTheme="minorEastAsia"/>
                <w:snapToGrid w:val="0"/>
                <w:spacing w:val="-6"/>
                <w:kern w:val="21"/>
                <w:sz w:val="21"/>
                <w:szCs w:val="21"/>
                <w:u w:val="single"/>
              </w:rPr>
              <w:t>变化量</w:t>
            </w:r>
          </w:p>
          <w:p w14:paraId="5A58678D">
            <w:pPr>
              <w:adjustRightInd w:val="0"/>
              <w:snapToGrid w:val="0"/>
              <w:spacing w:line="240" w:lineRule="auto"/>
              <w:jc w:val="center"/>
              <w:rPr>
                <w:rFonts w:eastAsiaTheme="minorEastAsia"/>
                <w:snapToGrid w:val="0"/>
                <w:spacing w:val="-6"/>
                <w:kern w:val="21"/>
                <w:sz w:val="21"/>
                <w:szCs w:val="21"/>
                <w:u w:val="single"/>
              </w:rPr>
            </w:pPr>
            <w:r>
              <w:rPr>
                <w:rFonts w:eastAsiaTheme="minorEastAsia"/>
                <w:snapToGrid w:val="0"/>
                <w:spacing w:val="-6"/>
                <w:kern w:val="21"/>
                <w:sz w:val="21"/>
                <w:szCs w:val="21"/>
                <w:u w:val="single"/>
              </w:rPr>
              <w:fldChar w:fldCharType="begin"/>
            </w:r>
            <w:r>
              <w:rPr>
                <w:rFonts w:eastAsiaTheme="minorEastAsia"/>
                <w:snapToGrid w:val="0"/>
                <w:spacing w:val="-6"/>
                <w:kern w:val="21"/>
                <w:sz w:val="21"/>
                <w:szCs w:val="21"/>
                <w:u w:val="single"/>
              </w:rPr>
              <w:instrText xml:space="preserve"> = 7 \* GB3 \* MERGEFORMAT </w:instrText>
            </w:r>
            <w:r>
              <w:rPr>
                <w:rFonts w:eastAsiaTheme="minorEastAsia"/>
                <w:snapToGrid w:val="0"/>
                <w:spacing w:val="-6"/>
                <w:kern w:val="21"/>
                <w:sz w:val="21"/>
                <w:szCs w:val="21"/>
                <w:u w:val="single"/>
              </w:rPr>
              <w:fldChar w:fldCharType="separate"/>
            </w:r>
            <w:r>
              <w:rPr>
                <w:rFonts w:eastAsiaTheme="minorEastAsia"/>
                <w:sz w:val="21"/>
                <w:szCs w:val="21"/>
                <w:u w:val="single"/>
              </w:rPr>
              <w:t>⑦</w:t>
            </w:r>
            <w:r>
              <w:rPr>
                <w:rFonts w:eastAsiaTheme="minorEastAsia"/>
                <w:snapToGrid w:val="0"/>
                <w:spacing w:val="-6"/>
                <w:kern w:val="21"/>
                <w:sz w:val="21"/>
                <w:szCs w:val="21"/>
                <w:u w:val="single"/>
              </w:rPr>
              <w:fldChar w:fldCharType="end"/>
            </w:r>
          </w:p>
        </w:tc>
      </w:tr>
      <w:tr w14:paraId="5DCF3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4" w:type="pct"/>
            <w:vMerge w:val="restart"/>
            <w:vAlign w:val="center"/>
          </w:tcPr>
          <w:p w14:paraId="4771F56A">
            <w:pPr>
              <w:adjustRightInd w:val="0"/>
              <w:snapToGrid w:val="0"/>
              <w:spacing w:line="240" w:lineRule="auto"/>
              <w:jc w:val="center"/>
              <w:rPr>
                <w:rFonts w:eastAsiaTheme="minorEastAsia"/>
                <w:snapToGrid w:val="0"/>
                <w:kern w:val="21"/>
                <w:sz w:val="21"/>
                <w:szCs w:val="21"/>
                <w:u w:val="single"/>
              </w:rPr>
            </w:pPr>
            <w:r>
              <w:rPr>
                <w:rFonts w:eastAsiaTheme="minorEastAsia"/>
                <w:snapToGrid w:val="0"/>
                <w:kern w:val="21"/>
                <w:sz w:val="21"/>
                <w:szCs w:val="21"/>
                <w:u w:val="single"/>
              </w:rPr>
              <w:t>废气</w:t>
            </w:r>
          </w:p>
        </w:tc>
        <w:tc>
          <w:tcPr>
            <w:tcW w:w="503" w:type="pct"/>
            <w:vAlign w:val="center"/>
          </w:tcPr>
          <w:p w14:paraId="262C7603">
            <w:pPr>
              <w:adjustRightInd w:val="0"/>
              <w:snapToGrid w:val="0"/>
              <w:spacing w:line="240" w:lineRule="auto"/>
              <w:jc w:val="center"/>
              <w:rPr>
                <w:rFonts w:eastAsiaTheme="minorEastAsia"/>
                <w:snapToGrid w:val="0"/>
                <w:kern w:val="21"/>
                <w:sz w:val="21"/>
                <w:szCs w:val="21"/>
                <w:u w:val="single"/>
              </w:rPr>
            </w:pPr>
            <w:r>
              <w:rPr>
                <w:rFonts w:eastAsiaTheme="minorEastAsia"/>
                <w:snapToGrid w:val="0"/>
                <w:kern w:val="21"/>
                <w:sz w:val="21"/>
                <w:szCs w:val="21"/>
                <w:u w:val="single"/>
              </w:rPr>
              <w:t>颗粒物</w:t>
            </w:r>
          </w:p>
        </w:tc>
        <w:tc>
          <w:tcPr>
            <w:tcW w:w="1700" w:type="dxa"/>
            <w:vAlign w:val="center"/>
          </w:tcPr>
          <w:p w14:paraId="173619BA">
            <w:pPr>
              <w:widowControl/>
              <w:wordWrap w:val="0"/>
              <w:topLinePunct/>
              <w:adjustRightInd w:val="0"/>
              <w:snapToGrid w:val="0"/>
              <w:spacing w:line="240" w:lineRule="auto"/>
              <w:jc w:val="center"/>
              <w:rPr>
                <w:rFonts w:eastAsiaTheme="minorEastAsia"/>
                <w:snapToGrid w:val="0"/>
                <w:kern w:val="21"/>
                <w:sz w:val="21"/>
                <w:szCs w:val="21"/>
                <w:u w:val="single"/>
              </w:rPr>
            </w:pPr>
            <w:r>
              <w:rPr>
                <w:rFonts w:hint="eastAsia" w:ascii="Times New Roman" w:hAnsi="Times New Roman" w:eastAsia="宋体" w:cs="Times New Roman"/>
                <w:sz w:val="21"/>
                <w:szCs w:val="21"/>
                <w:u w:val="single"/>
                <w:lang w:val="en-US" w:eastAsia="zh-CN"/>
              </w:rPr>
              <w:t>0.229</w:t>
            </w:r>
          </w:p>
        </w:tc>
        <w:tc>
          <w:tcPr>
            <w:tcW w:w="452" w:type="pct"/>
            <w:vAlign w:val="center"/>
          </w:tcPr>
          <w:p w14:paraId="2EDC974A">
            <w:pPr>
              <w:jc w:val="center"/>
              <w:rPr>
                <w:rFonts w:eastAsiaTheme="minorEastAsia"/>
                <w:snapToGrid w:val="0"/>
                <w:kern w:val="21"/>
                <w:sz w:val="21"/>
                <w:szCs w:val="21"/>
                <w:highlight w:val="none"/>
                <w:u w:val="single"/>
              </w:rPr>
            </w:pPr>
            <w:r>
              <w:rPr>
                <w:rFonts w:eastAsiaTheme="minorEastAsia"/>
                <w:snapToGrid w:val="0"/>
                <w:kern w:val="21"/>
                <w:sz w:val="21"/>
                <w:szCs w:val="21"/>
                <w:highlight w:val="none"/>
                <w:u w:val="single"/>
              </w:rPr>
              <w:t>0</w:t>
            </w:r>
          </w:p>
        </w:tc>
        <w:tc>
          <w:tcPr>
            <w:tcW w:w="606" w:type="pct"/>
            <w:vAlign w:val="center"/>
          </w:tcPr>
          <w:p w14:paraId="29C95EE8">
            <w:pPr>
              <w:jc w:val="center"/>
              <w:rPr>
                <w:rFonts w:eastAsiaTheme="minorEastAsia"/>
                <w:snapToGrid w:val="0"/>
                <w:kern w:val="21"/>
                <w:sz w:val="21"/>
                <w:szCs w:val="21"/>
                <w:u w:val="single"/>
              </w:rPr>
            </w:pPr>
            <w:r>
              <w:rPr>
                <w:rFonts w:eastAsiaTheme="minorEastAsia"/>
                <w:snapToGrid w:val="0"/>
                <w:kern w:val="21"/>
                <w:sz w:val="21"/>
                <w:szCs w:val="21"/>
                <w:u w:val="single"/>
              </w:rPr>
              <w:t>0</w:t>
            </w:r>
          </w:p>
        </w:tc>
        <w:tc>
          <w:tcPr>
            <w:tcW w:w="554" w:type="pct"/>
            <w:shd w:val="clear" w:color="auto" w:fill="auto"/>
            <w:vAlign w:val="center"/>
          </w:tcPr>
          <w:p w14:paraId="4355C03E">
            <w:pPr>
              <w:widowControl/>
              <w:adjustRightInd w:val="0"/>
              <w:snapToGrid w:val="0"/>
              <w:spacing w:line="240" w:lineRule="auto"/>
              <w:jc w:val="center"/>
              <w:rPr>
                <w:rFonts w:eastAsiaTheme="minorEastAsia"/>
                <w:kern w:val="0"/>
                <w:sz w:val="20"/>
                <w:u w:val="single"/>
              </w:rPr>
            </w:pPr>
            <w:r>
              <w:rPr>
                <w:rFonts w:eastAsiaTheme="minorEastAsia"/>
                <w:kern w:val="0"/>
                <w:sz w:val="20"/>
                <w:u w:val="single"/>
              </w:rPr>
              <w:t>0.</w:t>
            </w:r>
            <w:r>
              <w:rPr>
                <w:rFonts w:hint="eastAsia" w:eastAsiaTheme="minorEastAsia"/>
                <w:kern w:val="0"/>
                <w:sz w:val="20"/>
                <w:u w:val="single"/>
                <w:lang w:val="en-US" w:eastAsia="zh-CN"/>
              </w:rPr>
              <w:t>377</w:t>
            </w:r>
            <w:r>
              <w:rPr>
                <w:rFonts w:eastAsiaTheme="minorEastAsia"/>
                <w:kern w:val="0"/>
                <w:sz w:val="20"/>
                <w:u w:val="single"/>
              </w:rPr>
              <w:t>t/a</w:t>
            </w:r>
          </w:p>
        </w:tc>
        <w:tc>
          <w:tcPr>
            <w:tcW w:w="1762" w:type="dxa"/>
            <w:vAlign w:val="center"/>
          </w:tcPr>
          <w:p w14:paraId="58DD6685">
            <w:pPr>
              <w:widowControl/>
              <w:wordWrap w:val="0"/>
              <w:topLinePunct/>
              <w:adjustRightInd w:val="0"/>
              <w:snapToGrid w:val="0"/>
              <w:spacing w:line="240" w:lineRule="auto"/>
              <w:jc w:val="center"/>
              <w:rPr>
                <w:rFonts w:eastAsiaTheme="minorEastAsia"/>
                <w:snapToGrid w:val="0"/>
                <w:kern w:val="21"/>
                <w:sz w:val="21"/>
                <w:szCs w:val="21"/>
                <w:u w:val="single"/>
              </w:rPr>
            </w:pPr>
            <w:r>
              <w:rPr>
                <w:rFonts w:hint="eastAsia" w:ascii="Times New Roman" w:hAnsi="Times New Roman" w:eastAsia="宋体" w:cs="Times New Roman"/>
                <w:sz w:val="21"/>
                <w:szCs w:val="21"/>
                <w:u w:val="single"/>
                <w:lang w:val="en-US" w:eastAsia="zh-CN"/>
              </w:rPr>
              <w:t>0.229</w:t>
            </w:r>
            <w:r>
              <w:rPr>
                <w:rFonts w:eastAsiaTheme="minorEastAsia"/>
                <w:kern w:val="0"/>
                <w:sz w:val="20"/>
                <w:u w:val="single"/>
              </w:rPr>
              <w:t>t/a</w:t>
            </w:r>
          </w:p>
        </w:tc>
        <w:tc>
          <w:tcPr>
            <w:tcW w:w="699" w:type="pct"/>
            <w:vAlign w:val="center"/>
          </w:tcPr>
          <w:p w14:paraId="7B552016">
            <w:pPr>
              <w:widowControl/>
              <w:adjustRightInd w:val="0"/>
              <w:snapToGrid w:val="0"/>
              <w:spacing w:line="240" w:lineRule="auto"/>
              <w:jc w:val="center"/>
              <w:rPr>
                <w:rFonts w:eastAsiaTheme="minorEastAsia"/>
                <w:kern w:val="0"/>
                <w:sz w:val="20"/>
                <w:u w:val="single"/>
              </w:rPr>
            </w:pPr>
            <w:r>
              <w:rPr>
                <w:rFonts w:eastAsiaTheme="minorEastAsia"/>
                <w:kern w:val="0"/>
                <w:sz w:val="20"/>
                <w:u w:val="single"/>
              </w:rPr>
              <w:t>0.</w:t>
            </w:r>
            <w:r>
              <w:rPr>
                <w:rFonts w:hint="eastAsia" w:eastAsiaTheme="minorEastAsia"/>
                <w:kern w:val="0"/>
                <w:sz w:val="20"/>
                <w:u w:val="single"/>
                <w:lang w:val="en-US" w:eastAsia="zh-CN"/>
              </w:rPr>
              <w:t>377</w:t>
            </w:r>
            <w:r>
              <w:rPr>
                <w:rFonts w:eastAsiaTheme="minorEastAsia"/>
                <w:kern w:val="0"/>
                <w:sz w:val="20"/>
                <w:u w:val="single"/>
              </w:rPr>
              <w:t>t/a</w:t>
            </w:r>
          </w:p>
        </w:tc>
        <w:tc>
          <w:tcPr>
            <w:tcW w:w="1077" w:type="dxa"/>
            <w:vAlign w:val="center"/>
          </w:tcPr>
          <w:p w14:paraId="0927EA31">
            <w:pPr>
              <w:wordWrap w:val="0"/>
              <w:topLinePunct/>
              <w:adjustRightInd w:val="0"/>
              <w:snapToGrid w:val="0"/>
              <w:spacing w:line="240" w:lineRule="auto"/>
              <w:ind w:firstLine="0" w:firstLineChars="0"/>
              <w:jc w:val="center"/>
              <w:rPr>
                <w:rFonts w:hint="default" w:eastAsiaTheme="minorEastAsia"/>
                <w:kern w:val="0"/>
                <w:sz w:val="20"/>
                <w:u w:val="single"/>
                <w:lang w:val="en-US" w:eastAsia="zh-CN"/>
              </w:rPr>
            </w:pPr>
            <w:r>
              <w:rPr>
                <w:rFonts w:hint="eastAsia" w:ascii="Times New Roman" w:hAnsi="Times New Roman" w:eastAsia="宋体" w:cs="Times New Roman"/>
                <w:sz w:val="21"/>
                <w:szCs w:val="21"/>
                <w:u w:val="single"/>
                <w:lang w:val="en-US" w:eastAsia="zh-CN"/>
              </w:rPr>
              <w:t>0.148</w:t>
            </w:r>
          </w:p>
        </w:tc>
      </w:tr>
      <w:tr w14:paraId="6EAE8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4" w:type="pct"/>
            <w:vMerge w:val="continue"/>
            <w:vAlign w:val="center"/>
          </w:tcPr>
          <w:p w14:paraId="3FEFF91E">
            <w:pPr>
              <w:adjustRightInd w:val="0"/>
              <w:snapToGrid w:val="0"/>
              <w:spacing w:line="240" w:lineRule="auto"/>
              <w:jc w:val="center"/>
              <w:rPr>
                <w:rFonts w:eastAsiaTheme="minorEastAsia"/>
                <w:snapToGrid w:val="0"/>
                <w:kern w:val="21"/>
                <w:sz w:val="21"/>
                <w:szCs w:val="21"/>
                <w:u w:val="single"/>
              </w:rPr>
            </w:pPr>
          </w:p>
        </w:tc>
        <w:tc>
          <w:tcPr>
            <w:tcW w:w="503" w:type="pct"/>
            <w:vAlign w:val="center"/>
          </w:tcPr>
          <w:p w14:paraId="0A46BAC4">
            <w:pPr>
              <w:adjustRightInd w:val="0"/>
              <w:snapToGrid w:val="0"/>
              <w:spacing w:line="240" w:lineRule="auto"/>
              <w:jc w:val="center"/>
              <w:rPr>
                <w:rFonts w:hint="eastAsia" w:eastAsiaTheme="minorEastAsia"/>
                <w:snapToGrid w:val="0"/>
                <w:kern w:val="21"/>
                <w:sz w:val="21"/>
                <w:szCs w:val="21"/>
                <w:u w:val="single"/>
                <w:lang w:eastAsia="zh-CN"/>
              </w:rPr>
            </w:pPr>
            <w:r>
              <w:rPr>
                <w:rFonts w:hint="eastAsia" w:eastAsiaTheme="minorEastAsia"/>
                <w:snapToGrid w:val="0"/>
                <w:kern w:val="21"/>
                <w:sz w:val="21"/>
                <w:szCs w:val="21"/>
                <w:u w:val="single"/>
                <w:lang w:eastAsia="zh-CN"/>
              </w:rPr>
              <w:t>有机废气</w:t>
            </w:r>
          </w:p>
        </w:tc>
        <w:tc>
          <w:tcPr>
            <w:tcW w:w="1700" w:type="dxa"/>
            <w:vAlign w:val="center"/>
          </w:tcPr>
          <w:p w14:paraId="4F4ACC44">
            <w:pPr>
              <w:widowControl/>
              <w:wordWrap w:val="0"/>
              <w:topLinePunct/>
              <w:adjustRightInd w:val="0"/>
              <w:snapToGrid w:val="0"/>
              <w:spacing w:line="240" w:lineRule="auto"/>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0</w:t>
            </w:r>
          </w:p>
        </w:tc>
        <w:tc>
          <w:tcPr>
            <w:tcW w:w="452" w:type="pct"/>
            <w:vAlign w:val="center"/>
          </w:tcPr>
          <w:p w14:paraId="311C103E">
            <w:pPr>
              <w:jc w:val="center"/>
              <w:rPr>
                <w:rFonts w:hint="eastAsia" w:eastAsiaTheme="minorEastAsia"/>
                <w:snapToGrid w:val="0"/>
                <w:kern w:val="21"/>
                <w:sz w:val="21"/>
                <w:szCs w:val="21"/>
                <w:highlight w:val="none"/>
                <w:u w:val="single"/>
                <w:lang w:val="en-US" w:eastAsia="zh-CN"/>
              </w:rPr>
            </w:pPr>
            <w:r>
              <w:rPr>
                <w:rFonts w:hint="eastAsia" w:eastAsiaTheme="minorEastAsia"/>
                <w:snapToGrid w:val="0"/>
                <w:kern w:val="21"/>
                <w:sz w:val="21"/>
                <w:szCs w:val="21"/>
                <w:highlight w:val="none"/>
                <w:u w:val="single"/>
                <w:lang w:val="en-US" w:eastAsia="zh-CN"/>
              </w:rPr>
              <w:t>0</w:t>
            </w:r>
          </w:p>
        </w:tc>
        <w:tc>
          <w:tcPr>
            <w:tcW w:w="606" w:type="pct"/>
            <w:vAlign w:val="center"/>
          </w:tcPr>
          <w:p w14:paraId="6B60F106">
            <w:pPr>
              <w:jc w:val="center"/>
              <w:rPr>
                <w:rFonts w:hint="eastAsia" w:eastAsiaTheme="minorEastAsia"/>
                <w:snapToGrid w:val="0"/>
                <w:kern w:val="21"/>
                <w:sz w:val="21"/>
                <w:szCs w:val="21"/>
                <w:u w:val="single"/>
                <w:lang w:val="en-US" w:eastAsia="zh-CN"/>
              </w:rPr>
            </w:pPr>
            <w:r>
              <w:rPr>
                <w:rFonts w:hint="eastAsia" w:eastAsiaTheme="minorEastAsia"/>
                <w:snapToGrid w:val="0"/>
                <w:kern w:val="21"/>
                <w:sz w:val="21"/>
                <w:szCs w:val="21"/>
                <w:u w:val="single"/>
                <w:lang w:val="en-US" w:eastAsia="zh-CN"/>
              </w:rPr>
              <w:t>0</w:t>
            </w:r>
          </w:p>
        </w:tc>
        <w:tc>
          <w:tcPr>
            <w:tcW w:w="554" w:type="pct"/>
            <w:shd w:val="clear" w:color="auto" w:fill="auto"/>
            <w:vAlign w:val="center"/>
          </w:tcPr>
          <w:p w14:paraId="26231EC5">
            <w:pPr>
              <w:widowControl/>
              <w:adjustRightInd w:val="0"/>
              <w:snapToGrid w:val="0"/>
              <w:spacing w:line="240" w:lineRule="auto"/>
              <w:jc w:val="center"/>
              <w:rPr>
                <w:rFonts w:hint="eastAsia" w:eastAsiaTheme="minorEastAsia"/>
                <w:kern w:val="0"/>
                <w:sz w:val="20"/>
                <w:u w:val="single"/>
                <w:lang w:eastAsia="zh-CN"/>
              </w:rPr>
            </w:pPr>
            <w:r>
              <w:rPr>
                <w:rFonts w:hint="eastAsia" w:eastAsiaTheme="minorEastAsia"/>
                <w:kern w:val="0"/>
                <w:sz w:val="20"/>
                <w:u w:val="single"/>
                <w:lang w:eastAsia="zh-CN"/>
              </w:rPr>
              <w:t>少量</w:t>
            </w:r>
          </w:p>
        </w:tc>
        <w:tc>
          <w:tcPr>
            <w:tcW w:w="1762" w:type="dxa"/>
            <w:vAlign w:val="center"/>
          </w:tcPr>
          <w:p w14:paraId="38DEB0BB">
            <w:pPr>
              <w:widowControl/>
              <w:wordWrap w:val="0"/>
              <w:topLinePunct/>
              <w:adjustRightInd w:val="0"/>
              <w:snapToGrid w:val="0"/>
              <w:spacing w:line="240" w:lineRule="auto"/>
              <w:jc w:val="center"/>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0</w:t>
            </w:r>
          </w:p>
        </w:tc>
        <w:tc>
          <w:tcPr>
            <w:tcW w:w="699" w:type="pct"/>
            <w:vAlign w:val="center"/>
          </w:tcPr>
          <w:p w14:paraId="3A6DCE2F">
            <w:pPr>
              <w:widowControl/>
              <w:adjustRightInd w:val="0"/>
              <w:snapToGrid w:val="0"/>
              <w:spacing w:line="240" w:lineRule="auto"/>
              <w:jc w:val="center"/>
              <w:rPr>
                <w:rFonts w:hint="eastAsia" w:eastAsiaTheme="minorEastAsia"/>
                <w:kern w:val="0"/>
                <w:sz w:val="20"/>
                <w:u w:val="single"/>
                <w:lang w:eastAsia="zh-CN"/>
              </w:rPr>
            </w:pPr>
            <w:r>
              <w:rPr>
                <w:rFonts w:hint="eastAsia" w:eastAsiaTheme="minorEastAsia"/>
                <w:kern w:val="0"/>
                <w:sz w:val="20"/>
                <w:u w:val="single"/>
                <w:lang w:eastAsia="zh-CN"/>
              </w:rPr>
              <w:t>少量</w:t>
            </w:r>
          </w:p>
        </w:tc>
        <w:tc>
          <w:tcPr>
            <w:tcW w:w="1077" w:type="dxa"/>
            <w:vAlign w:val="center"/>
          </w:tcPr>
          <w:p w14:paraId="22D02784">
            <w:pPr>
              <w:wordWrap w:val="0"/>
              <w:topLinePunct/>
              <w:adjustRightInd w:val="0"/>
              <w:snapToGrid w:val="0"/>
              <w:spacing w:line="240" w:lineRule="auto"/>
              <w:ind w:firstLine="0" w:firstLineChars="0"/>
              <w:jc w:val="center"/>
              <w:rPr>
                <w:rFonts w:hint="eastAsia"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少量</w:t>
            </w:r>
          </w:p>
        </w:tc>
      </w:tr>
      <w:tr w14:paraId="145204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4" w:type="pct"/>
            <w:vMerge w:val="continue"/>
            <w:vAlign w:val="center"/>
          </w:tcPr>
          <w:p w14:paraId="33AE3CDA">
            <w:pPr>
              <w:adjustRightInd w:val="0"/>
              <w:snapToGrid w:val="0"/>
              <w:spacing w:line="240" w:lineRule="auto"/>
              <w:jc w:val="center"/>
              <w:rPr>
                <w:rFonts w:eastAsiaTheme="minorEastAsia"/>
                <w:snapToGrid w:val="0"/>
                <w:kern w:val="21"/>
                <w:sz w:val="21"/>
                <w:szCs w:val="21"/>
                <w:u w:val="single"/>
              </w:rPr>
            </w:pPr>
          </w:p>
        </w:tc>
        <w:tc>
          <w:tcPr>
            <w:tcW w:w="503" w:type="pct"/>
            <w:vAlign w:val="center"/>
          </w:tcPr>
          <w:p w14:paraId="33A301CF">
            <w:pPr>
              <w:adjustRightInd w:val="0"/>
              <w:snapToGrid w:val="0"/>
              <w:spacing w:line="240" w:lineRule="auto"/>
              <w:jc w:val="center"/>
              <w:rPr>
                <w:rFonts w:eastAsiaTheme="minorEastAsia"/>
                <w:snapToGrid w:val="0"/>
                <w:kern w:val="21"/>
                <w:sz w:val="21"/>
                <w:szCs w:val="21"/>
                <w:u w:val="single"/>
              </w:rPr>
            </w:pPr>
            <w:r>
              <w:rPr>
                <w:rFonts w:eastAsiaTheme="minorEastAsia"/>
                <w:snapToGrid w:val="0"/>
                <w:kern w:val="21"/>
                <w:sz w:val="21"/>
                <w:szCs w:val="21"/>
                <w:u w:val="single"/>
              </w:rPr>
              <w:t>食堂油烟</w:t>
            </w:r>
          </w:p>
        </w:tc>
        <w:tc>
          <w:tcPr>
            <w:tcW w:w="1700" w:type="dxa"/>
            <w:vAlign w:val="center"/>
          </w:tcPr>
          <w:p w14:paraId="5AADB433">
            <w:pPr>
              <w:wordWrap w:val="0"/>
              <w:topLinePunct/>
              <w:adjustRightInd w:val="0"/>
              <w:snapToGrid w:val="0"/>
              <w:spacing w:line="240" w:lineRule="auto"/>
              <w:ind w:firstLine="0" w:firstLineChars="0"/>
              <w:jc w:val="center"/>
              <w:rPr>
                <w:rFonts w:eastAsiaTheme="minorEastAsia"/>
                <w:snapToGrid w:val="0"/>
                <w:kern w:val="21"/>
                <w:sz w:val="21"/>
                <w:szCs w:val="21"/>
                <w:u w:val="single"/>
              </w:rPr>
            </w:pPr>
            <w:r>
              <w:rPr>
                <w:rFonts w:hint="eastAsia" w:ascii="Times New Roman" w:hAnsi="Times New Roman" w:eastAsia="宋体" w:cs="Times New Roman"/>
                <w:sz w:val="21"/>
                <w:szCs w:val="21"/>
                <w:u w:val="single"/>
                <w:lang w:val="en-US" w:eastAsia="zh-CN"/>
              </w:rPr>
              <w:t>0.31</w:t>
            </w:r>
          </w:p>
        </w:tc>
        <w:tc>
          <w:tcPr>
            <w:tcW w:w="452" w:type="pct"/>
            <w:vAlign w:val="center"/>
          </w:tcPr>
          <w:p w14:paraId="27D88FAC">
            <w:pPr>
              <w:jc w:val="center"/>
              <w:rPr>
                <w:rFonts w:eastAsiaTheme="minorEastAsia"/>
                <w:snapToGrid w:val="0"/>
                <w:kern w:val="21"/>
                <w:sz w:val="21"/>
                <w:szCs w:val="21"/>
                <w:highlight w:val="none"/>
                <w:u w:val="single"/>
              </w:rPr>
            </w:pPr>
            <w:r>
              <w:rPr>
                <w:rFonts w:eastAsiaTheme="minorEastAsia"/>
                <w:snapToGrid w:val="0"/>
                <w:kern w:val="21"/>
                <w:sz w:val="21"/>
                <w:szCs w:val="21"/>
                <w:highlight w:val="none"/>
                <w:u w:val="single"/>
              </w:rPr>
              <w:t>0</w:t>
            </w:r>
          </w:p>
        </w:tc>
        <w:tc>
          <w:tcPr>
            <w:tcW w:w="606" w:type="pct"/>
            <w:vAlign w:val="center"/>
          </w:tcPr>
          <w:p w14:paraId="1EE78090">
            <w:pPr>
              <w:jc w:val="center"/>
              <w:rPr>
                <w:rFonts w:eastAsiaTheme="minorEastAsia"/>
                <w:snapToGrid w:val="0"/>
                <w:kern w:val="21"/>
                <w:sz w:val="21"/>
                <w:szCs w:val="21"/>
                <w:u w:val="single"/>
              </w:rPr>
            </w:pPr>
            <w:r>
              <w:rPr>
                <w:rFonts w:eastAsiaTheme="minorEastAsia"/>
                <w:snapToGrid w:val="0"/>
                <w:kern w:val="21"/>
                <w:sz w:val="21"/>
                <w:szCs w:val="21"/>
                <w:u w:val="single"/>
              </w:rPr>
              <w:t>0</w:t>
            </w:r>
          </w:p>
        </w:tc>
        <w:tc>
          <w:tcPr>
            <w:tcW w:w="554" w:type="pct"/>
            <w:shd w:val="clear" w:color="auto" w:fill="auto"/>
            <w:vAlign w:val="center"/>
          </w:tcPr>
          <w:p w14:paraId="1E32890C">
            <w:pPr>
              <w:widowControl/>
              <w:adjustRightInd w:val="0"/>
              <w:snapToGrid w:val="0"/>
              <w:spacing w:line="240" w:lineRule="auto"/>
              <w:jc w:val="center"/>
              <w:rPr>
                <w:rFonts w:eastAsiaTheme="minorEastAsia"/>
                <w:kern w:val="0"/>
                <w:sz w:val="20"/>
                <w:u w:val="single"/>
              </w:rPr>
            </w:pPr>
            <w:r>
              <w:rPr>
                <w:rFonts w:eastAsiaTheme="minorEastAsia"/>
                <w:kern w:val="0"/>
                <w:sz w:val="20"/>
                <w:u w:val="single"/>
              </w:rPr>
              <w:t>0.76Kg/a</w:t>
            </w:r>
          </w:p>
        </w:tc>
        <w:tc>
          <w:tcPr>
            <w:tcW w:w="1762" w:type="dxa"/>
            <w:vAlign w:val="center"/>
          </w:tcPr>
          <w:p w14:paraId="76247D82">
            <w:pPr>
              <w:wordWrap w:val="0"/>
              <w:topLinePunct/>
              <w:adjustRightInd w:val="0"/>
              <w:snapToGrid w:val="0"/>
              <w:spacing w:line="240" w:lineRule="auto"/>
              <w:ind w:firstLine="0" w:firstLineChars="0"/>
              <w:jc w:val="center"/>
              <w:rPr>
                <w:rFonts w:eastAsiaTheme="minorEastAsia"/>
                <w:snapToGrid w:val="0"/>
                <w:kern w:val="21"/>
                <w:sz w:val="21"/>
                <w:szCs w:val="21"/>
                <w:u w:val="single"/>
              </w:rPr>
            </w:pPr>
            <w:r>
              <w:rPr>
                <w:rFonts w:hint="eastAsia" w:ascii="Times New Roman" w:hAnsi="Times New Roman" w:eastAsia="宋体" w:cs="Times New Roman"/>
                <w:sz w:val="21"/>
                <w:szCs w:val="21"/>
                <w:u w:val="single"/>
                <w:lang w:val="en-US" w:eastAsia="zh-CN"/>
              </w:rPr>
              <w:t>0.31</w:t>
            </w:r>
            <w:r>
              <w:rPr>
                <w:rFonts w:eastAsiaTheme="minorEastAsia"/>
                <w:kern w:val="0"/>
                <w:sz w:val="20"/>
                <w:u w:val="single"/>
              </w:rPr>
              <w:t>Kg/a</w:t>
            </w:r>
          </w:p>
        </w:tc>
        <w:tc>
          <w:tcPr>
            <w:tcW w:w="699" w:type="pct"/>
            <w:vAlign w:val="center"/>
          </w:tcPr>
          <w:p w14:paraId="39874111">
            <w:pPr>
              <w:widowControl/>
              <w:adjustRightInd w:val="0"/>
              <w:snapToGrid w:val="0"/>
              <w:spacing w:line="240" w:lineRule="auto"/>
              <w:jc w:val="center"/>
              <w:rPr>
                <w:rFonts w:eastAsiaTheme="minorEastAsia"/>
                <w:kern w:val="0"/>
                <w:sz w:val="20"/>
                <w:u w:val="single"/>
              </w:rPr>
            </w:pPr>
            <w:r>
              <w:rPr>
                <w:rFonts w:eastAsiaTheme="minorEastAsia"/>
                <w:kern w:val="0"/>
                <w:sz w:val="20"/>
                <w:u w:val="single"/>
              </w:rPr>
              <w:t>0.76Kg/a</w:t>
            </w:r>
          </w:p>
        </w:tc>
        <w:tc>
          <w:tcPr>
            <w:tcW w:w="1077" w:type="dxa"/>
            <w:vAlign w:val="center"/>
          </w:tcPr>
          <w:p w14:paraId="1D0034BE">
            <w:pPr>
              <w:wordWrap w:val="0"/>
              <w:topLinePunct/>
              <w:adjustRightInd w:val="0"/>
              <w:snapToGrid w:val="0"/>
              <w:spacing w:line="240" w:lineRule="auto"/>
              <w:ind w:firstLine="0" w:firstLineChars="0"/>
              <w:jc w:val="center"/>
              <w:rPr>
                <w:rFonts w:eastAsiaTheme="minorEastAsia"/>
                <w:kern w:val="0"/>
                <w:sz w:val="20"/>
                <w:u w:val="single"/>
              </w:rPr>
            </w:pPr>
            <w:r>
              <w:rPr>
                <w:rFonts w:hint="eastAsia" w:ascii="Times New Roman" w:hAnsi="Times New Roman" w:eastAsia="宋体" w:cs="Times New Roman"/>
                <w:sz w:val="21"/>
                <w:szCs w:val="21"/>
                <w:u w:val="single"/>
                <w:lang w:val="en-US" w:eastAsia="zh-CN"/>
              </w:rPr>
              <w:t>0.45</w:t>
            </w:r>
          </w:p>
        </w:tc>
      </w:tr>
      <w:tr w14:paraId="5E4522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4" w:type="pct"/>
            <w:vMerge w:val="restart"/>
            <w:vAlign w:val="center"/>
          </w:tcPr>
          <w:p w14:paraId="11D8D2C6">
            <w:pPr>
              <w:adjustRightInd w:val="0"/>
              <w:snapToGrid w:val="0"/>
              <w:spacing w:line="240" w:lineRule="auto"/>
              <w:jc w:val="center"/>
              <w:rPr>
                <w:rFonts w:eastAsiaTheme="minorEastAsia"/>
                <w:snapToGrid w:val="0"/>
                <w:kern w:val="21"/>
                <w:sz w:val="21"/>
                <w:szCs w:val="21"/>
                <w:u w:val="single"/>
              </w:rPr>
            </w:pPr>
            <w:r>
              <w:rPr>
                <w:rFonts w:eastAsiaTheme="minorEastAsia"/>
                <w:snapToGrid w:val="0"/>
                <w:kern w:val="21"/>
                <w:sz w:val="21"/>
                <w:szCs w:val="21"/>
                <w:u w:val="single"/>
              </w:rPr>
              <w:t>废水</w:t>
            </w:r>
          </w:p>
        </w:tc>
        <w:tc>
          <w:tcPr>
            <w:tcW w:w="503" w:type="pct"/>
            <w:vAlign w:val="center"/>
          </w:tcPr>
          <w:p w14:paraId="597B54EB">
            <w:pPr>
              <w:adjustRightInd w:val="0"/>
              <w:snapToGrid w:val="0"/>
              <w:spacing w:line="240" w:lineRule="auto"/>
              <w:jc w:val="center"/>
              <w:rPr>
                <w:rFonts w:eastAsiaTheme="minorEastAsia"/>
                <w:snapToGrid w:val="0"/>
                <w:kern w:val="21"/>
                <w:sz w:val="21"/>
                <w:szCs w:val="21"/>
                <w:u w:val="single"/>
              </w:rPr>
            </w:pPr>
            <w:r>
              <w:rPr>
                <w:rFonts w:eastAsiaTheme="minorEastAsia"/>
                <w:sz w:val="21"/>
                <w:szCs w:val="21"/>
                <w:u w:val="single"/>
              </w:rPr>
              <w:t>COD</w:t>
            </w:r>
          </w:p>
        </w:tc>
        <w:tc>
          <w:tcPr>
            <w:tcW w:w="1696" w:type="dxa"/>
            <w:vAlign w:val="center"/>
          </w:tcPr>
          <w:p w14:paraId="0FFBAD2E">
            <w:pPr>
              <w:adjustRightInd w:val="0"/>
              <w:snapToGrid w:val="0"/>
              <w:spacing w:line="240" w:lineRule="auto"/>
              <w:jc w:val="center"/>
              <w:rPr>
                <w:rFonts w:eastAsiaTheme="minorEastAsia"/>
                <w:color w:val="0000C7"/>
                <w:u w:val="single"/>
              </w:rPr>
            </w:pPr>
            <w:r>
              <w:rPr>
                <w:rFonts w:eastAsiaTheme="minorEastAsia"/>
                <w:snapToGrid w:val="0"/>
                <w:kern w:val="21"/>
                <w:sz w:val="21"/>
                <w:szCs w:val="21"/>
                <w:u w:val="single"/>
              </w:rPr>
              <w:t>0</w:t>
            </w:r>
          </w:p>
        </w:tc>
        <w:tc>
          <w:tcPr>
            <w:tcW w:w="1264" w:type="dxa"/>
            <w:vAlign w:val="center"/>
          </w:tcPr>
          <w:p w14:paraId="206B00F4">
            <w:pPr>
              <w:adjustRightInd w:val="0"/>
              <w:snapToGrid w:val="0"/>
              <w:spacing w:line="240" w:lineRule="auto"/>
              <w:jc w:val="center"/>
              <w:rPr>
                <w:rFonts w:eastAsiaTheme="minorEastAsia"/>
                <w:color w:val="0000C7"/>
                <w:highlight w:val="none"/>
                <w:u w:val="single"/>
              </w:rPr>
            </w:pPr>
            <w:r>
              <w:rPr>
                <w:rFonts w:eastAsiaTheme="minorEastAsia"/>
                <w:snapToGrid w:val="0"/>
                <w:kern w:val="21"/>
                <w:sz w:val="21"/>
                <w:szCs w:val="21"/>
                <w:highlight w:val="none"/>
                <w:u w:val="single"/>
              </w:rPr>
              <w:t>0</w:t>
            </w:r>
          </w:p>
        </w:tc>
        <w:tc>
          <w:tcPr>
            <w:tcW w:w="1696" w:type="dxa"/>
            <w:vAlign w:val="center"/>
          </w:tcPr>
          <w:p w14:paraId="7090EAAC">
            <w:pPr>
              <w:adjustRightInd w:val="0"/>
              <w:snapToGrid w:val="0"/>
              <w:spacing w:line="240" w:lineRule="auto"/>
              <w:jc w:val="center"/>
              <w:rPr>
                <w:rFonts w:eastAsiaTheme="minorEastAsia"/>
                <w:color w:val="0000C7"/>
                <w:u w:val="single"/>
              </w:rPr>
            </w:pPr>
            <w:r>
              <w:rPr>
                <w:rFonts w:eastAsiaTheme="minorEastAsia"/>
                <w:snapToGrid w:val="0"/>
                <w:kern w:val="21"/>
                <w:sz w:val="21"/>
                <w:szCs w:val="21"/>
                <w:u w:val="single"/>
              </w:rPr>
              <w:t>0</w:t>
            </w:r>
          </w:p>
        </w:tc>
        <w:tc>
          <w:tcPr>
            <w:tcW w:w="1550" w:type="dxa"/>
            <w:vAlign w:val="center"/>
          </w:tcPr>
          <w:p w14:paraId="23A6272F">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758" w:type="dxa"/>
            <w:vAlign w:val="center"/>
          </w:tcPr>
          <w:p w14:paraId="5A44DA72">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961" w:type="dxa"/>
            <w:vAlign w:val="center"/>
          </w:tcPr>
          <w:p w14:paraId="62815DEE">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077" w:type="dxa"/>
            <w:vAlign w:val="center"/>
          </w:tcPr>
          <w:p w14:paraId="4293E269">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r>
      <w:tr w14:paraId="089F9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64" w:type="pct"/>
            <w:vMerge w:val="continue"/>
            <w:vAlign w:val="center"/>
          </w:tcPr>
          <w:p w14:paraId="74F2A0B3">
            <w:pPr>
              <w:adjustRightInd w:val="0"/>
              <w:snapToGrid w:val="0"/>
              <w:spacing w:line="240" w:lineRule="auto"/>
              <w:jc w:val="center"/>
              <w:rPr>
                <w:rFonts w:eastAsiaTheme="minorEastAsia"/>
                <w:snapToGrid w:val="0"/>
                <w:kern w:val="21"/>
                <w:sz w:val="21"/>
                <w:szCs w:val="21"/>
                <w:u w:val="single"/>
              </w:rPr>
            </w:pPr>
          </w:p>
        </w:tc>
        <w:tc>
          <w:tcPr>
            <w:tcW w:w="503" w:type="pct"/>
            <w:vAlign w:val="center"/>
          </w:tcPr>
          <w:p w14:paraId="797E7A8C">
            <w:pPr>
              <w:adjustRightInd w:val="0"/>
              <w:snapToGrid w:val="0"/>
              <w:spacing w:line="240" w:lineRule="auto"/>
              <w:jc w:val="center"/>
              <w:rPr>
                <w:rFonts w:eastAsiaTheme="minorEastAsia"/>
                <w:snapToGrid w:val="0"/>
                <w:kern w:val="21"/>
                <w:sz w:val="21"/>
                <w:szCs w:val="21"/>
                <w:u w:val="single"/>
              </w:rPr>
            </w:pPr>
            <w:r>
              <w:rPr>
                <w:rFonts w:eastAsiaTheme="minorEastAsia"/>
                <w:sz w:val="21"/>
                <w:szCs w:val="21"/>
                <w:u w:val="single"/>
              </w:rPr>
              <w:t>BOD</w:t>
            </w:r>
            <w:r>
              <w:rPr>
                <w:rFonts w:eastAsiaTheme="minorEastAsia"/>
                <w:sz w:val="21"/>
                <w:szCs w:val="21"/>
                <w:u w:val="single"/>
                <w:vertAlign w:val="subscript"/>
              </w:rPr>
              <w:t>5</w:t>
            </w:r>
          </w:p>
        </w:tc>
        <w:tc>
          <w:tcPr>
            <w:tcW w:w="1696" w:type="dxa"/>
            <w:vAlign w:val="center"/>
          </w:tcPr>
          <w:p w14:paraId="74B3D015">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264" w:type="dxa"/>
            <w:vAlign w:val="center"/>
          </w:tcPr>
          <w:p w14:paraId="3FC1BCFA">
            <w:pPr>
              <w:adjustRightInd w:val="0"/>
              <w:snapToGrid w:val="0"/>
              <w:spacing w:line="240" w:lineRule="auto"/>
              <w:jc w:val="center"/>
              <w:rPr>
                <w:rFonts w:eastAsiaTheme="minorEastAsia"/>
                <w:snapToGrid w:val="0"/>
                <w:color w:val="0000C7"/>
                <w:kern w:val="21"/>
                <w:sz w:val="21"/>
                <w:szCs w:val="21"/>
                <w:highlight w:val="none"/>
                <w:u w:val="single"/>
              </w:rPr>
            </w:pPr>
            <w:r>
              <w:rPr>
                <w:rFonts w:eastAsiaTheme="minorEastAsia"/>
                <w:snapToGrid w:val="0"/>
                <w:kern w:val="21"/>
                <w:sz w:val="21"/>
                <w:szCs w:val="21"/>
                <w:highlight w:val="none"/>
                <w:u w:val="single"/>
              </w:rPr>
              <w:t>0</w:t>
            </w:r>
          </w:p>
        </w:tc>
        <w:tc>
          <w:tcPr>
            <w:tcW w:w="1696" w:type="dxa"/>
            <w:vAlign w:val="center"/>
          </w:tcPr>
          <w:p w14:paraId="541BA025">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550" w:type="dxa"/>
            <w:vAlign w:val="center"/>
          </w:tcPr>
          <w:p w14:paraId="3B02ACBA">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758" w:type="dxa"/>
            <w:vAlign w:val="center"/>
          </w:tcPr>
          <w:p w14:paraId="77CB49F8">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961" w:type="dxa"/>
            <w:vAlign w:val="center"/>
          </w:tcPr>
          <w:p w14:paraId="5972C526">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077" w:type="dxa"/>
            <w:vAlign w:val="center"/>
          </w:tcPr>
          <w:p w14:paraId="06C47921">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r>
      <w:tr w14:paraId="30883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564" w:type="pct"/>
            <w:vMerge w:val="continue"/>
            <w:vAlign w:val="center"/>
          </w:tcPr>
          <w:p w14:paraId="7F87FD5D">
            <w:pPr>
              <w:adjustRightInd w:val="0"/>
              <w:snapToGrid w:val="0"/>
              <w:spacing w:line="240" w:lineRule="auto"/>
              <w:jc w:val="center"/>
              <w:rPr>
                <w:rFonts w:eastAsiaTheme="minorEastAsia"/>
                <w:snapToGrid w:val="0"/>
                <w:kern w:val="21"/>
                <w:sz w:val="21"/>
                <w:szCs w:val="21"/>
                <w:u w:val="single"/>
              </w:rPr>
            </w:pPr>
          </w:p>
        </w:tc>
        <w:tc>
          <w:tcPr>
            <w:tcW w:w="503" w:type="pct"/>
            <w:vAlign w:val="center"/>
          </w:tcPr>
          <w:p w14:paraId="3E72DD84">
            <w:pPr>
              <w:adjustRightInd w:val="0"/>
              <w:snapToGrid w:val="0"/>
              <w:spacing w:line="240" w:lineRule="auto"/>
              <w:jc w:val="center"/>
              <w:rPr>
                <w:rFonts w:eastAsiaTheme="minorEastAsia"/>
                <w:snapToGrid w:val="0"/>
                <w:kern w:val="21"/>
                <w:sz w:val="21"/>
                <w:szCs w:val="21"/>
                <w:u w:val="single"/>
              </w:rPr>
            </w:pPr>
            <w:r>
              <w:rPr>
                <w:rFonts w:eastAsiaTheme="minorEastAsia"/>
                <w:sz w:val="21"/>
                <w:szCs w:val="21"/>
                <w:u w:val="single"/>
              </w:rPr>
              <w:t>SS</w:t>
            </w:r>
          </w:p>
        </w:tc>
        <w:tc>
          <w:tcPr>
            <w:tcW w:w="1696" w:type="dxa"/>
            <w:vAlign w:val="center"/>
          </w:tcPr>
          <w:p w14:paraId="1CC7BA9B">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264" w:type="dxa"/>
            <w:vAlign w:val="center"/>
          </w:tcPr>
          <w:p w14:paraId="0ACEAA86">
            <w:pPr>
              <w:adjustRightInd w:val="0"/>
              <w:snapToGrid w:val="0"/>
              <w:spacing w:line="240" w:lineRule="auto"/>
              <w:jc w:val="center"/>
              <w:rPr>
                <w:rFonts w:eastAsiaTheme="minorEastAsia"/>
                <w:snapToGrid w:val="0"/>
                <w:color w:val="0000C7"/>
                <w:kern w:val="21"/>
                <w:sz w:val="21"/>
                <w:szCs w:val="21"/>
                <w:highlight w:val="none"/>
                <w:u w:val="single"/>
              </w:rPr>
            </w:pPr>
            <w:r>
              <w:rPr>
                <w:rFonts w:eastAsiaTheme="minorEastAsia"/>
                <w:snapToGrid w:val="0"/>
                <w:kern w:val="21"/>
                <w:sz w:val="21"/>
                <w:szCs w:val="21"/>
                <w:highlight w:val="none"/>
                <w:u w:val="single"/>
              </w:rPr>
              <w:t>0</w:t>
            </w:r>
          </w:p>
        </w:tc>
        <w:tc>
          <w:tcPr>
            <w:tcW w:w="1696" w:type="dxa"/>
            <w:vAlign w:val="center"/>
          </w:tcPr>
          <w:p w14:paraId="2607253C">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550" w:type="dxa"/>
            <w:vAlign w:val="center"/>
          </w:tcPr>
          <w:p w14:paraId="11BDBD50">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758" w:type="dxa"/>
            <w:vAlign w:val="center"/>
          </w:tcPr>
          <w:p w14:paraId="47F97733">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961" w:type="dxa"/>
            <w:vAlign w:val="center"/>
          </w:tcPr>
          <w:p w14:paraId="44E23704">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077" w:type="dxa"/>
            <w:vAlign w:val="center"/>
          </w:tcPr>
          <w:p w14:paraId="7ACAE257">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r>
      <w:tr w14:paraId="4E667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4" w:type="pct"/>
            <w:vMerge w:val="continue"/>
            <w:vAlign w:val="center"/>
          </w:tcPr>
          <w:p w14:paraId="197FFDF8">
            <w:pPr>
              <w:adjustRightInd w:val="0"/>
              <w:snapToGrid w:val="0"/>
              <w:spacing w:line="240" w:lineRule="auto"/>
              <w:jc w:val="center"/>
              <w:rPr>
                <w:rFonts w:eastAsiaTheme="minorEastAsia"/>
                <w:snapToGrid w:val="0"/>
                <w:kern w:val="21"/>
                <w:sz w:val="21"/>
                <w:szCs w:val="21"/>
                <w:u w:val="single"/>
              </w:rPr>
            </w:pPr>
          </w:p>
        </w:tc>
        <w:tc>
          <w:tcPr>
            <w:tcW w:w="503" w:type="pct"/>
            <w:vAlign w:val="center"/>
          </w:tcPr>
          <w:p w14:paraId="0A19E83D">
            <w:pPr>
              <w:adjustRightInd w:val="0"/>
              <w:snapToGrid w:val="0"/>
              <w:spacing w:line="240" w:lineRule="auto"/>
              <w:jc w:val="center"/>
              <w:rPr>
                <w:rFonts w:eastAsiaTheme="minorEastAsia"/>
                <w:snapToGrid w:val="0"/>
                <w:kern w:val="21"/>
                <w:sz w:val="21"/>
                <w:szCs w:val="21"/>
                <w:u w:val="single"/>
              </w:rPr>
            </w:pPr>
            <w:r>
              <w:rPr>
                <w:rFonts w:eastAsiaTheme="minorEastAsia"/>
                <w:sz w:val="21"/>
                <w:szCs w:val="21"/>
                <w:u w:val="single"/>
              </w:rPr>
              <w:t>氨氮</w:t>
            </w:r>
          </w:p>
        </w:tc>
        <w:tc>
          <w:tcPr>
            <w:tcW w:w="1696" w:type="dxa"/>
            <w:vAlign w:val="center"/>
          </w:tcPr>
          <w:p w14:paraId="4C76427F">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264" w:type="dxa"/>
            <w:vAlign w:val="center"/>
          </w:tcPr>
          <w:p w14:paraId="6AF87BEA">
            <w:pPr>
              <w:adjustRightInd w:val="0"/>
              <w:snapToGrid w:val="0"/>
              <w:spacing w:line="240" w:lineRule="auto"/>
              <w:jc w:val="center"/>
              <w:rPr>
                <w:rFonts w:eastAsiaTheme="minorEastAsia"/>
                <w:snapToGrid w:val="0"/>
                <w:color w:val="0000C7"/>
                <w:kern w:val="21"/>
                <w:sz w:val="21"/>
                <w:szCs w:val="21"/>
                <w:highlight w:val="none"/>
                <w:u w:val="single"/>
              </w:rPr>
            </w:pPr>
            <w:r>
              <w:rPr>
                <w:rFonts w:eastAsiaTheme="minorEastAsia"/>
                <w:snapToGrid w:val="0"/>
                <w:kern w:val="21"/>
                <w:sz w:val="21"/>
                <w:szCs w:val="21"/>
                <w:highlight w:val="none"/>
                <w:u w:val="single"/>
              </w:rPr>
              <w:t>0</w:t>
            </w:r>
          </w:p>
        </w:tc>
        <w:tc>
          <w:tcPr>
            <w:tcW w:w="1696" w:type="dxa"/>
            <w:vAlign w:val="center"/>
          </w:tcPr>
          <w:p w14:paraId="5E00CCF2">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550" w:type="dxa"/>
            <w:vAlign w:val="center"/>
          </w:tcPr>
          <w:p w14:paraId="7B3B35AF">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758" w:type="dxa"/>
            <w:vAlign w:val="center"/>
          </w:tcPr>
          <w:p w14:paraId="009545C6">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961" w:type="dxa"/>
            <w:vAlign w:val="center"/>
          </w:tcPr>
          <w:p w14:paraId="3135CED1">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077" w:type="dxa"/>
            <w:vAlign w:val="center"/>
          </w:tcPr>
          <w:p w14:paraId="25EFDF2A">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r>
      <w:tr w14:paraId="7F675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564" w:type="pct"/>
            <w:vMerge w:val="continue"/>
            <w:vAlign w:val="center"/>
          </w:tcPr>
          <w:p w14:paraId="2074A3BC">
            <w:pPr>
              <w:adjustRightInd w:val="0"/>
              <w:snapToGrid w:val="0"/>
              <w:spacing w:line="240" w:lineRule="auto"/>
              <w:jc w:val="center"/>
              <w:rPr>
                <w:rFonts w:eastAsiaTheme="minorEastAsia"/>
                <w:snapToGrid w:val="0"/>
                <w:kern w:val="21"/>
                <w:sz w:val="21"/>
                <w:szCs w:val="21"/>
                <w:u w:val="single"/>
              </w:rPr>
            </w:pPr>
          </w:p>
        </w:tc>
        <w:tc>
          <w:tcPr>
            <w:tcW w:w="503" w:type="pct"/>
            <w:vAlign w:val="center"/>
          </w:tcPr>
          <w:p w14:paraId="3C0493F0">
            <w:pPr>
              <w:adjustRightInd w:val="0"/>
              <w:snapToGrid w:val="0"/>
              <w:spacing w:line="240" w:lineRule="auto"/>
              <w:jc w:val="center"/>
              <w:rPr>
                <w:rFonts w:eastAsiaTheme="minorEastAsia"/>
                <w:snapToGrid w:val="0"/>
                <w:kern w:val="21"/>
                <w:sz w:val="21"/>
                <w:szCs w:val="21"/>
                <w:u w:val="single"/>
              </w:rPr>
            </w:pPr>
            <w:r>
              <w:rPr>
                <w:rFonts w:eastAsiaTheme="minorEastAsia"/>
                <w:sz w:val="21"/>
                <w:szCs w:val="21"/>
                <w:u w:val="single"/>
              </w:rPr>
              <w:t>动植物油</w:t>
            </w:r>
          </w:p>
        </w:tc>
        <w:tc>
          <w:tcPr>
            <w:tcW w:w="1696" w:type="dxa"/>
            <w:vAlign w:val="center"/>
          </w:tcPr>
          <w:p w14:paraId="593791CB">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264" w:type="dxa"/>
            <w:vAlign w:val="center"/>
          </w:tcPr>
          <w:p w14:paraId="184712B6">
            <w:pPr>
              <w:adjustRightInd w:val="0"/>
              <w:snapToGrid w:val="0"/>
              <w:spacing w:line="240" w:lineRule="auto"/>
              <w:jc w:val="center"/>
              <w:rPr>
                <w:rFonts w:eastAsiaTheme="minorEastAsia"/>
                <w:snapToGrid w:val="0"/>
                <w:color w:val="0000C7"/>
                <w:kern w:val="21"/>
                <w:sz w:val="21"/>
                <w:szCs w:val="21"/>
                <w:highlight w:val="none"/>
                <w:u w:val="single"/>
              </w:rPr>
            </w:pPr>
            <w:r>
              <w:rPr>
                <w:rFonts w:eastAsiaTheme="minorEastAsia"/>
                <w:snapToGrid w:val="0"/>
                <w:kern w:val="21"/>
                <w:sz w:val="21"/>
                <w:szCs w:val="21"/>
                <w:highlight w:val="none"/>
                <w:u w:val="single"/>
              </w:rPr>
              <w:t>0</w:t>
            </w:r>
          </w:p>
        </w:tc>
        <w:tc>
          <w:tcPr>
            <w:tcW w:w="1696" w:type="dxa"/>
            <w:vAlign w:val="center"/>
          </w:tcPr>
          <w:p w14:paraId="124DD7A4">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550" w:type="dxa"/>
            <w:vAlign w:val="center"/>
          </w:tcPr>
          <w:p w14:paraId="12E47349">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758" w:type="dxa"/>
            <w:vAlign w:val="center"/>
          </w:tcPr>
          <w:p w14:paraId="5BCB80F5">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961" w:type="dxa"/>
            <w:vAlign w:val="center"/>
          </w:tcPr>
          <w:p w14:paraId="486D652D">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c>
          <w:tcPr>
            <w:tcW w:w="1077" w:type="dxa"/>
            <w:vAlign w:val="center"/>
          </w:tcPr>
          <w:p w14:paraId="1298B6DF">
            <w:pPr>
              <w:adjustRightInd w:val="0"/>
              <w:snapToGrid w:val="0"/>
              <w:spacing w:line="240" w:lineRule="auto"/>
              <w:jc w:val="center"/>
              <w:rPr>
                <w:rFonts w:eastAsiaTheme="minorEastAsia"/>
                <w:snapToGrid w:val="0"/>
                <w:color w:val="0000C7"/>
                <w:kern w:val="21"/>
                <w:sz w:val="21"/>
                <w:szCs w:val="21"/>
                <w:u w:val="single"/>
              </w:rPr>
            </w:pPr>
            <w:r>
              <w:rPr>
                <w:rFonts w:eastAsiaTheme="minorEastAsia"/>
                <w:snapToGrid w:val="0"/>
                <w:kern w:val="21"/>
                <w:sz w:val="21"/>
                <w:szCs w:val="21"/>
                <w:u w:val="single"/>
              </w:rPr>
              <w:t>0</w:t>
            </w:r>
          </w:p>
        </w:tc>
      </w:tr>
      <w:tr w14:paraId="788F4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4" w:type="pct"/>
            <w:vMerge w:val="restart"/>
            <w:vAlign w:val="center"/>
          </w:tcPr>
          <w:p w14:paraId="177B5606">
            <w:pPr>
              <w:adjustRightInd w:val="0"/>
              <w:snapToGrid w:val="0"/>
              <w:spacing w:line="240" w:lineRule="auto"/>
              <w:jc w:val="center"/>
              <w:rPr>
                <w:rFonts w:eastAsiaTheme="minorEastAsia"/>
                <w:snapToGrid w:val="0"/>
                <w:kern w:val="21"/>
                <w:sz w:val="21"/>
                <w:szCs w:val="21"/>
                <w:u w:val="single"/>
              </w:rPr>
            </w:pPr>
            <w:r>
              <w:rPr>
                <w:rFonts w:eastAsiaTheme="minorEastAsia"/>
                <w:snapToGrid w:val="0"/>
                <w:kern w:val="21"/>
                <w:sz w:val="21"/>
                <w:szCs w:val="21"/>
                <w:u w:val="single"/>
              </w:rPr>
              <w:t>一般工业</w:t>
            </w:r>
          </w:p>
          <w:p w14:paraId="3E1A453D">
            <w:pPr>
              <w:adjustRightInd w:val="0"/>
              <w:snapToGrid w:val="0"/>
              <w:spacing w:line="240" w:lineRule="auto"/>
              <w:jc w:val="center"/>
              <w:rPr>
                <w:rFonts w:eastAsiaTheme="minorEastAsia"/>
                <w:snapToGrid w:val="0"/>
                <w:kern w:val="21"/>
                <w:sz w:val="21"/>
                <w:szCs w:val="21"/>
                <w:u w:val="single"/>
              </w:rPr>
            </w:pPr>
            <w:r>
              <w:rPr>
                <w:rFonts w:eastAsiaTheme="minorEastAsia"/>
                <w:snapToGrid w:val="0"/>
                <w:kern w:val="21"/>
                <w:sz w:val="21"/>
                <w:szCs w:val="21"/>
                <w:u w:val="single"/>
              </w:rPr>
              <w:t>固体废物</w:t>
            </w:r>
          </w:p>
        </w:tc>
        <w:tc>
          <w:tcPr>
            <w:tcW w:w="503" w:type="pct"/>
            <w:vAlign w:val="center"/>
          </w:tcPr>
          <w:p w14:paraId="763DF6FA">
            <w:pPr>
              <w:adjustRightInd w:val="0"/>
              <w:snapToGrid w:val="0"/>
              <w:spacing w:line="240" w:lineRule="auto"/>
              <w:jc w:val="center"/>
              <w:rPr>
                <w:rFonts w:eastAsiaTheme="minorEastAsia"/>
                <w:snapToGrid w:val="0"/>
                <w:kern w:val="21"/>
                <w:sz w:val="21"/>
                <w:szCs w:val="21"/>
                <w:u w:val="single"/>
              </w:rPr>
            </w:pPr>
            <w:r>
              <w:rPr>
                <w:rFonts w:eastAsiaTheme="minorEastAsia"/>
                <w:sz w:val="21"/>
                <w:szCs w:val="21"/>
                <w:u w:val="single"/>
              </w:rPr>
              <w:t>切割磨光及雕刻沉淀污泥</w:t>
            </w:r>
          </w:p>
        </w:tc>
        <w:tc>
          <w:tcPr>
            <w:tcW w:w="606" w:type="pct"/>
            <w:vAlign w:val="center"/>
          </w:tcPr>
          <w:p w14:paraId="1F50BC49">
            <w:pPr>
              <w:jc w:val="center"/>
              <w:rPr>
                <w:rFonts w:eastAsiaTheme="minorEastAsia"/>
                <w:u w:val="single"/>
              </w:rPr>
            </w:pPr>
            <w:r>
              <w:rPr>
                <w:rFonts w:hint="eastAsia" w:ascii="Times New Roman" w:hAnsi="Times New Roman" w:eastAsia="宋体" w:cs="Times New Roman"/>
                <w:bCs w:val="0"/>
                <w:sz w:val="21"/>
                <w:szCs w:val="21"/>
                <w:u w:val="single"/>
                <w:lang w:val="en-US" w:eastAsia="zh-CN" w:bidi="ar"/>
              </w:rPr>
              <w:t>0.62</w:t>
            </w:r>
          </w:p>
        </w:tc>
        <w:tc>
          <w:tcPr>
            <w:tcW w:w="452" w:type="pct"/>
            <w:vAlign w:val="center"/>
          </w:tcPr>
          <w:p w14:paraId="43484F92">
            <w:pPr>
              <w:jc w:val="center"/>
              <w:rPr>
                <w:rFonts w:eastAsiaTheme="minorEastAsia"/>
                <w:u w:val="single"/>
              </w:rPr>
            </w:pPr>
            <w:r>
              <w:rPr>
                <w:rFonts w:eastAsiaTheme="minorEastAsia"/>
                <w:snapToGrid w:val="0"/>
                <w:kern w:val="21"/>
                <w:sz w:val="21"/>
                <w:szCs w:val="21"/>
                <w:u w:val="single"/>
              </w:rPr>
              <w:t>0</w:t>
            </w:r>
          </w:p>
        </w:tc>
        <w:tc>
          <w:tcPr>
            <w:tcW w:w="606" w:type="pct"/>
            <w:vAlign w:val="center"/>
          </w:tcPr>
          <w:p w14:paraId="58574D26">
            <w:pPr>
              <w:jc w:val="center"/>
              <w:rPr>
                <w:rFonts w:eastAsiaTheme="minorEastAsia"/>
                <w:u w:val="single"/>
              </w:rPr>
            </w:pPr>
            <w:r>
              <w:rPr>
                <w:rFonts w:eastAsiaTheme="minorEastAsia"/>
                <w:snapToGrid w:val="0"/>
                <w:kern w:val="21"/>
                <w:sz w:val="21"/>
                <w:szCs w:val="21"/>
                <w:u w:val="single"/>
              </w:rPr>
              <w:t>0</w:t>
            </w:r>
          </w:p>
        </w:tc>
        <w:tc>
          <w:tcPr>
            <w:tcW w:w="554" w:type="pct"/>
            <w:vAlign w:val="center"/>
          </w:tcPr>
          <w:p w14:paraId="46F974AE">
            <w:pPr>
              <w:adjustRightInd w:val="0"/>
              <w:snapToGrid w:val="0"/>
              <w:spacing w:line="240" w:lineRule="auto"/>
              <w:jc w:val="center"/>
              <w:rPr>
                <w:rFonts w:eastAsiaTheme="minorEastAsia"/>
                <w:snapToGrid w:val="0"/>
                <w:kern w:val="21"/>
                <w:sz w:val="21"/>
                <w:szCs w:val="21"/>
                <w:u w:val="single"/>
              </w:rPr>
            </w:pPr>
            <w:r>
              <w:rPr>
                <w:rFonts w:eastAsiaTheme="minorEastAsia"/>
                <w:sz w:val="21"/>
                <w:szCs w:val="21"/>
                <w:u w:val="single"/>
              </w:rPr>
              <w:t>0.68</w:t>
            </w:r>
            <w:r>
              <w:rPr>
                <w:rFonts w:eastAsiaTheme="minorEastAsia"/>
                <w:snapToGrid w:val="0"/>
                <w:kern w:val="21"/>
                <w:sz w:val="21"/>
                <w:szCs w:val="21"/>
                <w:u w:val="single"/>
              </w:rPr>
              <w:t>t</w:t>
            </w:r>
            <w:r>
              <w:rPr>
                <w:rFonts w:eastAsiaTheme="minorEastAsia"/>
                <w:kern w:val="0"/>
                <w:sz w:val="20"/>
                <w:u w:val="single"/>
              </w:rPr>
              <w:t>/a</w:t>
            </w:r>
          </w:p>
        </w:tc>
        <w:tc>
          <w:tcPr>
            <w:tcW w:w="628" w:type="pct"/>
            <w:vAlign w:val="center"/>
          </w:tcPr>
          <w:p w14:paraId="5A5F0F6C">
            <w:pPr>
              <w:adjustRightInd w:val="0"/>
              <w:snapToGrid w:val="0"/>
              <w:spacing w:line="240" w:lineRule="auto"/>
              <w:jc w:val="center"/>
              <w:rPr>
                <w:rFonts w:eastAsiaTheme="minorEastAsia"/>
                <w:snapToGrid w:val="0"/>
                <w:kern w:val="21"/>
                <w:sz w:val="21"/>
                <w:szCs w:val="21"/>
                <w:u w:val="single"/>
              </w:rPr>
            </w:pPr>
            <w:r>
              <w:rPr>
                <w:rFonts w:hint="eastAsia" w:ascii="Times New Roman" w:hAnsi="Times New Roman" w:eastAsia="宋体" w:cs="Times New Roman"/>
                <w:bCs w:val="0"/>
                <w:sz w:val="21"/>
                <w:szCs w:val="21"/>
                <w:u w:val="single"/>
                <w:lang w:val="en-US" w:eastAsia="zh-CN" w:bidi="ar"/>
              </w:rPr>
              <w:t>0.62</w:t>
            </w:r>
            <w:r>
              <w:rPr>
                <w:rFonts w:eastAsiaTheme="minorEastAsia"/>
                <w:snapToGrid w:val="0"/>
                <w:kern w:val="21"/>
                <w:sz w:val="21"/>
                <w:szCs w:val="21"/>
                <w:u w:val="single"/>
              </w:rPr>
              <w:t>t</w:t>
            </w:r>
            <w:r>
              <w:rPr>
                <w:rFonts w:eastAsiaTheme="minorEastAsia"/>
                <w:kern w:val="0"/>
                <w:sz w:val="20"/>
                <w:u w:val="single"/>
              </w:rPr>
              <w:t>/a</w:t>
            </w:r>
          </w:p>
        </w:tc>
        <w:tc>
          <w:tcPr>
            <w:tcW w:w="699" w:type="pct"/>
            <w:vAlign w:val="center"/>
          </w:tcPr>
          <w:p w14:paraId="3194232D">
            <w:pPr>
              <w:adjustRightInd w:val="0"/>
              <w:snapToGrid w:val="0"/>
              <w:spacing w:line="240" w:lineRule="auto"/>
              <w:jc w:val="center"/>
              <w:rPr>
                <w:rFonts w:eastAsiaTheme="minorEastAsia"/>
                <w:snapToGrid w:val="0"/>
                <w:kern w:val="21"/>
                <w:sz w:val="21"/>
                <w:szCs w:val="21"/>
                <w:u w:val="single"/>
              </w:rPr>
            </w:pPr>
            <w:r>
              <w:rPr>
                <w:rFonts w:eastAsiaTheme="minorEastAsia"/>
                <w:sz w:val="21"/>
                <w:szCs w:val="21"/>
                <w:u w:val="single"/>
              </w:rPr>
              <w:t>0.68</w:t>
            </w:r>
            <w:r>
              <w:rPr>
                <w:rFonts w:eastAsiaTheme="minorEastAsia"/>
                <w:snapToGrid w:val="0"/>
                <w:kern w:val="21"/>
                <w:sz w:val="21"/>
                <w:szCs w:val="21"/>
                <w:u w:val="single"/>
              </w:rPr>
              <w:t>t</w:t>
            </w:r>
            <w:r>
              <w:rPr>
                <w:rFonts w:eastAsiaTheme="minorEastAsia"/>
                <w:kern w:val="0"/>
                <w:sz w:val="20"/>
                <w:u w:val="single"/>
              </w:rPr>
              <w:t>/a</w:t>
            </w:r>
          </w:p>
        </w:tc>
        <w:tc>
          <w:tcPr>
            <w:tcW w:w="384" w:type="pct"/>
            <w:vAlign w:val="center"/>
          </w:tcPr>
          <w:p w14:paraId="2CEE6A9E">
            <w:pPr>
              <w:adjustRightInd w:val="0"/>
              <w:snapToGrid w:val="0"/>
              <w:spacing w:line="240" w:lineRule="auto"/>
              <w:jc w:val="center"/>
              <w:rPr>
                <w:rFonts w:eastAsiaTheme="minorEastAsia"/>
                <w:snapToGrid w:val="0"/>
                <w:kern w:val="21"/>
                <w:sz w:val="21"/>
                <w:szCs w:val="21"/>
                <w:u w:val="single"/>
              </w:rPr>
            </w:pPr>
            <w:r>
              <w:rPr>
                <w:rFonts w:hint="eastAsia" w:ascii="Times New Roman" w:hAnsi="Times New Roman" w:eastAsia="宋体" w:cs="Times New Roman"/>
                <w:sz w:val="21"/>
                <w:szCs w:val="21"/>
                <w:u w:val="single"/>
                <w:lang w:val="en-US" w:eastAsia="zh-CN"/>
              </w:rPr>
              <w:t>0.06</w:t>
            </w:r>
          </w:p>
        </w:tc>
      </w:tr>
      <w:tr w14:paraId="1D831A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564" w:type="pct"/>
            <w:vMerge w:val="continue"/>
            <w:vAlign w:val="center"/>
          </w:tcPr>
          <w:p w14:paraId="11C1A7D0">
            <w:pPr>
              <w:adjustRightInd w:val="0"/>
              <w:snapToGrid w:val="0"/>
              <w:spacing w:line="240" w:lineRule="auto"/>
              <w:jc w:val="center"/>
              <w:rPr>
                <w:rFonts w:eastAsiaTheme="minorEastAsia"/>
                <w:snapToGrid w:val="0"/>
                <w:kern w:val="21"/>
                <w:sz w:val="21"/>
                <w:szCs w:val="21"/>
                <w:u w:val="single"/>
              </w:rPr>
            </w:pPr>
          </w:p>
        </w:tc>
        <w:tc>
          <w:tcPr>
            <w:tcW w:w="503" w:type="pct"/>
            <w:vAlign w:val="center"/>
          </w:tcPr>
          <w:p w14:paraId="2C226824">
            <w:pPr>
              <w:adjustRightInd w:val="0"/>
              <w:snapToGrid w:val="0"/>
              <w:spacing w:line="240" w:lineRule="auto"/>
              <w:jc w:val="center"/>
              <w:rPr>
                <w:rFonts w:eastAsiaTheme="minorEastAsia"/>
                <w:sz w:val="21"/>
                <w:szCs w:val="21"/>
                <w:u w:val="single"/>
              </w:rPr>
            </w:pPr>
            <w:r>
              <w:rPr>
                <w:rFonts w:eastAsiaTheme="minorEastAsia"/>
                <w:sz w:val="21"/>
                <w:szCs w:val="21"/>
                <w:u w:val="single"/>
              </w:rPr>
              <w:t>废包装材料</w:t>
            </w:r>
          </w:p>
        </w:tc>
        <w:tc>
          <w:tcPr>
            <w:tcW w:w="1700" w:type="dxa"/>
            <w:vAlign w:val="center"/>
          </w:tcPr>
          <w:p w14:paraId="2B4AD0FD">
            <w:pPr>
              <w:jc w:val="center"/>
              <w:rPr>
                <w:rFonts w:eastAsiaTheme="minorEastAsia"/>
                <w:snapToGrid w:val="0"/>
                <w:kern w:val="21"/>
                <w:sz w:val="21"/>
                <w:szCs w:val="21"/>
                <w:u w:val="single"/>
              </w:rPr>
            </w:pPr>
            <w:r>
              <w:rPr>
                <w:rFonts w:hint="eastAsia" w:ascii="Times New Roman" w:hAnsi="Times New Roman" w:eastAsia="宋体" w:cs="Times New Roman"/>
                <w:bCs w:val="0"/>
                <w:sz w:val="21"/>
                <w:szCs w:val="21"/>
                <w:u w:val="single"/>
                <w:lang w:val="en-US" w:eastAsia="zh-CN" w:bidi="ar"/>
              </w:rPr>
              <w:t>0.005</w:t>
            </w:r>
          </w:p>
        </w:tc>
        <w:tc>
          <w:tcPr>
            <w:tcW w:w="1268" w:type="dxa"/>
            <w:vAlign w:val="center"/>
          </w:tcPr>
          <w:p w14:paraId="492A9B99">
            <w:pPr>
              <w:jc w:val="center"/>
              <w:rPr>
                <w:rFonts w:eastAsiaTheme="minorEastAsia"/>
                <w:snapToGrid w:val="0"/>
                <w:kern w:val="21"/>
                <w:sz w:val="21"/>
                <w:szCs w:val="21"/>
                <w:u w:val="single"/>
              </w:rPr>
            </w:pPr>
            <w:r>
              <w:rPr>
                <w:rFonts w:eastAsiaTheme="minorEastAsia"/>
                <w:snapToGrid w:val="0"/>
                <w:kern w:val="21"/>
                <w:sz w:val="21"/>
                <w:szCs w:val="21"/>
                <w:u w:val="single"/>
              </w:rPr>
              <w:t>0</w:t>
            </w:r>
          </w:p>
        </w:tc>
        <w:tc>
          <w:tcPr>
            <w:tcW w:w="1700" w:type="dxa"/>
            <w:vAlign w:val="center"/>
          </w:tcPr>
          <w:p w14:paraId="79161D96">
            <w:pPr>
              <w:jc w:val="center"/>
              <w:rPr>
                <w:rFonts w:eastAsiaTheme="minorEastAsia"/>
                <w:snapToGrid w:val="0"/>
                <w:kern w:val="21"/>
                <w:sz w:val="21"/>
                <w:szCs w:val="21"/>
                <w:u w:val="single"/>
              </w:rPr>
            </w:pPr>
            <w:r>
              <w:rPr>
                <w:rFonts w:eastAsiaTheme="minorEastAsia"/>
                <w:snapToGrid w:val="0"/>
                <w:kern w:val="21"/>
                <w:sz w:val="21"/>
                <w:szCs w:val="21"/>
                <w:u w:val="single"/>
              </w:rPr>
              <w:t>0</w:t>
            </w:r>
          </w:p>
        </w:tc>
        <w:tc>
          <w:tcPr>
            <w:tcW w:w="554" w:type="pct"/>
            <w:vAlign w:val="center"/>
          </w:tcPr>
          <w:p w14:paraId="5E1588B1">
            <w:pPr>
              <w:adjustRightInd w:val="0"/>
              <w:snapToGrid w:val="0"/>
              <w:spacing w:line="240" w:lineRule="auto"/>
              <w:jc w:val="center"/>
              <w:rPr>
                <w:rFonts w:eastAsiaTheme="minorEastAsia"/>
                <w:sz w:val="21"/>
                <w:szCs w:val="21"/>
                <w:u w:val="single"/>
              </w:rPr>
            </w:pPr>
            <w:r>
              <w:rPr>
                <w:rFonts w:hint="eastAsia" w:eastAsiaTheme="minorEastAsia"/>
                <w:sz w:val="21"/>
                <w:szCs w:val="21"/>
                <w:u w:val="single"/>
              </w:rPr>
              <w:t>0.01</w:t>
            </w:r>
            <w:r>
              <w:rPr>
                <w:rFonts w:eastAsiaTheme="minorEastAsia"/>
                <w:snapToGrid w:val="0"/>
                <w:kern w:val="21"/>
                <w:sz w:val="21"/>
                <w:szCs w:val="21"/>
                <w:u w:val="single"/>
              </w:rPr>
              <w:t>t</w:t>
            </w:r>
            <w:r>
              <w:rPr>
                <w:rFonts w:eastAsiaTheme="minorEastAsia"/>
                <w:kern w:val="0"/>
                <w:sz w:val="20"/>
                <w:u w:val="single"/>
              </w:rPr>
              <w:t>/a</w:t>
            </w:r>
          </w:p>
        </w:tc>
        <w:tc>
          <w:tcPr>
            <w:tcW w:w="1762" w:type="dxa"/>
            <w:vAlign w:val="center"/>
          </w:tcPr>
          <w:p w14:paraId="5C68F494">
            <w:pPr>
              <w:adjustRightInd w:val="0"/>
              <w:snapToGrid w:val="0"/>
              <w:spacing w:line="240" w:lineRule="auto"/>
              <w:jc w:val="center"/>
              <w:rPr>
                <w:rFonts w:eastAsiaTheme="minorEastAsia"/>
                <w:snapToGrid w:val="0"/>
                <w:kern w:val="21"/>
                <w:sz w:val="21"/>
                <w:szCs w:val="21"/>
                <w:u w:val="single"/>
              </w:rPr>
            </w:pPr>
            <w:r>
              <w:rPr>
                <w:rFonts w:hint="eastAsia" w:ascii="Times New Roman" w:hAnsi="Times New Roman" w:eastAsia="宋体" w:cs="Times New Roman"/>
                <w:bCs w:val="0"/>
                <w:sz w:val="21"/>
                <w:szCs w:val="21"/>
                <w:u w:val="single"/>
                <w:lang w:val="en-US" w:eastAsia="zh-CN" w:bidi="ar"/>
              </w:rPr>
              <w:t>0.005</w:t>
            </w:r>
            <w:r>
              <w:rPr>
                <w:rFonts w:eastAsiaTheme="minorEastAsia"/>
                <w:snapToGrid w:val="0"/>
                <w:kern w:val="21"/>
                <w:sz w:val="21"/>
                <w:szCs w:val="21"/>
                <w:u w:val="single"/>
              </w:rPr>
              <w:t>t</w:t>
            </w:r>
            <w:r>
              <w:rPr>
                <w:rFonts w:eastAsiaTheme="minorEastAsia"/>
                <w:kern w:val="0"/>
                <w:sz w:val="20"/>
                <w:u w:val="single"/>
              </w:rPr>
              <w:t>/a</w:t>
            </w:r>
          </w:p>
        </w:tc>
        <w:tc>
          <w:tcPr>
            <w:tcW w:w="699" w:type="pct"/>
            <w:vAlign w:val="center"/>
          </w:tcPr>
          <w:p w14:paraId="6EE795EF">
            <w:pPr>
              <w:adjustRightInd w:val="0"/>
              <w:snapToGrid w:val="0"/>
              <w:spacing w:line="240" w:lineRule="auto"/>
              <w:jc w:val="center"/>
              <w:rPr>
                <w:rFonts w:eastAsiaTheme="minorEastAsia"/>
                <w:sz w:val="21"/>
                <w:szCs w:val="21"/>
                <w:u w:val="single"/>
              </w:rPr>
            </w:pPr>
            <w:r>
              <w:rPr>
                <w:rFonts w:hint="eastAsia" w:eastAsiaTheme="minorEastAsia"/>
                <w:sz w:val="21"/>
                <w:szCs w:val="21"/>
                <w:u w:val="single"/>
              </w:rPr>
              <w:t>0.01</w:t>
            </w:r>
            <w:r>
              <w:rPr>
                <w:rFonts w:eastAsiaTheme="minorEastAsia"/>
                <w:snapToGrid w:val="0"/>
                <w:kern w:val="21"/>
                <w:sz w:val="21"/>
                <w:szCs w:val="21"/>
                <w:u w:val="single"/>
              </w:rPr>
              <w:t>t</w:t>
            </w:r>
            <w:r>
              <w:rPr>
                <w:rFonts w:eastAsiaTheme="minorEastAsia"/>
                <w:kern w:val="0"/>
                <w:sz w:val="20"/>
                <w:u w:val="single"/>
              </w:rPr>
              <w:t>/a</w:t>
            </w:r>
          </w:p>
        </w:tc>
        <w:tc>
          <w:tcPr>
            <w:tcW w:w="384" w:type="pct"/>
            <w:vAlign w:val="center"/>
          </w:tcPr>
          <w:p w14:paraId="2E96AB56">
            <w:pPr>
              <w:adjustRightInd w:val="0"/>
              <w:snapToGrid w:val="0"/>
              <w:spacing w:line="240" w:lineRule="auto"/>
              <w:jc w:val="center"/>
              <w:rPr>
                <w:rFonts w:eastAsiaTheme="minorEastAsia"/>
                <w:sz w:val="21"/>
                <w:szCs w:val="21"/>
                <w:u w:val="single"/>
              </w:rPr>
            </w:pPr>
            <w:r>
              <w:rPr>
                <w:rFonts w:hint="eastAsia" w:ascii="Times New Roman" w:hAnsi="Times New Roman" w:eastAsia="宋体" w:cs="Times New Roman"/>
                <w:sz w:val="21"/>
                <w:szCs w:val="21"/>
                <w:u w:val="single"/>
                <w:lang w:val="en-US" w:eastAsia="zh-CN"/>
              </w:rPr>
              <w:t>0.005</w:t>
            </w:r>
          </w:p>
        </w:tc>
      </w:tr>
      <w:tr w14:paraId="73BDD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pct"/>
            <w:vMerge w:val="continue"/>
            <w:vAlign w:val="center"/>
          </w:tcPr>
          <w:p w14:paraId="0F8C0E65">
            <w:pPr>
              <w:adjustRightInd w:val="0"/>
              <w:snapToGrid w:val="0"/>
              <w:spacing w:line="240" w:lineRule="auto"/>
              <w:jc w:val="center"/>
              <w:rPr>
                <w:rFonts w:eastAsiaTheme="minorEastAsia"/>
                <w:snapToGrid w:val="0"/>
                <w:kern w:val="21"/>
                <w:sz w:val="21"/>
                <w:szCs w:val="21"/>
                <w:u w:val="single"/>
              </w:rPr>
            </w:pPr>
          </w:p>
        </w:tc>
        <w:tc>
          <w:tcPr>
            <w:tcW w:w="503" w:type="pct"/>
            <w:vAlign w:val="center"/>
          </w:tcPr>
          <w:p w14:paraId="6FF67364">
            <w:pPr>
              <w:adjustRightInd w:val="0"/>
              <w:snapToGrid w:val="0"/>
              <w:spacing w:line="240" w:lineRule="auto"/>
              <w:jc w:val="center"/>
              <w:rPr>
                <w:rFonts w:hint="eastAsia" w:eastAsiaTheme="minorEastAsia"/>
                <w:sz w:val="21"/>
                <w:szCs w:val="21"/>
                <w:u w:val="single"/>
                <w:lang w:eastAsia="zh-CN"/>
              </w:rPr>
            </w:pPr>
            <w:r>
              <w:rPr>
                <w:rFonts w:hint="eastAsia" w:eastAsiaTheme="minorEastAsia"/>
                <w:sz w:val="21"/>
                <w:szCs w:val="21"/>
                <w:u w:val="single"/>
                <w:lang w:eastAsia="zh-CN"/>
              </w:rPr>
              <w:t>废抛光布</w:t>
            </w:r>
          </w:p>
        </w:tc>
        <w:tc>
          <w:tcPr>
            <w:tcW w:w="1700" w:type="dxa"/>
            <w:vAlign w:val="center"/>
          </w:tcPr>
          <w:p w14:paraId="2FCA5CB0">
            <w:pPr>
              <w:spacing w:line="240" w:lineRule="auto"/>
              <w:jc w:val="center"/>
              <w:rPr>
                <w:rFonts w:eastAsiaTheme="minorEastAsia"/>
                <w:snapToGrid w:val="0"/>
                <w:kern w:val="21"/>
                <w:sz w:val="21"/>
                <w:szCs w:val="21"/>
                <w:u w:val="single"/>
              </w:rPr>
            </w:pPr>
            <w:r>
              <w:rPr>
                <w:rFonts w:hint="eastAsia" w:ascii="Times New Roman" w:hAnsi="Times New Roman" w:eastAsia="宋体" w:cs="Times New Roman"/>
                <w:bCs w:val="0"/>
                <w:sz w:val="21"/>
                <w:szCs w:val="21"/>
                <w:u w:val="single"/>
                <w:lang w:val="en-US" w:eastAsia="zh-CN" w:bidi="ar"/>
              </w:rPr>
              <w:t>0.01</w:t>
            </w:r>
          </w:p>
        </w:tc>
        <w:tc>
          <w:tcPr>
            <w:tcW w:w="1268" w:type="dxa"/>
            <w:vAlign w:val="center"/>
          </w:tcPr>
          <w:p w14:paraId="27DB9A43">
            <w:pPr>
              <w:spacing w:line="240" w:lineRule="auto"/>
              <w:jc w:val="center"/>
              <w:rPr>
                <w:rFonts w:eastAsiaTheme="minorEastAsia"/>
                <w:snapToGrid w:val="0"/>
                <w:kern w:val="21"/>
                <w:sz w:val="21"/>
                <w:szCs w:val="21"/>
                <w:u w:val="single"/>
              </w:rPr>
            </w:pPr>
            <w:r>
              <w:rPr>
                <w:rFonts w:eastAsiaTheme="minorEastAsia"/>
                <w:snapToGrid w:val="0"/>
                <w:kern w:val="21"/>
                <w:sz w:val="21"/>
                <w:szCs w:val="21"/>
                <w:u w:val="single"/>
              </w:rPr>
              <w:t>0</w:t>
            </w:r>
          </w:p>
        </w:tc>
        <w:tc>
          <w:tcPr>
            <w:tcW w:w="1700" w:type="dxa"/>
            <w:vAlign w:val="center"/>
          </w:tcPr>
          <w:p w14:paraId="33F32B61">
            <w:pPr>
              <w:spacing w:line="240" w:lineRule="auto"/>
              <w:jc w:val="center"/>
              <w:rPr>
                <w:rFonts w:eastAsiaTheme="minorEastAsia"/>
                <w:snapToGrid w:val="0"/>
                <w:kern w:val="21"/>
                <w:sz w:val="21"/>
                <w:szCs w:val="21"/>
                <w:u w:val="single"/>
              </w:rPr>
            </w:pPr>
            <w:r>
              <w:rPr>
                <w:rFonts w:eastAsiaTheme="minorEastAsia"/>
                <w:snapToGrid w:val="0"/>
                <w:kern w:val="21"/>
                <w:sz w:val="21"/>
                <w:szCs w:val="21"/>
                <w:u w:val="single"/>
              </w:rPr>
              <w:t>0</w:t>
            </w:r>
          </w:p>
        </w:tc>
        <w:tc>
          <w:tcPr>
            <w:tcW w:w="1554" w:type="dxa"/>
            <w:vAlign w:val="center"/>
          </w:tcPr>
          <w:p w14:paraId="14FFD015">
            <w:pPr>
              <w:adjustRightInd w:val="0"/>
              <w:snapToGrid w:val="0"/>
              <w:spacing w:line="240" w:lineRule="auto"/>
              <w:jc w:val="center"/>
              <w:rPr>
                <w:rFonts w:hint="eastAsia" w:eastAsiaTheme="minorEastAsia"/>
                <w:sz w:val="21"/>
                <w:szCs w:val="21"/>
                <w:u w:val="single"/>
              </w:rPr>
            </w:pPr>
            <w:r>
              <w:rPr>
                <w:rFonts w:hint="eastAsia" w:eastAsiaTheme="minorEastAsia"/>
                <w:sz w:val="21"/>
                <w:szCs w:val="21"/>
                <w:u w:val="single"/>
              </w:rPr>
              <w:t>0.01</w:t>
            </w:r>
            <w:r>
              <w:rPr>
                <w:rFonts w:eastAsiaTheme="minorEastAsia"/>
                <w:snapToGrid w:val="0"/>
                <w:kern w:val="21"/>
                <w:sz w:val="21"/>
                <w:szCs w:val="21"/>
                <w:u w:val="single"/>
              </w:rPr>
              <w:t>t</w:t>
            </w:r>
            <w:r>
              <w:rPr>
                <w:rFonts w:eastAsiaTheme="minorEastAsia"/>
                <w:kern w:val="0"/>
                <w:sz w:val="20"/>
                <w:u w:val="single"/>
              </w:rPr>
              <w:t>/a</w:t>
            </w:r>
          </w:p>
        </w:tc>
        <w:tc>
          <w:tcPr>
            <w:tcW w:w="1762" w:type="dxa"/>
            <w:vAlign w:val="center"/>
          </w:tcPr>
          <w:p w14:paraId="2623A5A9">
            <w:pPr>
              <w:adjustRightInd w:val="0"/>
              <w:snapToGrid w:val="0"/>
              <w:spacing w:line="240" w:lineRule="auto"/>
              <w:jc w:val="center"/>
              <w:rPr>
                <w:rFonts w:eastAsiaTheme="minorEastAsia"/>
                <w:snapToGrid w:val="0"/>
                <w:kern w:val="21"/>
                <w:sz w:val="21"/>
                <w:szCs w:val="21"/>
                <w:u w:val="single"/>
              </w:rPr>
            </w:pPr>
            <w:r>
              <w:rPr>
                <w:rFonts w:hint="eastAsia" w:ascii="Times New Roman" w:hAnsi="Times New Roman" w:eastAsia="宋体" w:cs="Times New Roman"/>
                <w:bCs w:val="0"/>
                <w:sz w:val="21"/>
                <w:szCs w:val="21"/>
                <w:u w:val="single"/>
                <w:lang w:val="en-US" w:eastAsia="zh-CN" w:bidi="ar"/>
              </w:rPr>
              <w:t>0.01</w:t>
            </w:r>
            <w:r>
              <w:rPr>
                <w:rFonts w:eastAsiaTheme="minorEastAsia"/>
                <w:snapToGrid w:val="0"/>
                <w:kern w:val="21"/>
                <w:sz w:val="21"/>
                <w:szCs w:val="21"/>
                <w:u w:val="single"/>
              </w:rPr>
              <w:t>t</w:t>
            </w:r>
            <w:r>
              <w:rPr>
                <w:rFonts w:eastAsiaTheme="minorEastAsia"/>
                <w:kern w:val="0"/>
                <w:sz w:val="20"/>
                <w:u w:val="single"/>
              </w:rPr>
              <w:t>/a</w:t>
            </w:r>
          </w:p>
        </w:tc>
        <w:tc>
          <w:tcPr>
            <w:tcW w:w="1961" w:type="dxa"/>
            <w:vAlign w:val="center"/>
          </w:tcPr>
          <w:p w14:paraId="59E54406">
            <w:pPr>
              <w:adjustRightInd w:val="0"/>
              <w:snapToGrid w:val="0"/>
              <w:spacing w:line="240" w:lineRule="auto"/>
              <w:jc w:val="center"/>
              <w:rPr>
                <w:rFonts w:hint="eastAsia" w:eastAsiaTheme="minorEastAsia"/>
                <w:sz w:val="21"/>
                <w:szCs w:val="21"/>
                <w:u w:val="single"/>
              </w:rPr>
            </w:pPr>
            <w:r>
              <w:rPr>
                <w:rFonts w:hint="eastAsia" w:eastAsiaTheme="minorEastAsia"/>
                <w:sz w:val="21"/>
                <w:szCs w:val="21"/>
                <w:u w:val="single"/>
              </w:rPr>
              <w:t>0.01</w:t>
            </w:r>
            <w:r>
              <w:rPr>
                <w:rFonts w:eastAsiaTheme="minorEastAsia"/>
                <w:snapToGrid w:val="0"/>
                <w:kern w:val="21"/>
                <w:sz w:val="21"/>
                <w:szCs w:val="21"/>
                <w:u w:val="single"/>
              </w:rPr>
              <w:t>t</w:t>
            </w:r>
            <w:r>
              <w:rPr>
                <w:rFonts w:eastAsiaTheme="minorEastAsia"/>
                <w:kern w:val="0"/>
                <w:sz w:val="20"/>
                <w:u w:val="single"/>
              </w:rPr>
              <w:t>/a</w:t>
            </w:r>
          </w:p>
        </w:tc>
        <w:tc>
          <w:tcPr>
            <w:tcW w:w="1077" w:type="dxa"/>
            <w:vAlign w:val="center"/>
          </w:tcPr>
          <w:p w14:paraId="412A2C07">
            <w:pPr>
              <w:adjustRightInd w:val="0"/>
              <w:snapToGrid w:val="0"/>
              <w:spacing w:line="240" w:lineRule="auto"/>
              <w:jc w:val="center"/>
              <w:rPr>
                <w:rFonts w:hint="eastAsia" w:eastAsiaTheme="minorEastAsia"/>
                <w:sz w:val="21"/>
                <w:szCs w:val="21"/>
                <w:u w:val="single"/>
              </w:rPr>
            </w:pPr>
            <w:r>
              <w:rPr>
                <w:rFonts w:hint="eastAsia" w:ascii="Times New Roman" w:hAnsi="Times New Roman" w:eastAsia="宋体" w:cs="Times New Roman"/>
                <w:sz w:val="21"/>
                <w:szCs w:val="21"/>
                <w:u w:val="single"/>
                <w:lang w:val="en-US" w:eastAsia="zh-CN"/>
              </w:rPr>
              <w:t>0</w:t>
            </w:r>
          </w:p>
        </w:tc>
      </w:tr>
      <w:tr w14:paraId="54E070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64" w:type="pct"/>
            <w:vMerge w:val="continue"/>
            <w:vAlign w:val="center"/>
          </w:tcPr>
          <w:p w14:paraId="03B02BBC">
            <w:pPr>
              <w:adjustRightInd w:val="0"/>
              <w:snapToGrid w:val="0"/>
              <w:spacing w:line="240" w:lineRule="auto"/>
              <w:jc w:val="center"/>
              <w:rPr>
                <w:rFonts w:eastAsiaTheme="minorEastAsia"/>
                <w:snapToGrid w:val="0"/>
                <w:kern w:val="21"/>
                <w:sz w:val="21"/>
                <w:szCs w:val="21"/>
                <w:u w:val="single"/>
              </w:rPr>
            </w:pPr>
          </w:p>
        </w:tc>
        <w:tc>
          <w:tcPr>
            <w:tcW w:w="503" w:type="pct"/>
            <w:vAlign w:val="center"/>
          </w:tcPr>
          <w:p w14:paraId="19F5365E">
            <w:pPr>
              <w:adjustRightInd w:val="0"/>
              <w:snapToGrid w:val="0"/>
              <w:spacing w:line="240" w:lineRule="auto"/>
              <w:jc w:val="center"/>
              <w:rPr>
                <w:rFonts w:eastAsiaTheme="minorEastAsia"/>
                <w:sz w:val="21"/>
                <w:szCs w:val="21"/>
                <w:u w:val="single"/>
              </w:rPr>
            </w:pPr>
            <w:r>
              <w:rPr>
                <w:rFonts w:hint="eastAsia" w:eastAsiaTheme="minorEastAsia"/>
                <w:sz w:val="21"/>
                <w:szCs w:val="21"/>
                <w:u w:val="single"/>
              </w:rPr>
              <w:t>废边角料</w:t>
            </w:r>
            <w:r>
              <w:rPr>
                <w:rFonts w:hint="eastAsia" w:eastAsiaTheme="minorEastAsia"/>
                <w:bCs w:val="0"/>
                <w:kern w:val="2"/>
                <w:sz w:val="21"/>
                <w:szCs w:val="21"/>
                <w:u w:val="single"/>
                <w:lang w:eastAsia="zh-CN"/>
              </w:rPr>
              <w:t>及不合格品</w:t>
            </w:r>
          </w:p>
        </w:tc>
        <w:tc>
          <w:tcPr>
            <w:tcW w:w="1700" w:type="dxa"/>
            <w:vAlign w:val="center"/>
          </w:tcPr>
          <w:p w14:paraId="3B75E519">
            <w:pPr>
              <w:adjustRightInd w:val="0"/>
              <w:snapToGrid w:val="0"/>
              <w:spacing w:line="240" w:lineRule="auto"/>
              <w:jc w:val="center"/>
              <w:rPr>
                <w:rFonts w:eastAsiaTheme="minorEastAsia"/>
                <w:snapToGrid w:val="0"/>
                <w:kern w:val="21"/>
                <w:sz w:val="21"/>
                <w:szCs w:val="21"/>
                <w:u w:val="single"/>
              </w:rPr>
            </w:pPr>
            <w:r>
              <w:rPr>
                <w:rFonts w:hint="eastAsia" w:ascii="Times New Roman" w:hAnsi="Times New Roman" w:eastAsia="宋体" w:cs="Times New Roman"/>
                <w:bCs w:val="0"/>
                <w:sz w:val="21"/>
                <w:szCs w:val="21"/>
                <w:u w:val="single"/>
                <w:lang w:val="en-US" w:eastAsia="zh-CN" w:bidi="ar"/>
              </w:rPr>
              <w:t>806</w:t>
            </w:r>
          </w:p>
        </w:tc>
        <w:tc>
          <w:tcPr>
            <w:tcW w:w="1268" w:type="dxa"/>
            <w:vAlign w:val="center"/>
          </w:tcPr>
          <w:p w14:paraId="3D69A07C">
            <w:pPr>
              <w:adjustRightInd w:val="0"/>
              <w:snapToGrid w:val="0"/>
              <w:spacing w:line="240" w:lineRule="auto"/>
              <w:jc w:val="center"/>
              <w:rPr>
                <w:rFonts w:eastAsiaTheme="minorEastAsia"/>
                <w:snapToGrid w:val="0"/>
                <w:kern w:val="21"/>
                <w:sz w:val="21"/>
                <w:szCs w:val="21"/>
                <w:u w:val="single"/>
              </w:rPr>
            </w:pPr>
            <w:r>
              <w:rPr>
                <w:rFonts w:eastAsiaTheme="minorEastAsia"/>
                <w:snapToGrid w:val="0"/>
                <w:kern w:val="21"/>
                <w:sz w:val="21"/>
                <w:szCs w:val="21"/>
                <w:u w:val="single"/>
              </w:rPr>
              <w:t>0</w:t>
            </w:r>
          </w:p>
        </w:tc>
        <w:tc>
          <w:tcPr>
            <w:tcW w:w="1700" w:type="dxa"/>
            <w:vAlign w:val="center"/>
          </w:tcPr>
          <w:p w14:paraId="3578A84C">
            <w:pPr>
              <w:adjustRightInd w:val="0"/>
              <w:snapToGrid w:val="0"/>
              <w:spacing w:line="240" w:lineRule="auto"/>
              <w:jc w:val="center"/>
              <w:rPr>
                <w:rFonts w:eastAsiaTheme="minorEastAsia"/>
                <w:snapToGrid w:val="0"/>
                <w:kern w:val="21"/>
                <w:sz w:val="21"/>
                <w:szCs w:val="21"/>
                <w:u w:val="single"/>
              </w:rPr>
            </w:pPr>
            <w:r>
              <w:rPr>
                <w:rFonts w:eastAsiaTheme="minorEastAsia"/>
                <w:snapToGrid w:val="0"/>
                <w:kern w:val="21"/>
                <w:sz w:val="21"/>
                <w:szCs w:val="21"/>
                <w:u w:val="single"/>
              </w:rPr>
              <w:t>0</w:t>
            </w:r>
          </w:p>
        </w:tc>
        <w:tc>
          <w:tcPr>
            <w:tcW w:w="554" w:type="pct"/>
            <w:vAlign w:val="center"/>
          </w:tcPr>
          <w:p w14:paraId="4EC3E6FE">
            <w:pPr>
              <w:adjustRightInd w:val="0"/>
              <w:snapToGrid w:val="0"/>
              <w:spacing w:line="240" w:lineRule="auto"/>
              <w:jc w:val="center"/>
              <w:rPr>
                <w:rFonts w:eastAsiaTheme="minorEastAsia"/>
                <w:sz w:val="21"/>
                <w:szCs w:val="21"/>
                <w:u w:val="single"/>
              </w:rPr>
            </w:pPr>
            <w:r>
              <w:rPr>
                <w:rFonts w:hint="eastAsia" w:eastAsiaTheme="minorEastAsia"/>
                <w:sz w:val="21"/>
                <w:szCs w:val="21"/>
                <w:u w:val="single"/>
              </w:rPr>
              <w:t>8</w:t>
            </w:r>
            <w:r>
              <w:rPr>
                <w:rFonts w:hint="eastAsia" w:eastAsiaTheme="minorEastAsia"/>
                <w:sz w:val="21"/>
                <w:szCs w:val="21"/>
                <w:u w:val="single"/>
                <w:lang w:val="en-US" w:eastAsia="zh-CN"/>
              </w:rPr>
              <w:t>11</w:t>
            </w:r>
            <w:r>
              <w:rPr>
                <w:rFonts w:eastAsiaTheme="minorEastAsia"/>
                <w:snapToGrid w:val="0"/>
                <w:kern w:val="21"/>
                <w:sz w:val="21"/>
                <w:szCs w:val="21"/>
                <w:u w:val="single"/>
              </w:rPr>
              <w:t>t</w:t>
            </w:r>
            <w:r>
              <w:rPr>
                <w:rFonts w:eastAsiaTheme="minorEastAsia"/>
                <w:kern w:val="0"/>
                <w:sz w:val="20"/>
                <w:u w:val="single"/>
              </w:rPr>
              <w:t>/a</w:t>
            </w:r>
          </w:p>
        </w:tc>
        <w:tc>
          <w:tcPr>
            <w:tcW w:w="1762" w:type="dxa"/>
            <w:vAlign w:val="center"/>
          </w:tcPr>
          <w:p w14:paraId="2B97314C">
            <w:pPr>
              <w:adjustRightInd w:val="0"/>
              <w:snapToGrid w:val="0"/>
              <w:spacing w:line="240" w:lineRule="auto"/>
              <w:jc w:val="center"/>
              <w:rPr>
                <w:rFonts w:eastAsiaTheme="minorEastAsia"/>
                <w:snapToGrid w:val="0"/>
                <w:kern w:val="21"/>
                <w:sz w:val="21"/>
                <w:szCs w:val="21"/>
                <w:u w:val="single"/>
              </w:rPr>
            </w:pPr>
            <w:r>
              <w:rPr>
                <w:rFonts w:hint="eastAsia" w:ascii="Times New Roman" w:hAnsi="Times New Roman" w:eastAsia="宋体" w:cs="Times New Roman"/>
                <w:bCs w:val="0"/>
                <w:sz w:val="21"/>
                <w:szCs w:val="21"/>
                <w:u w:val="single"/>
                <w:lang w:val="en-US" w:eastAsia="zh-CN" w:bidi="ar"/>
              </w:rPr>
              <w:t>806</w:t>
            </w:r>
            <w:r>
              <w:rPr>
                <w:rFonts w:eastAsiaTheme="minorEastAsia"/>
                <w:snapToGrid w:val="0"/>
                <w:kern w:val="21"/>
                <w:sz w:val="21"/>
                <w:szCs w:val="21"/>
                <w:u w:val="single"/>
              </w:rPr>
              <w:t>t</w:t>
            </w:r>
            <w:r>
              <w:rPr>
                <w:rFonts w:eastAsiaTheme="minorEastAsia"/>
                <w:kern w:val="0"/>
                <w:sz w:val="20"/>
                <w:u w:val="single"/>
              </w:rPr>
              <w:t>/a</w:t>
            </w:r>
          </w:p>
        </w:tc>
        <w:tc>
          <w:tcPr>
            <w:tcW w:w="699" w:type="pct"/>
            <w:vAlign w:val="center"/>
          </w:tcPr>
          <w:p w14:paraId="1390A466">
            <w:pPr>
              <w:adjustRightInd w:val="0"/>
              <w:snapToGrid w:val="0"/>
              <w:spacing w:line="240" w:lineRule="auto"/>
              <w:jc w:val="center"/>
              <w:rPr>
                <w:rFonts w:eastAsiaTheme="minorEastAsia"/>
                <w:sz w:val="21"/>
                <w:szCs w:val="21"/>
                <w:u w:val="single"/>
              </w:rPr>
            </w:pPr>
            <w:r>
              <w:rPr>
                <w:rFonts w:hint="eastAsia" w:eastAsiaTheme="minorEastAsia"/>
                <w:sz w:val="21"/>
                <w:szCs w:val="21"/>
                <w:u w:val="single"/>
              </w:rPr>
              <w:t>8</w:t>
            </w:r>
            <w:r>
              <w:rPr>
                <w:rFonts w:hint="eastAsia" w:eastAsiaTheme="minorEastAsia"/>
                <w:sz w:val="21"/>
                <w:szCs w:val="21"/>
                <w:u w:val="single"/>
                <w:lang w:val="en-US" w:eastAsia="zh-CN"/>
              </w:rPr>
              <w:t>11</w:t>
            </w:r>
            <w:r>
              <w:rPr>
                <w:rFonts w:eastAsiaTheme="minorEastAsia"/>
                <w:snapToGrid w:val="0"/>
                <w:kern w:val="21"/>
                <w:sz w:val="21"/>
                <w:szCs w:val="21"/>
                <w:u w:val="single"/>
              </w:rPr>
              <w:t>t</w:t>
            </w:r>
            <w:r>
              <w:rPr>
                <w:rFonts w:eastAsiaTheme="minorEastAsia"/>
                <w:kern w:val="0"/>
                <w:sz w:val="20"/>
                <w:u w:val="single"/>
              </w:rPr>
              <w:t>/a</w:t>
            </w:r>
          </w:p>
        </w:tc>
        <w:tc>
          <w:tcPr>
            <w:tcW w:w="384" w:type="pct"/>
            <w:vAlign w:val="center"/>
          </w:tcPr>
          <w:p w14:paraId="6E9BB8D4">
            <w:pPr>
              <w:adjustRightInd w:val="0"/>
              <w:snapToGrid w:val="0"/>
              <w:spacing w:line="240" w:lineRule="auto"/>
              <w:jc w:val="center"/>
              <w:rPr>
                <w:rFonts w:hint="default" w:eastAsiaTheme="minorEastAsia"/>
                <w:sz w:val="21"/>
                <w:szCs w:val="21"/>
                <w:u w:val="single"/>
                <w:lang w:val="en-US" w:eastAsia="zh-CN"/>
              </w:rPr>
            </w:pPr>
            <w:r>
              <w:rPr>
                <w:rFonts w:hint="eastAsia" w:ascii="Times New Roman" w:hAnsi="Times New Roman" w:eastAsia="宋体" w:cs="Times New Roman"/>
                <w:sz w:val="21"/>
                <w:szCs w:val="21"/>
                <w:u w:val="single"/>
                <w:lang w:val="en-US" w:eastAsia="zh-CN"/>
              </w:rPr>
              <w:t>5</w:t>
            </w:r>
          </w:p>
        </w:tc>
      </w:tr>
      <w:tr w14:paraId="587564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pct"/>
            <w:vMerge w:val="continue"/>
            <w:vAlign w:val="center"/>
          </w:tcPr>
          <w:p w14:paraId="201385BB">
            <w:pPr>
              <w:adjustRightInd w:val="0"/>
              <w:snapToGrid w:val="0"/>
              <w:spacing w:line="240" w:lineRule="auto"/>
              <w:jc w:val="center"/>
              <w:rPr>
                <w:rFonts w:eastAsiaTheme="minorEastAsia"/>
                <w:snapToGrid w:val="0"/>
                <w:kern w:val="21"/>
                <w:sz w:val="21"/>
                <w:szCs w:val="21"/>
                <w:u w:val="single"/>
              </w:rPr>
            </w:pPr>
          </w:p>
        </w:tc>
        <w:tc>
          <w:tcPr>
            <w:tcW w:w="503" w:type="pct"/>
            <w:vAlign w:val="center"/>
          </w:tcPr>
          <w:p w14:paraId="1325B9C6">
            <w:pPr>
              <w:adjustRightInd w:val="0"/>
              <w:snapToGrid w:val="0"/>
              <w:spacing w:line="240" w:lineRule="auto"/>
              <w:jc w:val="center"/>
              <w:rPr>
                <w:rFonts w:eastAsiaTheme="minorEastAsia"/>
                <w:snapToGrid w:val="0"/>
                <w:kern w:val="21"/>
                <w:sz w:val="21"/>
                <w:szCs w:val="21"/>
                <w:u w:val="single"/>
              </w:rPr>
            </w:pPr>
            <w:r>
              <w:rPr>
                <w:rFonts w:eastAsiaTheme="minorEastAsia"/>
                <w:snapToGrid w:val="0"/>
                <w:kern w:val="21"/>
                <w:sz w:val="21"/>
                <w:szCs w:val="21"/>
                <w:u w:val="single"/>
              </w:rPr>
              <w:t>生活垃圾</w:t>
            </w:r>
          </w:p>
        </w:tc>
        <w:tc>
          <w:tcPr>
            <w:tcW w:w="1700" w:type="dxa"/>
            <w:vAlign w:val="center"/>
          </w:tcPr>
          <w:p w14:paraId="508D9737">
            <w:pPr>
              <w:adjustRightInd w:val="0"/>
              <w:snapToGrid w:val="0"/>
              <w:spacing w:line="240" w:lineRule="auto"/>
              <w:jc w:val="center"/>
              <w:rPr>
                <w:rFonts w:eastAsiaTheme="minorEastAsia"/>
                <w:snapToGrid w:val="0"/>
                <w:kern w:val="21"/>
                <w:sz w:val="21"/>
                <w:szCs w:val="21"/>
                <w:u w:val="single"/>
              </w:rPr>
            </w:pPr>
            <w:r>
              <w:rPr>
                <w:rFonts w:hint="eastAsia" w:ascii="Times New Roman" w:hAnsi="Times New Roman" w:eastAsia="宋体" w:cs="Times New Roman"/>
                <w:bCs w:val="0"/>
                <w:sz w:val="21"/>
                <w:szCs w:val="21"/>
                <w:u w:val="single"/>
                <w:lang w:val="en-US" w:eastAsia="zh-CN" w:bidi="ar"/>
              </w:rPr>
              <w:t>1.2</w:t>
            </w:r>
          </w:p>
        </w:tc>
        <w:tc>
          <w:tcPr>
            <w:tcW w:w="1268" w:type="dxa"/>
            <w:vAlign w:val="center"/>
          </w:tcPr>
          <w:p w14:paraId="5DC0F764">
            <w:pPr>
              <w:adjustRightInd w:val="0"/>
              <w:snapToGrid w:val="0"/>
              <w:spacing w:line="240" w:lineRule="auto"/>
              <w:jc w:val="center"/>
              <w:rPr>
                <w:rFonts w:eastAsiaTheme="minorEastAsia"/>
                <w:snapToGrid w:val="0"/>
                <w:kern w:val="21"/>
                <w:sz w:val="21"/>
                <w:szCs w:val="21"/>
                <w:u w:val="single"/>
              </w:rPr>
            </w:pPr>
            <w:r>
              <w:rPr>
                <w:rFonts w:eastAsiaTheme="minorEastAsia"/>
                <w:snapToGrid w:val="0"/>
                <w:kern w:val="21"/>
                <w:sz w:val="21"/>
                <w:szCs w:val="21"/>
                <w:u w:val="single"/>
              </w:rPr>
              <w:t>0</w:t>
            </w:r>
          </w:p>
        </w:tc>
        <w:tc>
          <w:tcPr>
            <w:tcW w:w="1700" w:type="dxa"/>
            <w:vAlign w:val="center"/>
          </w:tcPr>
          <w:p w14:paraId="460D6F3E">
            <w:pPr>
              <w:adjustRightInd w:val="0"/>
              <w:snapToGrid w:val="0"/>
              <w:spacing w:line="240" w:lineRule="auto"/>
              <w:jc w:val="center"/>
              <w:rPr>
                <w:rFonts w:eastAsiaTheme="minorEastAsia"/>
                <w:snapToGrid w:val="0"/>
                <w:kern w:val="21"/>
                <w:sz w:val="21"/>
                <w:szCs w:val="21"/>
                <w:u w:val="single"/>
              </w:rPr>
            </w:pPr>
            <w:r>
              <w:rPr>
                <w:rFonts w:eastAsiaTheme="minorEastAsia"/>
                <w:snapToGrid w:val="0"/>
                <w:kern w:val="21"/>
                <w:sz w:val="21"/>
                <w:szCs w:val="21"/>
                <w:u w:val="single"/>
              </w:rPr>
              <w:t>0</w:t>
            </w:r>
          </w:p>
        </w:tc>
        <w:tc>
          <w:tcPr>
            <w:tcW w:w="554" w:type="pct"/>
            <w:vAlign w:val="center"/>
          </w:tcPr>
          <w:p w14:paraId="08BB9213">
            <w:pPr>
              <w:adjustRightInd w:val="0"/>
              <w:snapToGrid w:val="0"/>
              <w:spacing w:line="240" w:lineRule="auto"/>
              <w:jc w:val="center"/>
              <w:rPr>
                <w:rFonts w:eastAsiaTheme="minorEastAsia"/>
                <w:snapToGrid w:val="0"/>
                <w:kern w:val="21"/>
                <w:sz w:val="21"/>
                <w:szCs w:val="21"/>
                <w:u w:val="single"/>
              </w:rPr>
            </w:pPr>
            <w:r>
              <w:rPr>
                <w:rFonts w:hint="eastAsia" w:eastAsiaTheme="minorEastAsia"/>
                <w:sz w:val="21"/>
                <w:szCs w:val="21"/>
                <w:u w:val="single"/>
              </w:rPr>
              <w:t>3</w:t>
            </w:r>
            <w:r>
              <w:rPr>
                <w:rFonts w:eastAsiaTheme="minorEastAsia"/>
                <w:sz w:val="21"/>
                <w:szCs w:val="21"/>
                <w:u w:val="single"/>
              </w:rPr>
              <w:t>t</w:t>
            </w:r>
            <w:r>
              <w:rPr>
                <w:rFonts w:eastAsiaTheme="minorEastAsia"/>
                <w:snapToGrid w:val="0"/>
                <w:kern w:val="21"/>
                <w:sz w:val="21"/>
                <w:szCs w:val="21"/>
                <w:u w:val="single"/>
              </w:rPr>
              <w:t>/a</w:t>
            </w:r>
          </w:p>
        </w:tc>
        <w:tc>
          <w:tcPr>
            <w:tcW w:w="628" w:type="pct"/>
            <w:vAlign w:val="center"/>
          </w:tcPr>
          <w:p w14:paraId="266D8F7D">
            <w:pPr>
              <w:adjustRightInd w:val="0"/>
              <w:snapToGrid w:val="0"/>
              <w:spacing w:line="240" w:lineRule="auto"/>
              <w:jc w:val="center"/>
              <w:rPr>
                <w:rFonts w:eastAsiaTheme="minorEastAsia"/>
                <w:snapToGrid w:val="0"/>
                <w:kern w:val="21"/>
                <w:sz w:val="21"/>
                <w:szCs w:val="21"/>
                <w:u w:val="single"/>
              </w:rPr>
            </w:pPr>
            <w:r>
              <w:rPr>
                <w:rFonts w:hint="eastAsia" w:ascii="Times New Roman" w:hAnsi="Times New Roman" w:eastAsia="宋体" w:cs="Times New Roman"/>
                <w:bCs w:val="0"/>
                <w:sz w:val="21"/>
                <w:szCs w:val="21"/>
                <w:u w:val="single"/>
                <w:lang w:val="en-US" w:eastAsia="zh-CN" w:bidi="ar"/>
              </w:rPr>
              <w:t>1.2</w:t>
            </w:r>
            <w:r>
              <w:rPr>
                <w:rFonts w:eastAsiaTheme="minorEastAsia"/>
                <w:snapToGrid w:val="0"/>
                <w:kern w:val="21"/>
                <w:sz w:val="21"/>
                <w:szCs w:val="21"/>
                <w:u w:val="single"/>
              </w:rPr>
              <w:t>t</w:t>
            </w:r>
            <w:r>
              <w:rPr>
                <w:rFonts w:eastAsiaTheme="minorEastAsia"/>
                <w:kern w:val="0"/>
                <w:sz w:val="20"/>
                <w:u w:val="single"/>
              </w:rPr>
              <w:t>/a</w:t>
            </w:r>
          </w:p>
        </w:tc>
        <w:tc>
          <w:tcPr>
            <w:tcW w:w="699" w:type="pct"/>
            <w:vAlign w:val="center"/>
          </w:tcPr>
          <w:p w14:paraId="1FFF0669">
            <w:pPr>
              <w:adjustRightInd w:val="0"/>
              <w:snapToGrid w:val="0"/>
              <w:spacing w:line="240" w:lineRule="auto"/>
              <w:jc w:val="center"/>
              <w:rPr>
                <w:rFonts w:eastAsiaTheme="minorEastAsia"/>
                <w:snapToGrid w:val="0"/>
                <w:kern w:val="21"/>
                <w:sz w:val="21"/>
                <w:szCs w:val="21"/>
                <w:u w:val="single"/>
              </w:rPr>
            </w:pPr>
            <w:r>
              <w:rPr>
                <w:rFonts w:hint="eastAsia" w:eastAsiaTheme="minorEastAsia"/>
                <w:sz w:val="21"/>
                <w:szCs w:val="21"/>
                <w:u w:val="single"/>
              </w:rPr>
              <w:t>3</w:t>
            </w:r>
            <w:r>
              <w:rPr>
                <w:rFonts w:eastAsiaTheme="minorEastAsia"/>
                <w:sz w:val="21"/>
                <w:szCs w:val="21"/>
                <w:u w:val="single"/>
              </w:rPr>
              <w:t>t</w:t>
            </w:r>
            <w:r>
              <w:rPr>
                <w:rFonts w:eastAsiaTheme="minorEastAsia"/>
                <w:snapToGrid w:val="0"/>
                <w:kern w:val="21"/>
                <w:sz w:val="21"/>
                <w:szCs w:val="21"/>
                <w:u w:val="single"/>
              </w:rPr>
              <w:t>/a</w:t>
            </w:r>
          </w:p>
        </w:tc>
        <w:tc>
          <w:tcPr>
            <w:tcW w:w="384" w:type="pct"/>
            <w:vAlign w:val="center"/>
          </w:tcPr>
          <w:p w14:paraId="7690828E">
            <w:pPr>
              <w:adjustRightInd w:val="0"/>
              <w:snapToGrid w:val="0"/>
              <w:spacing w:line="240" w:lineRule="auto"/>
              <w:jc w:val="center"/>
              <w:rPr>
                <w:rFonts w:eastAsiaTheme="minorEastAsia"/>
                <w:snapToGrid w:val="0"/>
                <w:kern w:val="21"/>
                <w:sz w:val="21"/>
                <w:szCs w:val="21"/>
                <w:u w:val="single"/>
              </w:rPr>
            </w:pPr>
            <w:r>
              <w:rPr>
                <w:rFonts w:hint="eastAsia" w:ascii="Times New Roman" w:hAnsi="Times New Roman" w:eastAsia="宋体" w:cs="Times New Roman"/>
                <w:sz w:val="21"/>
                <w:szCs w:val="21"/>
                <w:u w:val="single"/>
                <w:lang w:val="en-US" w:eastAsia="zh-CN"/>
              </w:rPr>
              <w:t>1.8</w:t>
            </w:r>
          </w:p>
        </w:tc>
      </w:tr>
    </w:tbl>
    <w:p w14:paraId="5AAA6EBD">
      <w:pPr>
        <w:adjustRightInd w:val="0"/>
        <w:snapToGrid w:val="0"/>
        <w:spacing w:before="192" w:beforeLines="80" w:after="24" w:afterLines="10" w:line="259" w:lineRule="auto"/>
        <w:jc w:val="left"/>
        <w:rPr>
          <w:sz w:val="21"/>
        </w:rPr>
      </w:pPr>
      <w:r>
        <w:rPr>
          <w:snapToGrid w:val="0"/>
          <w:kern w:val="21"/>
          <w:sz w:val="21"/>
          <w:szCs w:val="21"/>
        </w:rPr>
        <w:t>注：</w:t>
      </w:r>
      <w:r>
        <w:rPr>
          <w:snapToGrid w:val="0"/>
          <w:spacing w:val="-16"/>
          <w:kern w:val="21"/>
          <w:sz w:val="21"/>
          <w:szCs w:val="21"/>
        </w:rPr>
        <w:fldChar w:fldCharType="begin"/>
      </w:r>
      <w:r>
        <w:rPr>
          <w:snapToGrid w:val="0"/>
          <w:spacing w:val="-16"/>
          <w:kern w:val="21"/>
          <w:sz w:val="21"/>
          <w:szCs w:val="21"/>
        </w:rPr>
        <w:instrText xml:space="preserve"> = 6 \* GB3 \* MERGEFORMAT </w:instrText>
      </w:r>
      <w:r>
        <w:rPr>
          <w:snapToGrid w:val="0"/>
          <w:spacing w:val="-16"/>
          <w:kern w:val="21"/>
          <w:sz w:val="21"/>
          <w:szCs w:val="21"/>
        </w:rPr>
        <w:fldChar w:fldCharType="separate"/>
      </w:r>
      <w:r>
        <w:rPr>
          <w:kern w:val="0"/>
          <w:sz w:val="21"/>
          <w:szCs w:val="21"/>
        </w:rPr>
        <w:t>⑥</w:t>
      </w:r>
      <w:r>
        <w:rPr>
          <w:snapToGrid w:val="0"/>
          <w:spacing w:val="-16"/>
          <w:kern w:val="21"/>
          <w:sz w:val="21"/>
          <w:szCs w:val="21"/>
        </w:rPr>
        <w:fldChar w:fldCharType="end"/>
      </w:r>
      <w:r>
        <w:rPr>
          <w:snapToGrid w:val="0"/>
          <w:spacing w:val="-16"/>
          <w:kern w:val="21"/>
          <w:sz w:val="21"/>
          <w:szCs w:val="21"/>
        </w:rPr>
        <w:t>=</w:t>
      </w:r>
      <w:r>
        <w:rPr>
          <w:snapToGrid w:val="0"/>
          <w:spacing w:val="-6"/>
          <w:kern w:val="21"/>
          <w:sz w:val="21"/>
          <w:szCs w:val="21"/>
        </w:rPr>
        <w:fldChar w:fldCharType="begin"/>
      </w:r>
      <w:r>
        <w:rPr>
          <w:snapToGrid w:val="0"/>
          <w:spacing w:val="-6"/>
          <w:kern w:val="21"/>
          <w:sz w:val="21"/>
          <w:szCs w:val="21"/>
        </w:rPr>
        <w:instrText xml:space="preserve"> = 1 \* GB3 \* MERGEFORMAT </w:instrText>
      </w:r>
      <w:r>
        <w:rPr>
          <w:snapToGrid w:val="0"/>
          <w:spacing w:val="-6"/>
          <w:kern w:val="21"/>
          <w:sz w:val="21"/>
          <w:szCs w:val="21"/>
        </w:rPr>
        <w:fldChar w:fldCharType="separate"/>
      </w:r>
      <w:r>
        <w:rPr>
          <w:kern w:val="0"/>
          <w:sz w:val="21"/>
          <w:szCs w:val="21"/>
        </w:rPr>
        <w:t>①</w:t>
      </w:r>
      <w:r>
        <w:rPr>
          <w:snapToGrid w:val="0"/>
          <w:spacing w:val="-6"/>
          <w:kern w:val="21"/>
          <w:sz w:val="21"/>
          <w:szCs w:val="21"/>
        </w:rPr>
        <w:fldChar w:fldCharType="end"/>
      </w:r>
      <w:r>
        <w:rPr>
          <w:snapToGrid w:val="0"/>
          <w:spacing w:val="-6"/>
          <w:kern w:val="21"/>
          <w:sz w:val="21"/>
          <w:szCs w:val="21"/>
        </w:rPr>
        <w:t>+</w:t>
      </w:r>
      <w:r>
        <w:rPr>
          <w:snapToGrid w:val="0"/>
          <w:spacing w:val="-6"/>
          <w:kern w:val="21"/>
          <w:sz w:val="21"/>
          <w:szCs w:val="21"/>
        </w:rPr>
        <w:fldChar w:fldCharType="begin"/>
      </w:r>
      <w:r>
        <w:rPr>
          <w:snapToGrid w:val="0"/>
          <w:spacing w:val="-6"/>
          <w:kern w:val="21"/>
          <w:sz w:val="21"/>
          <w:szCs w:val="21"/>
        </w:rPr>
        <w:instrText xml:space="preserve"> = 3 \* GB3 \* MERGEFORMAT </w:instrText>
      </w:r>
      <w:r>
        <w:rPr>
          <w:snapToGrid w:val="0"/>
          <w:spacing w:val="-6"/>
          <w:kern w:val="21"/>
          <w:sz w:val="21"/>
          <w:szCs w:val="21"/>
        </w:rPr>
        <w:fldChar w:fldCharType="separate"/>
      </w:r>
      <w:r>
        <w:rPr>
          <w:kern w:val="0"/>
          <w:sz w:val="21"/>
          <w:szCs w:val="21"/>
        </w:rPr>
        <w:t>③</w:t>
      </w:r>
      <w:r>
        <w:rPr>
          <w:snapToGrid w:val="0"/>
          <w:spacing w:val="-6"/>
          <w:kern w:val="21"/>
          <w:sz w:val="21"/>
          <w:szCs w:val="21"/>
        </w:rPr>
        <w:fldChar w:fldCharType="end"/>
      </w:r>
      <w:r>
        <w:rPr>
          <w:snapToGrid w:val="0"/>
          <w:spacing w:val="-6"/>
          <w:kern w:val="21"/>
          <w:sz w:val="21"/>
          <w:szCs w:val="21"/>
        </w:rPr>
        <w:t>+</w:t>
      </w:r>
      <w:r>
        <w:rPr>
          <w:snapToGrid w:val="0"/>
          <w:spacing w:val="-6"/>
          <w:kern w:val="21"/>
          <w:sz w:val="21"/>
          <w:szCs w:val="21"/>
        </w:rPr>
        <w:fldChar w:fldCharType="begin"/>
      </w:r>
      <w:r>
        <w:rPr>
          <w:snapToGrid w:val="0"/>
          <w:spacing w:val="-6"/>
          <w:kern w:val="21"/>
          <w:sz w:val="21"/>
          <w:szCs w:val="21"/>
        </w:rPr>
        <w:instrText xml:space="preserve"> = 4 \* GB3 \* MERGEFORMAT </w:instrText>
      </w:r>
      <w:r>
        <w:rPr>
          <w:snapToGrid w:val="0"/>
          <w:spacing w:val="-6"/>
          <w:kern w:val="21"/>
          <w:sz w:val="21"/>
          <w:szCs w:val="21"/>
        </w:rPr>
        <w:fldChar w:fldCharType="separate"/>
      </w:r>
      <w:r>
        <w:rPr>
          <w:kern w:val="0"/>
          <w:sz w:val="21"/>
          <w:szCs w:val="21"/>
        </w:rPr>
        <w:t>④</w:t>
      </w:r>
      <w:r>
        <w:rPr>
          <w:snapToGrid w:val="0"/>
          <w:spacing w:val="-6"/>
          <w:kern w:val="21"/>
          <w:sz w:val="21"/>
          <w:szCs w:val="21"/>
        </w:rPr>
        <w:fldChar w:fldCharType="end"/>
      </w:r>
      <w:r>
        <w:rPr>
          <w:snapToGrid w:val="0"/>
          <w:spacing w:val="-6"/>
          <w:kern w:val="21"/>
          <w:sz w:val="21"/>
          <w:szCs w:val="21"/>
        </w:rPr>
        <w:t>-</w:t>
      </w:r>
      <w:r>
        <w:rPr>
          <w:snapToGrid w:val="0"/>
          <w:spacing w:val="-16"/>
          <w:kern w:val="21"/>
          <w:sz w:val="21"/>
          <w:szCs w:val="21"/>
        </w:rPr>
        <w:fldChar w:fldCharType="begin"/>
      </w:r>
      <w:r>
        <w:rPr>
          <w:snapToGrid w:val="0"/>
          <w:spacing w:val="-16"/>
          <w:kern w:val="21"/>
          <w:sz w:val="21"/>
          <w:szCs w:val="21"/>
        </w:rPr>
        <w:instrText xml:space="preserve"> = 5 \* GB3 \* MERGEFORMAT </w:instrText>
      </w:r>
      <w:r>
        <w:rPr>
          <w:snapToGrid w:val="0"/>
          <w:spacing w:val="-16"/>
          <w:kern w:val="21"/>
          <w:sz w:val="21"/>
          <w:szCs w:val="21"/>
        </w:rPr>
        <w:fldChar w:fldCharType="separate"/>
      </w:r>
      <w:r>
        <w:rPr>
          <w:kern w:val="0"/>
          <w:sz w:val="21"/>
          <w:szCs w:val="21"/>
        </w:rPr>
        <w:t>⑤</w:t>
      </w:r>
      <w:r>
        <w:rPr>
          <w:snapToGrid w:val="0"/>
          <w:spacing w:val="-16"/>
          <w:kern w:val="21"/>
          <w:sz w:val="21"/>
          <w:szCs w:val="21"/>
        </w:rPr>
        <w:fldChar w:fldCharType="end"/>
      </w:r>
      <w:r>
        <w:rPr>
          <w:snapToGrid w:val="0"/>
          <w:spacing w:val="-16"/>
          <w:kern w:val="21"/>
          <w:sz w:val="21"/>
          <w:szCs w:val="21"/>
        </w:rPr>
        <w:t>；</w:t>
      </w:r>
      <w:r>
        <w:rPr>
          <w:snapToGrid w:val="0"/>
          <w:spacing w:val="-6"/>
          <w:kern w:val="21"/>
          <w:sz w:val="21"/>
          <w:szCs w:val="21"/>
        </w:rPr>
        <w:fldChar w:fldCharType="begin"/>
      </w:r>
      <w:r>
        <w:rPr>
          <w:snapToGrid w:val="0"/>
          <w:spacing w:val="-6"/>
          <w:kern w:val="21"/>
          <w:sz w:val="21"/>
          <w:szCs w:val="21"/>
        </w:rPr>
        <w:instrText xml:space="preserve"> = 7 \* GB3 \* MERGEFORMAT </w:instrText>
      </w:r>
      <w:r>
        <w:rPr>
          <w:snapToGrid w:val="0"/>
          <w:spacing w:val="-6"/>
          <w:kern w:val="21"/>
          <w:sz w:val="21"/>
          <w:szCs w:val="21"/>
        </w:rPr>
        <w:fldChar w:fldCharType="separate"/>
      </w:r>
      <w:r>
        <w:rPr>
          <w:kern w:val="0"/>
          <w:sz w:val="21"/>
          <w:szCs w:val="21"/>
        </w:rPr>
        <w:t>⑦</w:t>
      </w:r>
      <w:r>
        <w:rPr>
          <w:snapToGrid w:val="0"/>
          <w:spacing w:val="-6"/>
          <w:kern w:val="21"/>
          <w:sz w:val="21"/>
          <w:szCs w:val="21"/>
        </w:rPr>
        <w:fldChar w:fldCharType="end"/>
      </w:r>
      <w:r>
        <w:rPr>
          <w:snapToGrid w:val="0"/>
          <w:spacing w:val="-6"/>
          <w:kern w:val="21"/>
          <w:sz w:val="21"/>
          <w:szCs w:val="21"/>
        </w:rPr>
        <w:t>=</w:t>
      </w:r>
      <w:r>
        <w:rPr>
          <w:snapToGrid w:val="0"/>
          <w:spacing w:val="-16"/>
          <w:kern w:val="21"/>
          <w:sz w:val="21"/>
          <w:szCs w:val="21"/>
        </w:rPr>
        <w:fldChar w:fldCharType="begin"/>
      </w:r>
      <w:r>
        <w:rPr>
          <w:snapToGrid w:val="0"/>
          <w:spacing w:val="-16"/>
          <w:kern w:val="21"/>
          <w:sz w:val="21"/>
          <w:szCs w:val="21"/>
        </w:rPr>
        <w:instrText xml:space="preserve"> = 6 \* GB3 \* MERGEFORMAT </w:instrText>
      </w:r>
      <w:r>
        <w:rPr>
          <w:snapToGrid w:val="0"/>
          <w:spacing w:val="-16"/>
          <w:kern w:val="21"/>
          <w:sz w:val="21"/>
          <w:szCs w:val="21"/>
        </w:rPr>
        <w:fldChar w:fldCharType="separate"/>
      </w:r>
      <w:r>
        <w:rPr>
          <w:kern w:val="0"/>
          <w:sz w:val="21"/>
          <w:szCs w:val="21"/>
        </w:rPr>
        <w:t>⑥</w:t>
      </w:r>
      <w:r>
        <w:rPr>
          <w:snapToGrid w:val="0"/>
          <w:spacing w:val="-16"/>
          <w:kern w:val="21"/>
          <w:sz w:val="21"/>
          <w:szCs w:val="21"/>
        </w:rPr>
        <w:fldChar w:fldCharType="end"/>
      </w:r>
      <w:r>
        <w:rPr>
          <w:snapToGrid w:val="0"/>
          <w:spacing w:val="-16"/>
          <w:kern w:val="21"/>
          <w:sz w:val="21"/>
          <w:szCs w:val="21"/>
        </w:rPr>
        <w:t>-</w:t>
      </w:r>
      <w:r>
        <w:rPr>
          <w:snapToGrid w:val="0"/>
          <w:spacing w:val="-6"/>
          <w:kern w:val="21"/>
          <w:sz w:val="21"/>
          <w:szCs w:val="21"/>
        </w:rPr>
        <w:fldChar w:fldCharType="begin"/>
      </w:r>
      <w:r>
        <w:rPr>
          <w:snapToGrid w:val="0"/>
          <w:spacing w:val="-6"/>
          <w:kern w:val="21"/>
          <w:sz w:val="21"/>
          <w:szCs w:val="21"/>
        </w:rPr>
        <w:instrText xml:space="preserve"> = 1 \* GB3 \* MERGEFORMAT </w:instrText>
      </w:r>
      <w:r>
        <w:rPr>
          <w:snapToGrid w:val="0"/>
          <w:spacing w:val="-6"/>
          <w:kern w:val="21"/>
          <w:sz w:val="21"/>
          <w:szCs w:val="21"/>
        </w:rPr>
        <w:fldChar w:fldCharType="separate"/>
      </w:r>
      <w:r>
        <w:rPr>
          <w:kern w:val="0"/>
          <w:sz w:val="21"/>
          <w:szCs w:val="21"/>
        </w:rPr>
        <w:t>①</w:t>
      </w:r>
      <w:r>
        <w:rPr>
          <w:snapToGrid w:val="0"/>
          <w:spacing w:val="-6"/>
          <w:kern w:val="21"/>
          <w:sz w:val="21"/>
          <w:szCs w:val="21"/>
        </w:rPr>
        <w:fldChar w:fldCharType="end"/>
      </w:r>
    </w:p>
    <w:p w14:paraId="19881402"/>
    <w:p w14:paraId="49A6FA69"/>
    <w:p w14:paraId="1C2A7D92"/>
    <w:p w14:paraId="1A96BC25"/>
    <w:p w14:paraId="3C009503"/>
    <w:p w14:paraId="3E8817AA"/>
    <w:sectPr>
      <w:footerReference r:id="rId10" w:type="default"/>
      <w:headerReference r:id="rId9" w:type="even"/>
      <w:footerReference r:id="rId11" w:type="even"/>
      <w:pgSz w:w="16838" w:h="11906" w:orient="landscape"/>
      <w:pgMar w:top="1474" w:right="1440" w:bottom="1474" w:left="1440" w:header="851" w:footer="992" w:gutter="0"/>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5190F">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6679437"/>
    </w:sdtPr>
    <w:sdtContent>
      <w:p w14:paraId="0D85356A">
        <w:pPr>
          <w:pStyle w:val="17"/>
          <w:ind w:firstLine="210"/>
          <w:jc w:val="center"/>
        </w:pPr>
        <w:r>
          <w:fldChar w:fldCharType="begin"/>
        </w:r>
        <w:r>
          <w:instrText xml:space="preserve">PAGE   \* MERGEFORMAT</w:instrText>
        </w:r>
        <w:r>
          <w:fldChar w:fldCharType="separate"/>
        </w:r>
        <w:r>
          <w:rPr>
            <w:lang w:val="zh-CN"/>
          </w:rPr>
          <w:t>18</w:t>
        </w:r>
        <w:r>
          <w:fldChar w:fldCharType="end"/>
        </w:r>
      </w:p>
    </w:sdtContent>
  </w:sdt>
  <w:p w14:paraId="0971C5CD">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3684395"/>
    </w:sdtPr>
    <w:sdtContent>
      <w:p w14:paraId="6F33AA56">
        <w:pPr>
          <w:pStyle w:val="17"/>
          <w:ind w:firstLine="210"/>
          <w:jc w:val="center"/>
        </w:pPr>
        <w:r>
          <w:fldChar w:fldCharType="begin"/>
        </w:r>
        <w:r>
          <w:instrText xml:space="preserve">PAGE   \* MERGEFORMAT</w:instrText>
        </w:r>
        <w:r>
          <w:fldChar w:fldCharType="separate"/>
        </w:r>
        <w:r>
          <w:rPr>
            <w:lang w:val="zh-CN"/>
          </w:rPr>
          <w:t>70</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0764159"/>
    </w:sdtPr>
    <w:sdtContent>
      <w:p w14:paraId="15D8C89F">
        <w:pPr>
          <w:pStyle w:val="17"/>
          <w:ind w:firstLine="180"/>
          <w:jc w:val="center"/>
        </w:pPr>
        <w:r>
          <w:fldChar w:fldCharType="begin"/>
        </w:r>
        <w:r>
          <w:instrText xml:space="preserve">PAGE   \* MERGEFORMAT</w:instrText>
        </w:r>
        <w:r>
          <w:fldChar w:fldCharType="separate"/>
        </w:r>
        <w:r>
          <w:rPr>
            <w:lang w:val="zh-CN"/>
          </w:rPr>
          <w:t>71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4971959"/>
    </w:sdtPr>
    <w:sdtContent>
      <w:p w14:paraId="3FF8D200">
        <w:pPr>
          <w:pStyle w:val="17"/>
          <w:ind w:firstLine="21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00BC2">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1264C">
    <w:pPr>
      <w:rPr>
        <w:sz w:val="21"/>
      </w:rPr>
    </w:pPr>
    <w:r>
      <w:rPr>
        <w:rFonts w:hint="eastAsia"/>
        <w:sz w:val="21"/>
      </w:rPr>
      <w:t>怀化市城区太极溪南路道路工程项目环境影响报告表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0DBB7A"/>
    <w:multiLevelType w:val="singleLevel"/>
    <w:tmpl w:val="F60DBB7A"/>
    <w:lvl w:ilvl="0" w:tentative="0">
      <w:start w:val="4"/>
      <w:numFmt w:val="decimal"/>
      <w:suff w:val="nothing"/>
      <w:lvlText w:val="%1）"/>
      <w:lvlJc w:val="left"/>
    </w:lvl>
  </w:abstractNum>
  <w:abstractNum w:abstractNumId="1">
    <w:nsid w:val="113CC265"/>
    <w:multiLevelType w:val="singleLevel"/>
    <w:tmpl w:val="113CC265"/>
    <w:lvl w:ilvl="0" w:tentative="0">
      <w:start w:val="1"/>
      <w:numFmt w:val="chineseCounting"/>
      <w:suff w:val="nothing"/>
      <w:lvlText w:val="%1、"/>
      <w:lvlJc w:val="left"/>
      <w:rPr>
        <w:rFonts w:hint="eastAsia"/>
        <w:color w:val="auto"/>
      </w:rPr>
    </w:lvl>
  </w:abstractNum>
  <w:abstractNum w:abstractNumId="2">
    <w:nsid w:val="160D12BA"/>
    <w:multiLevelType w:val="multilevel"/>
    <w:tmpl w:val="160D12BA"/>
    <w:lvl w:ilvl="0" w:tentative="0">
      <w:start w:val="1"/>
      <w:numFmt w:val="decimal"/>
      <w:lvlText w:val="%1、"/>
      <w:lvlJc w:val="left"/>
      <w:pPr>
        <w:ind w:left="0" w:firstLine="0"/>
      </w:pPr>
      <w:rPr>
        <w:rFonts w:hint="eastAsia"/>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1" w:tentative="0">
      <w:start w:val="1"/>
      <w:numFmt w:val="decimal"/>
      <w:pStyle w:val="8"/>
      <w:lvlText w:val="%1.%2"/>
      <w:lvlJc w:val="left"/>
      <w:pPr>
        <w:ind w:left="708" w:hanging="425"/>
      </w:pPr>
      <w:rPr>
        <w:rFonts w:hint="eastAsia"/>
      </w:rPr>
    </w:lvl>
    <w:lvl w:ilvl="2" w:tentative="0">
      <w:start w:val="1"/>
      <w:numFmt w:val="decimal"/>
      <w:lvlText w:val="%1.%2.%3"/>
      <w:lvlJc w:val="left"/>
      <w:pPr>
        <w:ind w:left="425" w:hanging="198"/>
      </w:pPr>
      <w:rPr>
        <w:rFonts w:hint="eastAsia"/>
      </w:rPr>
    </w:lvl>
    <w:lvl w:ilvl="3" w:tentative="0">
      <w:start w:val="1"/>
      <w:numFmt w:val="decimal"/>
      <w:pStyle w:val="9"/>
      <w:lvlText w:val="%1.%2.%3.%4"/>
      <w:lvlJc w:val="left"/>
      <w:pPr>
        <w:tabs>
          <w:tab w:val="left" w:pos="454"/>
        </w:tabs>
        <w:ind w:left="425" w:firstLine="29"/>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685B2F40"/>
    <w:multiLevelType w:val="multilevel"/>
    <w:tmpl w:val="685B2F40"/>
    <w:lvl w:ilvl="0" w:tentative="0">
      <w:start w:val="1"/>
      <w:numFmt w:val="decimal"/>
      <w:pStyle w:val="31"/>
      <w:lvlText w:val="%1、"/>
      <w:lvlJc w:val="left"/>
      <w:pPr>
        <w:ind w:left="3260" w:firstLine="0"/>
      </w:pPr>
      <w:rPr>
        <w:rFonts w:hint="eastAsia"/>
      </w:rPr>
    </w:lvl>
    <w:lvl w:ilvl="1" w:tentative="0">
      <w:start w:val="1"/>
      <w:numFmt w:val="decimal"/>
      <w:pStyle w:val="30"/>
      <w:lvlText w:val="%1.%2"/>
      <w:lvlJc w:val="left"/>
      <w:pPr>
        <w:ind w:left="709" w:hanging="425"/>
      </w:pPr>
      <w:rPr>
        <w:rFonts w:hint="eastAsia"/>
      </w:rPr>
    </w:lvl>
    <w:lvl w:ilvl="2" w:tentative="0">
      <w:start w:val="1"/>
      <w:numFmt w:val="decimal"/>
      <w:pStyle w:val="34"/>
      <w:lvlText w:val="%1.%2.%3"/>
      <w:lvlJc w:val="left"/>
      <w:pPr>
        <w:ind w:left="907" w:hanging="198"/>
      </w:pPr>
      <w:rPr>
        <w:rFonts w:hint="eastAsia"/>
      </w:rPr>
    </w:lvl>
    <w:lvl w:ilvl="3" w:tentative="0">
      <w:start w:val="1"/>
      <w:numFmt w:val="decimal"/>
      <w:pStyle w:val="40"/>
      <w:lvlText w:val="%1.%2.%3.%4"/>
      <w:lvlJc w:val="left"/>
      <w:pPr>
        <w:tabs>
          <w:tab w:val="left" w:pos="454"/>
        </w:tabs>
        <w:ind w:left="425" w:firstLine="29"/>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kOTQ4MDQzMGJkNTllMjRmNzk1MmQ1MDdhNjFhN2MifQ=="/>
  </w:docVars>
  <w:rsids>
    <w:rsidRoot w:val="7CEE3D88"/>
    <w:rsid w:val="00007B7A"/>
    <w:rsid w:val="00025C14"/>
    <w:rsid w:val="000424C3"/>
    <w:rsid w:val="00044E7D"/>
    <w:rsid w:val="000602DD"/>
    <w:rsid w:val="00076CD8"/>
    <w:rsid w:val="000B2024"/>
    <w:rsid w:val="000C6BCB"/>
    <w:rsid w:val="000D29F8"/>
    <w:rsid w:val="000D56F5"/>
    <w:rsid w:val="000E6960"/>
    <w:rsid w:val="001025E2"/>
    <w:rsid w:val="00142419"/>
    <w:rsid w:val="00155A22"/>
    <w:rsid w:val="001D5599"/>
    <w:rsid w:val="001E4217"/>
    <w:rsid w:val="001E6856"/>
    <w:rsid w:val="00217A29"/>
    <w:rsid w:val="00237A87"/>
    <w:rsid w:val="002645B3"/>
    <w:rsid w:val="002823D4"/>
    <w:rsid w:val="00297615"/>
    <w:rsid w:val="00297C73"/>
    <w:rsid w:val="002A7235"/>
    <w:rsid w:val="002C5EB8"/>
    <w:rsid w:val="00301B9C"/>
    <w:rsid w:val="00314941"/>
    <w:rsid w:val="00321C68"/>
    <w:rsid w:val="00322915"/>
    <w:rsid w:val="003333B4"/>
    <w:rsid w:val="00357D84"/>
    <w:rsid w:val="0036573B"/>
    <w:rsid w:val="003B226A"/>
    <w:rsid w:val="00443B22"/>
    <w:rsid w:val="00476224"/>
    <w:rsid w:val="004D2D4B"/>
    <w:rsid w:val="0058478E"/>
    <w:rsid w:val="005C0F78"/>
    <w:rsid w:val="005C5523"/>
    <w:rsid w:val="005C5532"/>
    <w:rsid w:val="006318DE"/>
    <w:rsid w:val="00644F11"/>
    <w:rsid w:val="00710868"/>
    <w:rsid w:val="00714D80"/>
    <w:rsid w:val="00735114"/>
    <w:rsid w:val="007411BD"/>
    <w:rsid w:val="007B2481"/>
    <w:rsid w:val="00977066"/>
    <w:rsid w:val="00996D3F"/>
    <w:rsid w:val="00A046A4"/>
    <w:rsid w:val="00A06C4F"/>
    <w:rsid w:val="00A932B5"/>
    <w:rsid w:val="00B14474"/>
    <w:rsid w:val="00B333CE"/>
    <w:rsid w:val="00B3534D"/>
    <w:rsid w:val="00B561A2"/>
    <w:rsid w:val="00B60FDD"/>
    <w:rsid w:val="00D31159"/>
    <w:rsid w:val="00DF3A22"/>
    <w:rsid w:val="00EE2629"/>
    <w:rsid w:val="00F45D1A"/>
    <w:rsid w:val="00F50187"/>
    <w:rsid w:val="00FE2000"/>
    <w:rsid w:val="01437C74"/>
    <w:rsid w:val="021D64B1"/>
    <w:rsid w:val="024A1E81"/>
    <w:rsid w:val="033F22AD"/>
    <w:rsid w:val="0416546B"/>
    <w:rsid w:val="042E7139"/>
    <w:rsid w:val="04A46CA4"/>
    <w:rsid w:val="04CF1917"/>
    <w:rsid w:val="051426CB"/>
    <w:rsid w:val="053124F2"/>
    <w:rsid w:val="0571302A"/>
    <w:rsid w:val="058A7C48"/>
    <w:rsid w:val="05946D18"/>
    <w:rsid w:val="06A45B6F"/>
    <w:rsid w:val="06BE0E44"/>
    <w:rsid w:val="077A3729"/>
    <w:rsid w:val="079C0106"/>
    <w:rsid w:val="07CA07CF"/>
    <w:rsid w:val="08053D13"/>
    <w:rsid w:val="083623B4"/>
    <w:rsid w:val="0A5C3C09"/>
    <w:rsid w:val="0B2428ED"/>
    <w:rsid w:val="0B927856"/>
    <w:rsid w:val="0C776A4C"/>
    <w:rsid w:val="0E7B2823"/>
    <w:rsid w:val="0E99714E"/>
    <w:rsid w:val="109F20D9"/>
    <w:rsid w:val="10D75D0B"/>
    <w:rsid w:val="11054AD5"/>
    <w:rsid w:val="114F7F97"/>
    <w:rsid w:val="11B263FE"/>
    <w:rsid w:val="13282F8E"/>
    <w:rsid w:val="14067033"/>
    <w:rsid w:val="150D05B3"/>
    <w:rsid w:val="15363FEF"/>
    <w:rsid w:val="153674A4"/>
    <w:rsid w:val="15CE592F"/>
    <w:rsid w:val="16175528"/>
    <w:rsid w:val="17045380"/>
    <w:rsid w:val="18AF3A3B"/>
    <w:rsid w:val="1BAF239F"/>
    <w:rsid w:val="1C235C38"/>
    <w:rsid w:val="1C315D42"/>
    <w:rsid w:val="1C4027E7"/>
    <w:rsid w:val="1C403A91"/>
    <w:rsid w:val="1CC20E60"/>
    <w:rsid w:val="1D4320F2"/>
    <w:rsid w:val="1D7414B2"/>
    <w:rsid w:val="1DE008F5"/>
    <w:rsid w:val="1DEA15AB"/>
    <w:rsid w:val="1E7B3630"/>
    <w:rsid w:val="1F9F20EA"/>
    <w:rsid w:val="206A6B9C"/>
    <w:rsid w:val="20AD26D0"/>
    <w:rsid w:val="213A47C0"/>
    <w:rsid w:val="223C1623"/>
    <w:rsid w:val="22C24A6D"/>
    <w:rsid w:val="23333C95"/>
    <w:rsid w:val="23971A56"/>
    <w:rsid w:val="245060A9"/>
    <w:rsid w:val="24A85711"/>
    <w:rsid w:val="24CF3471"/>
    <w:rsid w:val="24EA2059"/>
    <w:rsid w:val="25350ACA"/>
    <w:rsid w:val="258D1457"/>
    <w:rsid w:val="25AC5BE5"/>
    <w:rsid w:val="25C96BE9"/>
    <w:rsid w:val="267666FA"/>
    <w:rsid w:val="268C786C"/>
    <w:rsid w:val="26F317E1"/>
    <w:rsid w:val="26FD42C6"/>
    <w:rsid w:val="27015D0E"/>
    <w:rsid w:val="286A2146"/>
    <w:rsid w:val="28952832"/>
    <w:rsid w:val="28A76A18"/>
    <w:rsid w:val="28B44E58"/>
    <w:rsid w:val="28CC03F4"/>
    <w:rsid w:val="2919115F"/>
    <w:rsid w:val="294D58D2"/>
    <w:rsid w:val="29C56BF1"/>
    <w:rsid w:val="29D70C9F"/>
    <w:rsid w:val="2B116F0F"/>
    <w:rsid w:val="2B193698"/>
    <w:rsid w:val="2B62753C"/>
    <w:rsid w:val="2BDF21EC"/>
    <w:rsid w:val="2E496F7F"/>
    <w:rsid w:val="2E660406"/>
    <w:rsid w:val="2EA339A5"/>
    <w:rsid w:val="2ED718A0"/>
    <w:rsid w:val="2F036D03"/>
    <w:rsid w:val="2F5051AF"/>
    <w:rsid w:val="32B171CE"/>
    <w:rsid w:val="32D0288E"/>
    <w:rsid w:val="3333015D"/>
    <w:rsid w:val="339166C7"/>
    <w:rsid w:val="353D61D5"/>
    <w:rsid w:val="35A0406B"/>
    <w:rsid w:val="35C9609C"/>
    <w:rsid w:val="35D5415D"/>
    <w:rsid w:val="38F03563"/>
    <w:rsid w:val="396E4BAF"/>
    <w:rsid w:val="39F72DF7"/>
    <w:rsid w:val="3A465B2C"/>
    <w:rsid w:val="3AE70A47"/>
    <w:rsid w:val="3BA26D92"/>
    <w:rsid w:val="3BA7084C"/>
    <w:rsid w:val="3D785E7D"/>
    <w:rsid w:val="3DEB0EC4"/>
    <w:rsid w:val="3EAB5C1F"/>
    <w:rsid w:val="3F746C97"/>
    <w:rsid w:val="3FDD65EB"/>
    <w:rsid w:val="3FF616FF"/>
    <w:rsid w:val="40282CE5"/>
    <w:rsid w:val="403C5A07"/>
    <w:rsid w:val="406E7B8B"/>
    <w:rsid w:val="41BA3087"/>
    <w:rsid w:val="41C51A2C"/>
    <w:rsid w:val="421F114A"/>
    <w:rsid w:val="42552DB0"/>
    <w:rsid w:val="4524544F"/>
    <w:rsid w:val="453259AA"/>
    <w:rsid w:val="45552286"/>
    <w:rsid w:val="4747736D"/>
    <w:rsid w:val="4779309D"/>
    <w:rsid w:val="48510B0F"/>
    <w:rsid w:val="49B3529D"/>
    <w:rsid w:val="4A4C2CEB"/>
    <w:rsid w:val="4A8A55C1"/>
    <w:rsid w:val="4A9005BB"/>
    <w:rsid w:val="4B775B45"/>
    <w:rsid w:val="4BC423AD"/>
    <w:rsid w:val="4C082C41"/>
    <w:rsid w:val="4CD55219"/>
    <w:rsid w:val="4E105DDD"/>
    <w:rsid w:val="4E3069D2"/>
    <w:rsid w:val="4EAA6883"/>
    <w:rsid w:val="4F455F5A"/>
    <w:rsid w:val="51CE35A3"/>
    <w:rsid w:val="520E0886"/>
    <w:rsid w:val="525C0D8D"/>
    <w:rsid w:val="52883D06"/>
    <w:rsid w:val="53227340"/>
    <w:rsid w:val="53530C46"/>
    <w:rsid w:val="53692E36"/>
    <w:rsid w:val="538708F0"/>
    <w:rsid w:val="543226EC"/>
    <w:rsid w:val="5482656E"/>
    <w:rsid w:val="56066443"/>
    <w:rsid w:val="563D39F5"/>
    <w:rsid w:val="56C67981"/>
    <w:rsid w:val="57627222"/>
    <w:rsid w:val="57D04F5B"/>
    <w:rsid w:val="57DE0CFA"/>
    <w:rsid w:val="57FD096B"/>
    <w:rsid w:val="58562F86"/>
    <w:rsid w:val="58705DF6"/>
    <w:rsid w:val="590D1897"/>
    <w:rsid w:val="5927131B"/>
    <w:rsid w:val="599B3347"/>
    <w:rsid w:val="59B30690"/>
    <w:rsid w:val="5AC32B55"/>
    <w:rsid w:val="5B4D241F"/>
    <w:rsid w:val="5B6722F0"/>
    <w:rsid w:val="5B791466"/>
    <w:rsid w:val="5B792257"/>
    <w:rsid w:val="5C2018E1"/>
    <w:rsid w:val="5C2470B1"/>
    <w:rsid w:val="5C4A6981"/>
    <w:rsid w:val="5CD31049"/>
    <w:rsid w:val="5D172CE4"/>
    <w:rsid w:val="5D3816BA"/>
    <w:rsid w:val="5D8B5480"/>
    <w:rsid w:val="5E833586"/>
    <w:rsid w:val="5EE27322"/>
    <w:rsid w:val="5F08430E"/>
    <w:rsid w:val="5F38677E"/>
    <w:rsid w:val="61314591"/>
    <w:rsid w:val="61581B1D"/>
    <w:rsid w:val="61F96E5C"/>
    <w:rsid w:val="62065A1D"/>
    <w:rsid w:val="62B421FD"/>
    <w:rsid w:val="63071A4D"/>
    <w:rsid w:val="63791642"/>
    <w:rsid w:val="639A1FD9"/>
    <w:rsid w:val="63C45248"/>
    <w:rsid w:val="63E1229E"/>
    <w:rsid w:val="641C5084"/>
    <w:rsid w:val="642A59F3"/>
    <w:rsid w:val="64505F20"/>
    <w:rsid w:val="64AB4279"/>
    <w:rsid w:val="64F909DE"/>
    <w:rsid w:val="651D5558"/>
    <w:rsid w:val="65312DB1"/>
    <w:rsid w:val="655C6080"/>
    <w:rsid w:val="656C3DE9"/>
    <w:rsid w:val="668B029F"/>
    <w:rsid w:val="66F347C2"/>
    <w:rsid w:val="67ED0FEF"/>
    <w:rsid w:val="681C38A5"/>
    <w:rsid w:val="68466B73"/>
    <w:rsid w:val="68863414"/>
    <w:rsid w:val="693919F9"/>
    <w:rsid w:val="697053FE"/>
    <w:rsid w:val="699833FF"/>
    <w:rsid w:val="6A503CD9"/>
    <w:rsid w:val="6AEC7152"/>
    <w:rsid w:val="6AF27E69"/>
    <w:rsid w:val="6B1F11E2"/>
    <w:rsid w:val="6C7C0DB6"/>
    <w:rsid w:val="6CA1081C"/>
    <w:rsid w:val="6D2B28A7"/>
    <w:rsid w:val="6DBF7031"/>
    <w:rsid w:val="6DE05374"/>
    <w:rsid w:val="6E2A65EF"/>
    <w:rsid w:val="6E7F2DDF"/>
    <w:rsid w:val="6EE83364"/>
    <w:rsid w:val="6F683873"/>
    <w:rsid w:val="70D17615"/>
    <w:rsid w:val="720A0C12"/>
    <w:rsid w:val="726D24AE"/>
    <w:rsid w:val="72BE284A"/>
    <w:rsid w:val="73DE66E4"/>
    <w:rsid w:val="74980757"/>
    <w:rsid w:val="74C5176C"/>
    <w:rsid w:val="75840CDB"/>
    <w:rsid w:val="75905662"/>
    <w:rsid w:val="75B27D2E"/>
    <w:rsid w:val="761F108A"/>
    <w:rsid w:val="767D7C04"/>
    <w:rsid w:val="789D458E"/>
    <w:rsid w:val="78A27DF6"/>
    <w:rsid w:val="79171B85"/>
    <w:rsid w:val="7BF62D35"/>
    <w:rsid w:val="7C9F63FA"/>
    <w:rsid w:val="7CEE3D88"/>
    <w:rsid w:val="7D386E64"/>
    <w:rsid w:val="7D60202E"/>
    <w:rsid w:val="7E013175"/>
    <w:rsid w:val="7E9006F1"/>
    <w:rsid w:val="7F5931D8"/>
    <w:rsid w:val="7F6A0F42"/>
    <w:rsid w:val="7F98785D"/>
    <w:rsid w:val="7FBB4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autoRedefine/>
    <w:qFormat/>
    <w:uiPriority w:val="0"/>
    <w:pPr>
      <w:jc w:val="center"/>
      <w:outlineLvl w:val="0"/>
    </w:pPr>
    <w:rPr>
      <w:rFonts w:ascii="宋体" w:hAnsi="宋体"/>
      <w:bCs/>
      <w:snapToGrid w:val="0"/>
      <w:color w:val="000000"/>
      <w:kern w:val="44"/>
      <w:sz w:val="30"/>
      <w:szCs w:val="30"/>
    </w:rPr>
  </w:style>
  <w:style w:type="paragraph" w:styleId="5">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6">
    <w:name w:val="heading 4"/>
    <w:basedOn w:val="1"/>
    <w:next w:val="1"/>
    <w:autoRedefine/>
    <w:qFormat/>
    <w:uiPriority w:val="0"/>
    <w:pPr>
      <w:keepNext/>
      <w:keepLines/>
      <w:spacing w:before="280" w:after="290" w:line="376" w:lineRule="auto"/>
      <w:outlineLvl w:val="3"/>
    </w:pPr>
    <w:rPr>
      <w:rFonts w:ascii="Calibri Light" w:hAnsi="Calibri Light"/>
      <w:b/>
      <w:bCs/>
      <w:sz w:val="28"/>
      <w:szCs w:val="28"/>
    </w:rPr>
  </w:style>
  <w:style w:type="character" w:default="1" w:styleId="26">
    <w:name w:val="Default Paragraph Font"/>
    <w:autoRedefine/>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1"/>
    <w:autoRedefine/>
    <w:qFormat/>
    <w:uiPriority w:val="0"/>
    <w:pPr>
      <w:autoSpaceDE w:val="0"/>
      <w:autoSpaceDN w:val="0"/>
      <w:adjustRightInd w:val="0"/>
    </w:pPr>
    <w:rPr>
      <w:rFonts w:ascii="仿宋_GB2312" w:hAnsi="Calibri" w:eastAsia="仿宋_GB2312" w:cs="仿宋_GB2312"/>
      <w:color w:val="000000"/>
      <w:szCs w:val="24"/>
    </w:rPr>
  </w:style>
  <w:style w:type="paragraph" w:customStyle="1" w:styleId="3">
    <w:name w:val="纯文本1"/>
    <w:basedOn w:val="1"/>
    <w:autoRedefine/>
    <w:qFormat/>
    <w:uiPriority w:val="0"/>
    <w:rPr>
      <w:rFonts w:hint="eastAsia" w:ascii="宋体" w:hAnsi="Courier New"/>
      <w:szCs w:val="22"/>
    </w:rPr>
  </w:style>
  <w:style w:type="paragraph" w:styleId="7">
    <w:name w:val="Normal Indent"/>
    <w:basedOn w:val="1"/>
    <w:autoRedefine/>
    <w:qFormat/>
    <w:uiPriority w:val="0"/>
    <w:pPr>
      <w:widowControl/>
      <w:ind w:firstLine="420"/>
      <w:jc w:val="left"/>
    </w:pPr>
    <w:rPr>
      <w:rFonts w:eastAsia="华文中宋"/>
      <w:w w:val="90"/>
      <w:kern w:val="0"/>
      <w:sz w:val="28"/>
      <w:szCs w:val="20"/>
    </w:rPr>
  </w:style>
  <w:style w:type="paragraph" w:styleId="8">
    <w:name w:val="caption"/>
    <w:basedOn w:val="1"/>
    <w:next w:val="1"/>
    <w:autoRedefine/>
    <w:unhideWhenUsed/>
    <w:qFormat/>
    <w:uiPriority w:val="0"/>
    <w:pPr>
      <w:numPr>
        <w:ilvl w:val="1"/>
        <w:numId w:val="1"/>
      </w:numPr>
    </w:pPr>
    <w:rPr>
      <w:rFonts w:eastAsia="黑体" w:asciiTheme="majorHAnsi" w:hAnsiTheme="majorHAnsi" w:cstheme="majorBidi"/>
      <w:sz w:val="20"/>
      <w:szCs w:val="20"/>
    </w:rPr>
  </w:style>
  <w:style w:type="paragraph" w:styleId="9">
    <w:name w:val="annotation text"/>
    <w:basedOn w:val="1"/>
    <w:link w:val="54"/>
    <w:qFormat/>
    <w:uiPriority w:val="0"/>
    <w:pPr>
      <w:numPr>
        <w:ilvl w:val="3"/>
        <w:numId w:val="1"/>
      </w:numPr>
      <w:spacing w:line="240" w:lineRule="auto"/>
      <w:jc w:val="left"/>
    </w:pPr>
    <w:rPr>
      <w:rFonts w:asciiTheme="minorHAnsi" w:hAnsiTheme="minorHAnsi" w:eastAsiaTheme="minorEastAsia" w:cstheme="minorBidi"/>
      <w:sz w:val="21"/>
    </w:rPr>
  </w:style>
  <w:style w:type="paragraph" w:styleId="10">
    <w:name w:val="Body Text"/>
    <w:basedOn w:val="1"/>
    <w:next w:val="11"/>
    <w:autoRedefine/>
    <w:unhideWhenUsed/>
    <w:qFormat/>
    <w:uiPriority w:val="99"/>
    <w:pPr>
      <w:spacing w:after="120"/>
    </w:pPr>
  </w:style>
  <w:style w:type="paragraph" w:customStyle="1" w:styleId="11">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2">
    <w:name w:val="Body Text Indent"/>
    <w:basedOn w:val="1"/>
    <w:next w:val="13"/>
    <w:autoRedefine/>
    <w:qFormat/>
    <w:uiPriority w:val="0"/>
    <w:pPr>
      <w:ind w:firstLine="538" w:firstLineChars="192"/>
    </w:pPr>
    <w:rPr>
      <w:sz w:val="28"/>
      <w:szCs w:val="20"/>
    </w:rPr>
  </w:style>
  <w:style w:type="paragraph" w:styleId="13">
    <w:name w:val="Body Text First Indent 2"/>
    <w:basedOn w:val="12"/>
    <w:next w:val="1"/>
    <w:autoRedefine/>
    <w:qFormat/>
    <w:uiPriority w:val="0"/>
    <w:pPr>
      <w:spacing w:after="120"/>
      <w:ind w:left="420" w:leftChars="200" w:firstLine="420" w:firstLineChars="200"/>
    </w:pPr>
    <w:rPr>
      <w:sz w:val="21"/>
      <w:szCs w:val="24"/>
    </w:rPr>
  </w:style>
  <w:style w:type="paragraph" w:styleId="14">
    <w:name w:val="Plain Text"/>
    <w:basedOn w:val="1"/>
    <w:autoRedefine/>
    <w:qFormat/>
    <w:uiPriority w:val="99"/>
    <w:pPr>
      <w:spacing w:line="240" w:lineRule="auto"/>
    </w:pPr>
    <w:rPr>
      <w:rFonts w:ascii="宋体" w:hAnsi="Courier New" w:cs="Courier New" w:eastAsiaTheme="minorEastAsia"/>
      <w:sz w:val="21"/>
      <w:szCs w:val="21"/>
    </w:rPr>
  </w:style>
  <w:style w:type="paragraph" w:styleId="15">
    <w:name w:val="Body Text Indent 2"/>
    <w:basedOn w:val="1"/>
    <w:next w:val="1"/>
    <w:autoRedefine/>
    <w:qFormat/>
    <w:uiPriority w:val="0"/>
    <w:pPr>
      <w:tabs>
        <w:tab w:val="left" w:pos="180"/>
      </w:tabs>
      <w:ind w:firstLine="567"/>
    </w:pPr>
    <w:rPr>
      <w:rFonts w:ascii="宋体" w:hAnsi="宋体"/>
      <w:sz w:val="28"/>
    </w:rPr>
  </w:style>
  <w:style w:type="paragraph" w:styleId="16">
    <w:name w:val="Balloon Text"/>
    <w:basedOn w:val="1"/>
    <w:link w:val="56"/>
    <w:autoRedefine/>
    <w:qFormat/>
    <w:uiPriority w:val="0"/>
    <w:pPr>
      <w:spacing w:line="240" w:lineRule="auto"/>
    </w:pPr>
    <w:rPr>
      <w:sz w:val="18"/>
      <w:szCs w:val="18"/>
    </w:rPr>
  </w:style>
  <w:style w:type="paragraph" w:styleId="17">
    <w:name w:val="footer"/>
    <w:basedOn w:val="1"/>
    <w:autoRedefine/>
    <w:unhideWhenUsed/>
    <w:qFormat/>
    <w:uiPriority w:val="99"/>
    <w:pPr>
      <w:tabs>
        <w:tab w:val="center" w:pos="4153"/>
        <w:tab w:val="right" w:pos="8306"/>
      </w:tabs>
      <w:snapToGrid w:val="0"/>
      <w:jc w:val="left"/>
    </w:pPr>
    <w:rPr>
      <w:sz w:val="18"/>
      <w:szCs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9">
    <w:name w:val="toc 1"/>
    <w:basedOn w:val="1"/>
    <w:next w:val="1"/>
    <w:autoRedefine/>
    <w:unhideWhenUsed/>
    <w:qFormat/>
    <w:uiPriority w:val="39"/>
  </w:style>
  <w:style w:type="paragraph" w:styleId="20">
    <w:name w:val="toc 2"/>
    <w:basedOn w:val="1"/>
    <w:next w:val="1"/>
    <w:autoRedefine/>
    <w:unhideWhenUsed/>
    <w:qFormat/>
    <w:uiPriority w:val="0"/>
    <w:pPr>
      <w:widowControl/>
      <w:spacing w:after="100" w:line="276" w:lineRule="auto"/>
      <w:ind w:left="220"/>
      <w:jc w:val="left"/>
    </w:pPr>
    <w:rPr>
      <w:rFonts w:ascii="Calibri" w:hAnsi="Calibri"/>
      <w:kern w:val="0"/>
      <w:sz w:val="22"/>
      <w:szCs w:val="22"/>
    </w:rPr>
  </w:style>
  <w:style w:type="paragraph" w:styleId="21">
    <w:name w:val="Normal (Web)"/>
    <w:basedOn w:val="1"/>
    <w:autoRedefine/>
    <w:qFormat/>
    <w:uiPriority w:val="99"/>
    <w:pPr>
      <w:widowControl/>
      <w:spacing w:before="100" w:beforeAutospacing="1" w:after="100" w:afterAutospacing="1" w:line="240" w:lineRule="auto"/>
      <w:jc w:val="left"/>
    </w:pPr>
    <w:rPr>
      <w:rFonts w:ascii="宋体" w:hAnsi="宋体" w:cs="宋体"/>
      <w:kern w:val="0"/>
    </w:rPr>
  </w:style>
  <w:style w:type="paragraph" w:styleId="22">
    <w:name w:val="annotation subject"/>
    <w:basedOn w:val="9"/>
    <w:next w:val="9"/>
    <w:link w:val="55"/>
    <w:autoRedefine/>
    <w:qFormat/>
    <w:uiPriority w:val="0"/>
    <w:pPr>
      <w:numPr>
        <w:ilvl w:val="0"/>
        <w:numId w:val="0"/>
      </w:numPr>
      <w:tabs>
        <w:tab w:val="clear" w:pos="454"/>
      </w:tabs>
      <w:spacing w:line="360" w:lineRule="auto"/>
    </w:pPr>
    <w:rPr>
      <w:rFonts w:ascii="Times New Roman" w:hAnsi="Times New Roman" w:eastAsia="宋体" w:cs="Times New Roman"/>
      <w:b/>
      <w:bCs/>
      <w:sz w:val="24"/>
    </w:rPr>
  </w:style>
  <w:style w:type="paragraph" w:styleId="23">
    <w:name w:val="Body Text First Indent"/>
    <w:basedOn w:val="10"/>
    <w:next w:val="1"/>
    <w:autoRedefine/>
    <w:qFormat/>
    <w:uiPriority w:val="0"/>
    <w:pPr>
      <w:spacing w:line="240" w:lineRule="auto"/>
      <w:ind w:firstLine="420" w:firstLineChars="100"/>
    </w:pPr>
    <w:rPr>
      <w:rFonts w:ascii="Arial" w:hAnsi="Arial" w:eastAsia="华文仿宋" w:cs="Arial"/>
      <w:sz w:val="21"/>
      <w:szCs w:val="20"/>
    </w:rPr>
  </w:style>
  <w:style w:type="table" w:styleId="25">
    <w:name w:val="Table Grid"/>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annotation reference"/>
    <w:autoRedefine/>
    <w:qFormat/>
    <w:uiPriority w:val="0"/>
    <w:rPr>
      <w:sz w:val="21"/>
    </w:rPr>
  </w:style>
  <w:style w:type="paragraph" w:customStyle="1" w:styleId="28">
    <w:name w:val="表格文字"/>
    <w:basedOn w:val="14"/>
    <w:next w:val="1"/>
    <w:autoRedefine/>
    <w:qFormat/>
    <w:uiPriority w:val="0"/>
    <w:pPr>
      <w:jc w:val="center"/>
    </w:pPr>
    <w:rPr>
      <w:rFonts w:ascii="Times New Roman" w:hAnsi="Times New Roman" w:eastAsia="仿宋_GB2312"/>
      <w:kern w:val="28"/>
      <w:sz w:val="24"/>
      <w:szCs w:val="24"/>
    </w:rPr>
  </w:style>
  <w:style w:type="paragraph" w:customStyle="1" w:styleId="29">
    <w:name w:val="0正文"/>
    <w:autoRedefine/>
    <w:unhideWhenUsed/>
    <w:qFormat/>
    <w:uiPriority w:val="0"/>
    <w:pPr>
      <w:spacing w:line="300" w:lineRule="auto"/>
      <w:ind w:firstLine="480" w:firstLineChars="200"/>
    </w:pPr>
    <w:rPr>
      <w:rFonts w:ascii="Times New Roman" w:hAnsi="Times New Roman" w:eastAsia="宋体" w:cs="Times New Roman"/>
      <w:b/>
      <w:color w:val="000000"/>
      <w:sz w:val="24"/>
      <w:szCs w:val="22"/>
      <w:lang w:val="en-US" w:eastAsia="zh-CN" w:bidi="ar-SA"/>
    </w:rPr>
  </w:style>
  <w:style w:type="paragraph" w:customStyle="1" w:styleId="30">
    <w:name w:val="2"/>
    <w:basedOn w:val="31"/>
    <w:qFormat/>
    <w:uiPriority w:val="0"/>
    <w:pPr>
      <w:numPr>
        <w:ilvl w:val="1"/>
      </w:numPr>
      <w:jc w:val="left"/>
    </w:pPr>
  </w:style>
  <w:style w:type="paragraph" w:customStyle="1" w:styleId="31">
    <w:name w:val="1"/>
    <w:basedOn w:val="1"/>
    <w:next w:val="12"/>
    <w:autoRedefine/>
    <w:qFormat/>
    <w:uiPriority w:val="0"/>
    <w:pPr>
      <w:numPr>
        <w:ilvl w:val="0"/>
        <w:numId w:val="2"/>
      </w:numPr>
      <w:jc w:val="center"/>
      <w:outlineLvl w:val="0"/>
    </w:pPr>
    <w:rPr>
      <w:b/>
    </w:rPr>
  </w:style>
  <w:style w:type="paragraph" w:customStyle="1" w:styleId="32">
    <w:name w:val="111正文"/>
    <w:basedOn w:val="1"/>
    <w:autoRedefine/>
    <w:qFormat/>
    <w:uiPriority w:val="0"/>
    <w:pPr>
      <w:widowControl/>
      <w:ind w:firstLine="504" w:firstLineChars="209"/>
      <w:jc w:val="left"/>
    </w:pPr>
  </w:style>
  <w:style w:type="paragraph" w:customStyle="1" w:styleId="33">
    <w:name w:val="列出段落1"/>
    <w:basedOn w:val="1"/>
    <w:autoRedefine/>
    <w:qFormat/>
    <w:uiPriority w:val="0"/>
    <w:pPr>
      <w:ind w:firstLine="420" w:firstLineChars="200"/>
    </w:pPr>
  </w:style>
  <w:style w:type="paragraph" w:customStyle="1" w:styleId="34">
    <w:name w:val="3"/>
    <w:basedOn w:val="31"/>
    <w:autoRedefine/>
    <w:qFormat/>
    <w:uiPriority w:val="0"/>
    <w:pPr>
      <w:numPr>
        <w:ilvl w:val="2"/>
      </w:numPr>
      <w:jc w:val="left"/>
    </w:pPr>
  </w:style>
  <w:style w:type="paragraph" w:customStyle="1" w:styleId="35">
    <w:name w:val="正文1"/>
    <w:basedOn w:val="1"/>
    <w:autoRedefine/>
    <w:qFormat/>
    <w:uiPriority w:val="0"/>
    <w:pPr>
      <w:adjustRightInd w:val="0"/>
      <w:snapToGrid w:val="0"/>
      <w:ind w:firstLine="482"/>
    </w:pPr>
    <w:rPr>
      <w:rFonts w:ascii="宋体" w:hAnsi="宋体" w:cstheme="minorBidi"/>
      <w:snapToGrid w:val="0"/>
      <w:kern w:val="0"/>
    </w:rPr>
  </w:style>
  <w:style w:type="paragraph" w:customStyle="1" w:styleId="36">
    <w:name w:val="Char1"/>
    <w:basedOn w:val="1"/>
    <w:qFormat/>
    <w:uiPriority w:val="0"/>
    <w:pPr>
      <w:ind w:firstLine="200" w:firstLineChars="200"/>
    </w:pPr>
    <w:rPr>
      <w:rFonts w:ascii="宋体"/>
      <w:kern w:val="0"/>
      <w:szCs w:val="20"/>
    </w:rPr>
  </w:style>
  <w:style w:type="paragraph" w:customStyle="1" w:styleId="37">
    <w:name w:val="Char11"/>
    <w:basedOn w:val="1"/>
    <w:autoRedefine/>
    <w:qFormat/>
    <w:uiPriority w:val="0"/>
    <w:pPr>
      <w:ind w:firstLine="200" w:firstLineChars="200"/>
    </w:pPr>
    <w:rPr>
      <w:sz w:val="21"/>
    </w:rPr>
  </w:style>
  <w:style w:type="character" w:customStyle="1" w:styleId="38">
    <w:name w:val="fontstyle01"/>
    <w:basedOn w:val="26"/>
    <w:autoRedefine/>
    <w:qFormat/>
    <w:uiPriority w:val="0"/>
    <w:rPr>
      <w:rFonts w:ascii="宋体" w:hAnsi="宋体" w:eastAsia="宋体" w:cs="宋体"/>
      <w:color w:val="000000"/>
      <w:sz w:val="22"/>
      <w:szCs w:val="22"/>
    </w:rPr>
  </w:style>
  <w:style w:type="paragraph" w:customStyle="1" w:styleId="39">
    <w:name w:val="（正文）"/>
    <w:basedOn w:val="14"/>
    <w:autoRedefine/>
    <w:qFormat/>
    <w:uiPriority w:val="0"/>
    <w:pPr>
      <w:spacing w:line="360" w:lineRule="auto"/>
      <w:ind w:firstLine="480"/>
    </w:pPr>
    <w:rPr>
      <w:rFonts w:eastAsia="宋体"/>
      <w:sz w:val="24"/>
    </w:rPr>
  </w:style>
  <w:style w:type="paragraph" w:customStyle="1" w:styleId="40">
    <w:name w:val="4"/>
    <w:basedOn w:val="34"/>
    <w:autoRedefine/>
    <w:qFormat/>
    <w:uiPriority w:val="0"/>
    <w:pPr>
      <w:numPr>
        <w:ilvl w:val="3"/>
      </w:numPr>
    </w:pPr>
  </w:style>
  <w:style w:type="paragraph" w:styleId="41">
    <w:name w:val="List Paragraph"/>
    <w:basedOn w:val="1"/>
    <w:qFormat/>
    <w:uiPriority w:val="0"/>
    <w:pPr>
      <w:ind w:firstLine="420" w:firstLineChars="200"/>
    </w:pPr>
  </w:style>
  <w:style w:type="paragraph" w:customStyle="1" w:styleId="42">
    <w:name w:val="S报告正文"/>
    <w:basedOn w:val="1"/>
    <w:qFormat/>
    <w:uiPriority w:val="0"/>
    <w:pPr>
      <w:adjustRightInd w:val="0"/>
      <w:snapToGrid w:val="0"/>
      <w:spacing w:line="480" w:lineRule="exact"/>
      <w:ind w:firstLine="510"/>
      <w:jc w:val="left"/>
    </w:pPr>
  </w:style>
  <w:style w:type="paragraph" w:customStyle="1" w:styleId="43">
    <w:name w:val="表格内正文"/>
    <w:basedOn w:val="1"/>
    <w:qFormat/>
    <w:uiPriority w:val="0"/>
    <w:pPr>
      <w:ind w:firstLine="499"/>
    </w:pPr>
    <w:rPr>
      <w:rFonts w:ascii="宋体" w:hAnsi="宋体" w:cstheme="minorBidi"/>
      <w:spacing w:val="4"/>
      <w:kern w:val="18"/>
    </w:rPr>
  </w:style>
  <w:style w:type="paragraph" w:customStyle="1" w:styleId="44">
    <w:name w:val="环评正文文字"/>
    <w:basedOn w:val="1"/>
    <w:qFormat/>
    <w:uiPriority w:val="0"/>
    <w:pPr>
      <w:ind w:firstLine="480" w:firstLineChars="200"/>
    </w:pPr>
  </w:style>
  <w:style w:type="paragraph" w:customStyle="1" w:styleId="45">
    <w:name w:val="lh-正文-报告表"/>
    <w:basedOn w:val="1"/>
    <w:qFormat/>
    <w:uiPriority w:val="0"/>
    <w:pPr>
      <w:ind w:firstLine="480" w:firstLineChars="200"/>
    </w:pPr>
    <w:rPr>
      <w:kern w:val="0"/>
      <w:szCs w:val="21"/>
    </w:rPr>
  </w:style>
  <w:style w:type="paragraph" w:customStyle="1" w:styleId="46">
    <w:name w:val="表字体"/>
    <w:basedOn w:val="1"/>
    <w:next w:val="1"/>
    <w:qFormat/>
    <w:uiPriority w:val="0"/>
    <w:pPr>
      <w:spacing w:line="240" w:lineRule="auto"/>
      <w:jc w:val="center"/>
    </w:pPr>
    <w:rPr>
      <w:kern w:val="0"/>
      <w:sz w:val="21"/>
      <w:szCs w:val="20"/>
    </w:rPr>
  </w:style>
  <w:style w:type="paragraph" w:customStyle="1" w:styleId="47">
    <w:name w:val="Default12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8">
    <w:name w:val="江锂报告书正文"/>
    <w:qFormat/>
    <w:uiPriority w:val="0"/>
    <w:pPr>
      <w:spacing w:line="360" w:lineRule="auto"/>
      <w:ind w:firstLine="480" w:firstLineChars="200"/>
    </w:pPr>
    <w:rPr>
      <w:rFonts w:ascii="Times New Roman" w:hAnsi="Times New Roman" w:eastAsia="宋体" w:cs="Times New Roman"/>
      <w:color w:val="000000"/>
      <w:sz w:val="24"/>
      <w:lang w:val="en-US" w:eastAsia="zh-CN" w:bidi="ar-SA"/>
    </w:rPr>
  </w:style>
  <w:style w:type="paragraph" w:customStyle="1" w:styleId="49">
    <w:name w:val="表格内容"/>
    <w:basedOn w:val="1"/>
    <w:autoRedefine/>
    <w:qFormat/>
    <w:uiPriority w:val="0"/>
    <w:pPr>
      <w:jc w:val="left"/>
    </w:pPr>
    <w:rPr>
      <w:rFonts w:cs="宋体"/>
      <w:szCs w:val="20"/>
    </w:rPr>
  </w:style>
  <w:style w:type="paragraph" w:customStyle="1" w:styleId="50">
    <w:name w:val="报告正文"/>
    <w:basedOn w:val="1"/>
    <w:qFormat/>
    <w:uiPriority w:val="0"/>
    <w:pPr>
      <w:spacing w:line="480" w:lineRule="exact"/>
      <w:ind w:firstLine="200" w:firstLineChars="200"/>
    </w:pPr>
  </w:style>
  <w:style w:type="paragraph" w:customStyle="1" w:styleId="51">
    <w:name w:val="D图表小四"/>
    <w:basedOn w:val="1"/>
    <w:qFormat/>
    <w:uiPriority w:val="0"/>
    <w:pPr>
      <w:spacing w:before="120" w:after="120"/>
      <w:jc w:val="center"/>
    </w:pPr>
    <w:rPr>
      <w:b/>
      <w:spacing w:val="4"/>
    </w:rPr>
  </w:style>
  <w:style w:type="paragraph" w:customStyle="1" w:styleId="52">
    <w:name w:val="BG-表头"/>
    <w:basedOn w:val="1"/>
    <w:autoRedefine/>
    <w:qFormat/>
    <w:uiPriority w:val="0"/>
    <w:pPr>
      <w:spacing w:line="240" w:lineRule="auto"/>
      <w:jc w:val="center"/>
    </w:pPr>
    <w:rPr>
      <w:b/>
      <w:sz w:val="21"/>
    </w:rPr>
  </w:style>
  <w:style w:type="paragraph" w:customStyle="1" w:styleId="53">
    <w:name w:val="标题1"/>
    <w:basedOn w:val="21"/>
    <w:autoRedefine/>
    <w:qFormat/>
    <w:uiPriority w:val="0"/>
    <w:pPr>
      <w:widowControl w:val="0"/>
      <w:adjustRightInd w:val="0"/>
      <w:snapToGrid w:val="0"/>
      <w:spacing w:before="120" w:beforeLines="50" w:beforeAutospacing="0" w:after="120" w:afterLines="50" w:afterAutospacing="0"/>
      <w:jc w:val="center"/>
      <w:outlineLvl w:val="0"/>
    </w:pPr>
    <w:rPr>
      <w:snapToGrid w:val="0"/>
      <w:sz w:val="30"/>
      <w:szCs w:val="30"/>
    </w:rPr>
  </w:style>
  <w:style w:type="character" w:customStyle="1" w:styleId="54">
    <w:name w:val="批注文字 Char"/>
    <w:basedOn w:val="26"/>
    <w:link w:val="9"/>
    <w:autoRedefine/>
    <w:qFormat/>
    <w:uiPriority w:val="0"/>
    <w:rPr>
      <w:rFonts w:asciiTheme="minorHAnsi" w:hAnsiTheme="minorHAnsi" w:eastAsiaTheme="minorEastAsia" w:cstheme="minorBidi"/>
      <w:kern w:val="2"/>
      <w:sz w:val="21"/>
      <w:szCs w:val="24"/>
    </w:rPr>
  </w:style>
  <w:style w:type="character" w:customStyle="1" w:styleId="55">
    <w:name w:val="批注主题 Char"/>
    <w:basedOn w:val="54"/>
    <w:link w:val="22"/>
    <w:autoRedefine/>
    <w:qFormat/>
    <w:uiPriority w:val="0"/>
    <w:rPr>
      <w:rFonts w:asciiTheme="minorHAnsi" w:hAnsiTheme="minorHAnsi" w:eastAsiaTheme="minorEastAsia" w:cstheme="minorBidi"/>
      <w:b/>
      <w:bCs/>
      <w:kern w:val="2"/>
      <w:sz w:val="24"/>
      <w:szCs w:val="24"/>
    </w:rPr>
  </w:style>
  <w:style w:type="character" w:customStyle="1" w:styleId="56">
    <w:name w:val="批注框文本 Char"/>
    <w:basedOn w:val="26"/>
    <w:link w:val="16"/>
    <w:autoRedefine/>
    <w:qFormat/>
    <w:uiPriority w:val="0"/>
    <w:rPr>
      <w:kern w:val="2"/>
      <w:sz w:val="18"/>
      <w:szCs w:val="18"/>
    </w:rPr>
  </w:style>
  <w:style w:type="paragraph" w:customStyle="1" w:styleId="57">
    <w:name w:val="S表名图名"/>
    <w:basedOn w:val="42"/>
    <w:qFormat/>
    <w:uiPriority w:val="1"/>
    <w:pPr>
      <w:ind w:firstLine="0"/>
      <w:jc w:val="center"/>
    </w:pPr>
    <w:rPr>
      <w:b/>
      <w:szCs w:val="23"/>
    </w:rPr>
  </w:style>
  <w:style w:type="paragraph" w:customStyle="1" w:styleId="58">
    <w:name w:val="表头"/>
    <w:basedOn w:val="57"/>
    <w:next w:val="1"/>
    <w:qFormat/>
    <w:uiPriority w:val="0"/>
    <w:pPr>
      <w:adjustRightInd w:val="0"/>
      <w:jc w:val="center"/>
      <w:textAlignment w:val="baseline"/>
    </w:pPr>
    <w:rPr>
      <w:rFonts w:ascii="黑体" w:eastAsia="黑体"/>
      <w:kern w:val="0"/>
      <w:sz w:val="24"/>
    </w:rPr>
  </w:style>
  <w:style w:type="paragraph" w:customStyle="1" w:styleId="59">
    <w:name w:val="表头格式"/>
    <w:basedOn w:val="1"/>
    <w:qFormat/>
    <w:uiPriority w:val="0"/>
    <w:pPr>
      <w:widowControl/>
      <w:wordWrap/>
      <w:spacing w:before="60" w:beforeLines="25" w:after="60" w:afterLines="25" w:line="240" w:lineRule="auto"/>
      <w:ind w:firstLine="0" w:firstLineChars="0"/>
      <w:jc w:val="center"/>
    </w:pPr>
    <w:rPr>
      <w:rFonts w:ascii="宋体" w:hAnsi="宋体"/>
      <w:b/>
      <w:kern w:val="0"/>
    </w:rPr>
  </w:style>
  <w:style w:type="paragraph" w:customStyle="1" w:styleId="60">
    <w:name w:val="表格格式"/>
    <w:basedOn w:val="1"/>
    <w:qFormat/>
    <w:uiPriority w:val="0"/>
    <w:pPr>
      <w:wordWrap/>
      <w:topLinePunct w:val="0"/>
      <w:spacing w:line="240" w:lineRule="auto"/>
      <w:ind w:firstLine="0" w:firstLineChars="0"/>
      <w:jc w:val="center"/>
    </w:pPr>
    <w:rPr>
      <w:rFonts w:ascii="宋体" w:hAnsi="宋体"/>
      <w:szCs w:val="21"/>
    </w:rPr>
  </w:style>
  <w:style w:type="paragraph" w:customStyle="1" w:styleId="61">
    <w:name w:val="Table Paragraph"/>
    <w:basedOn w:val="1"/>
    <w:autoRedefine/>
    <w:qFormat/>
    <w:uiPriority w:val="1"/>
    <w:pPr>
      <w:autoSpaceDE w:val="0"/>
      <w:autoSpaceDN w:val="0"/>
      <w:adjustRightInd w:val="0"/>
      <w:jc w:val="left"/>
    </w:pPr>
    <w:rPr>
      <w:rFonts w:ascii="Calibri" w:hAnsi="Calibri"/>
      <w:kern w:val="0"/>
      <w:sz w:val="24"/>
    </w:rPr>
  </w:style>
  <w:style w:type="character" w:customStyle="1" w:styleId="62">
    <w:name w:val="font11"/>
    <w:basedOn w:val="26"/>
    <w:qFormat/>
    <w:uiPriority w:val="0"/>
    <w:rPr>
      <w:rFonts w:hint="default" w:ascii="Times New Roman" w:hAnsi="Times New Roman" w:cs="Times New Roman"/>
      <w:color w:val="000000"/>
      <w:sz w:val="21"/>
      <w:szCs w:val="21"/>
      <w:u w:val="none"/>
    </w:rPr>
  </w:style>
  <w:style w:type="character" w:customStyle="1" w:styleId="63">
    <w:name w:val="font31"/>
    <w:basedOn w:val="26"/>
    <w:qFormat/>
    <w:uiPriority w:val="0"/>
    <w:rPr>
      <w:rFonts w:hint="default" w:ascii="Times New Roman" w:hAnsi="Times New Roman" w:cs="Times New Roman"/>
      <w:color w:val="000000"/>
      <w:sz w:val="21"/>
      <w:szCs w:val="21"/>
      <w:u w:val="none"/>
      <w:vertAlign w:val="subscript"/>
    </w:rPr>
  </w:style>
  <w:style w:type="character" w:customStyle="1" w:styleId="64">
    <w:name w:val="font21"/>
    <w:basedOn w:val="26"/>
    <w:qFormat/>
    <w:uiPriority w:val="0"/>
    <w:rPr>
      <w:rFonts w:hint="eastAsia" w:ascii="宋体" w:hAnsi="宋体" w:eastAsia="宋体" w:cs="宋体"/>
      <w:color w:val="000000"/>
      <w:sz w:val="21"/>
      <w:szCs w:val="21"/>
      <w:u w:val="none"/>
    </w:rPr>
  </w:style>
  <w:style w:type="paragraph" w:customStyle="1" w:styleId="65">
    <w:name w:val="表格"/>
    <w:basedOn w:val="1"/>
    <w:next w:val="1"/>
    <w:qFormat/>
    <w:uiPriority w:val="0"/>
    <w:pPr>
      <w:adjustRightInd w:val="0"/>
      <w:snapToGrid w:val="0"/>
      <w:spacing w:beforeLines="10" w:afterLines="10" w:line="259" w:lineRule="auto"/>
      <w:jc w:val="center"/>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png"/><Relationship Id="rId22" Type="http://schemas.openxmlformats.org/officeDocument/2006/relationships/image" Target="media/image10.wmf"/><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75</Pages>
  <Words>39502</Words>
  <Characters>45231</Characters>
  <Lines>347</Lines>
  <Paragraphs>97</Paragraphs>
  <TotalTime>25</TotalTime>
  <ScaleCrop>false</ScaleCrop>
  <LinksUpToDate>false</LinksUpToDate>
  <CharactersWithSpaces>45606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2023-06-01T01:09:00Z</dcterms:created>
  <dc:creator>鹅</dc:creator>
  <cp:lastModifiedBy>芊鹅</cp:lastModifiedBy>
  <dcterms:modified xsi:type="dcterms:W3CDTF">2024-08-05T01:12:57Z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0A3880A952A741D6805ACB69956456F7_13</vt:lpwstr>
  </property>
</Properties>
</file>