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widowControl/>
        <w:jc w:val="center"/>
        <w:rPr>
          <w:rFonts w:ascii="黑体" w:hAnsi="宋体" w:eastAsia="黑体" w:cs="黑体"/>
          <w:kern w:val="0"/>
          <w:sz w:val="31"/>
          <w:szCs w:val="31"/>
        </w:rPr>
      </w:pPr>
      <w:r>
        <w:rPr>
          <w:rFonts w:hint="eastAsia" w:ascii="黑体" w:hAnsi="宋体" w:eastAsia="黑体" w:cs="黑体"/>
          <w:kern w:val="0"/>
          <w:sz w:val="31"/>
          <w:szCs w:val="31"/>
        </w:rPr>
        <w:t>2020年靖州县城市管理和综合执法局预算</w:t>
      </w:r>
    </w:p>
    <w:p>
      <w:pPr>
        <w:widowControl/>
        <w:jc w:val="center"/>
      </w:pPr>
      <w:r>
        <w:rPr>
          <w:rFonts w:ascii="黑体" w:hAnsi="宋体" w:eastAsia="黑体" w:cs="黑体"/>
          <w:kern w:val="0"/>
          <w:sz w:val="31"/>
          <w:szCs w:val="31"/>
        </w:rPr>
        <w:t>目 录</w:t>
      </w:r>
    </w:p>
    <w:p>
      <w:pPr>
        <w:widowControl/>
        <w:jc w:val="left"/>
      </w:pPr>
      <w:r>
        <w:rPr>
          <w:rFonts w:ascii="仿宋_GB2312" w:hAnsi="仿宋_GB2312" w:eastAsia="仿宋_GB2312" w:cs="仿宋_GB2312"/>
          <w:b/>
          <w:kern w:val="0"/>
          <w:sz w:val="31"/>
          <w:szCs w:val="31"/>
        </w:rPr>
        <w:t xml:space="preserve">第一部分 </w:t>
      </w:r>
      <w:r>
        <w:rPr>
          <w:rFonts w:ascii="Arial Unicode MS" w:hAnsi="Arial Unicode MS" w:eastAsia="Arial Unicode MS" w:cs="Arial Unicode MS"/>
          <w:kern w:val="0"/>
          <w:sz w:val="31"/>
          <w:szCs w:val="31"/>
        </w:rPr>
        <w:t>2</w:t>
      </w:r>
      <w:r>
        <w:rPr>
          <w:rFonts w:ascii="Times New Roman" w:hAnsi="Times New Roman" w:eastAsia="宋体" w:cs="Times New Roman"/>
          <w:b/>
          <w:kern w:val="0"/>
          <w:sz w:val="31"/>
          <w:szCs w:val="31"/>
        </w:rPr>
        <w:t xml:space="preserve">020 </w:t>
      </w:r>
      <w:r>
        <w:rPr>
          <w:rFonts w:ascii="仿宋_GB2312" w:hAnsi="仿宋_GB2312" w:eastAsia="仿宋_GB2312" w:cs="仿宋_GB2312"/>
          <w:b/>
          <w:kern w:val="0"/>
          <w:sz w:val="31"/>
          <w:szCs w:val="31"/>
        </w:rPr>
        <w:t xml:space="preserve">年部门预算说明 </w:t>
      </w:r>
    </w:p>
    <w:p>
      <w:pPr>
        <w:widowControl/>
        <w:jc w:val="left"/>
      </w:pPr>
      <w:r>
        <w:rPr>
          <w:rFonts w:ascii="仿宋_GB2312" w:hAnsi="仿宋_GB2312" w:eastAsia="仿宋_GB2312" w:cs="仿宋_GB2312"/>
          <w:b/>
          <w:kern w:val="0"/>
          <w:sz w:val="31"/>
          <w:szCs w:val="31"/>
        </w:rPr>
        <w:t xml:space="preserve">第二部分 </w:t>
      </w:r>
      <w:r>
        <w:rPr>
          <w:rFonts w:ascii="Times New Roman" w:hAnsi="Times New Roman" w:eastAsia="宋体" w:cs="Times New Roman"/>
          <w:b/>
          <w:kern w:val="0"/>
          <w:sz w:val="31"/>
          <w:szCs w:val="31"/>
        </w:rPr>
        <w:t xml:space="preserve">2020 </w:t>
      </w:r>
      <w:r>
        <w:rPr>
          <w:rFonts w:ascii="仿宋_GB2312" w:hAnsi="仿宋_GB2312" w:eastAsia="仿宋_GB2312" w:cs="仿宋_GB2312"/>
          <w:b/>
          <w:kern w:val="0"/>
          <w:sz w:val="31"/>
          <w:szCs w:val="31"/>
        </w:rPr>
        <w:t xml:space="preserve">年部门预算表 </w:t>
      </w:r>
    </w:p>
    <w:p>
      <w:pPr>
        <w:spacing w:line="520" w:lineRule="exact"/>
        <w:rPr>
          <w:rFonts w:ascii="仿宋_GB2312" w:hAnsi="宋体" w:eastAsia="仿宋_GB2312"/>
          <w:kern w:val="0"/>
          <w:sz w:val="32"/>
          <w:szCs w:val="32"/>
        </w:rPr>
      </w:pPr>
      <w:r>
        <w:rPr>
          <w:rFonts w:hint="eastAsia" w:ascii="仿宋_GB2312" w:hAnsi="宋体" w:eastAsia="仿宋_GB2312"/>
          <w:kern w:val="0"/>
          <w:sz w:val="32"/>
          <w:szCs w:val="32"/>
        </w:rPr>
        <w:t>1、收支预算总表</w:t>
      </w:r>
    </w:p>
    <w:p>
      <w:pPr>
        <w:spacing w:line="520" w:lineRule="exact"/>
        <w:rPr>
          <w:rFonts w:ascii="仿宋_GB2312" w:hAnsi="宋体" w:eastAsia="仿宋_GB2312"/>
          <w:kern w:val="0"/>
          <w:sz w:val="32"/>
          <w:szCs w:val="32"/>
        </w:rPr>
      </w:pPr>
      <w:r>
        <w:rPr>
          <w:rFonts w:hint="eastAsia" w:ascii="仿宋_GB2312" w:hAnsi="宋体" w:eastAsia="仿宋_GB2312"/>
          <w:kern w:val="0"/>
          <w:sz w:val="32"/>
          <w:szCs w:val="32"/>
        </w:rPr>
        <w:t>2、收入预算总表</w:t>
      </w:r>
    </w:p>
    <w:p>
      <w:pPr>
        <w:spacing w:line="520" w:lineRule="exact"/>
        <w:rPr>
          <w:rFonts w:ascii="仿宋_GB2312" w:hAnsi="宋体" w:eastAsia="仿宋_GB2312"/>
          <w:kern w:val="0"/>
          <w:sz w:val="32"/>
          <w:szCs w:val="32"/>
        </w:rPr>
      </w:pPr>
      <w:r>
        <w:rPr>
          <w:rFonts w:hint="eastAsia" w:ascii="仿宋_GB2312" w:hAnsi="宋体" w:eastAsia="仿宋_GB2312"/>
          <w:kern w:val="0"/>
          <w:sz w:val="32"/>
          <w:szCs w:val="32"/>
        </w:rPr>
        <w:t xml:space="preserve">3、非税收入征收计划表       </w:t>
      </w:r>
    </w:p>
    <w:p>
      <w:pPr>
        <w:spacing w:line="520" w:lineRule="exact"/>
        <w:rPr>
          <w:rFonts w:ascii="仿宋_GB2312" w:hAnsi="宋体" w:eastAsia="仿宋_GB2312"/>
          <w:kern w:val="0"/>
          <w:sz w:val="32"/>
          <w:szCs w:val="32"/>
        </w:rPr>
      </w:pPr>
      <w:r>
        <w:rPr>
          <w:rFonts w:hint="eastAsia" w:ascii="仿宋_GB2312" w:hAnsi="宋体" w:eastAsia="仿宋_GB2312"/>
          <w:kern w:val="0"/>
          <w:sz w:val="32"/>
          <w:szCs w:val="32"/>
        </w:rPr>
        <w:t>4、支出预算分类汇总表(部门经济分类）</w:t>
      </w:r>
    </w:p>
    <w:p>
      <w:pPr>
        <w:spacing w:line="520" w:lineRule="exact"/>
        <w:rPr>
          <w:rFonts w:ascii="仿宋_GB2312" w:hAnsi="宋体" w:eastAsia="仿宋_GB2312"/>
          <w:kern w:val="0"/>
          <w:sz w:val="32"/>
          <w:szCs w:val="32"/>
        </w:rPr>
      </w:pPr>
      <w:r>
        <w:rPr>
          <w:rFonts w:hint="eastAsia" w:ascii="仿宋_GB2312" w:hAnsi="宋体" w:eastAsia="仿宋_GB2312"/>
          <w:kern w:val="0"/>
          <w:sz w:val="32"/>
          <w:szCs w:val="32"/>
        </w:rPr>
        <w:t>5、支出预算分类汇总表（政府经济分类）</w:t>
      </w:r>
    </w:p>
    <w:p>
      <w:pPr>
        <w:spacing w:line="520" w:lineRule="exact"/>
        <w:rPr>
          <w:rFonts w:ascii="仿宋_GB2312" w:hAnsi="宋体" w:eastAsia="仿宋_GB2312"/>
          <w:kern w:val="0"/>
          <w:sz w:val="32"/>
          <w:szCs w:val="32"/>
        </w:rPr>
      </w:pPr>
      <w:r>
        <w:rPr>
          <w:rFonts w:hint="eastAsia" w:ascii="仿宋_GB2312" w:hAnsi="宋体" w:eastAsia="仿宋_GB2312"/>
          <w:kern w:val="0"/>
          <w:sz w:val="32"/>
          <w:szCs w:val="32"/>
        </w:rPr>
        <w:t>6、基本支出预算明细表-工资福利支出</w:t>
      </w:r>
    </w:p>
    <w:p>
      <w:pPr>
        <w:spacing w:line="520" w:lineRule="exact"/>
        <w:rPr>
          <w:rFonts w:ascii="仿宋_GB2312" w:hAnsi="宋体" w:eastAsia="仿宋_GB2312"/>
          <w:kern w:val="0"/>
          <w:sz w:val="32"/>
          <w:szCs w:val="32"/>
        </w:rPr>
      </w:pPr>
      <w:r>
        <w:rPr>
          <w:rFonts w:hint="eastAsia" w:ascii="仿宋_GB2312" w:hAnsi="宋体" w:eastAsia="仿宋_GB2312"/>
          <w:kern w:val="0"/>
          <w:sz w:val="32"/>
          <w:szCs w:val="32"/>
        </w:rPr>
        <w:t>7、基本支出预算明细表-商品和服务支出</w:t>
      </w:r>
    </w:p>
    <w:p>
      <w:pPr>
        <w:spacing w:line="520" w:lineRule="exact"/>
        <w:rPr>
          <w:rFonts w:ascii="仿宋_GB2312" w:hAnsi="宋体" w:eastAsia="仿宋_GB2312"/>
          <w:kern w:val="0"/>
          <w:sz w:val="32"/>
          <w:szCs w:val="32"/>
        </w:rPr>
      </w:pPr>
      <w:r>
        <w:rPr>
          <w:rFonts w:hint="eastAsia" w:ascii="仿宋_GB2312" w:hAnsi="宋体" w:eastAsia="仿宋_GB2312"/>
          <w:kern w:val="0"/>
          <w:sz w:val="32"/>
          <w:szCs w:val="32"/>
        </w:rPr>
        <w:t>8、基本支出预算明细表-对个人和家庭的补助</w:t>
      </w:r>
    </w:p>
    <w:p>
      <w:pPr>
        <w:spacing w:line="520" w:lineRule="exact"/>
        <w:rPr>
          <w:rFonts w:ascii="仿宋_GB2312" w:hAnsi="宋体" w:eastAsia="仿宋_GB2312"/>
          <w:kern w:val="0"/>
          <w:sz w:val="32"/>
          <w:szCs w:val="32"/>
        </w:rPr>
      </w:pPr>
      <w:r>
        <w:rPr>
          <w:rFonts w:hint="eastAsia" w:ascii="仿宋_GB2312" w:hAnsi="宋体" w:eastAsia="仿宋_GB2312"/>
          <w:kern w:val="0"/>
          <w:sz w:val="32"/>
          <w:szCs w:val="32"/>
        </w:rPr>
        <w:t>9、公共财政拨款支出预算分类汇总表</w:t>
      </w:r>
    </w:p>
    <w:p>
      <w:pPr>
        <w:spacing w:line="520" w:lineRule="exact"/>
        <w:rPr>
          <w:rFonts w:ascii="仿宋_GB2312" w:hAnsi="宋体" w:eastAsia="仿宋_GB2312"/>
          <w:kern w:val="0"/>
          <w:sz w:val="32"/>
          <w:szCs w:val="32"/>
        </w:rPr>
      </w:pPr>
      <w:r>
        <w:rPr>
          <w:rFonts w:hint="eastAsia" w:ascii="仿宋_GB2312" w:hAnsi="宋体" w:eastAsia="仿宋_GB2312"/>
          <w:kern w:val="0"/>
          <w:sz w:val="32"/>
          <w:szCs w:val="32"/>
        </w:rPr>
        <w:t>10、政府性基金拨款支出预算分类汇总表</w:t>
      </w:r>
    </w:p>
    <w:p>
      <w:pPr>
        <w:spacing w:line="520" w:lineRule="exact"/>
        <w:rPr>
          <w:rFonts w:ascii="仿宋_GB2312" w:hAnsi="宋体" w:eastAsia="仿宋_GB2312"/>
          <w:kern w:val="0"/>
          <w:sz w:val="32"/>
          <w:szCs w:val="32"/>
        </w:rPr>
      </w:pPr>
      <w:r>
        <w:rPr>
          <w:rFonts w:hint="eastAsia" w:ascii="仿宋_GB2312" w:hAnsi="宋体" w:eastAsia="仿宋_GB2312"/>
          <w:kern w:val="0"/>
          <w:sz w:val="32"/>
          <w:szCs w:val="32"/>
        </w:rPr>
        <w:t>11-13、项目支出预算明细表</w:t>
      </w:r>
    </w:p>
    <w:p>
      <w:pPr>
        <w:spacing w:line="520" w:lineRule="exact"/>
        <w:rPr>
          <w:rFonts w:ascii="仿宋_GB2312" w:hAnsi="宋体" w:eastAsia="仿宋_GB2312"/>
          <w:kern w:val="0"/>
          <w:sz w:val="32"/>
          <w:szCs w:val="32"/>
        </w:rPr>
      </w:pPr>
      <w:r>
        <w:rPr>
          <w:rFonts w:hint="eastAsia" w:ascii="仿宋_GB2312" w:hAnsi="宋体" w:eastAsia="仿宋_GB2312"/>
          <w:kern w:val="0"/>
          <w:sz w:val="32"/>
          <w:szCs w:val="32"/>
        </w:rPr>
        <w:t>14、政府采购预算表</w:t>
      </w:r>
    </w:p>
    <w:p>
      <w:pPr>
        <w:spacing w:line="520" w:lineRule="exact"/>
        <w:rPr>
          <w:rFonts w:ascii="仿宋_GB2312" w:hAnsi="宋体" w:eastAsia="仿宋_GB2312"/>
          <w:kern w:val="0"/>
          <w:sz w:val="32"/>
          <w:szCs w:val="32"/>
        </w:rPr>
      </w:pPr>
      <w:r>
        <w:rPr>
          <w:rFonts w:hint="eastAsia" w:ascii="仿宋_GB2312" w:hAnsi="宋体" w:eastAsia="仿宋_GB2312"/>
          <w:kern w:val="0"/>
          <w:sz w:val="32"/>
          <w:szCs w:val="32"/>
        </w:rPr>
        <w:t>15、“三公”经费预算公开表</w:t>
      </w:r>
    </w:p>
    <w:p>
      <w:pPr>
        <w:spacing w:line="520" w:lineRule="exact"/>
        <w:rPr>
          <w:rFonts w:ascii="仿宋_GB2312" w:hAnsi="宋体" w:eastAsia="仿宋_GB2312"/>
          <w:kern w:val="0"/>
          <w:sz w:val="32"/>
          <w:szCs w:val="32"/>
        </w:rPr>
      </w:pPr>
      <w:r>
        <w:rPr>
          <w:rFonts w:hint="eastAsia" w:ascii="仿宋_GB2312" w:hAnsi="宋体" w:eastAsia="仿宋_GB2312"/>
          <w:kern w:val="0"/>
          <w:sz w:val="32"/>
          <w:szCs w:val="32"/>
        </w:rPr>
        <w:t>16、单位基本情况信息表</w:t>
      </w:r>
    </w:p>
    <w:p>
      <w:pPr>
        <w:widowControl/>
        <w:jc w:val="left"/>
        <w:rPr>
          <w:rFonts w:ascii="黑体" w:hAnsi="宋体" w:eastAsia="黑体" w:cs="黑体"/>
          <w:kern w:val="0"/>
          <w:sz w:val="31"/>
          <w:szCs w:val="31"/>
        </w:rPr>
      </w:pPr>
    </w:p>
    <w:p>
      <w:pPr>
        <w:widowControl/>
        <w:jc w:val="left"/>
      </w:pPr>
      <w:r>
        <w:rPr>
          <w:rFonts w:hint="eastAsia" w:ascii="黑体" w:hAnsi="宋体" w:eastAsia="黑体" w:cs="黑体"/>
          <w:kern w:val="0"/>
          <w:sz w:val="31"/>
          <w:szCs w:val="31"/>
        </w:rPr>
        <w:t>第一部分：</w:t>
      </w:r>
    </w:p>
    <w:p>
      <w:pPr>
        <w:widowControl/>
        <w:jc w:val="center"/>
      </w:pPr>
      <w:r>
        <w:rPr>
          <w:rFonts w:hint="eastAsia" w:ascii="宋体" w:hAnsi="宋体" w:eastAsia="宋体" w:cs="宋体"/>
          <w:b/>
          <w:kern w:val="0"/>
          <w:sz w:val="36"/>
          <w:szCs w:val="36"/>
        </w:rPr>
        <w:t>靖州县城市管理和综合执法局2020年预算说明</w:t>
      </w:r>
    </w:p>
    <w:p>
      <w:pPr>
        <w:widowControl/>
      </w:pPr>
      <w:r>
        <w:rPr>
          <w:rFonts w:hint="eastAsia" w:ascii="黑体" w:hAnsi="宋体" w:eastAsia="黑体" w:cs="黑体"/>
          <w:kern w:val="0"/>
          <w:sz w:val="31"/>
          <w:szCs w:val="31"/>
        </w:rPr>
        <w:t xml:space="preserve">一、部门基本概况 </w:t>
      </w:r>
    </w:p>
    <w:p>
      <w:pPr>
        <w:widowControl/>
        <w:jc w:val="left"/>
      </w:pPr>
      <w:r>
        <w:rPr>
          <w:rFonts w:ascii="Times New Roman" w:hAnsi="Times New Roman" w:eastAsia="宋体" w:cs="Times New Roman"/>
          <w:kern w:val="0"/>
          <w:sz w:val="31"/>
          <w:szCs w:val="31"/>
        </w:rPr>
        <w:t>1</w:t>
      </w:r>
      <w:r>
        <w:rPr>
          <w:rFonts w:ascii="仿宋_GB2312" w:hAnsi="仿宋_GB2312" w:eastAsia="仿宋_GB2312" w:cs="仿宋_GB2312"/>
          <w:kern w:val="0"/>
          <w:sz w:val="31"/>
          <w:szCs w:val="31"/>
        </w:rPr>
        <w:t xml:space="preserve">、职能职责 </w:t>
      </w:r>
    </w:p>
    <w:p>
      <w:pPr>
        <w:shd w:val="clear" w:color="auto" w:fill="FFFFFF"/>
        <w:spacing w:line="440" w:lineRule="exact"/>
        <w:ind w:firstLine="620" w:firstLineChars="200"/>
        <w:rPr>
          <w:rFonts w:ascii="仿宋_GB2312" w:hAnsi="宋体" w:eastAsia="仿宋_GB2312"/>
          <w:kern w:val="0"/>
          <w:sz w:val="32"/>
          <w:szCs w:val="32"/>
        </w:rPr>
      </w:pPr>
      <w:r>
        <w:rPr>
          <w:rFonts w:hint="eastAsia" w:ascii="仿宋_GB2312" w:hAnsi="仿宋_GB2312" w:eastAsia="仿宋_GB2312" w:cs="仿宋_GB2312"/>
          <w:kern w:val="0"/>
          <w:sz w:val="31"/>
          <w:szCs w:val="31"/>
        </w:rPr>
        <w:t xml:space="preserve"> </w:t>
      </w:r>
      <w:r>
        <w:rPr>
          <w:rFonts w:hint="eastAsia" w:ascii="仿宋_GB2312" w:hAnsi="宋体" w:eastAsia="仿宋_GB2312"/>
          <w:sz w:val="32"/>
          <w:szCs w:val="32"/>
        </w:rPr>
        <w:t>⑴</w:t>
      </w:r>
      <w:r>
        <w:rPr>
          <w:rFonts w:hint="eastAsia" w:ascii="仿宋_GB2312" w:hAnsi="宋体" w:eastAsia="仿宋_GB2312"/>
          <w:kern w:val="0"/>
          <w:sz w:val="32"/>
          <w:szCs w:val="32"/>
        </w:rPr>
        <w:t>行使市容环境卫生管理方面法律、法规、规章规定的行政处罚权，强制拆除不符合城市容貌标准、环境卫生标准的</w:t>
      </w:r>
      <w:r>
        <w:fldChar w:fldCharType="begin"/>
      </w:r>
      <w:r>
        <w:instrText xml:space="preserve"> HYPERLINK "http://www.govyi.com/book/manage/profession/build/Index.shtml" </w:instrText>
      </w:r>
      <w:r>
        <w:fldChar w:fldCharType="separate"/>
      </w:r>
      <w:r>
        <w:rPr>
          <w:rFonts w:hint="eastAsia" w:ascii="仿宋_GB2312" w:hAnsi="宋体" w:eastAsia="仿宋_GB2312"/>
          <w:kern w:val="0"/>
          <w:sz w:val="32"/>
          <w:szCs w:val="32"/>
        </w:rPr>
        <w:t>建筑</w:t>
      </w:r>
      <w:r>
        <w:rPr>
          <w:rFonts w:hint="eastAsia" w:ascii="仿宋_GB2312" w:hAnsi="宋体" w:eastAsia="仿宋_GB2312"/>
          <w:kern w:val="0"/>
          <w:sz w:val="32"/>
          <w:szCs w:val="32"/>
        </w:rPr>
        <w:fldChar w:fldCharType="end"/>
      </w:r>
      <w:r>
        <w:rPr>
          <w:rFonts w:hint="eastAsia" w:ascii="仿宋_GB2312" w:hAnsi="宋体" w:eastAsia="仿宋_GB2312"/>
          <w:kern w:val="0"/>
          <w:sz w:val="32"/>
          <w:szCs w:val="32"/>
        </w:rPr>
        <w:t>物或者设施。</w:t>
      </w:r>
    </w:p>
    <w:p>
      <w:pPr>
        <w:shd w:val="clear" w:color="auto" w:fill="FFFFFF"/>
        <w:spacing w:line="440" w:lineRule="exact"/>
        <w:ind w:firstLine="640" w:firstLineChars="200"/>
        <w:rPr>
          <w:rFonts w:ascii="仿宋_GB2312" w:hAnsi="宋体" w:eastAsia="仿宋_GB2312"/>
          <w:kern w:val="0"/>
          <w:sz w:val="32"/>
          <w:szCs w:val="32"/>
        </w:rPr>
      </w:pPr>
      <w:r>
        <w:rPr>
          <w:rFonts w:hint="eastAsia" w:ascii="仿宋_GB2312" w:hAnsi="宋体" w:eastAsia="仿宋_GB2312"/>
          <w:sz w:val="32"/>
          <w:szCs w:val="32"/>
        </w:rPr>
        <w:t>⑵</w:t>
      </w:r>
      <w:r>
        <w:rPr>
          <w:rFonts w:hint="eastAsia" w:ascii="仿宋_GB2312" w:hAnsi="宋体" w:eastAsia="仿宋_GB2312"/>
          <w:kern w:val="0"/>
          <w:sz w:val="32"/>
          <w:szCs w:val="32"/>
        </w:rPr>
        <w:t>行使城乡规划管理方面法律、法规、规章规定的未取得建设工程规划许可证进行建设的行政处罚权。</w:t>
      </w:r>
    </w:p>
    <w:p>
      <w:pPr>
        <w:shd w:val="clear" w:color="auto" w:fill="FFFFFF"/>
        <w:spacing w:line="440" w:lineRule="exact"/>
        <w:ind w:firstLine="640" w:firstLineChars="200"/>
        <w:rPr>
          <w:rFonts w:ascii="仿宋_GB2312" w:hAnsi="宋体" w:eastAsia="仿宋_GB2312"/>
          <w:kern w:val="0"/>
          <w:sz w:val="32"/>
          <w:szCs w:val="32"/>
        </w:rPr>
      </w:pPr>
      <w:r>
        <w:rPr>
          <w:rFonts w:hint="eastAsia" w:ascii="仿宋_GB2312" w:hAnsi="宋体" w:eastAsia="仿宋_GB2312"/>
          <w:sz w:val="32"/>
          <w:szCs w:val="32"/>
        </w:rPr>
        <w:t>⑶</w:t>
      </w:r>
      <w:r>
        <w:rPr>
          <w:rFonts w:hint="eastAsia" w:ascii="仿宋_GB2312" w:hAnsi="宋体" w:eastAsia="仿宋_GB2312"/>
          <w:kern w:val="0"/>
          <w:sz w:val="32"/>
          <w:szCs w:val="32"/>
        </w:rPr>
        <w:t>行使园林绿化管理方面法律、法规、规章规定的行政处罚权。</w:t>
      </w:r>
    </w:p>
    <w:p>
      <w:pPr>
        <w:shd w:val="clear" w:color="auto" w:fill="FFFFFF"/>
        <w:spacing w:line="440" w:lineRule="exact"/>
        <w:ind w:firstLine="640" w:firstLineChars="200"/>
        <w:rPr>
          <w:rFonts w:ascii="仿宋_GB2312" w:hAnsi="宋体" w:eastAsia="仿宋_GB2312"/>
          <w:kern w:val="0"/>
          <w:sz w:val="32"/>
          <w:szCs w:val="32"/>
        </w:rPr>
      </w:pPr>
      <w:r>
        <w:rPr>
          <w:rFonts w:hint="eastAsia" w:ascii="仿宋_GB2312" w:hAnsi="宋体" w:eastAsia="仿宋_GB2312"/>
          <w:sz w:val="32"/>
          <w:szCs w:val="32"/>
        </w:rPr>
        <w:t>⑷</w:t>
      </w:r>
      <w:r>
        <w:rPr>
          <w:rFonts w:hint="eastAsia" w:ascii="仿宋_GB2312" w:hAnsi="宋体" w:eastAsia="仿宋_GB2312"/>
          <w:kern w:val="0"/>
          <w:sz w:val="32"/>
          <w:szCs w:val="32"/>
        </w:rPr>
        <w:t>行使</w:t>
      </w:r>
      <w:r>
        <w:fldChar w:fldCharType="begin"/>
      </w:r>
      <w:r>
        <w:instrText xml:space="preserve"> HYPERLINK "http://www.govyi.com/book/manage/profession/city/Index.shtml" </w:instrText>
      </w:r>
      <w:r>
        <w:fldChar w:fldCharType="separate"/>
      </w:r>
      <w:r>
        <w:rPr>
          <w:rFonts w:hint="eastAsia" w:ascii="仿宋_GB2312" w:hAnsi="宋体" w:eastAsia="仿宋_GB2312"/>
          <w:kern w:val="0"/>
          <w:sz w:val="32"/>
          <w:szCs w:val="32"/>
        </w:rPr>
        <w:t>市政</w:t>
      </w:r>
      <w:r>
        <w:rPr>
          <w:rFonts w:hint="eastAsia" w:ascii="仿宋_GB2312" w:hAnsi="宋体" w:eastAsia="仿宋_GB2312"/>
          <w:kern w:val="0"/>
          <w:sz w:val="32"/>
          <w:szCs w:val="32"/>
        </w:rPr>
        <w:fldChar w:fldCharType="end"/>
      </w:r>
      <w:r>
        <w:rPr>
          <w:rFonts w:hint="eastAsia" w:ascii="仿宋_GB2312" w:hAnsi="宋体" w:eastAsia="仿宋_GB2312"/>
          <w:kern w:val="0"/>
          <w:sz w:val="32"/>
          <w:szCs w:val="32"/>
        </w:rPr>
        <w:t>管理方面法律、法规、规章规定的行政处罚权。</w:t>
      </w:r>
    </w:p>
    <w:p>
      <w:pPr>
        <w:shd w:val="clear" w:color="auto" w:fill="FFFFFF"/>
        <w:spacing w:line="440" w:lineRule="exact"/>
        <w:ind w:firstLine="640" w:firstLineChars="200"/>
        <w:rPr>
          <w:rFonts w:ascii="仿宋_GB2312" w:hAnsi="宋体" w:eastAsia="仿宋_GB2312"/>
          <w:kern w:val="0"/>
          <w:sz w:val="32"/>
          <w:szCs w:val="32"/>
        </w:rPr>
      </w:pPr>
      <w:r>
        <w:rPr>
          <w:rFonts w:hint="eastAsia" w:ascii="仿宋_GB2312" w:hAnsi="宋体" w:eastAsia="仿宋_GB2312"/>
          <w:sz w:val="32"/>
          <w:szCs w:val="32"/>
        </w:rPr>
        <w:t>⑸</w:t>
      </w:r>
      <w:r>
        <w:rPr>
          <w:rFonts w:hint="eastAsia" w:ascii="仿宋_GB2312" w:hAnsi="宋体" w:eastAsia="仿宋_GB2312"/>
          <w:kern w:val="0"/>
          <w:sz w:val="32"/>
          <w:szCs w:val="32"/>
        </w:rPr>
        <w:t>行使工商</w:t>
      </w:r>
      <w:r>
        <w:fldChar w:fldCharType="begin"/>
      </w:r>
      <w:r>
        <w:instrText xml:space="preserve"> HYPERLINK "http://www.govyi.com/book/manage/management/administration/Index.shtml" </w:instrText>
      </w:r>
      <w:r>
        <w:fldChar w:fldCharType="separate"/>
      </w:r>
      <w:r>
        <w:rPr>
          <w:rFonts w:hint="eastAsia" w:ascii="仿宋_GB2312" w:hAnsi="宋体" w:eastAsia="仿宋_GB2312"/>
          <w:kern w:val="0"/>
          <w:sz w:val="32"/>
          <w:szCs w:val="32"/>
        </w:rPr>
        <w:t>行政管理</w:t>
      </w:r>
      <w:r>
        <w:rPr>
          <w:rFonts w:hint="eastAsia" w:ascii="仿宋_GB2312" w:hAnsi="宋体" w:eastAsia="仿宋_GB2312"/>
          <w:kern w:val="0"/>
          <w:sz w:val="32"/>
          <w:szCs w:val="32"/>
        </w:rPr>
        <w:fldChar w:fldCharType="end"/>
      </w:r>
      <w:r>
        <w:rPr>
          <w:rFonts w:hint="eastAsia" w:ascii="仿宋_GB2312" w:hAnsi="宋体" w:eastAsia="仿宋_GB2312"/>
          <w:kern w:val="0"/>
          <w:sz w:val="32"/>
          <w:szCs w:val="32"/>
        </w:rPr>
        <w:t>方面法律、法规、规章规定的部分行政处罚权。</w:t>
      </w:r>
    </w:p>
    <w:p>
      <w:pPr>
        <w:shd w:val="clear" w:color="auto" w:fill="FFFFFF"/>
        <w:spacing w:line="440" w:lineRule="exact"/>
        <w:ind w:firstLine="640" w:firstLineChars="200"/>
        <w:rPr>
          <w:rFonts w:ascii="仿宋_GB2312" w:hAnsi="宋体" w:eastAsia="仿宋_GB2312"/>
          <w:kern w:val="0"/>
          <w:sz w:val="32"/>
          <w:szCs w:val="32"/>
        </w:rPr>
      </w:pPr>
      <w:r>
        <w:rPr>
          <w:rFonts w:hint="eastAsia" w:ascii="仿宋_GB2312" w:hAnsi="宋体" w:eastAsia="仿宋_GB2312"/>
          <w:sz w:val="32"/>
          <w:szCs w:val="32"/>
        </w:rPr>
        <w:t>⑹</w:t>
      </w:r>
      <w:r>
        <w:rPr>
          <w:rFonts w:hint="eastAsia" w:ascii="仿宋_GB2312" w:hAnsi="宋体" w:eastAsia="仿宋_GB2312"/>
          <w:kern w:val="0"/>
          <w:sz w:val="32"/>
          <w:szCs w:val="32"/>
        </w:rPr>
        <w:t>行使城市公安交通管理方面法律、法规、规章规定的在机动车道以外违规停放车辆、摆摊设点、堆物作业等占用城市道路行为的行政处罚权。</w:t>
      </w:r>
    </w:p>
    <w:p>
      <w:pPr>
        <w:shd w:val="clear" w:color="auto" w:fill="FFFFFF"/>
        <w:spacing w:line="440" w:lineRule="exact"/>
        <w:ind w:firstLine="640" w:firstLineChars="200"/>
        <w:rPr>
          <w:rFonts w:ascii="仿宋_GB2312" w:hAnsi="宋体" w:eastAsia="仿宋_GB2312"/>
          <w:kern w:val="0"/>
          <w:sz w:val="32"/>
          <w:szCs w:val="32"/>
        </w:rPr>
      </w:pPr>
      <w:r>
        <w:rPr>
          <w:rFonts w:hint="eastAsia" w:ascii="仿宋_GB2312" w:hAnsi="宋体" w:eastAsia="仿宋_GB2312"/>
          <w:sz w:val="32"/>
          <w:szCs w:val="32"/>
        </w:rPr>
        <w:t>⑺</w:t>
      </w:r>
      <w:r>
        <w:rPr>
          <w:rFonts w:hint="eastAsia" w:ascii="仿宋_GB2312" w:hAnsi="宋体" w:eastAsia="仿宋_GB2312"/>
          <w:kern w:val="0"/>
          <w:sz w:val="32"/>
          <w:szCs w:val="32"/>
        </w:rPr>
        <w:t>行使公安管理方面法律、法规、规章规定的违反烟花爆竹禁放管理规定行为的行政处罚权。</w:t>
      </w:r>
    </w:p>
    <w:p>
      <w:pPr>
        <w:shd w:val="clear" w:color="auto" w:fill="FFFFFF"/>
        <w:spacing w:line="440" w:lineRule="exact"/>
        <w:ind w:firstLine="640" w:firstLineChars="200"/>
        <w:rPr>
          <w:rFonts w:ascii="仿宋_GB2312" w:hAnsi="宋体" w:eastAsia="仿宋_GB2312"/>
          <w:kern w:val="0"/>
          <w:sz w:val="32"/>
          <w:szCs w:val="32"/>
        </w:rPr>
      </w:pPr>
      <w:r>
        <w:rPr>
          <w:rFonts w:hint="eastAsia" w:ascii="仿宋_GB2312" w:hAnsi="宋体" w:eastAsia="仿宋_GB2312"/>
          <w:sz w:val="32"/>
          <w:szCs w:val="32"/>
        </w:rPr>
        <w:t>⑻</w:t>
      </w:r>
      <w:r>
        <w:rPr>
          <w:rFonts w:hint="eastAsia" w:ascii="仿宋_GB2312" w:hAnsi="宋体" w:eastAsia="仿宋_GB2312"/>
          <w:kern w:val="0"/>
          <w:sz w:val="32"/>
          <w:szCs w:val="32"/>
        </w:rPr>
        <w:t>行使城市公共客运管理方面法律、法规、规章规定的行政处罚权；行使农村客运汽车、长途客运汽车在城区停靠、拉客行为的行政处罚权。</w:t>
      </w:r>
    </w:p>
    <w:p>
      <w:pPr>
        <w:shd w:val="clear" w:color="auto" w:fill="FFFFFF"/>
        <w:spacing w:line="440" w:lineRule="exact"/>
        <w:ind w:firstLine="640" w:firstLineChars="200"/>
        <w:rPr>
          <w:rFonts w:ascii="仿宋_GB2312" w:hAnsi="宋体" w:eastAsia="仿宋_GB2312"/>
          <w:kern w:val="0"/>
          <w:sz w:val="32"/>
          <w:szCs w:val="32"/>
        </w:rPr>
      </w:pPr>
      <w:r>
        <w:rPr>
          <w:rFonts w:hint="eastAsia" w:ascii="仿宋_GB2312" w:hAnsi="宋体" w:eastAsia="仿宋_GB2312"/>
          <w:sz w:val="32"/>
          <w:szCs w:val="32"/>
        </w:rPr>
        <w:t>⑼</w:t>
      </w:r>
      <w:r>
        <w:rPr>
          <w:rFonts w:hint="eastAsia" w:ascii="仿宋_GB2312" w:hAnsi="宋体" w:eastAsia="仿宋_GB2312"/>
          <w:kern w:val="0"/>
          <w:sz w:val="32"/>
          <w:szCs w:val="32"/>
        </w:rPr>
        <w:t>行使城市燃气、城市供水管理方面法律、法规、规章规定涉及城市公共管理领域的行政处罚权。</w:t>
      </w:r>
    </w:p>
    <w:p>
      <w:pPr>
        <w:shd w:val="clear" w:color="auto" w:fill="FFFFFF"/>
        <w:spacing w:line="440" w:lineRule="exact"/>
        <w:ind w:left="2" w:leftChars="1" w:firstLine="640" w:firstLineChars="200"/>
        <w:rPr>
          <w:rFonts w:ascii="仿宋_GB2312" w:hAnsi="宋体" w:eastAsia="仿宋_GB2312"/>
          <w:kern w:val="0"/>
          <w:sz w:val="32"/>
          <w:szCs w:val="32"/>
        </w:rPr>
      </w:pPr>
      <w:r>
        <w:rPr>
          <w:rFonts w:hint="eastAsia" w:ascii="仿宋_GB2312" w:hAnsi="宋体" w:eastAsia="仿宋_GB2312"/>
          <w:sz w:val="32"/>
          <w:szCs w:val="32"/>
        </w:rPr>
        <w:t>⑽</w:t>
      </w:r>
      <w:r>
        <w:rPr>
          <w:rFonts w:hint="eastAsia" w:ascii="仿宋_GB2312" w:hAnsi="宋体" w:eastAsia="仿宋_GB2312"/>
          <w:kern w:val="0"/>
          <w:sz w:val="32"/>
          <w:szCs w:val="32"/>
        </w:rPr>
        <w:t>行使环境保护方面法律、法规、规章规定的部分行政处罚权。</w:t>
      </w:r>
    </w:p>
    <w:p>
      <w:pPr>
        <w:shd w:val="clear" w:color="auto" w:fill="FFFFFF"/>
        <w:spacing w:line="440" w:lineRule="exact"/>
        <w:ind w:firstLine="640" w:firstLineChars="200"/>
        <w:rPr>
          <w:rFonts w:ascii="仿宋_GB2312" w:hAnsi="宋体" w:eastAsia="仿宋_GB2312"/>
          <w:kern w:val="0"/>
          <w:sz w:val="32"/>
          <w:szCs w:val="32"/>
        </w:rPr>
      </w:pPr>
      <w:r>
        <w:rPr>
          <w:rFonts w:hint="eastAsia" w:ascii="仿宋_GB2312" w:hAnsi="宋体" w:eastAsia="仿宋_GB2312"/>
          <w:sz w:val="32"/>
          <w:szCs w:val="32"/>
        </w:rPr>
        <w:t>⑾</w:t>
      </w:r>
      <w:r>
        <w:rPr>
          <w:rFonts w:hint="eastAsia" w:ascii="仿宋_GB2312" w:hAnsi="宋体" w:eastAsia="仿宋_GB2312"/>
          <w:kern w:val="0"/>
          <w:sz w:val="32"/>
          <w:szCs w:val="32"/>
        </w:rPr>
        <w:t>履行省人民政府、怀化市人民政府和靖州苗族侗族自治县人民政府依法规定的其他职责。</w:t>
      </w:r>
    </w:p>
    <w:p>
      <w:pPr>
        <w:shd w:val="clear" w:color="auto" w:fill="FFFFFF"/>
        <w:spacing w:line="440" w:lineRule="exact"/>
        <w:ind w:left="2" w:leftChars="1" w:firstLine="640" w:firstLineChars="200"/>
        <w:rPr>
          <w:rFonts w:ascii="仿宋_GB2312" w:hAnsi="宋体" w:eastAsia="仿宋_GB2312"/>
          <w:kern w:val="0"/>
          <w:sz w:val="32"/>
          <w:szCs w:val="32"/>
        </w:rPr>
      </w:pPr>
      <w:r>
        <w:rPr>
          <w:rFonts w:hint="eastAsia" w:ascii="仿宋_GB2312" w:hAnsi="宋体" w:eastAsia="仿宋_GB2312"/>
          <w:sz w:val="32"/>
          <w:szCs w:val="32"/>
        </w:rPr>
        <w:t>⑿</w:t>
      </w:r>
      <w:r>
        <w:rPr>
          <w:rFonts w:hint="eastAsia" w:ascii="仿宋_GB2312" w:hAnsi="宋体" w:eastAsia="仿宋_GB2312"/>
          <w:kern w:val="0"/>
          <w:sz w:val="32"/>
          <w:szCs w:val="32"/>
        </w:rPr>
        <w:t>行使园林、市政、路灯、燃气、市容环境卫生、广告、城市供水等方面的行政许可权。</w:t>
      </w:r>
    </w:p>
    <w:p>
      <w:pPr>
        <w:widowControl/>
        <w:jc w:val="left"/>
        <w:rPr>
          <w:rFonts w:ascii="仿宋_GB2312" w:hAnsi="仿宋_GB2312" w:eastAsia="仿宋_GB2312" w:cs="仿宋_GB2312"/>
          <w:kern w:val="0"/>
          <w:sz w:val="31"/>
          <w:szCs w:val="31"/>
        </w:rPr>
      </w:pPr>
      <w:r>
        <w:rPr>
          <w:rFonts w:ascii="Times New Roman" w:hAnsi="Times New Roman" w:eastAsia="宋体" w:cs="Times New Roman"/>
          <w:kern w:val="0"/>
          <w:sz w:val="31"/>
          <w:szCs w:val="31"/>
        </w:rPr>
        <w:t>2</w:t>
      </w:r>
      <w:r>
        <w:rPr>
          <w:rFonts w:ascii="仿宋_GB2312" w:hAnsi="仿宋_GB2312" w:eastAsia="仿宋_GB2312" w:cs="仿宋_GB2312"/>
          <w:kern w:val="0"/>
          <w:sz w:val="31"/>
          <w:szCs w:val="31"/>
        </w:rPr>
        <w:t xml:space="preserve">、机构设置 </w:t>
      </w:r>
    </w:p>
    <w:p>
      <w:pPr>
        <w:spacing w:line="520" w:lineRule="exact"/>
        <w:ind w:firstLine="620" w:firstLineChars="200"/>
        <w:rPr>
          <w:rFonts w:ascii="仿宋_GB2312" w:hAnsi="仿宋" w:eastAsia="仿宋_GB2312"/>
          <w:sz w:val="32"/>
          <w:szCs w:val="32"/>
        </w:rPr>
      </w:pPr>
      <w:r>
        <w:rPr>
          <w:rFonts w:hint="eastAsia" w:ascii="仿宋_GB2312" w:hAnsi="仿宋_GB2312" w:eastAsia="仿宋_GB2312" w:cs="仿宋_GB2312"/>
          <w:kern w:val="0"/>
          <w:sz w:val="31"/>
          <w:szCs w:val="31"/>
        </w:rPr>
        <w:t xml:space="preserve">   </w:t>
      </w:r>
      <w:r>
        <w:rPr>
          <w:rFonts w:ascii="仿宋_GB2312" w:hAnsi="仿宋_GB2312" w:eastAsia="仿宋_GB2312" w:cs="仿宋_GB2312"/>
          <w:kern w:val="0"/>
          <w:sz w:val="31"/>
          <w:szCs w:val="31"/>
        </w:rPr>
        <w:t>根据编委核定，</w:t>
      </w:r>
      <w:r>
        <w:rPr>
          <w:rFonts w:hint="eastAsia" w:ascii="仿宋_GB2312" w:hAnsi="宋体" w:eastAsia="仿宋_GB2312"/>
          <w:sz w:val="32"/>
          <w:szCs w:val="32"/>
        </w:rPr>
        <w:t>我单位是全额拨款</w:t>
      </w:r>
      <w:r>
        <w:rPr>
          <w:rFonts w:hint="eastAsia" w:ascii="仿宋_GB2312" w:eastAsia="仿宋_GB2312"/>
          <w:sz w:val="32"/>
          <w:szCs w:val="32"/>
        </w:rPr>
        <w:t>的事业单位</w:t>
      </w:r>
      <w:r>
        <w:rPr>
          <w:rFonts w:hint="eastAsia" w:ascii="仿宋_GB2312" w:hAnsi="宋体" w:eastAsia="仿宋_GB2312"/>
          <w:sz w:val="32"/>
          <w:szCs w:val="32"/>
        </w:rPr>
        <w:t>，</w:t>
      </w:r>
      <w:r>
        <w:rPr>
          <w:rFonts w:hint="eastAsia" w:ascii="仿宋_GB2312" w:hAnsi="仿宋" w:eastAsia="仿宋_GB2312"/>
          <w:sz w:val="32"/>
          <w:szCs w:val="32"/>
        </w:rPr>
        <w:t>在职人员全额编制数为80人，现在实际人数为63人；自收自支编制数为11人，现在实际人数为10人。其中：在职人员正科级2人，副科级5人，科员3人，工勤人员63人。</w:t>
      </w:r>
      <w:r>
        <w:rPr>
          <w:rFonts w:hint="eastAsia" w:ascii="仿宋_GB2312" w:hAnsi="宋体" w:eastAsia="仿宋_GB2312"/>
          <w:sz w:val="32"/>
          <w:szCs w:val="32"/>
        </w:rPr>
        <w:t>现有正式退休人员10人，提前退休人员4人。本单位内设办公室、财务室、综合督查室、政策法规股、执法办案室，公用事业服务站、路灯办、建筑垃圾管理办、燃气管理办、广告办、市容执法队、打非执法队为我局下属二级机构。</w:t>
      </w:r>
    </w:p>
    <w:p>
      <w:pPr>
        <w:widowControl/>
        <w:jc w:val="left"/>
      </w:pPr>
    </w:p>
    <w:p>
      <w:pPr>
        <w:spacing w:line="520" w:lineRule="exact"/>
        <w:rPr>
          <w:rFonts w:ascii="黑体" w:eastAsia="黑体"/>
          <w:sz w:val="32"/>
          <w:szCs w:val="32"/>
        </w:rPr>
      </w:pPr>
      <w:r>
        <w:rPr>
          <w:rFonts w:hint="eastAsia" w:ascii="黑体" w:hAnsi="宋体" w:eastAsia="黑体"/>
          <w:b/>
          <w:kern w:val="0"/>
          <w:sz w:val="32"/>
          <w:szCs w:val="32"/>
        </w:rPr>
        <w:t>二、</w:t>
      </w:r>
      <w:r>
        <w:rPr>
          <w:rFonts w:hint="eastAsia" w:ascii="黑体" w:eastAsia="黑体"/>
          <w:sz w:val="32"/>
          <w:szCs w:val="32"/>
        </w:rPr>
        <w:t>部门收支总体情况</w:t>
      </w:r>
    </w:p>
    <w:p>
      <w:pPr>
        <w:widowControl/>
        <w:spacing w:line="520" w:lineRule="exact"/>
        <w:rPr>
          <w:rFonts w:ascii="仿宋_GB2312" w:hAnsi="宋体" w:eastAsia="仿宋_GB2312"/>
          <w:sz w:val="32"/>
          <w:szCs w:val="32"/>
        </w:rPr>
      </w:pPr>
      <w:r>
        <w:rPr>
          <w:rFonts w:hint="eastAsia" w:ascii="仿宋_GB2312" w:hAnsi="宋体" w:eastAsia="仿宋_GB2312"/>
          <w:sz w:val="32"/>
          <w:szCs w:val="32"/>
        </w:rPr>
        <w:t xml:space="preserve">    2020年预算包括收入、支出及专项经费安排情况。</w:t>
      </w:r>
    </w:p>
    <w:p>
      <w:pPr>
        <w:widowControl/>
        <w:jc w:val="left"/>
        <w:rPr>
          <w:rFonts w:ascii="仿宋_GB2312" w:hAnsi="宋体" w:eastAsia="仿宋_GB2312"/>
          <w:sz w:val="32"/>
          <w:szCs w:val="32"/>
        </w:rPr>
      </w:pPr>
      <w:r>
        <w:rPr>
          <w:rFonts w:hint="eastAsia" w:ascii="仿宋_GB2312" w:hAnsi="宋体" w:eastAsia="仿宋_GB2312"/>
          <w:sz w:val="32"/>
          <w:szCs w:val="32"/>
        </w:rPr>
        <w:t xml:space="preserve">    1、收入预算:2020年年初预算数 1268.94 万元,</w:t>
      </w:r>
      <w:r>
        <w:rPr>
          <w:rFonts w:ascii="仿宋_GB2312" w:hAnsi="仿宋_GB2312" w:eastAsia="仿宋_GB2312" w:cs="仿宋_GB2312"/>
          <w:kern w:val="0"/>
          <w:sz w:val="31"/>
          <w:szCs w:val="31"/>
        </w:rPr>
        <w:t xml:space="preserve">一般公共预算拨款 </w:t>
      </w:r>
      <w:r>
        <w:rPr>
          <w:rFonts w:hint="eastAsia" w:ascii="仿宋_GB2312" w:hAnsi="仿宋_GB2312" w:eastAsia="仿宋_GB2312" w:cs="仿宋_GB2312"/>
          <w:kern w:val="0"/>
          <w:sz w:val="31"/>
          <w:szCs w:val="31"/>
        </w:rPr>
        <w:t xml:space="preserve">1268.94 </w:t>
      </w:r>
      <w:r>
        <w:rPr>
          <w:rFonts w:ascii="仿宋_GB2312" w:hAnsi="仿宋_GB2312" w:eastAsia="仿宋_GB2312" w:cs="仿宋_GB2312"/>
          <w:kern w:val="0"/>
          <w:sz w:val="31"/>
          <w:szCs w:val="31"/>
        </w:rPr>
        <w:t>万元（经费拨款</w:t>
      </w:r>
      <w:r>
        <w:rPr>
          <w:rFonts w:hint="eastAsia" w:ascii="仿宋_GB2312" w:hAnsi="仿宋_GB2312" w:eastAsia="仿宋_GB2312" w:cs="仿宋_GB2312"/>
          <w:kern w:val="0"/>
          <w:sz w:val="31"/>
          <w:szCs w:val="31"/>
        </w:rPr>
        <w:t xml:space="preserve"> 1207.94 </w:t>
      </w:r>
      <w:r>
        <w:rPr>
          <w:rFonts w:ascii="仿宋_GB2312" w:hAnsi="仿宋_GB2312" w:eastAsia="仿宋_GB2312" w:cs="仿宋_GB2312"/>
          <w:kern w:val="0"/>
          <w:sz w:val="31"/>
          <w:szCs w:val="31"/>
        </w:rPr>
        <w:t xml:space="preserve">万元，纳入一般公共预算管理的非税收入拨款 </w:t>
      </w:r>
      <w:r>
        <w:rPr>
          <w:rFonts w:hint="eastAsia" w:ascii="仿宋_GB2312" w:hAnsi="仿宋_GB2312" w:eastAsia="仿宋_GB2312" w:cs="仿宋_GB2312"/>
          <w:kern w:val="0"/>
          <w:sz w:val="31"/>
          <w:szCs w:val="31"/>
        </w:rPr>
        <w:t>61</w:t>
      </w:r>
      <w:r>
        <w:rPr>
          <w:rFonts w:ascii="仿宋_GB2312" w:hAnsi="仿宋_GB2312" w:eastAsia="仿宋_GB2312" w:cs="仿宋_GB2312"/>
          <w:kern w:val="0"/>
          <w:sz w:val="31"/>
          <w:szCs w:val="31"/>
        </w:rPr>
        <w:t>万元）</w:t>
      </w:r>
      <w:r>
        <w:rPr>
          <w:rFonts w:hint="eastAsia" w:ascii="仿宋_GB2312" w:hAnsi="仿宋_GB2312" w:eastAsia="仿宋_GB2312" w:cs="仿宋_GB2312"/>
          <w:kern w:val="0"/>
          <w:sz w:val="31"/>
          <w:szCs w:val="31"/>
        </w:rPr>
        <w:t>，</w:t>
      </w:r>
      <w:r>
        <w:rPr>
          <w:rFonts w:hint="eastAsia" w:ascii="仿宋_GB2312" w:hAnsi="宋体" w:eastAsia="仿宋_GB2312"/>
          <w:sz w:val="32"/>
          <w:szCs w:val="32"/>
        </w:rPr>
        <w:t>收入较去年增加105.26万元，主要经费拨款增加105.26 万元。</w:t>
      </w:r>
    </w:p>
    <w:p>
      <w:pPr>
        <w:spacing w:line="520" w:lineRule="exact"/>
        <w:ind w:firstLine="640" w:firstLineChars="200"/>
        <w:rPr>
          <w:rFonts w:ascii="仿宋_GB2312" w:hAnsi="宋体" w:eastAsia="仿宋_GB2312"/>
          <w:sz w:val="32"/>
          <w:szCs w:val="32"/>
        </w:rPr>
      </w:pPr>
      <w:r>
        <w:rPr>
          <w:rFonts w:hint="eastAsia" w:ascii="仿宋_GB2312" w:hAnsi="宋体" w:eastAsia="仿宋_GB2312"/>
          <w:sz w:val="32"/>
          <w:szCs w:val="32"/>
        </w:rPr>
        <w:t>2、支出预算:2020年年初预算数 1268.94 万元 ，其中：工资福利支出 649.84 万元，一般商品和服务支出572.37 万元 ，对个人和家庭补助支出 43.73万元,项目支出3万元。</w:t>
      </w:r>
    </w:p>
    <w:p>
      <w:pPr>
        <w:widowControl/>
        <w:spacing w:line="520" w:lineRule="exact"/>
        <w:rPr>
          <w:rFonts w:ascii="黑体" w:hAnsi="宋体" w:eastAsia="黑体"/>
          <w:kern w:val="0"/>
          <w:sz w:val="32"/>
          <w:szCs w:val="32"/>
        </w:rPr>
      </w:pPr>
      <w:r>
        <w:rPr>
          <w:rFonts w:hint="eastAsia" w:ascii="黑体" w:hAnsi="宋体" w:eastAsia="黑体"/>
          <w:kern w:val="0"/>
          <w:sz w:val="32"/>
          <w:szCs w:val="32"/>
        </w:rPr>
        <w:t>三、一般公共预算拨款支出情况</w:t>
      </w:r>
    </w:p>
    <w:p>
      <w:pPr>
        <w:widowControl/>
        <w:spacing w:line="520" w:lineRule="exact"/>
        <w:rPr>
          <w:rFonts w:ascii="仿宋_GB2312" w:hAnsi="宋体" w:eastAsia="仿宋_GB2312"/>
          <w:kern w:val="0"/>
          <w:sz w:val="32"/>
          <w:szCs w:val="32"/>
        </w:rPr>
      </w:pPr>
      <w:r>
        <w:rPr>
          <w:rFonts w:hint="eastAsia" w:ascii="仿宋_GB2312" w:hAnsi="宋体" w:eastAsia="仿宋_GB2312"/>
          <w:kern w:val="0"/>
          <w:sz w:val="32"/>
          <w:szCs w:val="32"/>
        </w:rPr>
        <w:t xml:space="preserve">    2020年一般公共预算拨款收1268.94 万元，具体安排情况如下：</w:t>
      </w:r>
    </w:p>
    <w:p>
      <w:pPr>
        <w:widowControl/>
        <w:spacing w:line="520" w:lineRule="exact"/>
        <w:rPr>
          <w:rFonts w:ascii="仿宋_GB2312" w:hAnsi="宋体" w:eastAsia="仿宋_GB2312"/>
          <w:sz w:val="32"/>
          <w:szCs w:val="32"/>
        </w:rPr>
      </w:pPr>
      <w:r>
        <w:rPr>
          <w:rFonts w:hint="eastAsia" w:ascii="仿宋_GB2312" w:hAnsi="宋体" w:eastAsia="仿宋_GB2312"/>
          <w:kern w:val="0"/>
          <w:sz w:val="32"/>
          <w:szCs w:val="32"/>
        </w:rPr>
        <w:t xml:space="preserve">    1、基本支出：2020年年初预算数 1265.94 万元，是指为保障单位机构正常运转、完成日常工作任务而发生的各项支出，包括用于基本工资、津贴补贴等人员经费及办公费、水电费、设备购置费日常公用经费等。</w:t>
      </w:r>
      <w:r>
        <w:rPr>
          <w:rFonts w:hint="eastAsia" w:ascii="仿宋_GB2312" w:hAnsi="宋体" w:eastAsia="仿宋_GB2312"/>
          <w:sz w:val="32"/>
          <w:szCs w:val="32"/>
        </w:rPr>
        <w:t xml:space="preserve">其中：工资福利支出649.84 万元 ;一般商品和服务支出 572.37万元，主要用于市容执法、燃气、渣土、广告、市政设施管理等相关工作的开展及保障机关正常工作等;对个人和家庭补助支出  43.73万元主要用于发放退休职工工资和在职人员绩效考核奖金等。  </w:t>
      </w:r>
    </w:p>
    <w:p>
      <w:pPr>
        <w:widowControl/>
        <w:spacing w:line="520" w:lineRule="exact"/>
        <w:rPr>
          <w:rFonts w:ascii="黑体" w:hAnsi="宋体" w:eastAsia="黑体"/>
          <w:kern w:val="0"/>
          <w:sz w:val="32"/>
          <w:szCs w:val="32"/>
        </w:rPr>
      </w:pPr>
      <w:r>
        <w:rPr>
          <w:rFonts w:hint="eastAsia" w:ascii="仿宋_GB2312" w:hAnsi="宋体" w:eastAsia="仿宋_GB2312"/>
          <w:sz w:val="32"/>
          <w:szCs w:val="32"/>
        </w:rPr>
        <w:t xml:space="preserve">    2、项目支出：2020年预算数为3万元，是指单位其他资本性支出，主要用于购买单位办公设备等。</w:t>
      </w:r>
    </w:p>
    <w:p>
      <w:pPr>
        <w:widowControl/>
        <w:spacing w:line="520" w:lineRule="exact"/>
        <w:rPr>
          <w:rFonts w:ascii="黑体" w:hAnsi="宋体" w:eastAsia="黑体"/>
          <w:kern w:val="0"/>
          <w:sz w:val="32"/>
          <w:szCs w:val="32"/>
        </w:rPr>
      </w:pPr>
      <w:r>
        <w:rPr>
          <w:rFonts w:hint="eastAsia" w:ascii="黑体" w:hAnsi="宋体" w:eastAsia="黑体"/>
          <w:kern w:val="0"/>
          <w:sz w:val="32"/>
          <w:szCs w:val="32"/>
        </w:rPr>
        <w:t>四、政府性基金预算收支情况</w:t>
      </w:r>
    </w:p>
    <w:p>
      <w:pPr>
        <w:widowControl/>
        <w:spacing w:line="520" w:lineRule="exact"/>
        <w:rPr>
          <w:rFonts w:ascii="仿宋_GB2312" w:hAnsi="宋体" w:eastAsia="仿宋_GB2312"/>
          <w:sz w:val="32"/>
          <w:szCs w:val="32"/>
        </w:rPr>
      </w:pPr>
      <w:r>
        <w:rPr>
          <w:rFonts w:hint="eastAsia" w:ascii="仿宋_GB2312" w:hAnsi="宋体" w:eastAsia="仿宋_GB2312"/>
          <w:sz w:val="32"/>
          <w:szCs w:val="32"/>
        </w:rPr>
        <w:t xml:space="preserve">    2020年本部门没有政府性基金预算收入，相应没有安排政府性基金预算支出。</w:t>
      </w:r>
    </w:p>
    <w:p>
      <w:pPr>
        <w:spacing w:line="520" w:lineRule="exact"/>
        <w:jc w:val="left"/>
        <w:rPr>
          <w:rFonts w:ascii="黑体" w:hAnsi="宋体" w:eastAsia="黑体"/>
          <w:kern w:val="0"/>
          <w:sz w:val="32"/>
          <w:szCs w:val="32"/>
        </w:rPr>
      </w:pPr>
      <w:r>
        <w:rPr>
          <w:rFonts w:hint="eastAsia" w:ascii="黑体" w:hAnsi="宋体" w:eastAsia="黑体"/>
          <w:kern w:val="0"/>
          <w:sz w:val="32"/>
          <w:szCs w:val="32"/>
        </w:rPr>
        <w:t>五、其他重要事项的情况说明</w:t>
      </w:r>
    </w:p>
    <w:p>
      <w:pPr>
        <w:spacing w:line="520" w:lineRule="exact"/>
        <w:jc w:val="left"/>
        <w:rPr>
          <w:rFonts w:ascii="仿宋_GB2312" w:hAnsi="宋体" w:eastAsia="仿宋_GB2312"/>
          <w:kern w:val="0"/>
          <w:sz w:val="32"/>
          <w:szCs w:val="32"/>
        </w:rPr>
      </w:pPr>
      <w:r>
        <w:rPr>
          <w:rFonts w:hint="eastAsia" w:ascii="仿宋_GB2312" w:hAnsi="宋体" w:eastAsia="仿宋_GB2312"/>
          <w:kern w:val="0"/>
          <w:sz w:val="32"/>
          <w:szCs w:val="32"/>
        </w:rPr>
        <w:t xml:space="preserve">    1、机关运行经费：2020年机关运行经费为 572.37 万元，比2019年预算增加120.67万元。增加原因是因城区路灯数量及景观亮化数量增加，维护费用和电费支出也相应增加，所以增加了机关运行经费支出。</w:t>
      </w:r>
    </w:p>
    <w:p>
      <w:pPr>
        <w:spacing w:line="520" w:lineRule="exact"/>
        <w:jc w:val="left"/>
        <w:rPr>
          <w:rFonts w:ascii="仿宋_GB2312" w:hAnsi="宋体" w:eastAsia="仿宋_GB2312"/>
          <w:kern w:val="0"/>
          <w:sz w:val="32"/>
          <w:szCs w:val="32"/>
        </w:rPr>
      </w:pPr>
      <w:r>
        <w:rPr>
          <w:rFonts w:hint="eastAsia" w:ascii="仿宋_GB2312" w:hAnsi="宋体" w:eastAsia="仿宋_GB2312"/>
          <w:kern w:val="0"/>
          <w:sz w:val="32"/>
          <w:szCs w:val="32"/>
        </w:rPr>
        <w:t xml:space="preserve">    2、“三公”经费：2020年“三公”经费预算数为50.6 万元，其中公务接待费 20万元，公务用车购置及运行费  30.6万元。2020年“三公”经费公务用车购置及运行费预算比2019年减少5.4万元、公务接待费比上年减少 6.8 万元，</w:t>
      </w:r>
      <w:r>
        <w:rPr>
          <w:rFonts w:ascii="仿宋_GB2312" w:hAnsi="仿宋_GB2312" w:eastAsia="仿宋_GB2312" w:cs="仿宋_GB2312"/>
          <w:kern w:val="0"/>
          <w:sz w:val="31"/>
          <w:szCs w:val="31"/>
        </w:rPr>
        <w:t>主要是厉行节约，规范管理，进一步压缩三公经费</w:t>
      </w:r>
      <w:r>
        <w:rPr>
          <w:rFonts w:hint="eastAsia" w:ascii="仿宋_GB2312" w:hAnsi="宋体" w:eastAsia="仿宋_GB2312"/>
          <w:kern w:val="0"/>
          <w:sz w:val="32"/>
          <w:szCs w:val="32"/>
        </w:rPr>
        <w:t>。</w:t>
      </w:r>
    </w:p>
    <w:p>
      <w:pPr>
        <w:spacing w:line="520" w:lineRule="exact"/>
        <w:jc w:val="left"/>
        <w:rPr>
          <w:rFonts w:ascii="仿宋_GB2312" w:hAnsi="宋体" w:eastAsia="仿宋_GB2312"/>
          <w:kern w:val="0"/>
          <w:sz w:val="32"/>
          <w:szCs w:val="32"/>
        </w:rPr>
      </w:pPr>
      <w:r>
        <w:rPr>
          <w:rFonts w:hint="eastAsia" w:ascii="仿宋_GB2312" w:hAnsi="宋体" w:eastAsia="仿宋_GB2312"/>
          <w:kern w:val="0"/>
          <w:sz w:val="32"/>
          <w:szCs w:val="32"/>
        </w:rPr>
        <w:t xml:space="preserve">    3、政府采购情况：2020年根据机关运行情况未安排采购预算。</w:t>
      </w:r>
      <w:bookmarkStart w:id="0" w:name="_GoBack"/>
      <w:bookmarkEnd w:id="0"/>
    </w:p>
    <w:p>
      <w:pPr>
        <w:widowControl/>
        <w:ind w:firstLine="620"/>
        <w:jc w:val="left"/>
        <w:rPr>
          <w:rFonts w:ascii="仿宋_GB2312" w:hAnsi="仿宋_GB2312" w:eastAsia="仿宋_GB2312" w:cs="仿宋_GB2312"/>
          <w:kern w:val="0"/>
          <w:sz w:val="31"/>
          <w:szCs w:val="31"/>
        </w:rPr>
      </w:pPr>
      <w:r>
        <w:rPr>
          <w:rFonts w:hint="eastAsia" w:ascii="仿宋_GB2312" w:hAnsi="仿宋_GB2312" w:eastAsia="仿宋_GB2312" w:cs="仿宋_GB2312"/>
          <w:kern w:val="0"/>
          <w:sz w:val="31"/>
          <w:szCs w:val="31"/>
        </w:rPr>
        <w:t>4、</w:t>
      </w:r>
      <w:r>
        <w:rPr>
          <w:rFonts w:ascii="仿宋_GB2312" w:hAnsi="仿宋_GB2312" w:eastAsia="仿宋_GB2312" w:cs="仿宋_GB2312"/>
          <w:kern w:val="0"/>
          <w:sz w:val="31"/>
          <w:szCs w:val="31"/>
        </w:rPr>
        <w:t xml:space="preserve">国有资产占用使用情况说明：截至 </w:t>
      </w:r>
      <w:r>
        <w:rPr>
          <w:rFonts w:ascii="Times New Roman" w:hAnsi="Times New Roman" w:eastAsia="宋体" w:cs="Times New Roman"/>
          <w:kern w:val="0"/>
          <w:sz w:val="31"/>
          <w:szCs w:val="31"/>
        </w:rPr>
        <w:t>20</w:t>
      </w:r>
      <w:r>
        <w:rPr>
          <w:rFonts w:hint="eastAsia" w:ascii="Times New Roman" w:hAnsi="Times New Roman" w:eastAsia="宋体" w:cs="Times New Roman"/>
          <w:kern w:val="0"/>
          <w:sz w:val="31"/>
          <w:szCs w:val="31"/>
        </w:rPr>
        <w:t>19</w:t>
      </w:r>
      <w:r>
        <w:rPr>
          <w:rFonts w:ascii="仿宋_GB2312" w:hAnsi="仿宋_GB2312" w:eastAsia="仿宋_GB2312" w:cs="仿宋_GB2312"/>
          <w:kern w:val="0"/>
          <w:sz w:val="31"/>
          <w:szCs w:val="31"/>
        </w:rPr>
        <w:t>年</w:t>
      </w:r>
      <w:r>
        <w:rPr>
          <w:rFonts w:hint="eastAsia" w:ascii="仿宋_GB2312" w:hAnsi="仿宋_GB2312" w:eastAsia="仿宋_GB2312" w:cs="仿宋_GB2312"/>
          <w:kern w:val="0"/>
          <w:sz w:val="31"/>
          <w:szCs w:val="31"/>
        </w:rPr>
        <w:t>12</w:t>
      </w:r>
      <w:r>
        <w:rPr>
          <w:rFonts w:ascii="仿宋_GB2312" w:hAnsi="仿宋_GB2312" w:eastAsia="仿宋_GB2312" w:cs="仿宋_GB2312"/>
          <w:kern w:val="0"/>
          <w:sz w:val="31"/>
          <w:szCs w:val="31"/>
        </w:rPr>
        <w:t>月</w:t>
      </w:r>
      <w:r>
        <w:rPr>
          <w:rFonts w:hint="eastAsia" w:ascii="仿宋_GB2312" w:hAnsi="仿宋_GB2312" w:eastAsia="仿宋_GB2312" w:cs="仿宋_GB2312"/>
          <w:kern w:val="0"/>
          <w:sz w:val="31"/>
          <w:szCs w:val="31"/>
        </w:rPr>
        <w:t>31</w:t>
      </w:r>
      <w:r>
        <w:rPr>
          <w:rFonts w:ascii="仿宋_GB2312" w:hAnsi="仿宋_GB2312" w:eastAsia="仿宋_GB2312" w:cs="仿宋_GB2312"/>
          <w:kern w:val="0"/>
          <w:sz w:val="31"/>
          <w:szCs w:val="31"/>
        </w:rPr>
        <w:t>日，共有车</w:t>
      </w:r>
      <w:r>
        <w:rPr>
          <w:rFonts w:hint="eastAsia" w:ascii="仿宋_GB2312" w:hAnsi="仿宋_GB2312" w:eastAsia="仿宋_GB2312" w:cs="仿宋_GB2312"/>
          <w:kern w:val="0"/>
          <w:sz w:val="31"/>
          <w:szCs w:val="31"/>
        </w:rPr>
        <w:t xml:space="preserve">辆12 </w:t>
      </w:r>
      <w:r>
        <w:rPr>
          <w:rFonts w:ascii="仿宋_GB2312" w:hAnsi="仿宋_GB2312" w:eastAsia="仿宋_GB2312" w:cs="仿宋_GB2312"/>
          <w:kern w:val="0"/>
          <w:sz w:val="31"/>
          <w:szCs w:val="31"/>
        </w:rPr>
        <w:t>辆</w:t>
      </w:r>
      <w:r>
        <w:rPr>
          <w:rFonts w:hint="eastAsia" w:ascii="仿宋_GB2312" w:hAnsi="仿宋_GB2312" w:eastAsia="仿宋_GB2312" w:cs="仿宋_GB2312"/>
          <w:kern w:val="0"/>
          <w:sz w:val="31"/>
          <w:szCs w:val="31"/>
        </w:rPr>
        <w:t>：其中1辆为一般公务用车，7辆均为执法车辆，4辆均为专用业务特种车辆</w:t>
      </w:r>
      <w:r>
        <w:rPr>
          <w:rFonts w:ascii="仿宋_GB2312" w:hAnsi="仿宋_GB2312" w:eastAsia="仿宋_GB2312" w:cs="仿宋_GB2312"/>
          <w:kern w:val="0"/>
          <w:sz w:val="31"/>
          <w:szCs w:val="31"/>
        </w:rPr>
        <w:t>。</w:t>
      </w:r>
      <w:r>
        <w:rPr>
          <w:rFonts w:hint="eastAsia" w:ascii="仿宋_GB2312" w:hAnsi="仿宋_GB2312" w:eastAsia="仿宋_GB2312" w:cs="仿宋_GB2312"/>
          <w:kern w:val="0"/>
          <w:sz w:val="31"/>
          <w:szCs w:val="31"/>
        </w:rPr>
        <w:t>我</w:t>
      </w:r>
      <w:r>
        <w:rPr>
          <w:rFonts w:ascii="仿宋_GB2312" w:hAnsi="仿宋_GB2312" w:eastAsia="仿宋_GB2312" w:cs="仿宋_GB2312"/>
          <w:kern w:val="0"/>
          <w:sz w:val="31"/>
          <w:szCs w:val="31"/>
        </w:rPr>
        <w:t>单位</w:t>
      </w:r>
      <w:r>
        <w:rPr>
          <w:rFonts w:hint="eastAsia" w:ascii="仿宋_GB2312" w:hAnsi="仿宋_GB2312" w:eastAsia="仿宋_GB2312" w:cs="仿宋_GB2312"/>
          <w:kern w:val="0"/>
          <w:sz w:val="31"/>
          <w:szCs w:val="31"/>
        </w:rPr>
        <w:t>没有</w:t>
      </w:r>
      <w:r>
        <w:rPr>
          <w:rFonts w:ascii="仿宋_GB2312" w:hAnsi="仿宋_GB2312" w:eastAsia="仿宋_GB2312" w:cs="仿宋_GB2312"/>
          <w:kern w:val="0"/>
          <w:sz w:val="31"/>
          <w:szCs w:val="31"/>
        </w:rPr>
        <w:t>价值</w:t>
      </w:r>
      <w:r>
        <w:rPr>
          <w:rFonts w:hint="eastAsia" w:ascii="仿宋_GB2312" w:hAnsi="仿宋_GB2312" w:eastAsia="仿宋_GB2312" w:cs="仿宋_GB2312"/>
          <w:kern w:val="0"/>
          <w:sz w:val="31"/>
          <w:szCs w:val="31"/>
        </w:rPr>
        <w:t>50</w:t>
      </w:r>
      <w:r>
        <w:rPr>
          <w:rFonts w:ascii="仿宋_GB2312" w:hAnsi="仿宋_GB2312" w:eastAsia="仿宋_GB2312" w:cs="仿宋_GB2312"/>
          <w:kern w:val="0"/>
          <w:sz w:val="31"/>
          <w:szCs w:val="31"/>
        </w:rPr>
        <w:t>万元以上通用设备</w:t>
      </w:r>
      <w:r>
        <w:rPr>
          <w:rFonts w:hint="eastAsia" w:ascii="仿宋_GB2312" w:hAnsi="仿宋_GB2312" w:eastAsia="仿宋_GB2312" w:cs="仿宋_GB2312"/>
          <w:kern w:val="0"/>
          <w:sz w:val="31"/>
          <w:szCs w:val="31"/>
        </w:rPr>
        <w:t>和</w:t>
      </w:r>
      <w:r>
        <w:rPr>
          <w:rFonts w:ascii="仿宋_GB2312" w:hAnsi="仿宋_GB2312" w:eastAsia="仿宋_GB2312" w:cs="仿宋_GB2312"/>
          <w:kern w:val="0"/>
          <w:sz w:val="31"/>
          <w:szCs w:val="31"/>
        </w:rPr>
        <w:t>单位价值</w:t>
      </w:r>
      <w:r>
        <w:rPr>
          <w:rFonts w:hint="eastAsia" w:ascii="仿宋_GB2312" w:hAnsi="仿宋_GB2312" w:eastAsia="仿宋_GB2312" w:cs="仿宋_GB2312"/>
          <w:kern w:val="0"/>
          <w:sz w:val="31"/>
          <w:szCs w:val="31"/>
        </w:rPr>
        <w:t>100</w:t>
      </w:r>
      <w:r>
        <w:rPr>
          <w:rFonts w:ascii="仿宋_GB2312" w:hAnsi="仿宋_GB2312" w:eastAsia="仿宋_GB2312" w:cs="仿宋_GB2312"/>
          <w:kern w:val="0"/>
          <w:sz w:val="31"/>
          <w:szCs w:val="31"/>
        </w:rPr>
        <w:t xml:space="preserve">万元以上专用设备。 </w:t>
      </w:r>
    </w:p>
    <w:p>
      <w:pPr>
        <w:widowControl/>
        <w:ind w:firstLine="620"/>
        <w:jc w:val="left"/>
        <w:rPr>
          <w:rFonts w:ascii="仿宋_GB2312" w:hAnsi="仿宋_GB2312" w:eastAsia="仿宋_GB2312" w:cs="仿宋_GB2312"/>
          <w:kern w:val="0"/>
          <w:sz w:val="31"/>
          <w:szCs w:val="31"/>
        </w:rPr>
      </w:pPr>
      <w:r>
        <w:rPr>
          <w:rFonts w:hint="eastAsia" w:ascii="仿宋_GB2312" w:hAnsi="宋体" w:eastAsia="仿宋_GB2312"/>
          <w:kern w:val="0"/>
          <w:sz w:val="32"/>
          <w:szCs w:val="32"/>
          <w:lang w:val="en-US" w:eastAsia="zh-CN"/>
        </w:rPr>
        <w:t>5</w:t>
      </w:r>
      <w:r>
        <w:rPr>
          <w:rFonts w:hint="eastAsia" w:ascii="仿宋_GB2312" w:hAnsi="宋体" w:eastAsia="仿宋_GB2312"/>
          <w:kern w:val="0"/>
          <w:sz w:val="32"/>
          <w:szCs w:val="32"/>
        </w:rPr>
        <w:t>、一般性支出情况：</w:t>
      </w:r>
      <w:r>
        <w:rPr>
          <w:rFonts w:hint="eastAsia" w:ascii="仿宋_GB2312" w:hAnsi="宋体" w:eastAsia="仿宋_GB2312"/>
          <w:kern w:val="0"/>
          <w:sz w:val="32"/>
          <w:szCs w:val="32"/>
          <w:lang w:val="en-US" w:eastAsia="zh-CN"/>
        </w:rPr>
        <w:t>2020年</w:t>
      </w:r>
      <w:r>
        <w:rPr>
          <w:rFonts w:hint="eastAsia" w:ascii="仿宋_GB2312" w:hAnsi="仿宋_GB2312" w:eastAsia="仿宋_GB2312" w:cs="仿宋_GB2312"/>
          <w:kern w:val="0"/>
          <w:sz w:val="31"/>
          <w:szCs w:val="31"/>
        </w:rPr>
        <w:t>未计划举办节庆、晚会、论坛、赛事活动。</w:t>
      </w:r>
    </w:p>
    <w:p>
      <w:pPr>
        <w:spacing w:line="520" w:lineRule="exact"/>
        <w:jc w:val="left"/>
        <w:rPr>
          <w:rFonts w:ascii="仿宋_GB2312" w:hAnsi="宋体" w:eastAsia="仿宋_GB2312"/>
          <w:b/>
          <w:bCs/>
          <w:kern w:val="0"/>
          <w:sz w:val="32"/>
          <w:szCs w:val="32"/>
        </w:rPr>
      </w:pPr>
      <w:r>
        <w:rPr>
          <w:rFonts w:hint="eastAsia" w:ascii="仿宋_GB2312" w:hAnsi="宋体" w:eastAsia="仿宋_GB2312"/>
          <w:b/>
          <w:bCs/>
          <w:kern w:val="0"/>
          <w:sz w:val="32"/>
          <w:szCs w:val="32"/>
        </w:rPr>
        <w:t>六、名词解释</w:t>
      </w:r>
    </w:p>
    <w:p>
      <w:pPr>
        <w:spacing w:line="520" w:lineRule="exact"/>
        <w:jc w:val="left"/>
        <w:rPr>
          <w:rFonts w:ascii="仿宋_GB2312" w:hAnsi="宋体" w:eastAsia="仿宋_GB2312"/>
          <w:kern w:val="0"/>
          <w:sz w:val="32"/>
          <w:szCs w:val="32"/>
        </w:rPr>
      </w:pPr>
      <w:r>
        <w:rPr>
          <w:rFonts w:hint="eastAsia" w:ascii="仿宋_GB2312" w:hAnsi="宋体" w:eastAsia="仿宋_GB2312"/>
          <w:kern w:val="0"/>
          <w:sz w:val="32"/>
          <w:szCs w:val="32"/>
        </w:rPr>
        <w:t xml:space="preserve">    1、机关运行经费：是指各部门的公用经费，包括办公及印刷费、邮电费、差旅费、会议费、福利费、日常维修费、专用资料及一般设备购置费、办公用房水电费、办公用房取暖费、办公用房物业管理费、公务用车运行维护费以及其他费用。 </w:t>
      </w:r>
    </w:p>
    <w:p>
      <w:pPr>
        <w:spacing w:line="520" w:lineRule="exact"/>
        <w:jc w:val="left"/>
      </w:pPr>
      <w:r>
        <w:rPr>
          <w:rFonts w:hint="eastAsia" w:ascii="仿宋_GB2312" w:hAnsi="宋体" w:eastAsia="仿宋_GB2312"/>
          <w:kern w:val="0"/>
          <w:sz w:val="32"/>
          <w:szCs w:val="32"/>
        </w:rPr>
        <w:t xml:space="preserve">    2、“三公”经费：纳入财政预算管理的“三公“经费，是指用一般公共预算拨款安排的公务接待费、公务用车购置及运行维护费和因公出国（境）费。其中，公务接待费反映单位按规定开支的各类公务接待支出；公务用车购置及运行费反映单位公务用车车辆购置支出（含车辆购置税），以及燃料费、维修费、保险费等支出；因公出国（境）费反映单位公务出国（境）的国际旅费、国外城市间交通费、食宿费等支出。 </w:t>
      </w: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_GB2312">
    <w:altName w:val="仿宋"/>
    <w:panose1 w:val="00000000000000000000"/>
    <w:charset w:val="00"/>
    <w:family w:val="auto"/>
    <w:pitch w:val="default"/>
    <w:sig w:usb0="00000000" w:usb1="00000000" w:usb2="00000000" w:usb3="00000000" w:csb0="00000000" w:csb1="00000000"/>
  </w:font>
  <w:font w:name="Arial Unicode MS">
    <w:panose1 w:val="020B0604020202020204"/>
    <w:charset w:val="86"/>
    <w:family w:val="roman"/>
    <w:pitch w:val="default"/>
    <w:sig w:usb0="FFFFFFFF" w:usb1="E9FFFFFF" w:usb2="0000003F" w:usb3="00000000" w:csb0="603F01FF" w:csb1="FFFF0000"/>
  </w:font>
  <w:font w:name="仿宋">
    <w:panose1 w:val="02010609060101010101"/>
    <w:charset w:val="86"/>
    <w:family w:val="modern"/>
    <w:pitch w:val="default"/>
    <w:sig w:usb0="800002BF" w:usb1="38CF7CFA" w:usb2="00000016" w:usb3="00000000" w:csb0="00040001" w:csb1="00000000"/>
  </w:font>
  <w:font w:name="仿宋_GB2312">
    <w:altName w:val="仿宋"/>
    <w:panose1 w:val="02010609030101010101"/>
    <w:charset w:val="86"/>
    <w:family w:val="modern"/>
    <w:pitch w:val="default"/>
    <w:sig w:usb0="00000000" w:usb1="00000000" w:usb2="00000010" w:usb3="00000000" w:csb0="00040000"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val="1"/>
  <w:bordersDoNotSurroundFooter w:val="1"/>
  <w:documentProtection w:enforcement="0"/>
  <w:defaultTabStop w:val="420"/>
  <w:drawingGridVerticalSpacing w:val="156"/>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2"/>
  </w:compat>
  <w:rsids>
    <w:rsidRoot w:val="78C75E25"/>
    <w:rsid w:val="0001099C"/>
    <w:rsid w:val="000C3EAB"/>
    <w:rsid w:val="000F1F4B"/>
    <w:rsid w:val="001732AD"/>
    <w:rsid w:val="001C67AA"/>
    <w:rsid w:val="00331D5B"/>
    <w:rsid w:val="00582413"/>
    <w:rsid w:val="007369BE"/>
    <w:rsid w:val="00766DFE"/>
    <w:rsid w:val="007F01F4"/>
    <w:rsid w:val="008D24C3"/>
    <w:rsid w:val="00AC5CB8"/>
    <w:rsid w:val="00C96A28"/>
    <w:rsid w:val="00CE1FE1"/>
    <w:rsid w:val="00D05FD3"/>
    <w:rsid w:val="00E15E83"/>
    <w:rsid w:val="00EE0F8E"/>
    <w:rsid w:val="00EE6588"/>
    <w:rsid w:val="00F22FA0"/>
    <w:rsid w:val="00F737DF"/>
    <w:rsid w:val="00FB105C"/>
    <w:rsid w:val="035F1D41"/>
    <w:rsid w:val="0CCE2DE0"/>
    <w:rsid w:val="139350DC"/>
    <w:rsid w:val="15D2205D"/>
    <w:rsid w:val="1B876975"/>
    <w:rsid w:val="253E38F0"/>
    <w:rsid w:val="26DF4AA4"/>
    <w:rsid w:val="29537F65"/>
    <w:rsid w:val="34D96FB6"/>
    <w:rsid w:val="3B3564D1"/>
    <w:rsid w:val="3B3C39B8"/>
    <w:rsid w:val="3F870FA4"/>
    <w:rsid w:val="432D34DA"/>
    <w:rsid w:val="46784AC8"/>
    <w:rsid w:val="47C50CF5"/>
    <w:rsid w:val="4EA63E4C"/>
    <w:rsid w:val="52595583"/>
    <w:rsid w:val="53560643"/>
    <w:rsid w:val="57F318D0"/>
    <w:rsid w:val="5B174B77"/>
    <w:rsid w:val="647148F0"/>
    <w:rsid w:val="678D2522"/>
    <w:rsid w:val="68E93E01"/>
    <w:rsid w:val="69D67E15"/>
    <w:rsid w:val="6AE3772B"/>
    <w:rsid w:val="707865F0"/>
    <w:rsid w:val="71BF58F1"/>
    <w:rsid w:val="78C75E25"/>
    <w:rsid w:val="7A5D28A5"/>
    <w:rsid w:val="7BD72E49"/>
    <w:rsid w:val="7BF33472"/>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Calibri" w:hAnsi="Calibri"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iPriority="1"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5">
    <w:name w:val="Default Paragraph Font"/>
    <w:semiHidden/>
    <w:unhideWhenUsed/>
    <w:uiPriority w:val="1"/>
  </w:style>
  <w:style w:type="table" w:default="1" w:styleId="4">
    <w:name w:val="Normal Table"/>
    <w:semiHidden/>
    <w:unhideWhenUsed/>
    <w:qFormat/>
    <w:uiPriority w:val="99"/>
    <w:tblPr>
      <w:tblCellMar>
        <w:top w:w="0" w:type="dxa"/>
        <w:left w:w="108" w:type="dxa"/>
        <w:bottom w:w="0" w:type="dxa"/>
        <w:right w:w="108" w:type="dxa"/>
      </w:tblCellMar>
    </w:tblPr>
  </w:style>
  <w:style w:type="paragraph" w:styleId="2">
    <w:name w:val="footer"/>
    <w:basedOn w:val="1"/>
    <w:link w:val="7"/>
    <w:uiPriority w:val="0"/>
    <w:pPr>
      <w:tabs>
        <w:tab w:val="center" w:pos="4153"/>
        <w:tab w:val="right" w:pos="8306"/>
      </w:tabs>
      <w:snapToGrid w:val="0"/>
      <w:jc w:val="left"/>
    </w:pPr>
    <w:rPr>
      <w:sz w:val="18"/>
      <w:szCs w:val="18"/>
    </w:rPr>
  </w:style>
  <w:style w:type="paragraph" w:styleId="3">
    <w:name w:val="header"/>
    <w:basedOn w:val="1"/>
    <w:link w:val="6"/>
    <w:uiPriority w:val="0"/>
    <w:pPr>
      <w:pBdr>
        <w:bottom w:val="single" w:color="auto" w:sz="6" w:space="1"/>
      </w:pBdr>
      <w:tabs>
        <w:tab w:val="center" w:pos="4153"/>
        <w:tab w:val="right" w:pos="8306"/>
      </w:tabs>
      <w:snapToGrid w:val="0"/>
      <w:jc w:val="center"/>
    </w:pPr>
    <w:rPr>
      <w:sz w:val="18"/>
      <w:szCs w:val="18"/>
    </w:rPr>
  </w:style>
  <w:style w:type="character" w:customStyle="1" w:styleId="6">
    <w:name w:val="页眉 Char"/>
    <w:basedOn w:val="5"/>
    <w:link w:val="3"/>
    <w:uiPriority w:val="0"/>
    <w:rPr>
      <w:rFonts w:asciiTheme="minorHAnsi" w:hAnsiTheme="minorHAnsi" w:eastAsiaTheme="minorEastAsia" w:cstheme="minorBidi"/>
      <w:kern w:val="2"/>
      <w:sz w:val="18"/>
      <w:szCs w:val="18"/>
    </w:rPr>
  </w:style>
  <w:style w:type="character" w:customStyle="1" w:styleId="7">
    <w:name w:val="页脚 Char"/>
    <w:basedOn w:val="5"/>
    <w:link w:val="2"/>
    <w:uiPriority w:val="0"/>
    <w:rPr>
      <w:rFonts w:asciiTheme="minorHAnsi" w:hAnsiTheme="minorHAnsi" w:eastAsiaTheme="minorEastAsia" w:cstheme="minorBidi"/>
      <w:kern w:val="2"/>
      <w:sz w:val="18"/>
      <w:szCs w:val="18"/>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5</Pages>
  <Words>402</Words>
  <Characters>2298</Characters>
  <Lines>19</Lines>
  <Paragraphs>5</Paragraphs>
  <TotalTime>0</TotalTime>
  <ScaleCrop>false</ScaleCrop>
  <LinksUpToDate>false</LinksUpToDate>
  <CharactersWithSpaces>2695</CharactersWithSpaces>
  <Application>WPS Office_11.1.0.9740_F1E327BC-269C-435d-A152-05C5408002CA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2020-04-20T07:41:00Z</dcterms:created>
  <dc:creator>jzhs</dc:creator>
  <cp:lastModifiedBy>jzhs</cp:lastModifiedBy>
  <cp:lastPrinted>2020-06-08T07:18:00Z</cp:lastPrinted>
  <dcterms:modified xsi:type="dcterms:W3CDTF">2020-07-08T08:55:44Z</dcterms:modified>
  <cp:revision>9</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2052-11.1.0.9740</vt:lpwstr>
  </property>
</Properties>
</file>