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2021年靖州县太阳坪乡部门预算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靖州县 太阳坪乡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执行本级人民代表大会决议以及上级国家行政机关的决定和命令。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执行本乡的社会和经济发展计划、预算，管理本乡内的经济、教育、科技、文化、卫生、体育事业和财政、民政、治安、人民调解、安全生产监督管理、卫计等行政工作。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保护社会主义的全民所有财产和劳动群众集体所有财产，保护公民私人所有的合法财产，维护社会秩序，保障公民的人身权利、民主权利和其他权利。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贯彻执行党和国家的民族宗教政策，保障少数民族的权利和尊重少数民族的风俗习惯，尊重民族宗教信仰。</w:t>
      </w:r>
    </w:p>
    <w:p>
      <w:pPr>
        <w:autoSpaceDE w:val="0"/>
        <w:spacing w:before="180" w:beforeLines="0" w:after="180" w:afterLines="0" w:line="52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办理上级人民政府交办的其他事项。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根据编委核定，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全额拨款的行政单位，在职人员行政编制数为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人。其中：在职人员副处级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人，正科级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人。现有退休人员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本单位内设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color w:val="auto"/>
          <w:sz w:val="32"/>
          <w:szCs w:val="32"/>
        </w:rPr>
        <w:t>办公室、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建办公室、经济发展办公室（农业农村工作办公室、扶贫开发办公室）、社会事务办公室（行政审批服务办公室、卫生健康办公室）、社会治安和应急管理办公室、自然资源和生态环境办公室、社会事务综合服务中心（文化综合服务站、退役军人服务站）、农业综合服务中心、政务服务中心、综合行政技法大队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340.13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一般公共预算拨款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340.13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340.13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340.13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19.1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401.52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218.25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71.6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50.23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340.13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340.13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218.25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71.6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办公费、印刷费、水电费、邮电费、取暖费、差旅费、会议会、维修（护）费、培训费、公务接待、劳务费、工会经费、公务用车运行维护费、其它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2021年太阳坪乡没有项目预算，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71.6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20.63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14.96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6.8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8.16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年持平、公务接待费比上年减少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5.8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乡人代会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乡党代会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年终总结会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450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农业技术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等培训，人数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200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未计划举办节庆、晚会、论坛、赛事 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：2021年我单位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0万元，政府采购服务预算   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2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</w:t>
      </w:r>
      <w:bookmarkStart w:id="0" w:name="_GoBack"/>
      <w:bookmarkEnd w:id="0"/>
      <w:r>
        <w:rPr>
          <w:rFonts w:eastAsia="仿宋_GB2312"/>
          <w:sz w:val="32"/>
          <w:szCs w:val="32"/>
        </w:rPr>
        <w:t>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2A86FC2"/>
    <w:rsid w:val="035F1D41"/>
    <w:rsid w:val="066167C6"/>
    <w:rsid w:val="072342E8"/>
    <w:rsid w:val="0CCE2DE0"/>
    <w:rsid w:val="139350DC"/>
    <w:rsid w:val="15D2205D"/>
    <w:rsid w:val="1B876975"/>
    <w:rsid w:val="1ED66B5C"/>
    <w:rsid w:val="22625B3F"/>
    <w:rsid w:val="253E38F0"/>
    <w:rsid w:val="26DF4AA4"/>
    <w:rsid w:val="29537F65"/>
    <w:rsid w:val="34D96FB6"/>
    <w:rsid w:val="3B3C39B8"/>
    <w:rsid w:val="3F870FA4"/>
    <w:rsid w:val="432A0D36"/>
    <w:rsid w:val="432D34DA"/>
    <w:rsid w:val="46784AC8"/>
    <w:rsid w:val="47C50CF5"/>
    <w:rsid w:val="4EA63E4C"/>
    <w:rsid w:val="4F362D01"/>
    <w:rsid w:val="52595583"/>
    <w:rsid w:val="53560643"/>
    <w:rsid w:val="55C67592"/>
    <w:rsid w:val="57F318D0"/>
    <w:rsid w:val="5B174B77"/>
    <w:rsid w:val="6115102B"/>
    <w:rsid w:val="628F317E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  <w:rsid w:val="7FFC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2021-03-31T02:06:40Z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