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2019年度</w:t>
      </w:r>
    </w:p>
    <w:p>
      <w:pPr>
        <w:pStyle w:val="4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寨牙乡</w:t>
      </w:r>
      <w:r>
        <w:rPr>
          <w:rFonts w:hint="eastAsia"/>
          <w:sz w:val="84"/>
          <w:szCs w:val="84"/>
        </w:rPr>
        <w:t>决算</w:t>
      </w: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jc w:val="center"/>
        <w:rPr>
          <w:sz w:val="56"/>
          <w:szCs w:val="56"/>
        </w:rPr>
      </w:pPr>
    </w:p>
    <w:p>
      <w:pPr>
        <w:pStyle w:val="4"/>
        <w:spacing w:line="540" w:lineRule="exact"/>
        <w:jc w:val="center"/>
        <w:rPr>
          <w:sz w:val="56"/>
          <w:szCs w:val="56"/>
        </w:rPr>
      </w:pPr>
    </w:p>
    <w:p>
      <w:pPr>
        <w:pStyle w:val="4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4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第一部分XX单位概况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4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pStyle w:val="4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第三部分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4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第四部分名词解释</w:t>
      </w:r>
    </w:p>
    <w:p>
      <w:pPr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第五部分附件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4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4"/>
        <w:jc w:val="center"/>
        <w:rPr>
          <w:sz w:val="84"/>
          <w:szCs w:val="84"/>
        </w:rPr>
      </w:pPr>
    </w:p>
    <w:p>
      <w:pPr>
        <w:pStyle w:val="4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eastAsia="zh-CN"/>
        </w:rPr>
        <w:t>寨牙乡</w:t>
      </w:r>
      <w:r>
        <w:rPr>
          <w:rFonts w:hint="eastAsia"/>
          <w:sz w:val="84"/>
          <w:szCs w:val="84"/>
        </w:rPr>
        <w:t>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5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ind w:firstLine="0" w:firstLineChars="0"/>
        <w:rPr>
          <w:rFonts w:asciiTheme="minorEastAsia" w:hAnsiTheme="minorEastAsia" w:eastAsiaTheme="minorEastAsia"/>
          <w:bCs/>
          <w:kern w:val="0"/>
          <w:sz w:val="32"/>
          <w:szCs w:val="32"/>
        </w:rPr>
      </w:pPr>
      <w:r>
        <w:rPr>
          <w:rFonts w:asciiTheme="minorEastAsia" w:hAnsiTheme="minorEastAsia" w:eastAsiaTheme="minorEastAsia"/>
          <w:bCs/>
          <w:kern w:val="0"/>
          <w:sz w:val="32"/>
          <w:szCs w:val="32"/>
        </w:rPr>
        <w:t>一、部门职责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乡镇党政机构具有党委和政府两种职能。党委领导政府工作：主要是政治思想和方针政策的领导，干部的选拔，考核和监督，经济和行政工作中重大问题的决策。乡镇政府是基层国家行政机关，行使本行政区的行政职能。</w:t>
      </w:r>
    </w:p>
    <w:p>
      <w:pPr>
        <w:widowControl/>
        <w:ind w:firstLine="0" w:firstLineChars="0"/>
        <w:rPr>
          <w:rFonts w:asciiTheme="minorEastAsia" w:hAnsiTheme="minorEastAsia" w:eastAsiaTheme="minorEastAsia"/>
          <w:bCs/>
          <w:kern w:val="0"/>
          <w:sz w:val="32"/>
          <w:szCs w:val="32"/>
        </w:rPr>
      </w:pPr>
      <w:r>
        <w:rPr>
          <w:rFonts w:asciiTheme="minorEastAsia" w:hAnsiTheme="minorEastAsia" w:eastAsiaTheme="minorEastAsia"/>
          <w:bCs/>
          <w:kern w:val="0"/>
          <w:sz w:val="32"/>
          <w:szCs w:val="32"/>
        </w:rPr>
        <w:t>二、机构设置</w:t>
      </w:r>
      <w:r>
        <w:rPr>
          <w:rFonts w:hint="eastAsia" w:asciiTheme="minorEastAsia" w:hAnsiTheme="minorEastAsia" w:eastAsiaTheme="minorEastAsia"/>
          <w:bCs/>
          <w:kern w:val="0"/>
          <w:sz w:val="32"/>
          <w:szCs w:val="32"/>
        </w:rPr>
        <w:t>及决算单位构成</w:t>
      </w:r>
    </w:p>
    <w:p>
      <w:pPr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bCs/>
          <w:kern w:val="0"/>
          <w:sz w:val="32"/>
          <w:szCs w:val="32"/>
        </w:rPr>
        <w:t>（一）内设机构设置。内设机构包括：</w:t>
      </w:r>
      <w:r>
        <w:rPr>
          <w:rFonts w:hint="eastAsia" w:asciiTheme="minorEastAsia" w:hAnsiTheme="minorEastAsia" w:eastAsiaTheme="minorEastAsia"/>
          <w:sz w:val="32"/>
          <w:szCs w:val="32"/>
        </w:rPr>
        <w:t>寨牙乡政府机关下设党政办、农业服务中心、综治维稳安全管理中心、人口与计划生育服务中心、社会事业服务中心、林业服务中心、规划建设环保服务中心。人员编制3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32"/>
          <w:szCs w:val="32"/>
        </w:rPr>
        <w:t>人，其中行政编制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32"/>
          <w:szCs w:val="32"/>
        </w:rPr>
        <w:t>人（其中工勤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人），事业编制</w:t>
      </w: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2人，实有行政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人（其中工勤</w:t>
      </w:r>
      <w:r>
        <w:rPr>
          <w:rFonts w:asciiTheme="minorEastAsia" w:hAnsiTheme="minorEastAsia" w:eastAsiaTheme="minorEastAsia"/>
          <w:sz w:val="32"/>
          <w:szCs w:val="32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人），事业在岗在职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7人，外出不在职</w:t>
      </w:r>
      <w:r>
        <w:rPr>
          <w:rFonts w:asciiTheme="minorEastAsia" w:hAnsiTheme="minorEastAsia" w:eastAsiaTheme="minorEastAsia"/>
          <w:sz w:val="32"/>
          <w:szCs w:val="32"/>
        </w:rPr>
        <w:t>6</w:t>
      </w:r>
      <w:r>
        <w:rPr>
          <w:rFonts w:hint="eastAsia" w:asciiTheme="minorEastAsia" w:hAnsiTheme="minorEastAsia" w:eastAsiaTheme="minorEastAsia"/>
          <w:sz w:val="32"/>
          <w:szCs w:val="32"/>
        </w:rPr>
        <w:t>人，机关退休</w:t>
      </w: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人，事业退休</w:t>
      </w: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人</w:t>
      </w:r>
      <w:r>
        <w:rPr>
          <w:rFonts w:hint="eastAsia" w:asciiTheme="minorEastAsia" w:hAnsiTheme="minorEastAsia" w:eastAsiaTheme="minorEastAsia"/>
          <w:bCs/>
          <w:kern w:val="0"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退休人员转社保管理。</w:t>
      </w: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第二部分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部门决算表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left"/>
        <w:rPr>
          <w:sz w:val="32"/>
          <w:szCs w:val="32"/>
        </w:rPr>
      </w:pPr>
    </w:p>
    <w:p>
      <w:pPr>
        <w:jc w:val="left"/>
        <w:rPr>
          <w:rFonts w:asciiTheme="minorEastAsia" w:hAnsiTheme="minorEastAsia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jc w:val="center"/>
        <w:rPr>
          <w:sz w:val="72"/>
          <w:szCs w:val="72"/>
        </w:rPr>
      </w:pPr>
      <w:bookmarkStart w:id="0" w:name="_GoBack"/>
      <w:bookmarkEnd w:id="0"/>
      <w:r>
        <w:rPr>
          <w:rFonts w:hint="eastAsia"/>
          <w:sz w:val="72"/>
          <w:szCs w:val="72"/>
        </w:rPr>
        <w:t>第三部分</w:t>
      </w:r>
    </w:p>
    <w:p>
      <w:pPr>
        <w:pStyle w:val="4"/>
        <w:jc w:val="center"/>
        <w:rPr>
          <w:sz w:val="70"/>
          <w:szCs w:val="70"/>
        </w:rPr>
      </w:pPr>
    </w:p>
    <w:p>
      <w:pPr>
        <w:pStyle w:val="4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4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snapToGrid w:val="0"/>
        <w:spacing w:line="520" w:lineRule="exact"/>
        <w:ind w:firstLine="64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年决算收入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444.2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万元，支出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460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万元.</w:t>
      </w:r>
    </w:p>
    <w:p>
      <w:pPr>
        <w:snapToGrid w:val="0"/>
        <w:spacing w:line="520" w:lineRule="exact"/>
        <w:ind w:firstLine="64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201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年决算收入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675.2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万元，支出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673.5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万元.</w:t>
      </w:r>
    </w:p>
    <w:p>
      <w:pPr>
        <w:snapToGrid w:val="0"/>
        <w:spacing w:line="520" w:lineRule="exact"/>
        <w:ind w:firstLine="64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收入是财政拨款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231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万元，比上年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34.21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%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主要是对村民委员会和村党支部的补助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与粮食直补不统计在今年的决算中，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人员经费增加和日常公用经费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核减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。</w:t>
      </w:r>
    </w:p>
    <w:p>
      <w:pPr>
        <w:snapToGrid w:val="0"/>
        <w:spacing w:line="520" w:lineRule="exact"/>
        <w:ind w:firstLine="640"/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支出增减变动主要原因，对村民委员会和村党支部的补助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与粮食直补不统计在决算中，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人员经费增加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122.8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万元，比上年增长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47.4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%，日常公用经费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减少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20.5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万元，比上年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eastAsia="zh-CN"/>
        </w:rPr>
        <w:t>降低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  <w:lang w:val="en-US" w:eastAsia="zh-CN"/>
        </w:rPr>
        <w:t>21.78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szCs w:val="32"/>
        </w:rPr>
        <w:t>%。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（一）、</w:t>
      </w:r>
      <w:r>
        <w:rPr>
          <w:rFonts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年寨牙乡政府收入情况：收入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444.2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</w:p>
    <w:p>
      <w:pPr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、财政拨款收入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万元，占总收入的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93.88</w:t>
      </w:r>
      <w:r>
        <w:rPr>
          <w:rFonts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、其他收入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27.1</w:t>
      </w:r>
      <w:r>
        <w:rPr>
          <w:rFonts w:hint="eastAsia" w:asciiTheme="minorEastAsia" w:hAnsiTheme="minorEastAsia" w:eastAsiaTheme="minorEastAsia"/>
          <w:sz w:val="32"/>
          <w:szCs w:val="32"/>
        </w:rPr>
        <w:t>占总收入的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6.12</w:t>
      </w:r>
      <w:r>
        <w:rPr>
          <w:rFonts w:asciiTheme="minorEastAsia" w:hAnsiTheme="minorEastAsia" w:eastAsiaTheme="minorEastAsia"/>
          <w:sz w:val="32"/>
          <w:szCs w:val="32"/>
        </w:rPr>
        <w:t>%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4"/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460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460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</w:t>
      </w:r>
      <w:r>
        <w:rPr>
          <w:rFonts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年寨牙乡政府财政拨款收入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万元：其中一般公共支出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329.1</w:t>
      </w:r>
      <w:r>
        <w:rPr>
          <w:rFonts w:hint="eastAsia" w:asciiTheme="minorEastAsia" w:hAnsiTheme="minorEastAsia" w:eastAsiaTheme="minorEastAsia"/>
          <w:sz w:val="32"/>
          <w:szCs w:val="32"/>
        </w:rPr>
        <w:t>万元，文化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</w:rPr>
        <w:t>万元，计生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</w:rPr>
        <w:t>万元，农林水经费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53.9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年决算财政支出拨款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万元：其中一般公共支出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329.1</w:t>
      </w:r>
      <w:r>
        <w:rPr>
          <w:rFonts w:hint="eastAsia" w:asciiTheme="minorEastAsia" w:hAnsiTheme="minorEastAsia" w:eastAsiaTheme="minorEastAsia"/>
          <w:sz w:val="32"/>
          <w:szCs w:val="32"/>
        </w:rPr>
        <w:t>万元，文化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</w:rPr>
        <w:t>万元，计生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</w:rPr>
        <w:t>万元，农林水经费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53.9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ind w:firstLine="64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2018年财政拨款收入659.58万元：其中一般公共支出387.46万元，文化20.18万元，计生11.84万元，农林水经费200.1万元。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2018年决算财政拨款支出659.58万元：其中人员经费547.55万元，日常经费94.1万元，项目经费17.92万元。</w:t>
      </w:r>
    </w:p>
    <w:p>
      <w:pPr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支出增减变动主要原因：对村民委员会和村党支部的补助</w:t>
      </w:r>
      <w:r>
        <w:rPr>
          <w:rFonts w:hint="eastAsia" w:asciiTheme="minorEastAsia" w:hAnsiTheme="minorEastAsia"/>
          <w:sz w:val="32"/>
          <w:szCs w:val="32"/>
          <w:lang w:eastAsia="zh-CN"/>
        </w:rPr>
        <w:t>与粮食直补不统计在决算中，</w:t>
      </w:r>
      <w:r>
        <w:rPr>
          <w:rFonts w:hint="eastAsia" w:asciiTheme="minorEastAsia" w:hAnsiTheme="minorEastAsia" w:eastAsiaTheme="minorEastAsia"/>
          <w:sz w:val="32"/>
          <w:szCs w:val="32"/>
        </w:rPr>
        <w:t>工资福利支出决算增加，日常经费的</w:t>
      </w:r>
      <w:r>
        <w:rPr>
          <w:rFonts w:hint="eastAsia" w:asciiTheme="minorEastAsia" w:hAnsiTheme="minorEastAsia"/>
          <w:sz w:val="32"/>
          <w:szCs w:val="32"/>
          <w:lang w:eastAsia="zh-CN"/>
        </w:rPr>
        <w:t>降低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4"/>
        <w:ind w:firstLine="800" w:firstLineChars="250"/>
        <w:rPr>
          <w:rFonts w:hint="default" w:asciiTheme="minorEastAsia" w:hAnsiTheme="minorEastAsia" w:eastAsiaTheme="minorEastAsia"/>
          <w:sz w:val="32"/>
          <w:szCs w:val="32"/>
          <w:lang w:val="en-U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90.65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%，与2018年相比，财政拨款支出减少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256.5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38.08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Cs w:val="32"/>
        </w:rPr>
        <w:t>对村民委员会和村党支部的补助</w:t>
      </w:r>
      <w:r>
        <w:rPr>
          <w:rFonts w:hint="eastAsia" w:asciiTheme="minorEastAsia" w:hAnsiTheme="minorEastAsia"/>
          <w:szCs w:val="32"/>
          <w:lang w:eastAsia="zh-CN"/>
        </w:rPr>
        <w:t>与粮食直补不统计在决算中</w:t>
      </w:r>
      <w:r>
        <w:rPr>
          <w:rFonts w:hint="eastAsia" w:asciiTheme="minorEastAsia" w:hAnsiTheme="minorEastAsia"/>
          <w:szCs w:val="32"/>
          <w:lang w:val="en-US" w:eastAsia="zh-CN"/>
        </w:rPr>
        <w:t>.</w:t>
      </w:r>
    </w:p>
    <w:p>
      <w:pPr>
        <w:pStyle w:val="4"/>
        <w:ind w:firstLine="480" w:firstLineChars="1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万元，主要用于以下方面：其中一般公共支出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329.1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78.92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</w:rPr>
        <w:t>文化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5.28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</w:rPr>
        <w:t>计生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</w:rPr>
        <w:t>万元占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2.88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/>
          <w:sz w:val="32"/>
          <w:szCs w:val="32"/>
          <w:lang w:eastAsia="zh-CN"/>
        </w:rPr>
        <w:t>；</w:t>
      </w:r>
      <w:r>
        <w:rPr>
          <w:rFonts w:hint="eastAsia" w:asciiTheme="minorEastAsia" w:hAnsiTheme="minorEastAsia" w:eastAsiaTheme="minorEastAsia"/>
          <w:sz w:val="32"/>
          <w:szCs w:val="32"/>
        </w:rPr>
        <w:t>农林水经费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53.9</w:t>
      </w:r>
      <w:r>
        <w:rPr>
          <w:rFonts w:hint="eastAsia" w:asciiTheme="minorEastAsia" w:hAnsiTheme="minorEastAsia" w:eastAsiaTheme="minorEastAsia"/>
          <w:sz w:val="32"/>
          <w:szCs w:val="32"/>
        </w:rPr>
        <w:t>万元占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,12.92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Cs w:val="32"/>
        </w:rPr>
        <w:t>。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382.92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万元，其中工资福利支出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283.42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万元，商品和服务支出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98.3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108.9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%，其中：其中工资福利支出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338.9</w:t>
      </w:r>
      <w:r>
        <w:rPr>
          <w:rFonts w:hint="eastAsia" w:asciiTheme="minorEastAsia" w:hAnsiTheme="minorEastAsia" w:eastAsiaTheme="minorEastAsia"/>
          <w:sz w:val="32"/>
          <w:szCs w:val="32"/>
        </w:rPr>
        <w:t>万元，商品和服务支出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73.6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，对家庭与个人的补助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4.5万元</w:t>
      </w:r>
      <w:r>
        <w:rPr>
          <w:rFonts w:hint="eastAsia" w:asciiTheme="minorEastAsia" w:hAnsiTheme="minorEastAsia" w:eastAsiaTheme="minorEastAsia"/>
          <w:sz w:val="32"/>
          <w:szCs w:val="32"/>
        </w:rPr>
        <w:t>。支出增减变动主要原因：工资福利支出增加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55.48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商品和服务支出</w:t>
      </w:r>
      <w:r>
        <w:rPr>
          <w:rFonts w:hint="eastAsia" w:asciiTheme="minorEastAsia" w:hAnsiTheme="minorEastAsia"/>
          <w:sz w:val="32"/>
          <w:szCs w:val="32"/>
          <w:lang w:eastAsia="zh-CN"/>
        </w:rPr>
        <w:t>降低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snapToGrid w:val="0"/>
        <w:spacing w:line="520" w:lineRule="exact"/>
        <w:ind w:firstLine="960" w:firstLineChars="3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32"/>
          <w:szCs w:val="32"/>
        </w:rPr>
        <w:t>年决算支出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万元.办公费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32.78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万元，比预算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</w:rPr>
        <w:t>万元增加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10.78</w:t>
      </w:r>
      <w:r>
        <w:rPr>
          <w:rFonts w:hint="eastAsia" w:asciiTheme="minorEastAsia" w:hAnsiTheme="minorEastAsia" w:eastAsiaTheme="minorEastAsia"/>
          <w:sz w:val="32"/>
          <w:szCs w:val="32"/>
        </w:rPr>
        <w:t>万元增长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49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%，主要是扶贫工作费用增加；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印刷费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0.9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万元，比预算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4.1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减少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82</w:t>
      </w:r>
      <w:r>
        <w:rPr>
          <w:rFonts w:hint="eastAsia" w:asciiTheme="minorEastAsia" w:hAnsiTheme="minorEastAsia" w:eastAsiaTheme="minorEastAsia"/>
          <w:sz w:val="32"/>
          <w:szCs w:val="32"/>
        </w:rPr>
        <w:t>%,报刊费用</w:t>
      </w:r>
      <w:r>
        <w:rPr>
          <w:rFonts w:hint="eastAsia" w:asciiTheme="minorEastAsia" w:hAnsiTheme="minorEastAsia"/>
          <w:sz w:val="32"/>
          <w:szCs w:val="32"/>
          <w:lang w:eastAsia="zh-CN"/>
        </w:rPr>
        <w:t>没有计算在内</w:t>
      </w:r>
      <w:r>
        <w:rPr>
          <w:rFonts w:hint="eastAsia" w:asciiTheme="minorEastAsia" w:hAnsiTheme="minorEastAsia" w:eastAsiaTheme="minorEastAsia"/>
          <w:sz w:val="32"/>
          <w:szCs w:val="32"/>
        </w:rPr>
        <w:t>；</w:t>
      </w:r>
    </w:p>
    <w:p>
      <w:pPr>
        <w:snapToGrid w:val="0"/>
        <w:spacing w:line="520" w:lineRule="exact"/>
        <w:ind w:firstLine="64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水费0.5万元，</w:t>
      </w:r>
      <w:r>
        <w:rPr>
          <w:rFonts w:hint="eastAsia" w:asciiTheme="minorEastAsia" w:hAnsiTheme="minorEastAsia"/>
          <w:sz w:val="32"/>
          <w:szCs w:val="32"/>
          <w:lang w:eastAsia="zh-CN"/>
        </w:rPr>
        <w:t>与</w:t>
      </w:r>
      <w:r>
        <w:rPr>
          <w:rFonts w:hint="eastAsia" w:asciiTheme="minorEastAsia" w:hAnsiTheme="minorEastAsia" w:eastAsiaTheme="minorEastAsia"/>
          <w:sz w:val="32"/>
          <w:szCs w:val="32"/>
        </w:rPr>
        <w:t>预算0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.5万</w:t>
      </w:r>
      <w:r>
        <w:rPr>
          <w:rFonts w:hint="eastAsia" w:asciiTheme="minorEastAsia" w:hAnsiTheme="minorEastAsia" w:eastAsiaTheme="minorEastAsia"/>
          <w:sz w:val="32"/>
          <w:szCs w:val="32"/>
        </w:rPr>
        <w:t>元</w:t>
      </w:r>
      <w:r>
        <w:rPr>
          <w:rFonts w:hint="eastAsia" w:asciiTheme="minorEastAsia" w:hAnsiTheme="minorEastAsia"/>
          <w:sz w:val="32"/>
          <w:szCs w:val="32"/>
          <w:lang w:eastAsia="zh-CN"/>
        </w:rPr>
        <w:t>持平</w:t>
      </w:r>
      <w:r>
        <w:rPr>
          <w:rFonts w:hint="eastAsia" w:asciiTheme="minorEastAsia" w:hAnsiTheme="minorEastAsia" w:eastAsiaTheme="minorEastAsia"/>
          <w:sz w:val="32"/>
          <w:szCs w:val="32"/>
        </w:rPr>
        <w:t>；</w:t>
      </w:r>
    </w:p>
    <w:p>
      <w:pPr>
        <w:snapToGrid w:val="0"/>
        <w:spacing w:line="520" w:lineRule="exact"/>
        <w:ind w:firstLine="640"/>
        <w:rPr>
          <w:rFonts w:hint="default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电费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3.3万元，比预算0万元增加0.1万元，增加2.9%</w:t>
      </w:r>
    </w:p>
    <w:p>
      <w:pPr>
        <w:snapToGrid w:val="0"/>
        <w:spacing w:line="520" w:lineRule="exact"/>
        <w:ind w:firstLine="64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邮电费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3.3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万元，比预算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增加2.3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增加230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/>
          <w:sz w:val="32"/>
          <w:szCs w:val="32"/>
          <w:lang w:eastAsia="zh-CN"/>
        </w:rPr>
        <w:t>，主要是网络线路增加；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取暖费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0.4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万元，比预算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万元节约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0.6</w:t>
      </w:r>
      <w:r>
        <w:rPr>
          <w:rFonts w:hint="eastAsia" w:asciiTheme="minorEastAsia" w:hAnsiTheme="minorEastAsia" w:eastAsiaTheme="minorEastAsia"/>
          <w:sz w:val="32"/>
          <w:szCs w:val="32"/>
        </w:rPr>
        <w:t>万元，下降6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</w:p>
    <w:p>
      <w:pPr>
        <w:snapToGrid w:val="0"/>
        <w:spacing w:line="520" w:lineRule="exact"/>
        <w:ind w:firstLine="64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维修（护）费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2.5</w:t>
      </w:r>
      <w:r>
        <w:rPr>
          <w:rFonts w:hint="eastAsia" w:asciiTheme="minorEastAsia" w:hAnsiTheme="minorEastAsia" w:eastAsiaTheme="minorEastAsia"/>
          <w:sz w:val="32"/>
          <w:szCs w:val="32"/>
        </w:rPr>
        <w:t>万元，比预算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1.5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/>
          <w:sz w:val="32"/>
          <w:szCs w:val="32"/>
          <w:lang w:eastAsia="zh-CN"/>
        </w:rPr>
        <w:t>增加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150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/>
          <w:sz w:val="32"/>
          <w:szCs w:val="32"/>
          <w:lang w:eastAsia="zh-CN"/>
        </w:rPr>
        <w:t>，设备损坏维修；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会议费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4.6</w:t>
      </w:r>
      <w:r>
        <w:rPr>
          <w:rFonts w:hint="eastAsia" w:asciiTheme="minorEastAsia" w:hAnsiTheme="minorEastAsia" w:eastAsiaTheme="minorEastAsia"/>
          <w:sz w:val="32"/>
          <w:szCs w:val="32"/>
        </w:rPr>
        <w:t>万元比预算7万元节约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2.4</w:t>
      </w:r>
      <w:r>
        <w:rPr>
          <w:rFonts w:hint="eastAsia" w:asciiTheme="minorEastAsia" w:hAnsiTheme="minorEastAsia" w:eastAsiaTheme="minorEastAsia"/>
          <w:sz w:val="32"/>
          <w:szCs w:val="32"/>
        </w:rPr>
        <w:t>万元下降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34.2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培训费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1.6</w:t>
      </w:r>
      <w:r>
        <w:rPr>
          <w:rFonts w:hint="eastAsia" w:asciiTheme="minorEastAsia" w:hAnsiTheme="minorEastAsia" w:eastAsiaTheme="minorEastAsia"/>
          <w:sz w:val="32"/>
          <w:szCs w:val="32"/>
        </w:rPr>
        <w:t>万元比预算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32"/>
          <w:szCs w:val="32"/>
        </w:rPr>
        <w:t>万元节约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1.4</w:t>
      </w:r>
      <w:r>
        <w:rPr>
          <w:rFonts w:hint="eastAsia" w:asciiTheme="minorEastAsia" w:hAnsiTheme="minorEastAsia" w:eastAsiaTheme="minorEastAsia"/>
          <w:sz w:val="32"/>
          <w:szCs w:val="32"/>
        </w:rPr>
        <w:t>万元下降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46.7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5.9</w:t>
      </w:r>
      <w:r>
        <w:rPr>
          <w:rFonts w:hint="eastAsia" w:asciiTheme="minorEastAsia" w:hAnsiTheme="minorEastAsia" w:eastAsiaTheme="minorEastAsia"/>
          <w:sz w:val="32"/>
          <w:szCs w:val="32"/>
        </w:rPr>
        <w:t>万元比预算10万元节约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4.1</w:t>
      </w:r>
      <w:r>
        <w:rPr>
          <w:rFonts w:hint="eastAsia" w:asciiTheme="minorEastAsia" w:hAnsiTheme="minorEastAsia" w:eastAsiaTheme="minorEastAsia"/>
          <w:sz w:val="32"/>
          <w:szCs w:val="32"/>
        </w:rPr>
        <w:t>万元下降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41</w:t>
      </w:r>
      <w:r>
        <w:rPr>
          <w:rFonts w:hint="eastAsia" w:asciiTheme="minorEastAsia" w:hAnsiTheme="minorEastAsia" w:eastAsiaTheme="minorEastAsia"/>
          <w:sz w:val="32"/>
          <w:szCs w:val="32"/>
        </w:rPr>
        <w:t>%，食堂管理；</w:t>
      </w:r>
    </w:p>
    <w:p>
      <w:pPr>
        <w:pStyle w:val="4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工会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5.9</w:t>
      </w:r>
      <w:r>
        <w:rPr>
          <w:rFonts w:hint="eastAsia" w:asciiTheme="minorEastAsia" w:hAnsiTheme="minorEastAsia" w:eastAsiaTheme="minorEastAsia"/>
          <w:sz w:val="32"/>
          <w:szCs w:val="32"/>
        </w:rPr>
        <w:t>万元比预算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32"/>
          <w:szCs w:val="32"/>
        </w:rPr>
        <w:t>万元增加了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1.9</w:t>
      </w:r>
      <w:r>
        <w:rPr>
          <w:rFonts w:hint="eastAsia" w:asciiTheme="minorEastAsia" w:hAnsiTheme="minorEastAsia" w:eastAsiaTheme="minorEastAsia"/>
          <w:sz w:val="32"/>
          <w:szCs w:val="32"/>
        </w:rPr>
        <w:t>万元增长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47.5</w:t>
      </w:r>
      <w:r>
        <w:rPr>
          <w:rFonts w:hint="eastAsia" w:asciiTheme="minorEastAsia" w:hAnsiTheme="minorEastAsia" w:eastAsiaTheme="minorEastAsia"/>
          <w:sz w:val="32"/>
          <w:szCs w:val="32"/>
        </w:rPr>
        <w:t>%，职工生日等福利实施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</w:p>
    <w:p>
      <w:pPr>
        <w:pStyle w:val="4"/>
        <w:ind w:firstLine="800" w:firstLineChars="250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车辆运行经费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8.5万元，</w:t>
      </w:r>
      <w:r>
        <w:rPr>
          <w:rFonts w:hint="eastAsia" w:asciiTheme="minorEastAsia" w:hAnsiTheme="minorEastAsia" w:eastAsiaTheme="minorEastAsia"/>
          <w:sz w:val="32"/>
          <w:szCs w:val="32"/>
        </w:rPr>
        <w:t>比预算1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万元节约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3.5</w:t>
      </w:r>
      <w:r>
        <w:rPr>
          <w:rFonts w:hint="eastAsia" w:asciiTheme="minorEastAsia" w:hAnsiTheme="minorEastAsia" w:eastAsiaTheme="minorEastAsia"/>
          <w:sz w:val="32"/>
          <w:szCs w:val="32"/>
        </w:rPr>
        <w:t>万元下降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；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其他商品支出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2.4万元，</w:t>
      </w:r>
      <w:r>
        <w:rPr>
          <w:rFonts w:hint="eastAsia" w:asciiTheme="minorEastAsia" w:hAnsiTheme="minorEastAsia" w:eastAsiaTheme="minorEastAsia"/>
          <w:sz w:val="32"/>
          <w:szCs w:val="32"/>
        </w:rPr>
        <w:t>比预算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2.9</w:t>
      </w:r>
      <w:r>
        <w:rPr>
          <w:rFonts w:hint="eastAsia" w:asciiTheme="minorEastAsia" w:hAnsiTheme="minorEastAsia" w:eastAsiaTheme="minorEastAsia"/>
          <w:sz w:val="32"/>
          <w:szCs w:val="32"/>
        </w:rPr>
        <w:t>万元节约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0.5</w:t>
      </w:r>
      <w:r>
        <w:rPr>
          <w:rFonts w:hint="eastAsia" w:asciiTheme="minorEastAsia" w:hAnsiTheme="minorEastAsia" w:eastAsiaTheme="minorEastAsia"/>
          <w:sz w:val="32"/>
          <w:szCs w:val="32"/>
        </w:rPr>
        <w:t>万元下降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343.4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82.35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%,主要包括基本工资、津贴补贴、奖金、伙食补助费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及对家庭和个人的补助等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73.6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17.65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、水费、电费、邮电费、取暖费，维修费、会议费、培训费、公务接待费、工会、车辆运行费及其他商品服务支出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4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14.4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65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因公出国（境）费支出预算为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4"/>
        <w:ind w:firstLine="800" w:firstLineChars="25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5.9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59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食堂管理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0.3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4.8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食堂规范管理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公务用车购置费及运行维护费支出预算为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8.5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 w:eastAsiaTheme="minorEastAsia"/>
          <w:sz w:val="32"/>
          <w:szCs w:val="32"/>
        </w:rPr>
        <w:t>%，决算数小于年初预算数的主要原因是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车辆规范管理</w:t>
      </w:r>
      <w:r>
        <w:rPr>
          <w:rFonts w:hint="eastAsia" w:asciiTheme="minorEastAsia" w:hAnsiTheme="minorEastAsia" w:eastAsiaTheme="minorEastAsia"/>
          <w:sz w:val="32"/>
          <w:szCs w:val="32"/>
        </w:rPr>
        <w:t>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19.8</w:t>
      </w:r>
      <w:r>
        <w:rPr>
          <w:rFonts w:hint="eastAsia" w:asciiTheme="minorEastAsia" w:hAnsiTheme="minorEastAsia" w:eastAsiaTheme="minorEastAsia"/>
          <w:sz w:val="32"/>
          <w:szCs w:val="32"/>
        </w:rPr>
        <w:t>%,减少的主要原因是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车辆规范管理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4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widowControl/>
        <w:ind w:firstLine="960" w:firstLineChars="300"/>
        <w:rPr>
          <w:rFonts w:asciiTheme="minorEastAsia" w:hAnsiTheme="minorEastAsia" w:eastAsiaTheme="minorEastAsia"/>
          <w:kern w:val="0"/>
          <w:szCs w:val="32"/>
        </w:rPr>
      </w:pPr>
      <w:r>
        <w:rPr>
          <w:rFonts w:asciiTheme="minorEastAsia" w:hAnsiTheme="minorEastAsia" w:eastAsiaTheme="minorEastAsia"/>
          <w:kern w:val="0"/>
          <w:sz w:val="32"/>
          <w:szCs w:val="32"/>
        </w:rPr>
        <w:t>公务用车运行费支出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8.5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及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车辆4台</w:t>
      </w:r>
      <w:r>
        <w:rPr>
          <w:rFonts w:hint="eastAsia" w:asciiTheme="minorEastAsia" w:hAnsiTheme="minorEastAsia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其中公务用车1台</w:t>
      </w:r>
      <w:r>
        <w:rPr>
          <w:rFonts w:hint="eastAsia" w:asciiTheme="minorEastAsia" w:hAnsiTheme="minorEastAsia"/>
          <w:kern w:val="0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消防车1台，其他车辆2台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；公务接待费支出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5.9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及接待批次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195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次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及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接待人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数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1200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人</w:t>
      </w:r>
      <w:r>
        <w:rPr>
          <w:rFonts w:hint="eastAsia" w:asciiTheme="minorEastAsia" w:hAnsiTheme="minorEastAsia" w:eastAsiaTheme="minorEastAsia"/>
          <w:kern w:val="0"/>
          <w:szCs w:val="32"/>
        </w:rPr>
        <w:t>。</w:t>
      </w:r>
    </w:p>
    <w:p>
      <w:pPr>
        <w:ind w:firstLine="800" w:firstLineChars="25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widowControl/>
        <w:ind w:firstLine="640"/>
        <w:rPr>
          <w:rFonts w:asciiTheme="minorEastAsia" w:hAnsiTheme="minorEastAsia" w:eastAsiaTheme="minorEastAsia"/>
          <w:bCs/>
          <w:kern w:val="0"/>
          <w:szCs w:val="32"/>
        </w:rPr>
      </w:pP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本单位无政府性基金收支。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kern w:val="0"/>
          <w:sz w:val="32"/>
          <w:szCs w:val="32"/>
        </w:rPr>
        <w:t>预算绩效管理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工作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开展情况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。根据预算绩效管理要求，寨牙乡人民政府对201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年度财政预算安排资金全面开展整体支出绩效自评，其中201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年财政拨款支出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417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万元，其中一般公共支出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329.1</w:t>
      </w:r>
      <w:r>
        <w:rPr>
          <w:rFonts w:hint="eastAsia" w:asciiTheme="minorEastAsia" w:hAnsiTheme="minorEastAsia" w:eastAsiaTheme="minorEastAsia"/>
          <w:sz w:val="32"/>
          <w:szCs w:val="32"/>
        </w:rPr>
        <w:t>万元，文化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sz w:val="32"/>
          <w:szCs w:val="32"/>
        </w:rPr>
        <w:t>万元，计生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32"/>
          <w:szCs w:val="32"/>
        </w:rPr>
        <w:t>万元，农林水经费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53.9</w:t>
      </w:r>
      <w:r>
        <w:rPr>
          <w:rFonts w:hint="eastAsia" w:asciiTheme="minorEastAsia" w:hAnsiTheme="minorEastAsia" w:eastAsiaTheme="minorEastAsia"/>
          <w:sz w:val="32"/>
          <w:szCs w:val="32"/>
        </w:rPr>
        <w:t>万元。“三公”经费实际支出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14.4</w:t>
      </w:r>
      <w:r>
        <w:rPr>
          <w:rFonts w:hint="eastAsia" w:asciiTheme="minorEastAsia" w:hAnsiTheme="minorEastAsia" w:eastAsiaTheme="minorEastAsia"/>
          <w:sz w:val="32"/>
          <w:szCs w:val="32"/>
        </w:rPr>
        <w:t>万元。</w:t>
      </w:r>
    </w:p>
    <w:p>
      <w:pPr>
        <w:pStyle w:val="4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snapToGrid w:val="0"/>
        <w:spacing w:line="520" w:lineRule="exact"/>
        <w:ind w:firstLine="640"/>
        <w:rPr>
          <w:rFonts w:asciiTheme="minorEastAsia" w:hAnsiTheme="minorEastAsia" w:eastAsiaTheme="minorEastAsia"/>
          <w:sz w:val="32"/>
          <w:szCs w:val="32"/>
        </w:rPr>
      </w:pPr>
      <w:r>
        <w:rPr>
          <w:rFonts w:asciiTheme="minorEastAsia" w:hAnsiTheme="minorEastAsia" w:eastAsiaTheme="minorEastAsia"/>
          <w:kern w:val="0"/>
          <w:sz w:val="32"/>
          <w:szCs w:val="32"/>
        </w:rPr>
        <w:t>（一）机关运行经费支出情况。本部门201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9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年度机关运行经费支出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73.6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万元，比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年初预算数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98.3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万元减少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24.7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下降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25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%。主要原因是：</w:t>
      </w:r>
      <w:r>
        <w:rPr>
          <w:rFonts w:hint="eastAsia" w:asciiTheme="minorEastAsia" w:hAnsiTheme="minorEastAsia" w:eastAsiaTheme="minorEastAsia"/>
          <w:sz w:val="32"/>
          <w:szCs w:val="32"/>
        </w:rPr>
        <w:t>减少机关日常经费。</w:t>
      </w:r>
      <w:r>
        <w:rPr>
          <w:rFonts w:asciiTheme="minorEastAsia" w:hAnsiTheme="minorEastAsia" w:eastAsiaTheme="minorEastAsia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ind w:firstLine="640"/>
        <w:rPr>
          <w:rFonts w:asciiTheme="minorEastAsia" w:hAnsiTheme="minorEastAsia" w:eastAsiaTheme="minorEastAsia"/>
          <w:kern w:val="0"/>
          <w:sz w:val="32"/>
          <w:szCs w:val="32"/>
        </w:rPr>
      </w:pPr>
      <w:r>
        <w:rPr>
          <w:rFonts w:asciiTheme="minorEastAsia" w:hAnsiTheme="minorEastAsia" w:eastAsiaTheme="minorEastAsia"/>
          <w:kern w:val="0"/>
          <w:sz w:val="32"/>
          <w:szCs w:val="32"/>
        </w:rPr>
        <w:t>（</w:t>
      </w:r>
      <w:r>
        <w:rPr>
          <w:rFonts w:hint="eastAsia" w:asciiTheme="minorEastAsia" w:hAnsiTheme="minorEastAsia"/>
          <w:kern w:val="0"/>
          <w:sz w:val="32"/>
          <w:szCs w:val="32"/>
          <w:lang w:eastAsia="zh-CN"/>
        </w:rPr>
        <w:t>二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）国有资产占用情况。截至201</w:t>
      </w:r>
      <w:r>
        <w:rPr>
          <w:rFonts w:hint="eastAsia" w:asciiTheme="minorEastAsia" w:hAnsiTheme="minorEastAsia"/>
          <w:kern w:val="0"/>
          <w:sz w:val="32"/>
          <w:szCs w:val="32"/>
          <w:lang w:val="en-US" w:eastAsia="zh-CN"/>
        </w:rPr>
        <w:t>9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年12 月31 日，本部门共有车辆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4</w:t>
      </w:r>
      <w:r>
        <w:rPr>
          <w:rFonts w:asciiTheme="minorEastAsia" w:hAnsiTheme="minorEastAsia" w:eastAsiaTheme="minorEastAsia"/>
          <w:kern w:val="0"/>
          <w:sz w:val="32"/>
          <w:szCs w:val="32"/>
        </w:rPr>
        <w:t xml:space="preserve"> 辆，其中一般公务用车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1</w:t>
      </w:r>
      <w:r>
        <w:rPr>
          <w:rFonts w:asciiTheme="minorEastAsia" w:hAnsiTheme="minorEastAsia" w:eastAsiaTheme="minorEastAsia"/>
          <w:kern w:val="0"/>
          <w:sz w:val="32"/>
          <w:szCs w:val="32"/>
        </w:rPr>
        <w:t xml:space="preserve"> 辆、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消防车1台，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其他用车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2</w:t>
      </w:r>
      <w:r>
        <w:rPr>
          <w:rFonts w:asciiTheme="minorEastAsia" w:hAnsiTheme="minorEastAsia" w:eastAsiaTheme="minorEastAsia"/>
          <w:kern w:val="0"/>
          <w:sz w:val="32"/>
          <w:szCs w:val="32"/>
        </w:rPr>
        <w:t>辆，其他用车主要是</w:t>
      </w:r>
      <w:r>
        <w:rPr>
          <w:rFonts w:hint="eastAsia" w:asciiTheme="minorEastAsia" w:hAnsiTheme="minorEastAsia" w:eastAsiaTheme="minorEastAsia"/>
          <w:kern w:val="0"/>
          <w:sz w:val="32"/>
          <w:szCs w:val="32"/>
        </w:rPr>
        <w:t>综合业务用车。</w:t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4"/>
        <w:jc w:val="center"/>
        <w:rPr>
          <w:sz w:val="72"/>
          <w:szCs w:val="72"/>
        </w:rPr>
      </w:pPr>
    </w:p>
    <w:p>
      <w:pPr>
        <w:pStyle w:val="4"/>
        <w:jc w:val="center"/>
        <w:rPr>
          <w:sz w:val="72"/>
          <w:szCs w:val="72"/>
        </w:rPr>
      </w:pPr>
    </w:p>
    <w:p>
      <w:pPr>
        <w:pStyle w:val="4"/>
        <w:jc w:val="center"/>
        <w:rPr>
          <w:sz w:val="72"/>
          <w:szCs w:val="72"/>
        </w:rPr>
      </w:pPr>
    </w:p>
    <w:p>
      <w:pPr>
        <w:pStyle w:val="4"/>
        <w:jc w:val="both"/>
        <w:rPr>
          <w:sz w:val="72"/>
          <w:szCs w:val="7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868AB"/>
    <w:rsid w:val="01781E0B"/>
    <w:rsid w:val="06A27B1C"/>
    <w:rsid w:val="1C494CAF"/>
    <w:rsid w:val="463868AB"/>
    <w:rsid w:val="68C84D02"/>
    <w:rsid w:val="768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2020-12-16T01:12:00Z</dcterms:created>
  <dc:creator>Administrator</dc:creator>
  <cp:lastModifiedBy>Administrator</cp:lastModifiedBy>
  <dcterms:modified xsi:type="dcterms:W3CDTF">2020-12-16T05:47:30Z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