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粗黑宋简体" w:hAnsi="方正粗黑宋简体" w:eastAsia="方正粗黑宋简体"/>
          <w:b/>
          <w:sz w:val="44"/>
          <w:szCs w:val="44"/>
        </w:rPr>
      </w:pPr>
    </w:p>
    <w:p>
      <w:pPr>
        <w:spacing w:line="600" w:lineRule="exact"/>
        <w:ind w:firstLine="440" w:firstLineChars="100"/>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寨牙乡惠农补贴资金重点检查发现问题</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整改方</w:t>
      </w:r>
      <w:bookmarkStart w:id="0" w:name="_GoBack"/>
      <w:bookmarkEnd w:id="0"/>
      <w:r>
        <w:rPr>
          <w:rFonts w:hint="eastAsia" w:ascii="方正小标宋简体" w:hAnsi="方正小标宋简体" w:eastAsia="方正小标宋简体" w:cs="方正小标宋简体"/>
          <w:b w:val="0"/>
          <w:bCs/>
          <w:sz w:val="44"/>
          <w:szCs w:val="44"/>
        </w:rPr>
        <w:t>案</w:t>
      </w:r>
    </w:p>
    <w:p>
      <w:pPr>
        <w:spacing w:line="600" w:lineRule="exact"/>
        <w:jc w:val="center"/>
        <w:rPr>
          <w:rFonts w:ascii="方正粗黑宋简体" w:hAnsi="方正粗黑宋简体" w:eastAsia="方正粗黑宋简体"/>
          <w:b/>
          <w:sz w:val="44"/>
          <w:szCs w:val="44"/>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3月20日至3月31日，市联合检查组来我县督查惠农补贴政策落实情况，反馈问题整改清单涉及惠农补贴政策落实、补贴资金管理和“一卡通”管理3个方面21个问题，其中涉及到我乡有1个方面1个具体问题，为认真贯彻落实上级文件精神，举一反三，扎实做好整改工作，根据我乡实际，特制定本方案。</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一、指导思想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和党的二十大精神为指导，深入贯彻落实习近平总书记关于惠农资金的重要指示批示精神，始终坚持以人民为中心的根本立场，进一步规范和加强惠农补贴资金发放管理，确保资金安全有效使用。</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二、组织领导</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_GB2312"/>
          <w:sz w:val="32"/>
          <w:szCs w:val="32"/>
        </w:rPr>
        <w:t>成立以乡党委副书记、乡长为组长，各分管领导为副组长，乡纪委、办公室、乡财政所及农业综合服务中心相关负责人及各村书记为成员的惠民惠农补贴发放问题整改工作专班，负责相关整改工作，力求按质、按量、按时完成整改任务。</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三、问题清单</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补贴资金管理方面：超面积发放耕地地力保护补贴。</w:t>
      </w:r>
      <w:r>
        <w:rPr>
          <w:rFonts w:hint="eastAsia" w:ascii="Times New Roman" w:hAnsi="Times New Roman" w:eastAsia="仿宋_GB2312"/>
          <w:sz w:val="32"/>
          <w:szCs w:val="32"/>
        </w:rPr>
        <w:t>一是非粮化面积未核减继续发放耕地地力保护补贴。县农业农村局分期分批逐步化解基本农田“非粮化”存量实施方案明确，2021年全县“非粮化”面积为31206亩，计算耕地地力保护补贴未予核减，按每年每亩补助105元计算，多发补贴资金327.66万元。二是耕地抛荒面积未核减继续发放耕地地力保护补贴。经查看县农业农村局的耕地抛荒整治工作材料，以2020年的数据为基准，其整改到户花名册与发放耕地地力保护补贴花名册，乡村两级申报和审核资料均未对抛荒人员的抛荒面积进行核减，仍按原计税面积发放。经统计，2020年多发补助资金179.57万元，2021年未整改到位的多发78.79万元，两年合计258.36万元。</w:t>
      </w:r>
    </w:p>
    <w:p>
      <w:pPr>
        <w:pStyle w:val="2"/>
        <w:ind w:firstLine="640" w:firstLineChars="200"/>
      </w:pPr>
      <w:r>
        <w:rPr>
          <w:rFonts w:hint="eastAsia"/>
        </w:rPr>
        <w:t>上述为市联合检查组指出我县超面积发放耕地地力保护补贴具体问题情况，我乡同样存在相关问题。</w:t>
      </w:r>
    </w:p>
    <w:p>
      <w:pPr>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四、整改要求</w:t>
      </w:r>
    </w:p>
    <w:p>
      <w:pPr>
        <w:snapToGrid w:val="0"/>
        <w:spacing w:line="560" w:lineRule="exact"/>
        <w:ind w:firstLine="643" w:firstLineChars="200"/>
        <w:outlineLvl w:val="0"/>
        <w:rPr>
          <w:rFonts w:ascii="Times New Roman" w:hAnsi="Times New Roman" w:eastAsia="仿宋_GB2312"/>
          <w:sz w:val="32"/>
          <w:szCs w:val="32"/>
        </w:rPr>
      </w:pPr>
      <w:r>
        <w:rPr>
          <w:rFonts w:hint="eastAsia" w:ascii="楷体" w:hAnsi="楷体" w:eastAsia="楷体" w:cs="楷体"/>
          <w:b/>
          <w:sz w:val="32"/>
          <w:szCs w:val="32"/>
        </w:rPr>
        <w:t>（一）强化组织领导。</w:t>
      </w:r>
      <w:r>
        <w:rPr>
          <w:rFonts w:hint="eastAsia" w:ascii="Times New Roman" w:hAnsi="Times New Roman" w:eastAsia="仿宋_GB2312"/>
          <w:sz w:val="32"/>
          <w:szCs w:val="32"/>
        </w:rPr>
        <w:t>惠农补贴政策是党中央、国务院实施的一项重要惠民政策，是全面推进高质量发展的重要举措，工作专班成员要切实提高政治站位，统一思想认识，强化责任意识，认真履职、精心组织。</w:t>
      </w:r>
    </w:p>
    <w:p>
      <w:pPr>
        <w:snapToGrid w:val="0"/>
        <w:spacing w:line="560" w:lineRule="exact"/>
        <w:ind w:firstLine="643" w:firstLineChars="200"/>
        <w:outlineLvl w:val="0"/>
        <w:rPr>
          <w:rFonts w:ascii="Times New Roman" w:hAnsi="Times New Roman" w:eastAsia="仿宋_GB2312"/>
          <w:sz w:val="32"/>
          <w:szCs w:val="32"/>
        </w:rPr>
      </w:pPr>
      <w:r>
        <w:rPr>
          <w:rFonts w:hint="eastAsia" w:ascii="楷体" w:hAnsi="楷体" w:eastAsia="楷体" w:cs="楷体"/>
          <w:b/>
          <w:sz w:val="32"/>
          <w:szCs w:val="32"/>
        </w:rPr>
        <w:t>（二）强化问题整改。</w:t>
      </w:r>
      <w:r>
        <w:rPr>
          <w:rFonts w:hint="eastAsia" w:ascii="Times New Roman" w:hAnsi="Times New Roman" w:eastAsia="仿宋_GB2312"/>
          <w:sz w:val="32"/>
          <w:szCs w:val="32"/>
        </w:rPr>
        <w:t>根据问题清单，逐项核实认真研究，制定有针对性、操作性强的整改措施，建立整改台账。对马上能够解决的问题，集中精力立即予以解决；对一时难以解决的问题，创造条件限时解决。</w:t>
      </w:r>
    </w:p>
    <w:p>
      <w:pPr>
        <w:snapToGrid w:val="0"/>
        <w:spacing w:line="560" w:lineRule="exact"/>
        <w:ind w:firstLine="643" w:firstLineChars="200"/>
        <w:outlineLvl w:val="0"/>
        <w:rPr>
          <w:rFonts w:ascii="Times New Roman" w:hAnsi="Times New Roman" w:eastAsia="仿宋_GB2312"/>
          <w:sz w:val="32"/>
          <w:szCs w:val="32"/>
        </w:rPr>
      </w:pPr>
      <w:r>
        <w:rPr>
          <w:rFonts w:hint="eastAsia" w:ascii="楷体" w:hAnsi="楷体" w:eastAsia="楷体" w:cs="楷体"/>
          <w:b/>
          <w:sz w:val="32"/>
          <w:szCs w:val="32"/>
        </w:rPr>
        <w:t>（三）强化长效机制。</w:t>
      </w:r>
      <w:r>
        <w:rPr>
          <w:rFonts w:hint="eastAsia" w:ascii="Times New Roman" w:hAnsi="Times New Roman" w:eastAsia="仿宋_GB2312"/>
          <w:sz w:val="32"/>
          <w:szCs w:val="32"/>
        </w:rPr>
        <w:t>要根据问题清单，深刻汲取教训、补齐短板弱项，全面加惠农补贴资金监管，加大违规问题惩处力度，不断建立健全和完善各项惠农补贴制度，确保惠农补贴资金安全和常治长效。</w:t>
      </w:r>
    </w:p>
    <w:p>
      <w:pPr>
        <w:pStyle w:val="2"/>
        <w:rPr>
          <w:rFonts w:ascii="Times New Roman" w:hAnsi="Times New Roman"/>
          <w:szCs w:val="32"/>
        </w:rPr>
      </w:pPr>
    </w:p>
    <w:p>
      <w:pPr>
        <w:pStyle w:val="2"/>
        <w:ind w:firstLine="640" w:firstLineChars="200"/>
        <w:rPr>
          <w:rFonts w:ascii="仿宋_GB2312" w:hAnsi="仿宋_GB2312" w:cs="仿宋_GB2312"/>
          <w:szCs w:val="32"/>
        </w:rPr>
      </w:pPr>
      <w:r>
        <w:rPr>
          <w:rFonts w:hint="eastAsia" w:ascii="Times New Roman" w:hAnsi="Times New Roman"/>
          <w:szCs w:val="32"/>
        </w:rPr>
        <w:t>附件：</w:t>
      </w:r>
      <w:r>
        <w:rPr>
          <w:rFonts w:hint="eastAsia" w:ascii="仿宋_GB2312" w:hAnsi="仿宋_GB2312" w:cs="仿宋_GB2312"/>
          <w:szCs w:val="32"/>
        </w:rPr>
        <w:t>寨牙乡惠农补贴资金专项检查突出问题整改清单</w:t>
      </w:r>
    </w:p>
    <w:p>
      <w:pPr>
        <w:rPr>
          <w:rFonts w:ascii="仿宋_GB2312" w:hAnsi="仿宋_GB2312" w:eastAsia="仿宋_GB2312" w:cs="仿宋_GB2312"/>
          <w:sz w:val="32"/>
          <w:szCs w:val="32"/>
        </w:rPr>
      </w:pPr>
    </w:p>
    <w:p>
      <w:pPr>
        <w:pStyle w:val="2"/>
      </w:pPr>
    </w:p>
    <w:p>
      <w:pPr>
        <w:pStyle w:val="2"/>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5"/>
        <w:tblW w:w="16110" w:type="dxa"/>
        <w:tblInd w:w="93" w:type="dxa"/>
        <w:tblLayout w:type="fixed"/>
        <w:tblCellMar>
          <w:top w:w="0" w:type="dxa"/>
          <w:left w:w="108" w:type="dxa"/>
          <w:bottom w:w="0" w:type="dxa"/>
          <w:right w:w="108" w:type="dxa"/>
        </w:tblCellMar>
      </w:tblPr>
      <w:tblGrid>
        <w:gridCol w:w="699"/>
        <w:gridCol w:w="231"/>
        <w:gridCol w:w="905"/>
        <w:gridCol w:w="7128"/>
        <w:gridCol w:w="2520"/>
        <w:gridCol w:w="1211"/>
        <w:gridCol w:w="236"/>
        <w:gridCol w:w="2182"/>
        <w:gridCol w:w="998"/>
      </w:tblGrid>
      <w:tr>
        <w:tblPrEx>
          <w:tblCellMar>
            <w:top w:w="0" w:type="dxa"/>
            <w:left w:w="108" w:type="dxa"/>
            <w:bottom w:w="0" w:type="dxa"/>
            <w:right w:w="108" w:type="dxa"/>
          </w:tblCellMar>
        </w:tblPrEx>
        <w:trPr>
          <w:trHeight w:val="568" w:hRule="atLeast"/>
        </w:trPr>
        <w:tc>
          <w:tcPr>
            <w:tcW w:w="1835" w:type="dxa"/>
            <w:gridSpan w:val="3"/>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w:t>
            </w:r>
          </w:p>
        </w:tc>
        <w:tc>
          <w:tcPr>
            <w:tcW w:w="7128" w:type="dxa"/>
            <w:tcBorders>
              <w:top w:val="nil"/>
              <w:left w:val="nil"/>
              <w:bottom w:val="nil"/>
              <w:right w:val="nil"/>
            </w:tcBorders>
            <w:shd w:val="clear" w:color="auto" w:fill="auto"/>
            <w:noWrap/>
            <w:vAlign w:val="center"/>
          </w:tcPr>
          <w:p>
            <w:pPr>
              <w:rPr>
                <w:rFonts w:ascii="仿宋" w:hAnsi="仿宋" w:eastAsia="仿宋" w:cs="仿宋"/>
                <w:color w:val="000000"/>
                <w:sz w:val="28"/>
                <w:szCs w:val="28"/>
              </w:rPr>
            </w:pPr>
          </w:p>
        </w:tc>
        <w:tc>
          <w:tcPr>
            <w:tcW w:w="2520" w:type="dxa"/>
            <w:tcBorders>
              <w:top w:val="nil"/>
              <w:left w:val="nil"/>
              <w:bottom w:val="nil"/>
              <w:right w:val="nil"/>
            </w:tcBorders>
            <w:shd w:val="clear" w:color="auto" w:fill="auto"/>
            <w:noWrap/>
            <w:vAlign w:val="center"/>
          </w:tcPr>
          <w:p>
            <w:pPr>
              <w:jc w:val="center"/>
              <w:rPr>
                <w:rFonts w:ascii="仿宋" w:hAnsi="仿宋" w:eastAsia="仿宋" w:cs="仿宋"/>
                <w:color w:val="000000"/>
                <w:sz w:val="28"/>
                <w:szCs w:val="28"/>
              </w:rPr>
            </w:pPr>
          </w:p>
        </w:tc>
        <w:tc>
          <w:tcPr>
            <w:tcW w:w="1211" w:type="dxa"/>
            <w:tcBorders>
              <w:top w:val="nil"/>
              <w:left w:val="nil"/>
              <w:bottom w:val="nil"/>
              <w:right w:val="nil"/>
            </w:tcBorders>
            <w:shd w:val="clear" w:color="auto" w:fill="auto"/>
            <w:noWrap/>
            <w:vAlign w:val="center"/>
          </w:tcPr>
          <w:p>
            <w:pPr>
              <w:jc w:val="center"/>
              <w:rPr>
                <w:rFonts w:ascii="仿宋" w:hAnsi="仿宋" w:eastAsia="仿宋" w:cs="仿宋"/>
                <w:color w:val="000000"/>
                <w:sz w:val="28"/>
                <w:szCs w:val="28"/>
              </w:rPr>
            </w:pPr>
          </w:p>
        </w:tc>
        <w:tc>
          <w:tcPr>
            <w:tcW w:w="236" w:type="dxa"/>
            <w:tcBorders>
              <w:top w:val="nil"/>
              <w:left w:val="nil"/>
              <w:bottom w:val="nil"/>
              <w:right w:val="nil"/>
            </w:tcBorders>
            <w:shd w:val="clear" w:color="auto" w:fill="auto"/>
            <w:noWrap/>
            <w:vAlign w:val="center"/>
          </w:tcPr>
          <w:p>
            <w:pPr>
              <w:jc w:val="center"/>
              <w:rPr>
                <w:rFonts w:ascii="仿宋" w:hAnsi="仿宋" w:eastAsia="仿宋" w:cs="仿宋"/>
                <w:color w:val="000000"/>
                <w:sz w:val="28"/>
                <w:szCs w:val="28"/>
              </w:rPr>
            </w:pPr>
          </w:p>
        </w:tc>
        <w:tc>
          <w:tcPr>
            <w:tcW w:w="3180" w:type="dxa"/>
            <w:gridSpan w:val="2"/>
            <w:tcBorders>
              <w:top w:val="nil"/>
              <w:left w:val="nil"/>
              <w:bottom w:val="nil"/>
              <w:right w:val="nil"/>
            </w:tcBorders>
            <w:shd w:val="clear" w:color="auto" w:fill="auto"/>
            <w:noWrap/>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gridAfter w:val="1"/>
          <w:wAfter w:w="998" w:type="dxa"/>
          <w:trHeight w:val="682" w:hRule="atLeast"/>
        </w:trPr>
        <w:tc>
          <w:tcPr>
            <w:tcW w:w="930" w:type="dxa"/>
            <w:gridSpan w:val="2"/>
            <w:tcBorders>
              <w:top w:val="nil"/>
              <w:left w:val="nil"/>
              <w:bottom w:val="nil"/>
              <w:right w:val="nil"/>
            </w:tcBorders>
            <w:shd w:val="clear" w:color="auto" w:fill="auto"/>
            <w:vAlign w:val="center"/>
          </w:tcPr>
          <w:p>
            <w:pPr>
              <w:widowControl/>
              <w:jc w:val="center"/>
              <w:textAlignment w:val="center"/>
              <w:rPr>
                <w:rFonts w:ascii="方正大标宋_GBK" w:hAnsi="方正大标宋_GBK" w:eastAsia="方正大标宋_GBK" w:cs="方正大标宋_GBK"/>
                <w:color w:val="000000"/>
                <w:kern w:val="0"/>
                <w:sz w:val="44"/>
                <w:szCs w:val="44"/>
              </w:rPr>
            </w:pPr>
          </w:p>
        </w:tc>
        <w:tc>
          <w:tcPr>
            <w:tcW w:w="14182" w:type="dxa"/>
            <w:gridSpan w:val="6"/>
            <w:tcBorders>
              <w:top w:val="nil"/>
              <w:left w:val="nil"/>
              <w:bottom w:val="nil"/>
              <w:right w:val="nil"/>
            </w:tcBorders>
            <w:shd w:val="clear" w:color="auto" w:fill="auto"/>
            <w:vAlign w:val="center"/>
          </w:tcPr>
          <w:p>
            <w:pPr>
              <w:widowControl/>
              <w:jc w:val="center"/>
              <w:textAlignment w:val="center"/>
              <w:rPr>
                <w:rFonts w:ascii="方正大标宋_GBK" w:hAnsi="方正大标宋_GBK" w:eastAsia="方正大标宋_GBK" w:cs="方正大标宋_GBK"/>
                <w:color w:val="000000"/>
                <w:sz w:val="44"/>
                <w:szCs w:val="44"/>
              </w:rPr>
            </w:pPr>
            <w:r>
              <w:rPr>
                <w:rFonts w:hint="eastAsia" w:ascii="方正大标宋_GBK" w:hAnsi="方正大标宋_GBK" w:eastAsia="方正大标宋_GBK" w:cs="方正大标宋_GBK"/>
                <w:color w:val="000000"/>
                <w:kern w:val="0"/>
                <w:sz w:val="44"/>
                <w:szCs w:val="44"/>
              </w:rPr>
              <w:t>寨牙乡惠农补贴资金专项检查突出问题整改清单</w:t>
            </w:r>
          </w:p>
        </w:tc>
      </w:tr>
      <w:tr>
        <w:tblPrEx>
          <w:tblCellMar>
            <w:top w:w="0" w:type="dxa"/>
            <w:left w:w="108" w:type="dxa"/>
            <w:bottom w:w="0" w:type="dxa"/>
            <w:right w:w="108" w:type="dxa"/>
          </w:tblCellMar>
        </w:tblPrEx>
        <w:trPr>
          <w:gridAfter w:val="1"/>
          <w:wAfter w:w="998" w:type="dxa"/>
          <w:trHeight w:val="924" w:hRule="atLeast"/>
        </w:trPr>
        <w:tc>
          <w:tcPr>
            <w:tcW w:w="69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序号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问题类型</w:t>
            </w:r>
          </w:p>
        </w:tc>
        <w:tc>
          <w:tcPr>
            <w:tcW w:w="712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存在问题</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整改措施</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牵头  领导</w:t>
            </w:r>
          </w:p>
        </w:tc>
        <w:tc>
          <w:tcPr>
            <w:tcW w:w="2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牵头部门</w:t>
            </w:r>
          </w:p>
        </w:tc>
      </w:tr>
      <w:tr>
        <w:tblPrEx>
          <w:tblCellMar>
            <w:top w:w="0" w:type="dxa"/>
            <w:left w:w="108" w:type="dxa"/>
            <w:bottom w:w="0" w:type="dxa"/>
            <w:right w:w="108" w:type="dxa"/>
          </w:tblCellMar>
        </w:tblPrEx>
        <w:trPr>
          <w:gridAfter w:val="1"/>
          <w:wAfter w:w="998" w:type="dxa"/>
          <w:trHeight w:val="924" w:hRule="atLeast"/>
        </w:trPr>
        <w:tc>
          <w:tcPr>
            <w:tcW w:w="69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楷体" w:hAnsi="楷体" w:eastAsia="楷体" w:cs="楷体"/>
                <w:b/>
                <w:sz w:val="24"/>
                <w:szCs w:val="24"/>
              </w:rPr>
            </w:pPr>
            <w:r>
              <w:rPr>
                <w:rFonts w:hint="eastAsia" w:ascii="楷体" w:hAnsi="楷体" w:eastAsia="楷体" w:cs="楷体"/>
                <w:b/>
                <w:sz w:val="24"/>
                <w:szCs w:val="24"/>
              </w:rPr>
              <w:t>补贴资金管理方面</w:t>
            </w:r>
          </w:p>
          <w:p>
            <w:pPr>
              <w:widowControl/>
              <w:jc w:val="center"/>
              <w:textAlignment w:val="center"/>
              <w:rPr>
                <w:rFonts w:ascii="仿宋" w:hAnsi="仿宋" w:eastAsia="仿宋" w:cs="仿宋"/>
                <w:b/>
                <w:bCs/>
                <w:color w:val="000000"/>
                <w:kern w:val="0"/>
                <w:sz w:val="28"/>
                <w:szCs w:val="28"/>
              </w:rPr>
            </w:pPr>
          </w:p>
        </w:tc>
        <w:tc>
          <w:tcPr>
            <w:tcW w:w="7128" w:type="dxa"/>
            <w:tcBorders>
              <w:top w:val="single" w:color="000000" w:sz="4" w:space="0"/>
              <w:left w:val="nil"/>
              <w:bottom w:val="single" w:color="000000" w:sz="4" w:space="0"/>
              <w:right w:val="single" w:color="000000" w:sz="4" w:space="0"/>
            </w:tcBorders>
            <w:shd w:val="clear" w:color="auto" w:fill="auto"/>
            <w:noWrap/>
            <w:vAlign w:val="center"/>
          </w:tcPr>
          <w:p>
            <w:pPr>
              <w:snapToGrid w:val="0"/>
              <w:spacing w:line="400" w:lineRule="exact"/>
              <w:ind w:firstLine="482" w:firstLineChars="200"/>
              <w:outlineLvl w:val="0"/>
              <w:rPr>
                <w:rFonts w:ascii="仿宋" w:hAnsi="仿宋" w:eastAsia="仿宋" w:cs="仿宋"/>
                <w:b/>
                <w:bCs/>
                <w:color w:val="000000"/>
                <w:kern w:val="0"/>
                <w:sz w:val="28"/>
                <w:szCs w:val="28"/>
              </w:rPr>
            </w:pPr>
            <w:r>
              <w:rPr>
                <w:rFonts w:hint="eastAsia" w:ascii="Times New Roman" w:hAnsi="Times New Roman" w:eastAsia="仿宋_GB2312"/>
                <w:b/>
                <w:bCs/>
                <w:sz w:val="24"/>
                <w:szCs w:val="24"/>
              </w:rPr>
              <w:t>（1）超面积发放耕地地力保护补贴。</w:t>
            </w:r>
            <w:r>
              <w:rPr>
                <w:rFonts w:hint="eastAsia" w:ascii="Times New Roman" w:hAnsi="Times New Roman" w:eastAsia="仿宋_GB2312"/>
                <w:sz w:val="24"/>
                <w:szCs w:val="24"/>
              </w:rPr>
              <w:t>一是非粮化面积未核减继续发放耕地地力保护补贴。2021年计算耕地地力保护补贴未核减“非粮化面积”，按每年每亩补助105元计算，多发了补贴资金。二是耕地抛荒面积未核减继续发放耕地地力保护补贴。2020年、2021年，各村申报和审核资料均未对抛荒人员的抛荒面积进行核减，仍按原计税面积发放，多发了补贴资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kern w:val="0"/>
                <w:sz w:val="28"/>
                <w:szCs w:val="28"/>
              </w:rPr>
            </w:pPr>
            <w:r>
              <w:rPr>
                <w:rFonts w:hint="eastAsia" w:ascii="Times New Roman" w:hAnsi="Times New Roman" w:eastAsia="仿宋_GB2312"/>
                <w:sz w:val="24"/>
                <w:szCs w:val="24"/>
              </w:rPr>
              <w:t>由各村驻村领导组织、各村具体落实，对各村耕地地力保护补贴的发放情况进行核实并按要求进行整改。</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sz w:val="24"/>
                <w:szCs w:val="24"/>
              </w:rPr>
            </w:pPr>
            <w:r>
              <w:rPr>
                <w:rFonts w:hint="eastAsia" w:ascii="Times New Roman" w:hAnsi="Times New Roman" w:eastAsia="仿宋_GB2312"/>
                <w:sz w:val="24"/>
                <w:szCs w:val="24"/>
              </w:rPr>
              <w:t>吴建成</w:t>
            </w:r>
          </w:p>
        </w:tc>
        <w:tc>
          <w:tcPr>
            <w:tcW w:w="2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kern w:val="0"/>
                <w:sz w:val="28"/>
                <w:szCs w:val="28"/>
              </w:rPr>
            </w:pPr>
            <w:r>
              <w:rPr>
                <w:rFonts w:hint="eastAsia" w:ascii="Times New Roman" w:hAnsi="Times New Roman" w:eastAsia="仿宋_GB2312"/>
                <w:sz w:val="24"/>
                <w:szCs w:val="24"/>
              </w:rPr>
              <w:t>乡农业综合服务中心</w:t>
            </w:r>
          </w:p>
        </w:tc>
      </w:tr>
    </w:tbl>
    <w:p/>
    <w:sectPr>
      <w:pgSz w:w="16838" w:h="11906" w:orient="landscape"/>
      <w:pgMar w:top="1463" w:right="1100" w:bottom="1349" w:left="11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EAF784-2830-4903-B711-6D40CD6666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1D8F954-D36D-4458-A930-ACD14FADA3CF}"/>
  </w:font>
  <w:font w:name="方正粗黑宋简体">
    <w:panose1 w:val="02000000000000000000"/>
    <w:charset w:val="86"/>
    <w:family w:val="auto"/>
    <w:pitch w:val="default"/>
    <w:sig w:usb0="A00002BF" w:usb1="184F6CFA" w:usb2="00000012" w:usb3="00000000" w:csb0="00040001" w:csb1="00000000"/>
    <w:embedRegular r:id="rId3" w:fontKey="{89467C81-886B-4814-85ED-3F884ABCF3F7}"/>
  </w:font>
  <w:font w:name="方正小标宋简体">
    <w:panose1 w:val="02000000000000000000"/>
    <w:charset w:val="86"/>
    <w:family w:val="script"/>
    <w:pitch w:val="default"/>
    <w:sig w:usb0="00000001" w:usb1="08000000" w:usb2="00000000" w:usb3="00000000" w:csb0="00040000" w:csb1="00000000"/>
    <w:embedRegular r:id="rId4" w:fontKey="{BC77F757-5267-4F4A-9549-490B665EC002}"/>
  </w:font>
  <w:font w:name="仿宋">
    <w:panose1 w:val="02010609060101010101"/>
    <w:charset w:val="86"/>
    <w:family w:val="modern"/>
    <w:pitch w:val="default"/>
    <w:sig w:usb0="800002BF" w:usb1="38CF7CFA" w:usb2="00000016" w:usb3="00000000" w:csb0="00040001" w:csb1="00000000"/>
    <w:embedRegular r:id="rId5" w:fontKey="{23E5ACEF-7697-4777-9499-AA285C0DD1D9}"/>
  </w:font>
  <w:font w:name="楷体">
    <w:panose1 w:val="02010609060101010101"/>
    <w:charset w:val="86"/>
    <w:family w:val="modern"/>
    <w:pitch w:val="default"/>
    <w:sig w:usb0="800002BF" w:usb1="38CF7CFA" w:usb2="00000016" w:usb3="00000000" w:csb0="00040001" w:csb1="00000000"/>
    <w:embedRegular r:id="rId6" w:fontKey="{ED9D82CF-2EA3-4CAE-BA41-2F80F3FE9DEA}"/>
  </w:font>
  <w:font w:name="方正大标宋_GBK">
    <w:altName w:val="宋体"/>
    <w:panose1 w:val="00000000000000000000"/>
    <w:charset w:val="86"/>
    <w:family w:val="auto"/>
    <w:pitch w:val="default"/>
    <w:sig w:usb0="00000000" w:usb1="00000000" w:usb2="00000000" w:usb3="00000000" w:csb0="00040000" w:csb1="00000000"/>
    <w:embedRegular r:id="rId7" w:fontKey="{362B4230-6CA6-49D9-95C3-A420B73EF7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YTI0NjA0MGU3YmNhNWQ3YzI0ZDFhZjEzYmRhOGQifQ=="/>
  </w:docVars>
  <w:rsids>
    <w:rsidRoot w:val="12293F41"/>
    <w:rsid w:val="001160AA"/>
    <w:rsid w:val="001F694A"/>
    <w:rsid w:val="002E221C"/>
    <w:rsid w:val="00374307"/>
    <w:rsid w:val="00380D88"/>
    <w:rsid w:val="00392B80"/>
    <w:rsid w:val="004F4ACD"/>
    <w:rsid w:val="00571FE7"/>
    <w:rsid w:val="006556B5"/>
    <w:rsid w:val="00934402"/>
    <w:rsid w:val="009A10CE"/>
    <w:rsid w:val="00D13A8F"/>
    <w:rsid w:val="00D64EDE"/>
    <w:rsid w:val="00D774CC"/>
    <w:rsid w:val="00E26C74"/>
    <w:rsid w:val="00F072F7"/>
    <w:rsid w:val="00FA2A9F"/>
    <w:rsid w:val="12293F41"/>
    <w:rsid w:val="12DE5A77"/>
    <w:rsid w:val="1CED6F0B"/>
    <w:rsid w:val="1D04257E"/>
    <w:rsid w:val="3A797CAF"/>
    <w:rsid w:val="423F3AED"/>
    <w:rsid w:val="49BA2D04"/>
    <w:rsid w:val="54C120D0"/>
    <w:rsid w:val="5D6B7902"/>
    <w:rsid w:val="65A45FB4"/>
    <w:rsid w:val="663738BF"/>
    <w:rsid w:val="697C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1284</Words>
  <Characters>1338</Characters>
  <Lines>11</Lines>
  <Paragraphs>3</Paragraphs>
  <TotalTime>45</TotalTime>
  <ScaleCrop>false</ScaleCrop>
  <LinksUpToDate>false</LinksUpToDate>
  <CharactersWithSpaces>1340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2023-07-04T08:45:00Z</dcterms:created>
  <dc:creator>Administrator</dc:creator>
  <cp:lastModifiedBy>岩脚侗寨</cp:lastModifiedBy>
  <cp:lastPrinted>2023-07-05T06:45:00Z</cp:lastPrinted>
  <dcterms:modified xsi:type="dcterms:W3CDTF">2023-07-06T00:28:17Z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70AB5CD86EB54F9BB4AAC432DCFAF489_13</vt:lpwstr>
  </property>
</Properties>
</file>