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2021年靖州县文溪乡人民政府部门预算</w:t>
      </w:r>
    </w:p>
    <w:p>
      <w:pPr>
        <w:keepNext w:val="0"/>
        <w:keepLines w:val="0"/>
        <w:widowControl/>
        <w:suppressLineNumbers w:val="0"/>
        <w:jc w:val="center"/>
        <w:rPr>
          <w:color w:val="auto"/>
        </w:rPr>
      </w:pPr>
      <w:r>
        <w:rPr>
          <w:rFonts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目 录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 Unicode MS" w:hAnsi="Arial Unicode MS" w:eastAsia="Arial Unicode MS" w:cs="Arial Unicode MS"/>
          <w:color w:val="auto"/>
          <w:kern w:val="0"/>
          <w:sz w:val="31"/>
          <w:szCs w:val="31"/>
          <w:lang w:val="en-US" w:eastAsia="zh-CN" w:bidi="ar"/>
        </w:rPr>
      </w:pP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第一部分 </w:t>
      </w:r>
      <w:r>
        <w:rPr>
          <w:rFonts w:hint="eastAsia" w:ascii="Arial Unicode MS" w:hAnsi="Arial Unicode MS" w:eastAsia="Arial Unicode MS" w:cs="Arial Unicode MS"/>
          <w:color w:val="auto"/>
          <w:kern w:val="0"/>
          <w:sz w:val="31"/>
          <w:szCs w:val="31"/>
          <w:lang w:val="en-US" w:eastAsia="zh-CN" w:bidi="ar"/>
        </w:rPr>
        <w:t xml:space="preserve">2021年部门预算说明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第二部分 </w:t>
      </w:r>
      <w:r>
        <w:rPr>
          <w:rFonts w:hint="eastAsia" w:ascii="Arial Unicode MS" w:hAnsi="Arial Unicode MS" w:eastAsia="Arial Unicode MS" w:cs="Arial Unicode MS"/>
          <w:color w:val="auto"/>
          <w:kern w:val="0"/>
          <w:sz w:val="31"/>
          <w:szCs w:val="31"/>
          <w:lang w:val="en-US" w:eastAsia="zh-CN" w:bidi="ar"/>
        </w:rPr>
        <w:t xml:space="preserve">2021年部门预算表 </w:t>
      </w:r>
    </w:p>
    <w:p>
      <w:pPr>
        <w:spacing w:line="520" w:lineRule="exac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1、收支预算总表</w:t>
      </w:r>
    </w:p>
    <w:p>
      <w:pPr>
        <w:spacing w:line="520" w:lineRule="exact"/>
        <w:jc w:val="both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2、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eastAsia="zh-CN"/>
        </w:rPr>
        <w:t>收入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预算总表</w:t>
      </w:r>
    </w:p>
    <w:p>
      <w:pPr>
        <w:spacing w:line="520" w:lineRule="exact"/>
        <w:jc w:val="both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 xml:space="preserve">3、非税收入征收计划表   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  <w:t xml:space="preserve">  </w:t>
      </w:r>
    </w:p>
    <w:p>
      <w:pPr>
        <w:spacing w:line="520" w:lineRule="exact"/>
        <w:jc w:val="both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4、支出预算分类汇总表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  <w:t>(部门经济分类）</w:t>
      </w:r>
    </w:p>
    <w:p>
      <w:pPr>
        <w:spacing w:line="520" w:lineRule="exact"/>
        <w:jc w:val="both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支出预算分类汇总表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eastAsia="zh-CN"/>
        </w:rPr>
        <w:t>（政府经济分类）</w:t>
      </w:r>
    </w:p>
    <w:p>
      <w:pPr>
        <w:spacing w:line="520" w:lineRule="exact"/>
        <w:jc w:val="both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  <w:t>6、基本支出预算明细表-工资福利支出</w:t>
      </w:r>
    </w:p>
    <w:p>
      <w:pPr>
        <w:spacing w:line="520" w:lineRule="exact"/>
        <w:jc w:val="both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  <w:t>7、基本支出预算明细表-商品和服务支出</w:t>
      </w:r>
    </w:p>
    <w:p>
      <w:pPr>
        <w:spacing w:line="520" w:lineRule="exact"/>
        <w:jc w:val="both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  <w:t>8、基本支出预算明细表-对个人和家庭的补助</w:t>
      </w:r>
    </w:p>
    <w:p>
      <w:pPr>
        <w:spacing w:line="520" w:lineRule="exact"/>
        <w:jc w:val="both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  <w:t>9、公共财政拨款支出预算分类汇总表</w:t>
      </w:r>
    </w:p>
    <w:p>
      <w:pPr>
        <w:spacing w:line="520" w:lineRule="exact"/>
        <w:jc w:val="both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  <w:t>10、政府性基金拨款支出预算分类汇总表</w:t>
      </w:r>
    </w:p>
    <w:p>
      <w:pPr>
        <w:spacing w:line="520" w:lineRule="exact"/>
        <w:jc w:val="both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  <w:t>11-13、项目支出预算明细表</w:t>
      </w:r>
    </w:p>
    <w:p>
      <w:pPr>
        <w:spacing w:line="520" w:lineRule="exact"/>
        <w:jc w:val="both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  <w:t>14、政府采购预算表</w:t>
      </w:r>
    </w:p>
    <w:p>
      <w:pPr>
        <w:spacing w:line="520" w:lineRule="exact"/>
        <w:jc w:val="both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  <w:t>15、“三公”经费预算公开表</w:t>
      </w:r>
    </w:p>
    <w:p>
      <w:pPr>
        <w:spacing w:line="520" w:lineRule="exact"/>
        <w:jc w:val="both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  <w:t>16、单位基本情况信息表</w:t>
      </w:r>
    </w:p>
    <w:p>
      <w:pPr>
        <w:widowControl/>
        <w:spacing w:line="600" w:lineRule="exact"/>
        <w:rPr>
          <w:rFonts w:hint="eastAsia" w:asciiTheme="minorEastAsia" w:hAnsiTheme="minorEastAsia" w:eastAsiaTheme="minorEastAsia" w:cstheme="minorEastAsia"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28"/>
          <w:szCs w:val="28"/>
        </w:rPr>
        <w:t>注：以上部门预算报表中，空表表示本部门无相关收支情况。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第一部分：</w:t>
      </w:r>
    </w:p>
    <w:p>
      <w:pPr>
        <w:keepNext w:val="0"/>
        <w:keepLines w:val="0"/>
        <w:widowControl/>
        <w:suppressLineNumbers w:val="0"/>
        <w:jc w:val="center"/>
        <w:rPr>
          <w:color w:val="auto"/>
        </w:rPr>
      </w:pPr>
      <w:r>
        <w:rPr>
          <w:rFonts w:hint="eastAsia" w:ascii="Times New Roman" w:hAnsi="Times New Roman" w:eastAsia="宋体" w:cs="Times New Roman"/>
          <w:b/>
          <w:color w:val="auto"/>
          <w:kern w:val="0"/>
          <w:sz w:val="36"/>
          <w:szCs w:val="36"/>
          <w:lang w:val="en-US" w:eastAsia="zh-CN" w:bidi="ar"/>
        </w:rPr>
        <w:t>2021</w:t>
      </w: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 w:bidi="ar"/>
        </w:rPr>
        <w:t>年部门预算说明</w:t>
      </w:r>
    </w:p>
    <w:p>
      <w:pPr>
        <w:keepNext w:val="0"/>
        <w:keepLines w:val="0"/>
        <w:widowControl/>
        <w:suppressLineNumbers w:val="0"/>
        <w:jc w:val="both"/>
        <w:rPr>
          <w:b w:val="0"/>
          <w:bCs w:val="0"/>
          <w:color w:val="auto"/>
        </w:rPr>
      </w:pPr>
      <w:r>
        <w:rPr>
          <w:rFonts w:hint="eastAsia" w:ascii="黑体" w:hAnsi="宋体" w:eastAsia="黑体" w:cs="黑体"/>
          <w:b w:val="0"/>
          <w:bCs w:val="0"/>
          <w:color w:val="auto"/>
          <w:kern w:val="0"/>
          <w:sz w:val="31"/>
          <w:szCs w:val="31"/>
          <w:lang w:val="en-US" w:eastAsia="zh-CN" w:bidi="ar"/>
        </w:rPr>
        <w:t xml:space="preserve">一、部门基本概况 </w:t>
      </w:r>
    </w:p>
    <w:p>
      <w:pPr>
        <w:spacing w:line="520" w:lineRule="exact"/>
        <w:ind w:firstLine="640" w:firstLineChars="200"/>
        <w:rPr>
          <w:rFonts w:hint="eastAsia" w:ascii="楷体_GB2312" w:eastAsia="楷体_GB2312"/>
          <w:b w:val="0"/>
          <w:bCs w:val="0"/>
          <w:sz w:val="32"/>
          <w:szCs w:val="32"/>
        </w:rPr>
      </w:pPr>
      <w:r>
        <w:rPr>
          <w:rFonts w:hint="eastAsia" w:ascii="楷体_GB2312" w:eastAsia="楷体_GB2312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楷体_GB2312" w:eastAsia="楷体_GB2312"/>
          <w:b w:val="0"/>
          <w:bCs w:val="0"/>
          <w:sz w:val="32"/>
          <w:szCs w:val="32"/>
        </w:rPr>
        <w:t>、职能职责</w:t>
      </w:r>
    </w:p>
    <w:p>
      <w:pPr>
        <w:spacing w:line="520" w:lineRule="exact"/>
        <w:ind w:firstLine="1120" w:firstLineChars="400"/>
        <w:jc w:val="left"/>
        <w:rPr>
          <w:color w:va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巩固提高义务教育质量和水平，改善乡村教学环境，保障校园和师生安全，做好控辍保学和家庭经济困难学生教育帮扶等基本公共教育服务；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 xml:space="preserve">  2、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推动以新型职业农民为主体的农村实用人才队伍建设，加强社区教育、职业技能培训、就业指导、创业扶持等劳动就业服务；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 xml:space="preserve">  3、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做好基本养老保险、基本医疗保险、工伤、失业和生育保险等社会保险服务；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 xml:space="preserve">  4、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落实社会救助、社会福利制度和优抚安置政策，为保障对象提供基本养老服务、残疾人基本公共服务，维护农民工、困境儿童等特殊人群和困难群体权益等基本社会服务；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5、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做好公共卫生、基本医疗、计划生育等基本医疗卫生服务；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 xml:space="preserve">  6、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践行社会主义核心价值观，继承和弘扬中华优秀传统文化，加强对古村落、古树名木和历史文化村镇的保护和发展，健全公共文化设施网络，推动全民阅读、数字广播电视户户通、文化信息资源共享，组织开展群众文体活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公共文化体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育服务。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 xml:space="preserve">                                                                                                                   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 xml:space="preserve">   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Theme="minorEastAsia" w:hAnsiTheme="minorEastAsia" w:cstheme="minorEastAsia"/>
          <w:color w:val="auto"/>
          <w:kern w:val="0"/>
          <w:sz w:val="28"/>
          <w:szCs w:val="28"/>
          <w:lang w:val="en-US" w:eastAsia="zh-CN" w:bidi="ar"/>
        </w:rPr>
        <w:t>二、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 xml:space="preserve">机构设置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 xml:space="preserve">    根据编委核定，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我单位是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全额拨款的行政单位，在职人员行政编制数为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人，现在实际人数为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人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事业编制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人，现在实际人数为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人。其中：在职人员副处级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人，正科级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人，副科级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人。现有退休人员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人。本单位内设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党政办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农业综合服务中心、政务事务服务中心、社会事务服务中心、行政综合执法大队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。</w:t>
      </w:r>
    </w:p>
    <w:p>
      <w:pPr>
        <w:spacing w:line="520" w:lineRule="exact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hAnsi="宋体" w:eastAsia="黑体"/>
          <w:b/>
          <w:color w:val="auto"/>
          <w:kern w:val="0"/>
          <w:sz w:val="32"/>
          <w:szCs w:val="32"/>
        </w:rPr>
        <w:t>二、</w:t>
      </w:r>
      <w:r>
        <w:rPr>
          <w:rFonts w:hint="eastAsia" w:ascii="黑体" w:eastAsia="黑体"/>
          <w:color w:val="auto"/>
          <w:sz w:val="32"/>
          <w:szCs w:val="32"/>
        </w:rPr>
        <w:t>部门收支总体情况</w:t>
      </w:r>
    </w:p>
    <w:p>
      <w:pPr>
        <w:widowControl/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2021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年预算包括收入、支出及专项经费安排情况。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1、收入预算: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2021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年年初预算数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393.19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万元,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一般公共预算拨款  393.19 万元（经费拨款 393.19  万元，纳入一般公共预算管理的非税收入拨款 0 万 元），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上级财政补助收入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0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万元。收入较去年增加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36.19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万元，主要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是用于发放乡镇津贴和事业人员车补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2、支出预算: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2021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年年初预算数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393.19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万元 ，其中：工资福利支出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263.79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万元，一般商品和服务支出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124.4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万元 ，对个人和家庭补助支出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5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万元。</w:t>
      </w:r>
    </w:p>
    <w:p>
      <w:pPr>
        <w:widowControl/>
        <w:spacing w:line="520" w:lineRule="exac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</w:rPr>
        <w:t>三、一般公共预算拨款支出情况</w:t>
      </w:r>
    </w:p>
    <w:p>
      <w:pPr>
        <w:widowControl/>
        <w:spacing w:line="520" w:lineRule="exac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2021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年一般公共预算拨款收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入  393.19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万元，具体安排情况如下：</w:t>
      </w:r>
    </w:p>
    <w:p>
      <w:pPr>
        <w:widowControl/>
        <w:numPr>
          <w:numId w:val="0"/>
        </w:num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基本支出：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2021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年年初预算数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 393.19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万元，是指为保障单位机构正常运转、完成日常工作任务而发生的各项支出，包括用于基本工资、津贴补贴等人员经费及办公费、水电费、设备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购置费日常公用经费等。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其中：工资福利支出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263.79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万元 ;一般商品和服务支出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124.4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万元，主要用于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单位行政运行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等;对个人和家庭补助支出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5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万元主要用于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发放临时人员工资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等。  </w:t>
      </w:r>
    </w:p>
    <w:p>
      <w:pPr>
        <w:widowControl/>
        <w:numPr>
          <w:numId w:val="0"/>
        </w:numPr>
        <w:spacing w:line="520" w:lineRule="exact"/>
        <w:rPr>
          <w:rFonts w:hint="eastAsia" w:ascii="宋体" w:hAnsi="宋体" w:eastAsia="仿宋_GB2312" w:cs="宋体"/>
          <w:color w:val="auto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2、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项目支出：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年预算数为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0"/>
        </w:numPr>
        <w:spacing w:line="520" w:lineRule="exact"/>
        <w:rPr>
          <w:rFonts w:hint="eastAsia" w:ascii="黑体" w:hAnsi="宋体" w:eastAsia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宋体" w:eastAsia="黑体"/>
          <w:color w:val="auto"/>
          <w:kern w:val="0"/>
          <w:sz w:val="32"/>
          <w:szCs w:val="32"/>
        </w:rPr>
        <w:t>政府性基金预算收支情况</w:t>
      </w:r>
    </w:p>
    <w:p>
      <w:pPr>
        <w:widowControl/>
        <w:spacing w:line="520" w:lineRule="exact"/>
        <w:jc w:val="both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2021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年本部门没有政府性基金预算收入，相应没有安排政府性基金预算支出。</w:t>
      </w:r>
    </w:p>
    <w:p>
      <w:pPr>
        <w:spacing w:line="520" w:lineRule="exact"/>
        <w:jc w:val="lef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</w:rPr>
        <w:t>五、其他重要事项的情况说明</w:t>
      </w:r>
    </w:p>
    <w:p>
      <w:pPr>
        <w:spacing w:line="52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1、机关运行经费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：2021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年机关运行经费为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 96.8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万元，比20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年预算减少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 5.6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万元。减少原因是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压缩开支，开源节流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。</w:t>
      </w:r>
    </w:p>
    <w:p>
      <w:pPr>
        <w:spacing w:line="52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    2、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“三公”经费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：2021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年“三公”经费预算数为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 14.4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万元，其中公务接待费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 8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万元，公务用车购置及运行费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 6.4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万元。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2021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年“三公”经费公务用车购置及运行费预算与20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年持平、公务接待费比上年减少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 0.5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万元，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主要是厉行节约，规范管理，进一步压缩三公经费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    3、一般性支出情况：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 xml:space="preserve">2021 年本部门会议费预算 5万元，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拟召开人大、政协、各种行政工作等会议，人数约 1000人；培训费预算  0.5 万元，拟开展技能等培训，人数  500 人次；未计划举办节庆、晚会、论坛、赛事活动。</w:t>
      </w:r>
    </w:p>
    <w:p>
      <w:pPr>
        <w:numPr>
          <w:ilvl w:val="0"/>
          <w:numId w:val="0"/>
        </w:numPr>
        <w:spacing w:line="52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    4、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政府采购情况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：2021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我单位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政府采购预算为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 0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万元，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其中，政府采购货物预算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 0  万元，政府采购服务预算   0万元。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 xml:space="preserve">    5、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国有资产占用使用及新增资产配置情况</w:t>
      </w:r>
      <w:r>
        <w:rPr>
          <w:rFonts w:hint="eastAsia" w:ascii="宋体" w:hAnsi="宋体" w:eastAsia="宋体" w:cs="宋体"/>
          <w:b/>
          <w:sz w:val="28"/>
          <w:szCs w:val="28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 xml:space="preserve">截至 2020年12月31日，共有车辆 2 辆，均为一般公务用车。我单位没有价值50万元以上通用设备和单位价值100万元以上专用设备。 </w:t>
      </w:r>
    </w:p>
    <w:p>
      <w:pPr>
        <w:numPr>
          <w:ilvl w:val="0"/>
          <w:numId w:val="0"/>
        </w:numPr>
        <w:spacing w:line="520" w:lineRule="exact"/>
        <w:jc w:val="left"/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  <w:lang w:eastAsia="zh-CN"/>
        </w:rPr>
        <w:t>六、</w:t>
      </w:r>
      <w:r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numPr>
          <w:ilvl w:val="0"/>
          <w:numId w:val="0"/>
        </w:numPr>
        <w:spacing w:line="6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2、</w:t>
      </w:r>
      <w:r>
        <w:rPr>
          <w:rFonts w:hint="eastAsia" w:ascii="宋体" w:hAnsi="宋体" w:eastAsia="宋体" w:cs="宋体"/>
          <w:sz w:val="28"/>
          <w:szCs w:val="28"/>
        </w:rPr>
        <w:t>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widowControl/>
        <w:numPr>
          <w:ilvl w:val="0"/>
          <w:numId w:val="0"/>
        </w:numPr>
        <w:spacing w:line="600" w:lineRule="exact"/>
        <w:jc w:val="both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75E25"/>
    <w:rsid w:val="00F95B2E"/>
    <w:rsid w:val="035F1D41"/>
    <w:rsid w:val="08FB60A0"/>
    <w:rsid w:val="0A0202D8"/>
    <w:rsid w:val="0A0F45F6"/>
    <w:rsid w:val="0CCE2DE0"/>
    <w:rsid w:val="0E9453BD"/>
    <w:rsid w:val="139350DC"/>
    <w:rsid w:val="13AF3688"/>
    <w:rsid w:val="15D2205D"/>
    <w:rsid w:val="1B876975"/>
    <w:rsid w:val="26DF4AA4"/>
    <w:rsid w:val="29537F65"/>
    <w:rsid w:val="2E377418"/>
    <w:rsid w:val="332F6D75"/>
    <w:rsid w:val="34D96FB6"/>
    <w:rsid w:val="3B3C39B8"/>
    <w:rsid w:val="3F870FA4"/>
    <w:rsid w:val="43FD77D2"/>
    <w:rsid w:val="46784AC8"/>
    <w:rsid w:val="47C50CF5"/>
    <w:rsid w:val="4D0A4D32"/>
    <w:rsid w:val="4D2453A7"/>
    <w:rsid w:val="4EA63E4C"/>
    <w:rsid w:val="52595583"/>
    <w:rsid w:val="53560643"/>
    <w:rsid w:val="565F386B"/>
    <w:rsid w:val="57F318D0"/>
    <w:rsid w:val="590E285A"/>
    <w:rsid w:val="5EB313CC"/>
    <w:rsid w:val="63531ED7"/>
    <w:rsid w:val="647148F0"/>
    <w:rsid w:val="678D2522"/>
    <w:rsid w:val="68E93E01"/>
    <w:rsid w:val="69D67E15"/>
    <w:rsid w:val="6AE3772B"/>
    <w:rsid w:val="707865F0"/>
    <w:rsid w:val="7188152C"/>
    <w:rsid w:val="71BF58F1"/>
    <w:rsid w:val="78C75E25"/>
    <w:rsid w:val="78EE1308"/>
    <w:rsid w:val="7A5D28A5"/>
    <w:rsid w:val="7BD72E49"/>
    <w:rsid w:val="7D456C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2020-04-20T07:41:00Z</dcterms:created>
  <dc:creator>jzhs</dc:creator>
  <cp:lastModifiedBy>jzhs</cp:lastModifiedBy>
  <cp:lastPrinted>2020-06-08T07:18:00Z</cp:lastPrinted>
  <dcterms:modified xsi:type="dcterms:W3CDTF">2021-03-31T02:20:37Z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C0D3B7702D0349C4AC5C6DADCB181E70</vt:lpwstr>
  </property>
</Properties>
</file>