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2020年靖州县大堡子镇人民政府部门预算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 xml:space="preserve">靖州县大堡子镇人民政府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 xml:space="preserve">2020 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、职能职责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执行本级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人民代表大会决议以及上级国家行政机关的决定和命令。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执行全镇的社会和经济发展计划、预算，管理本镇内的经济、教育、科技、文化、卫生、体育事业和财政、民政、治安、人民调解、安全生产监督管理、移民开发、计划生育等行政工作。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保护社会主义的全民所有财产和劳动群众集体所有财产，保护公民私人所有的合法财产，维护社会秩序，保障公民的人身权利、民主权利和其他权利。</w:t>
      </w:r>
    </w:p>
    <w:p>
      <w:pPr>
        <w:widowControl/>
        <w:spacing w:line="52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贯彻执行党和国家的民族宗教政策，保障少数民族的权利和尊重少数民族的风俗习惯，尊重民族宗教信仰。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办理上级人民政府交办的其他事项。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根据编委核定，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我单位是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全额拨款</w:t>
      </w:r>
      <w:r>
        <w:rPr>
          <w:rFonts w:hint="eastAsia" w:ascii="仿宋_GB2312" w:eastAsia="仿宋_GB2312"/>
          <w:color w:val="auto"/>
          <w:sz w:val="32"/>
          <w:szCs w:val="32"/>
        </w:rPr>
        <w:t>的行政单位，在职人员行政编制数为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人，现在实际人数为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事业编制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人，现在实际人数为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人。其中：在职人员正科级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人，副科级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现有退休人员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人。本单位内设</w:t>
      </w:r>
      <w:r>
        <w:rPr>
          <w:rFonts w:hint="eastAsia" w:ascii="仿宋_GB2312" w:eastAsia="仿宋_GB2312"/>
          <w:color w:val="auto"/>
          <w:sz w:val="32"/>
          <w:szCs w:val="32"/>
        </w:rPr>
        <w:t>办公室、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财务室、综治办、计生办、扶贫站等部门。</w:t>
      </w: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413.22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一般公共预算拨款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413.22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413.22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413.22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316.06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97.16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万元。</w:t>
      </w: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413.22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413.22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316.03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97.16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万元，主要用于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计生、综治、扶贫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等相关工作的开展及保障机关正常工作运行等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。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97.16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万元，比201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35.56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万元。减少原因是今年没有信息化经费支出。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22.1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8.5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13.6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年“三公”经费公务用车购置及运行费预算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2.4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、公务接待费比上年减少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3、一般性支出情况：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年本部门会议费预算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6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拟召开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人大、扶贫会议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等会议，人数约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1700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未计划举办节庆、晚会、论坛、赛事活动。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政府采购情况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其中，政府采购货物预算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0万元，政府采购服务预算0万元。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5、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国有资产占用使用情况说明：截至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19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日，共有车辆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辆，均为一般公务用车。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没有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万元以上通用设备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万元以上专用设备。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2D3422C"/>
    <w:rsid w:val="035F1D41"/>
    <w:rsid w:val="0870189E"/>
    <w:rsid w:val="0CB753B5"/>
    <w:rsid w:val="0CCE2DE0"/>
    <w:rsid w:val="139350DC"/>
    <w:rsid w:val="15D2205D"/>
    <w:rsid w:val="1B876975"/>
    <w:rsid w:val="253E38F0"/>
    <w:rsid w:val="26DF4AA4"/>
    <w:rsid w:val="28C4534A"/>
    <w:rsid w:val="29537F65"/>
    <w:rsid w:val="2A7F2949"/>
    <w:rsid w:val="2C647368"/>
    <w:rsid w:val="34D96FB6"/>
    <w:rsid w:val="3611696F"/>
    <w:rsid w:val="3B3C39B8"/>
    <w:rsid w:val="3CCD405F"/>
    <w:rsid w:val="3F870FA4"/>
    <w:rsid w:val="432D34DA"/>
    <w:rsid w:val="46784AC8"/>
    <w:rsid w:val="47C50CF5"/>
    <w:rsid w:val="48D36E3C"/>
    <w:rsid w:val="4C8978DE"/>
    <w:rsid w:val="4EA63E4C"/>
    <w:rsid w:val="50FD6F5F"/>
    <w:rsid w:val="52595583"/>
    <w:rsid w:val="53560643"/>
    <w:rsid w:val="55282BE5"/>
    <w:rsid w:val="57F318D0"/>
    <w:rsid w:val="59604214"/>
    <w:rsid w:val="5B174B77"/>
    <w:rsid w:val="647148F0"/>
    <w:rsid w:val="678D2522"/>
    <w:rsid w:val="68E93E01"/>
    <w:rsid w:val="69D67E15"/>
    <w:rsid w:val="6AE3772B"/>
    <w:rsid w:val="707865F0"/>
    <w:rsid w:val="71BF58F1"/>
    <w:rsid w:val="78C75E25"/>
    <w:rsid w:val="7A5D28A5"/>
    <w:rsid w:val="7B78752E"/>
    <w:rsid w:val="7BD7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2020-07-06T03:37:14Z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