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</w:pPr>
      <w:r>
        <w:rPr>
          <w:rFonts w:hint="eastAsia"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  <w:t>2021年靖州</w:t>
      </w:r>
      <w:r>
        <w:rPr>
          <w:rFonts w:hint="eastAsia" w:ascii="黑体" w:hAnsi="宋体" w:eastAsia="黑体" w:cs="黑体"/>
          <w:color w:val="000000" w:themeColor="text1"/>
          <w:kern w:val="0"/>
          <w:sz w:val="31"/>
          <w:szCs w:val="31"/>
          <w:lang w:val="en-US" w:eastAsia="zh-CN" w:bidi="ar"/>
          <w14:textFill>
            <w14:solidFill>
              <w14:schemeClr w14:val="tx1"/>
            </w14:solidFill>
          </w14:textFill>
        </w:rPr>
        <w:t>县坳上镇</w:t>
      </w:r>
      <w:r>
        <w:rPr>
          <w:rFonts w:hint="eastAsia"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  <w:t>部门预算</w:t>
      </w:r>
    </w:p>
    <w:p>
      <w:pPr>
        <w:keepNext w:val="0"/>
        <w:keepLines w:val="0"/>
        <w:widowControl/>
        <w:suppressLineNumbers w:val="0"/>
        <w:jc w:val="center"/>
        <w:rPr>
          <w:color w:val="auto"/>
        </w:rPr>
      </w:pPr>
      <w:r>
        <w:rPr>
          <w:rFonts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  <w:t>目 录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Arial Unicode MS" w:hAnsi="Arial Unicode MS" w:eastAsia="Arial Unicode MS" w:cs="Arial Unicode MS"/>
          <w:color w:val="auto"/>
          <w:kern w:val="0"/>
          <w:sz w:val="31"/>
          <w:szCs w:val="31"/>
          <w:lang w:val="en-US" w:eastAsia="zh-CN" w:bidi="ar"/>
        </w:rPr>
      </w:pPr>
      <w:r>
        <w:rPr>
          <w:rFonts w:ascii="仿宋_GB2312" w:hAnsi="仿宋_GB2312" w:eastAsia="仿宋_GB2312" w:cs="仿宋_GB2312"/>
          <w:b/>
          <w:color w:val="auto"/>
          <w:kern w:val="0"/>
          <w:sz w:val="31"/>
          <w:szCs w:val="31"/>
          <w:lang w:val="en-US" w:eastAsia="zh-CN" w:bidi="ar"/>
        </w:rPr>
        <w:t xml:space="preserve">第一部分 </w:t>
      </w:r>
      <w:r>
        <w:rPr>
          <w:rFonts w:hint="eastAsia" w:ascii="Arial Unicode MS" w:hAnsi="Arial Unicode MS" w:eastAsia="Arial Unicode MS" w:cs="Arial Unicode MS"/>
          <w:color w:val="auto"/>
          <w:kern w:val="0"/>
          <w:sz w:val="31"/>
          <w:szCs w:val="31"/>
          <w:lang w:val="en-US" w:eastAsia="zh-CN" w:bidi="ar"/>
        </w:rPr>
        <w:t xml:space="preserve">2021年部门预算说明 </w:t>
      </w:r>
    </w:p>
    <w:p>
      <w:pPr>
        <w:keepNext w:val="0"/>
        <w:keepLines w:val="0"/>
        <w:widowControl/>
        <w:suppressLineNumbers w:val="0"/>
        <w:jc w:val="left"/>
        <w:rPr>
          <w:color w:val="auto"/>
        </w:rPr>
      </w:pPr>
      <w:r>
        <w:rPr>
          <w:rFonts w:ascii="仿宋_GB2312" w:hAnsi="仿宋_GB2312" w:eastAsia="仿宋_GB2312" w:cs="仿宋_GB2312"/>
          <w:b/>
          <w:color w:val="auto"/>
          <w:kern w:val="0"/>
          <w:sz w:val="31"/>
          <w:szCs w:val="31"/>
          <w:lang w:val="en-US" w:eastAsia="zh-CN" w:bidi="ar"/>
        </w:rPr>
        <w:t xml:space="preserve">第二部分 </w:t>
      </w:r>
      <w:r>
        <w:rPr>
          <w:rFonts w:hint="eastAsia" w:ascii="Arial Unicode MS" w:hAnsi="Arial Unicode MS" w:eastAsia="Arial Unicode MS" w:cs="Arial Unicode MS"/>
          <w:color w:val="auto"/>
          <w:kern w:val="0"/>
          <w:sz w:val="31"/>
          <w:szCs w:val="31"/>
          <w:lang w:val="en-US" w:eastAsia="zh-CN" w:bidi="ar"/>
        </w:rPr>
        <w:t xml:space="preserve">2021年部门预算表 </w:t>
      </w:r>
    </w:p>
    <w:p>
      <w:pPr>
        <w:spacing w:line="520" w:lineRule="exact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1、收支预算总表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2、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收入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预算总表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 xml:space="preserve">3、非税收入征收计划表     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 xml:space="preserve">  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4、支出预算分类汇总表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(部门经济分类）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5、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支出预算分类汇总表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（政府经济分类）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6、基本支出预算明细表-工资福利支出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7、基本支出预算明细表-商品和服务支出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8、基本支出预算明细表-对个人和家庭的补助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9、公共财政拨款支出预算分类汇总表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10、政府性基金拨款支出预算分类汇总表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11-13、项目支出预算明细表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14、政府采购预算表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15、“三公”经费预算公开表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16、单位基本情况信息表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color w:val="auto"/>
        </w:rPr>
      </w:pPr>
      <w:r>
        <w:rPr>
          <w:rFonts w:hint="eastAsia"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  <w:t>第一部分：</w:t>
      </w:r>
    </w:p>
    <w:p>
      <w:pPr>
        <w:keepNext w:val="0"/>
        <w:keepLines w:val="0"/>
        <w:widowControl/>
        <w:suppressLineNumbers w:val="0"/>
        <w:jc w:val="center"/>
        <w:rPr>
          <w:color w:val="auto"/>
        </w:rPr>
      </w:pPr>
      <w:r>
        <w:rPr>
          <w:rFonts w:hint="eastAsia" w:ascii="Times New Roman" w:hAnsi="Times New Roman" w:eastAsia="宋体" w:cs="Times New Roman"/>
          <w:b/>
          <w:color w:val="auto"/>
          <w:kern w:val="0"/>
          <w:sz w:val="36"/>
          <w:szCs w:val="36"/>
          <w:lang w:val="en-US" w:eastAsia="zh-CN" w:bidi="ar"/>
        </w:rPr>
        <w:t>2021</w:t>
      </w:r>
      <w:r>
        <w:rPr>
          <w:rFonts w:hint="eastAsia" w:ascii="宋体" w:hAnsi="宋体" w:eastAsia="宋体" w:cs="宋体"/>
          <w:b/>
          <w:color w:val="auto"/>
          <w:kern w:val="0"/>
          <w:sz w:val="36"/>
          <w:szCs w:val="36"/>
          <w:lang w:val="en-US" w:eastAsia="zh-CN" w:bidi="ar"/>
        </w:rPr>
        <w:t>年部门预算说明</w:t>
      </w:r>
    </w:p>
    <w:p>
      <w:pPr>
        <w:keepNext w:val="0"/>
        <w:keepLines w:val="0"/>
        <w:widowControl/>
        <w:suppressLineNumbers w:val="0"/>
        <w:jc w:val="both"/>
        <w:rPr>
          <w:color w:val="auto"/>
        </w:rPr>
      </w:pPr>
      <w:r>
        <w:rPr>
          <w:rFonts w:hint="eastAsia"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  <w:t xml:space="preserve">一、部门基本概况 </w:t>
      </w:r>
    </w:p>
    <w:p>
      <w:pPr>
        <w:keepNext w:val="0"/>
        <w:keepLines w:val="0"/>
        <w:widowControl/>
        <w:suppressLineNumbers w:val="0"/>
        <w:jc w:val="left"/>
        <w:rPr>
          <w:color w:val="auto"/>
        </w:rPr>
      </w:pPr>
      <w:r>
        <w:rPr>
          <w:rFonts w:hint="default" w:ascii="Times New Roman" w:hAnsi="Times New Roman" w:eastAsia="宋体" w:cs="Times New Roman"/>
          <w:color w:val="auto"/>
          <w:kern w:val="0"/>
          <w:sz w:val="31"/>
          <w:szCs w:val="31"/>
          <w:lang w:val="en-US" w:eastAsia="zh-CN" w:bidi="ar"/>
        </w:rPr>
        <w:t>1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 xml:space="preserve">、职能职责 </w:t>
      </w:r>
    </w:p>
    <w:p>
      <w:pPr>
        <w:pStyle w:val="3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镇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党政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instrText xml:space="preserve"> HYPERLINK "http://www.so.com/s?q=%E6%9C%BA%E6%9E%84&amp;ie=utf-8&amp;src=internal_wenda_recommend_textn" \t "https://wenda.so.com/q/_blank" </w:instrTex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机构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具有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instrText xml:space="preserve"> HYPERLINK "http://www.so.com/s?q=%E5%85%9A%E5%A7%94&amp;ie=utf-8&amp;src=internal_wenda_recommend_textn" \t "https://wenda.so.com/q/_blank" </w:instrTex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党委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instrText xml:space="preserve"> HYPERLINK "http://www.so.com/s?q=%E6%94%BF%E5%BA%9C&amp;ie=utf-8&amp;src=internal_wenda_recommend_textn" \t "https://wenda.so.com/q/_blank" </w:instrTex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政府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两种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instrText xml:space="preserve"> HYPERLINK "http://www.so.com/s?q=%E8%81%8C%E8%83%BD&amp;ie=utf-8&amp;src=internal_wenda_recommend_textn" \t "https://wenda.so.com/q/_blank" </w:instrTex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职能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，党委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instrText xml:space="preserve"> HYPERLINK "http://www.so.com/s?q=%E9%A2%86%E5%AF%BC&amp;ie=utf-8&amp;src=internal_wenda_recommend_textn" \t "https://wenda.so.com/q/_blank" </w:instrTex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领导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政府工作。主要是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instrText xml:space="preserve"> HYPERLINK "http://www.so.com/s?q=%E6%94%BF%E6%B2%BB%E6%80%9D%E6%83%B3&amp;ie=utf-8&amp;src=internal_wenda_recommend_textn" \t "https://wenda.so.com/q/_blank" </w:instrTex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政治思想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和方针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instrText xml:space="preserve"> HYPERLINK "http://www.so.com/s?q=%E6%94%BF%E7%AD%96&amp;ie=utf-8&amp;src=internal_wenda_recommend_textn" \t "https://wenda.so.com/q/_blank" </w:instrTex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政策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的领导，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instrText xml:space="preserve"> HYPERLINK "http://www.so.com/s?q=%E5%B9%B2%E9%83%A8&amp;ie=utf-8&amp;src=internal_wenda_recommend_textn" \t "https://wenda.so.com/q/_blank" </w:instrTex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干部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的选拔，考核和监督，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instrText xml:space="preserve"> HYPERLINK "http://www.so.com/s?q=%E7%BB%8F%E6%B5%8E&amp;ie=utf-8&amp;src=internal_wenda_recommend_textn" \t "https://wenda.so.com/q/_blank" </w:instrTex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经济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和行政工作中重大问题的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instrText xml:space="preserve"> HYPERLINK "http://www.so.com/s?q=%E5%86%B3%E7%AD%96&amp;ie=utf-8&amp;src=internal_wenda_recommend_textn" \t "https://wenda.so.com/q/_blank" </w:instrTex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决策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instrText xml:space="preserve"> HYPERLINK "http://www.so.com/s?q=%E4%B9%A1%E6%94%BF%E5%BA%9C&amp;ie=utf-8&amp;src=internal_wenda_recommend_textn" \t "https://wenda.so.com/q/_blank" </w:instrTex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separate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镇</w:t>
      </w:r>
      <w:r>
        <w:rPr>
          <w:rStyle w:val="7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政府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是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instrText xml:space="preserve"> HYPERLINK "http://www.so.com/s?q=%E5%9F%BA%E5%B1%82&amp;ie=utf-8&amp;src=internal_wenda_recommend_textn" \t "https://wenda.so.com/q/_blank" </w:instrTex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基层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instrText xml:space="preserve"> HYPERLINK "http://www.so.com/s?q=%E5%9B%BD%E5%AE%B6%E8%A1%8C%E6%94%BF%E6%9C%BA%E5%85%B3&amp;ie=utf-8&amp;src=internal_wenda_recommend_textn" \t "https://wenda.so.com/q/_blank" </w:instrTex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国家行政机关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，行使本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instrText xml:space="preserve"> HYPERLINK "http://www.so.com/s?q=%E8%A1%8C%E6%94%BF%E5%8C%BA&amp;ie=utf-8&amp;src=internal_wenda_recommend_textn" \t "https://wenda.so.com/q/_blank" </w:instrTex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行政区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的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instrText xml:space="preserve"> HYPERLINK "http://www.so.com/s?q=%E8%A1%8C%E6%94%BF%E8%81%8C%E8%83%BD&amp;ie=utf-8&amp;src=internal_wenda_recommend_textn" \t "https://wenda.so.com/q/_blank" </w:instrTex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行政职能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具体如下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、制定和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instrText xml:space="preserve"> HYPERLINK "http://www.so.com/s?q=%E7%BB%84%E7%BB%87&amp;ie=utf-8&amp;src=internal_wenda_recommend_textn" \t "https://wenda.so.com/q/_blank" </w:instrTex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组织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实施经济、科技和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instrText xml:space="preserve"> HYPERLINK "http://www.so.com/s?q=%E7%A4%BE%E4%BC%9A%E5%8F%91%E5%B1%95&amp;ie=utf-8&amp;src=internal_wenda_recommend_textn" \t "https://wenda.so.com/q/_blank" </w:instrTex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社会发展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计划，制定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instrText xml:space="preserve"> HYPERLINK "http://www.so.com/s?q=%E8%B5%84%E6%BA%90%E5%BC%80%E5%8F%91&amp;ie=utf-8&amp;src=internal_wenda_recommend_textn" \t "https://wenda.so.com/q/_blank" </w:instrTex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资源开发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技术改造和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instrText xml:space="preserve"> HYPERLINK "http://www.so.com/s?q=%E4%BA%A7%E4%B8%9A%E7%BB%93%E6%9E%84&amp;ie=utf-8&amp;src=internal_wenda_recommend_textn" \t "https://wenda.so.com/q/_blank" </w:instrTex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产业结构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调整方案，组织指导好各业生产，搞好商品流通，协调好本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镇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与外地区的经济交流与合作，抓好招商引资，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instrText xml:space="preserve"> HYPERLINK "http://www.so.com/s?q=%E4%BA%BA%E6%89%8D&amp;ie=utf-8&amp;src=internal_wenda_recommend_textn" \t "https://wenda.so.com/q/_blank" </w:instrTex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人才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instrText xml:space="preserve"> HYPERLINK "http://www.so.com/s?q=%E5%BC%95%E8%BF%9B%E9%A1%B9%E7%9B%AE&amp;ie=utf-8&amp;src=internal_wenda_recommend_textn" \t "https://wenda.so.com/q/_blank" </w:instrTex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引进项目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开发，不断培育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instrText xml:space="preserve"> HYPERLINK "http://www.so.com/s?q=%E5%B8%82%E5%9C%BA%E4%BD%93%E7%B3%BB&amp;ie=utf-8&amp;src=internal_wenda_recommend_textn" \t "https://wenda.so.com/q/_blank" </w:instrTex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市场体系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，组织经济运行，促进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instrText xml:space="preserve"> HYPERLINK "http://www.so.com/s?q=%E7%BB%8F%E6%B5%8E%E5%8F%91%E5%B1%95&amp;ie=utf-8&amp;src=internal_wenda_recommend_textn" \t "https://wenda.so.com/q/_blank" </w:instrTex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经济发展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  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、制定并组织实施村镇建设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instrText xml:space="preserve"> HYPERLINK "http://www.so.com/s?q=%E8%A7%84%E5%88%92&amp;ie=utf-8&amp;src=internal_wenda_recommend_textn" \t "https://wenda.so.com/q/_blank" </w:instrTex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规划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，部署重点工程建设，地方道路建设及公共设施，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instrText xml:space="preserve"> HYPERLINK "http://www.so.com/s?q=%E6%B0%B4%E5%88%A9%E8%AE%BE%E6%96%BD&amp;ie=utf-8&amp;src=internal_wenda_recommend_textn" \t "https://wenda.so.com/q/_blank" </w:instrTex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水利设施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的管理，负责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instrText xml:space="preserve"> HYPERLINK "http://www.so.com/s?q=%E5%9C%9F%E5%9C%B0&amp;ie=utf-8&amp;src=internal_wenda_recommend_textn" \t "https://wenda.so.com/q/_blank" </w:instrTex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土地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instrText xml:space="preserve"> HYPERLINK "http://www.so.com/s?q=%E6%9E%97%E6%9C%A8&amp;ie=utf-8&amp;src=internal_wenda_recommend_textn" \t "https://wenda.so.com/q/_blank" </w:instrTex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林木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、水等自然资源和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instrText xml:space="preserve"> HYPERLINK "http://www.so.com/s?q=%E7%94%9F%E6%80%81%E7%8E%AF%E5%A2%83&amp;ie=utf-8&amp;src=internal_wenda_recommend_textn" \t "https://wenda.so.com/q/_blank" </w:instrTex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生态环境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的保护，做好护林防火工作。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  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、负责本行政区域内的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instrText xml:space="preserve"> HYPERLINK "http://www.so.com/s?q=%E6%B0%91%E6%94%BF&amp;ie=utf-8&amp;src=internal_wenda_recommend_textn" \t "https://wenda.so.com/q/_blank" </w:instrTex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民政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instrText xml:space="preserve"> HYPERLINK "http://www.so.com/s?q=%E8%AE%A1%E5%88%92%E7%94%9F%E8%82%B2&amp;ie=utf-8&amp;src=internal_wenda_recommend_textn" \t "https://wenda.so.com/q/_blank" </w:instrTex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计划生育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、文化教育、卫生、体育等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instrText xml:space="preserve"> HYPERLINK "http://www.so.com/s?q=%E7%A4%BE%E4%BC%9A&amp;ie=utf-8&amp;src=internal_wenda_recommend_textn" \t "https://wenda.so.com/q/_blank" </w:instrTex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社会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公益事业的综合性工作，维护一切经济单位和个人的正当经济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instrText xml:space="preserve"> HYPERLINK "http://www.so.com/s?q=%E6%9D%83%E7%9B%8A&amp;ie=utf-8&amp;src=internal_wenda_recommend_textn" \t "https://wenda.so.com/q/_blank" </w:instrTex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权益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，取缔非法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instrText xml:space="preserve"> HYPERLINK "http://www.so.com/s?q=%E7%BB%8F%E6%B5%8E%E6%B4%BB%E5%8A%A8&amp;ie=utf-8&amp;src=internal_wenda_recommend_textn" \t "https://wenda.so.com/q/_blank" </w:instrTex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经济活动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，调解和处理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instrText xml:space="preserve"> HYPERLINK "http://www.so.com/s?q=%E6%B0%91%E4%BA%8B%E7%BA%A0%E7%BA%B7&amp;ie=utf-8&amp;src=internal_wenda_recommend_textn" \t "https://wenda.so.com/q/_blank" </w:instrTex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民事纠纷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，打击刑事犯罪维护社会稳定。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  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4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、按计划组织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instrText xml:space="preserve"> HYPERLINK "http://www.so.com/s?q=%E6%9C%AC%E7%BA%A7%E8%B4%A2%E6%94%BF%E6%94%B6%E5%85%A5&amp;ie=utf-8&amp;src=internal_wenda_recommend_textn" \t "https://wenda.so.com/q/_blank" </w:instrTex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本级财政收入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和地方税的征收，完成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instrText xml:space="preserve"> HYPERLINK "http://www.so.com/s?q=%E5%9B%BD%E5%AE%B6%E8%B4%A2%E6%94%BF&amp;ie=utf-8&amp;src=internal_wenda_recommend_textn" \t "https://wenda.so.com/q/_blank" </w:instrTex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国家财政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计划，不断培植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instrText xml:space="preserve"> HYPERLINK "http://www.so.com/s?q=%E7%A8%8E%E6%BA%90&amp;ie=utf-8&amp;src=internal_wenda_recommend_textn" \t "https://wenda.so.com/q/_blank" </w:instrTex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税源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，管好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instrText xml:space="preserve"> HYPERLINK "http://www.so.com/s?q=%E8%B4%A2%E6%94%BF%E8%B5%84%E9%87%91&amp;ie=utf-8&amp;src=internal_wenda_recommend_textn" \t "https://wenda.so.com/q/_blank" </w:instrTex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财政资金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，增强财政实力。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　　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5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、抓好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instrText xml:space="preserve"> HYPERLINK "http://www.so.com/s?q=%E7%B2%BE%E7%A5%9E%E6%96%87%E6%98%8E%E5%BB%BA%E8%AE%BE&amp;ie=utf-8&amp;src=internal_wenda_recommend_textn" \t "https://wenda.so.com/q/_blank" </w:instrTex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精神文明建设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，丰富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instrText xml:space="preserve"> HYPERLINK "http://www.so.com/s?q=%E7%BE%A4%E4%BC%97%E6%96%87%E5%8C%96&amp;ie=utf-8&amp;src=internal_wenda_recommend_textn" \t "https://wenda.so.com/q/_blank" </w:instrTex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群众文化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生活，提倡移风易俗，反对封建迷信，破除陈规陋习，树立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instrText xml:space="preserve"> HYPERLINK "http://www.so.com/s?q=%E7%A4%BE%E4%BC%9A%E4%B8%BB%E4%B9%89&amp;ie=utf-8&amp;src=internal_wenda_recommend_textn" \t "https://wenda.so.com/q/_blank" </w:instrTex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社会主义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instrText xml:space="preserve"> HYPERLINK "http://www.so.com/s?q=%E6%96%B0%E9%A3%8E%E5%B0%9A&amp;ie=utf-8&amp;src=internal_wenda_recommend_textn" \t "https://wenda.so.com/q/_blank" </w:instrTex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新风尚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  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6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、完成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instrText xml:space="preserve"> HYPERLINK "http://www.so.com/s?q=%E4%B8%8A%E7%BA%A7&amp;ie=utf-8&amp;src=internal_wenda_recommend_textn" \t "https://wenda.so.com/q/_blank" </w:instrTex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上级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政府交办的其它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instrText xml:space="preserve"> HYPERLINK "http://www.so.com/s?q=%E4%BA%8B%E9%A1%B9&amp;ie=utf-8&amp;src=internal_wenda_recommend_textn" \t "https://wenda.so.com/q/_blank" </w:instrTex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事项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widowControl/>
        <w:suppressLineNumbers w:val="0"/>
        <w:jc w:val="left"/>
        <w:rPr>
          <w:color w:val="auto"/>
        </w:rPr>
      </w:pPr>
      <w:r>
        <w:rPr>
          <w:rFonts w:hint="default" w:ascii="Times New Roman" w:hAnsi="Times New Roman" w:eastAsia="宋体" w:cs="Times New Roman"/>
          <w:color w:val="auto"/>
          <w:kern w:val="0"/>
          <w:sz w:val="31"/>
          <w:szCs w:val="31"/>
          <w:lang w:val="en-US" w:eastAsia="zh-CN" w:bidi="ar"/>
        </w:rPr>
        <w:t>2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 xml:space="preserve">、机构设置 </w:t>
      </w:r>
    </w:p>
    <w:p>
      <w:pPr>
        <w:keepNext w:val="0"/>
        <w:keepLines w:val="0"/>
        <w:widowControl/>
        <w:suppressLineNumbers w:val="0"/>
        <w:jc w:val="left"/>
        <w:rPr>
          <w:color w:val="auto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 xml:space="preserve"> </w:t>
      </w:r>
      <w:r>
        <w:rPr>
          <w:rFonts w:hint="eastAsia" w:ascii="仿宋_GB2312" w:hAnsi="仿宋_GB2312" w:eastAsia="仿宋_GB2312" w:cs="仿宋_GB2312"/>
          <w:color w:val="FF0000"/>
          <w:kern w:val="0"/>
          <w:sz w:val="31"/>
          <w:szCs w:val="31"/>
          <w:lang w:val="en-US" w:eastAsia="zh-CN" w:bidi="ar"/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1"/>
          <w:szCs w:val="31"/>
          <w:lang w:val="en-US" w:eastAsia="zh-CN" w:bidi="ar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仿宋_GB2312" w:hAnsi="仿宋_GB2312" w:eastAsia="仿宋_GB2312" w:cs="仿宋_GB2312"/>
          <w:color w:val="000000" w:themeColor="text1"/>
          <w:kern w:val="0"/>
          <w:sz w:val="31"/>
          <w:szCs w:val="31"/>
          <w:lang w:val="en-US" w:eastAsia="zh-CN" w:bidi="ar"/>
          <w14:textFill>
            <w14:solidFill>
              <w14:schemeClr w14:val="tx1"/>
            </w14:solidFill>
          </w14:textFill>
        </w:rPr>
        <w:t>根据编委核定，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我单位是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全额拨款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的行政单位，在职人员行政编制数为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人，现在实际人数为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18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事业编制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27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人，现在实际人数为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31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人。其中：正科级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人，副科级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政府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机关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设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服务中心。</w:t>
      </w:r>
    </w:p>
    <w:p>
      <w:pPr>
        <w:spacing w:line="520" w:lineRule="exact"/>
        <w:rPr>
          <w:rFonts w:hint="eastAsia" w:ascii="黑体" w:eastAsia="黑体"/>
          <w:color w:val="auto"/>
          <w:sz w:val="32"/>
          <w:szCs w:val="32"/>
        </w:rPr>
      </w:pPr>
      <w:r>
        <w:rPr>
          <w:rFonts w:hint="eastAsia" w:ascii="黑体" w:hAnsi="宋体" w:eastAsia="黑体"/>
          <w:b/>
          <w:color w:val="auto"/>
          <w:kern w:val="0"/>
          <w:sz w:val="32"/>
          <w:szCs w:val="32"/>
        </w:rPr>
        <w:t>二、</w:t>
      </w:r>
      <w:r>
        <w:rPr>
          <w:rFonts w:hint="eastAsia" w:ascii="黑体" w:eastAsia="黑体"/>
          <w:color w:val="auto"/>
          <w:sz w:val="32"/>
          <w:szCs w:val="32"/>
        </w:rPr>
        <w:t>部门收支总体情况</w:t>
      </w:r>
    </w:p>
    <w:p>
      <w:pPr>
        <w:widowControl/>
        <w:spacing w:line="520" w:lineRule="exact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2021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年预算包括收入、支出及专项经费安排情况。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1、收入预算: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2021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年年初预算数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445.06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万元,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 xml:space="preserve">一般公共预算拨款 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445.06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万元（经费拨款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445.06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 xml:space="preserve">万元，纳入一般公共预算管理的非税收入拨款 </w:t>
      </w:r>
      <w:r>
        <w:rPr>
          <w:rFonts w:hint="eastAsia" w:ascii="Times New Roman" w:hAnsi="Times New Roman" w:eastAsia="宋体" w:cs="Times New Roman"/>
          <w:color w:val="auto"/>
          <w:kern w:val="0"/>
          <w:sz w:val="31"/>
          <w:szCs w:val="31"/>
          <w:lang w:val="en-US" w:eastAsia="zh-CN" w:bidi="ar"/>
        </w:rPr>
        <w:t>0</w:t>
      </w:r>
      <w:r>
        <w:rPr>
          <w:rFonts w:hint="default" w:ascii="Times New Roman" w:hAnsi="Times New Roman" w:eastAsia="宋体" w:cs="Times New Roman"/>
          <w:color w:val="auto"/>
          <w:kern w:val="0"/>
          <w:sz w:val="31"/>
          <w:szCs w:val="31"/>
          <w:lang w:val="en-US" w:eastAsia="zh-CN" w:bidi="ar"/>
        </w:rPr>
        <w:t xml:space="preserve"> 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万 元）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上级财政补助收入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 xml:space="preserve">  0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万元。收入较去年增加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11.87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万元，主要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经费拨款增加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11.87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万元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，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行政事业性收费收入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增加0万元，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上级财政补助收入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减少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万元。</w:t>
      </w:r>
    </w:p>
    <w:p>
      <w:pPr>
        <w:spacing w:line="520" w:lineRule="exact"/>
        <w:ind w:firstLine="640" w:firstLineChars="200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2、支出预算: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2021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年年初预算数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445.06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万元 ，其中：工资福利支出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303.91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万元，一般商品和服务支出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141.15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万元 ，对个人和家庭补助支出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万元。</w:t>
      </w:r>
    </w:p>
    <w:p>
      <w:pPr>
        <w:widowControl/>
        <w:spacing w:line="520" w:lineRule="exact"/>
        <w:rPr>
          <w:rFonts w:hint="eastAsia" w:ascii="黑体" w:hAnsi="宋体" w:eastAsia="黑体"/>
          <w:color w:val="auto"/>
          <w:kern w:val="0"/>
          <w:sz w:val="32"/>
          <w:szCs w:val="32"/>
        </w:rPr>
      </w:pPr>
      <w:r>
        <w:rPr>
          <w:rFonts w:hint="eastAsia" w:ascii="黑体" w:hAnsi="宋体" w:eastAsia="黑体"/>
          <w:color w:val="auto"/>
          <w:kern w:val="0"/>
          <w:sz w:val="32"/>
          <w:szCs w:val="32"/>
        </w:rPr>
        <w:t>三、一般公共预算拨款支出情况</w:t>
      </w:r>
    </w:p>
    <w:p>
      <w:pPr>
        <w:widowControl/>
        <w:spacing w:line="520" w:lineRule="exact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2021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年一般公共预算拨款收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 xml:space="preserve">445.06 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万元，具体安排情况如下：</w:t>
      </w:r>
    </w:p>
    <w:p>
      <w:pPr>
        <w:widowControl/>
        <w:numPr>
          <w:ilvl w:val="0"/>
          <w:numId w:val="0"/>
        </w:numPr>
        <w:spacing w:line="520" w:lineRule="exact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 xml:space="preserve">    1、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基本支出：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2021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年年初预算数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445.06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万元，是指为保障单位机构正常运转、完成日常工作任务而发生的各项支出，包括用于基本工资、津贴补贴等人员经费及办公费、水电费、设备购置费日常公用经费等。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其中：工资福利支出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303.91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万元 ;一般商品和服务支出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141.15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万元，主要用于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办公费、水电费、设备购置及政府机关各项工作正常运转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等;对个人和家庭补助支出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/>
          <w:color w:val="auto"/>
          <w:sz w:val="32"/>
          <w:szCs w:val="32"/>
        </w:rPr>
        <w:t xml:space="preserve">万。  </w:t>
      </w:r>
    </w:p>
    <w:p>
      <w:pPr>
        <w:widowControl/>
        <w:numPr>
          <w:ilvl w:val="0"/>
          <w:numId w:val="0"/>
        </w:numPr>
        <w:spacing w:line="520" w:lineRule="exact"/>
        <w:rPr>
          <w:rFonts w:hint="eastAsia" w:ascii="黑体" w:hAnsi="宋体" w:eastAsia="黑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 xml:space="preserve">    2、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项目支出：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2021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年预算数为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万元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widowControl/>
        <w:numPr>
          <w:ilvl w:val="0"/>
          <w:numId w:val="0"/>
        </w:numPr>
        <w:spacing w:line="520" w:lineRule="exact"/>
        <w:rPr>
          <w:rFonts w:hint="eastAsia" w:ascii="黑体" w:hAnsi="宋体" w:eastAsia="黑体"/>
          <w:color w:val="auto"/>
          <w:kern w:val="0"/>
          <w:sz w:val="32"/>
          <w:szCs w:val="32"/>
        </w:rPr>
      </w:pPr>
      <w:r>
        <w:rPr>
          <w:rFonts w:hint="eastAsia" w:ascii="黑体" w:hAnsi="宋体" w:eastAsia="黑体"/>
          <w:color w:val="auto"/>
          <w:kern w:val="0"/>
          <w:sz w:val="32"/>
          <w:szCs w:val="32"/>
          <w:lang w:eastAsia="zh-CN"/>
        </w:rPr>
        <w:t>四、</w:t>
      </w:r>
      <w:r>
        <w:rPr>
          <w:rFonts w:hint="eastAsia" w:ascii="黑体" w:hAnsi="宋体" w:eastAsia="黑体"/>
          <w:color w:val="auto"/>
          <w:kern w:val="0"/>
          <w:sz w:val="32"/>
          <w:szCs w:val="32"/>
        </w:rPr>
        <w:t>政府性基金预算收支情况</w:t>
      </w:r>
    </w:p>
    <w:p>
      <w:pPr>
        <w:widowControl/>
        <w:spacing w:line="520" w:lineRule="exact"/>
        <w:jc w:val="both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2021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年本部门没有政府性基金预算收入，相应没有安排政府性基金预算支出。</w:t>
      </w:r>
    </w:p>
    <w:p>
      <w:pPr>
        <w:spacing w:line="520" w:lineRule="exact"/>
        <w:jc w:val="left"/>
        <w:rPr>
          <w:rFonts w:hint="eastAsia" w:ascii="黑体" w:hAnsi="宋体" w:eastAsia="黑体"/>
          <w:color w:val="auto"/>
          <w:kern w:val="0"/>
          <w:sz w:val="32"/>
          <w:szCs w:val="32"/>
        </w:rPr>
      </w:pPr>
      <w:r>
        <w:rPr>
          <w:rFonts w:hint="eastAsia" w:ascii="黑体" w:hAnsi="宋体" w:eastAsia="黑体"/>
          <w:color w:val="auto"/>
          <w:kern w:val="0"/>
          <w:sz w:val="32"/>
          <w:szCs w:val="32"/>
        </w:rPr>
        <w:t>五、其他重要事项的情况说明</w:t>
      </w:r>
    </w:p>
    <w:p>
      <w:pPr>
        <w:spacing w:line="520" w:lineRule="exact"/>
        <w:ind w:firstLine="640"/>
        <w:jc w:val="left"/>
        <w:rPr>
          <w:rFonts w:hint="eastAsia" w:ascii="仿宋_GB2312" w:hAnsi="宋体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1、机关运行经费</w:t>
      </w:r>
      <w:r>
        <w:rPr>
          <w:rFonts w:hint="eastAsia" w:ascii="仿宋_GB2312" w:hAnsi="宋体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：2021</w:t>
      </w:r>
      <w:r>
        <w:rPr>
          <w:rFonts w:hint="eastAsia" w:ascii="仿宋_GB2312" w:hAnsi="宋体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年机关运行经费为</w:t>
      </w:r>
      <w:r>
        <w:rPr>
          <w:rFonts w:hint="eastAsia" w:ascii="仿宋_GB2312" w:hAnsi="宋体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141.15</w:t>
      </w:r>
      <w:r>
        <w:rPr>
          <w:rFonts w:hint="eastAsia" w:ascii="仿宋_GB2312" w:hAnsi="宋体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万元，比20</w:t>
      </w:r>
      <w:r>
        <w:rPr>
          <w:rFonts w:hint="eastAsia" w:ascii="仿宋_GB2312" w:hAnsi="宋体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hAnsi="宋体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年预算</w:t>
      </w:r>
      <w:r>
        <w:rPr>
          <w:rFonts w:hint="eastAsia" w:ascii="仿宋_GB2312" w:hAnsi="宋体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_GB2312" w:hAnsi="宋体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40.32</w:t>
      </w:r>
      <w:r>
        <w:rPr>
          <w:rFonts w:hint="eastAsia" w:ascii="仿宋_GB2312" w:hAnsi="宋体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万元。</w:t>
      </w:r>
    </w:p>
    <w:p>
      <w:pPr>
        <w:spacing w:line="520" w:lineRule="exact"/>
        <w:ind w:firstLine="640"/>
        <w:jc w:val="left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2、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“三公”经费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：2021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年“三公”经费预算数为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17.6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万元，其中公务接待费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万元，公务用车购置及运行费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9.6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万元。20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年“三公”经费公务用车购置及运行费预算与2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020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0.5万元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、公务接待费比上年减少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 xml:space="preserve">0.6 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万元，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主要是厉行节约，规范管理，进一步压缩三公经费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 xml:space="preserve">    3、一般性支出情况：</w:t>
      </w:r>
      <w:r>
        <w:rPr>
          <w:rFonts w:hint="eastAsia" w:ascii="Times New Roman" w:hAnsi="Times New Roman" w:eastAsia="宋体" w:cs="Times New Roman"/>
          <w:color w:val="auto"/>
          <w:kern w:val="0"/>
          <w:sz w:val="31"/>
          <w:szCs w:val="31"/>
          <w:lang w:val="en-US" w:eastAsia="zh-CN" w:bidi="ar"/>
        </w:rPr>
        <w:t>2021</w:t>
      </w:r>
      <w:r>
        <w:rPr>
          <w:rFonts w:hint="default" w:ascii="Times New Roman" w:hAnsi="Times New Roman" w:eastAsia="宋体" w:cs="Times New Roman"/>
          <w:color w:val="auto"/>
          <w:kern w:val="0"/>
          <w:sz w:val="31"/>
          <w:szCs w:val="31"/>
          <w:lang w:val="en-US" w:eastAsia="zh-CN" w:bidi="ar"/>
        </w:rPr>
        <w:t xml:space="preserve"> 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年本部门会议费预算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2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万元， 拟召开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扶贫、乡村振兴、人大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等会议，人数约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800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人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；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培训费预算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2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万元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；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未计划举办节庆、晚会、论坛、赛事活动。</w:t>
      </w:r>
    </w:p>
    <w:p>
      <w:pPr>
        <w:numPr>
          <w:ilvl w:val="0"/>
          <w:numId w:val="0"/>
        </w:numPr>
        <w:spacing w:line="520" w:lineRule="exact"/>
        <w:jc w:val="left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 xml:space="preserve">    4、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政府采购情况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：2021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我单位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政府采购预算为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其中，政府采购货物预算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0万元，政府采购服务预算0万元。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 xml:space="preserve">    5、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国有资产占用使用及新增资产配置情况</w:t>
      </w:r>
      <w:r>
        <w:rPr>
          <w:rFonts w:eastAsia="楷体_GB2312"/>
          <w:b/>
          <w:sz w:val="32"/>
          <w:szCs w:val="32"/>
        </w:rPr>
        <w:t>：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 xml:space="preserve">截至 </w:t>
      </w:r>
      <w:r>
        <w:rPr>
          <w:rFonts w:hint="default" w:ascii="Times New Roman" w:hAnsi="Times New Roman" w:eastAsia="宋体" w:cs="Times New Roman"/>
          <w:color w:val="auto"/>
          <w:kern w:val="0"/>
          <w:sz w:val="31"/>
          <w:szCs w:val="31"/>
          <w:lang w:val="en-US" w:eastAsia="zh-CN" w:bidi="ar"/>
        </w:rPr>
        <w:t>20</w:t>
      </w:r>
      <w:r>
        <w:rPr>
          <w:rFonts w:hint="eastAsia" w:ascii="Times New Roman" w:hAnsi="Times New Roman" w:eastAsia="宋体" w:cs="Times New Roman"/>
          <w:color w:val="auto"/>
          <w:kern w:val="0"/>
          <w:sz w:val="31"/>
          <w:szCs w:val="31"/>
          <w:lang w:val="en-US" w:eastAsia="zh-CN" w:bidi="ar"/>
        </w:rPr>
        <w:t>20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年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12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月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31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日，共有车辆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 xml:space="preserve"> 4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辆，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3台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为一般公务用车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，1台为消防专用车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。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我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单位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没有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价值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50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万元以上通用设备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和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单位价值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100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万元以上专用设备</w:t>
      </w:r>
      <w:r>
        <w:rPr>
          <w:rFonts w:hint="eastAsia" w:eastAsia="仿宋_GB2312"/>
          <w:bCs/>
          <w:kern w:val="0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spacing w:line="520" w:lineRule="exact"/>
        <w:jc w:val="left"/>
        <w:rPr>
          <w:rFonts w:hint="eastAsia" w:ascii="仿宋_GB2312" w:hAnsi="宋体" w:eastAsia="仿宋_GB2312"/>
          <w:b/>
          <w:bCs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color w:val="auto"/>
          <w:kern w:val="0"/>
          <w:sz w:val="32"/>
          <w:szCs w:val="32"/>
          <w:lang w:eastAsia="zh-CN"/>
        </w:rPr>
        <w:t>六、</w:t>
      </w:r>
      <w:r>
        <w:rPr>
          <w:rFonts w:hint="eastAsia" w:ascii="仿宋_GB2312" w:hAnsi="宋体" w:eastAsia="仿宋_GB2312"/>
          <w:b/>
          <w:bCs/>
          <w:color w:val="auto"/>
          <w:kern w:val="0"/>
          <w:sz w:val="32"/>
          <w:szCs w:val="32"/>
        </w:rPr>
        <w:t>名词解释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eastAsia="仿宋_GB2312"/>
          <w:sz w:val="32"/>
          <w:szCs w:val="32"/>
        </w:rPr>
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widowControl/>
        <w:numPr>
          <w:ilvl w:val="0"/>
          <w:numId w:val="0"/>
        </w:num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  2、</w:t>
      </w:r>
      <w:r>
        <w:rPr>
          <w:rFonts w:eastAsia="仿宋_GB2312"/>
          <w:sz w:val="32"/>
          <w:szCs w:val="32"/>
        </w:rPr>
        <w:t>“三公”经费：纳入省（市/县）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住宿费、伙食费、培训费、公杂费等等支出。</w:t>
      </w:r>
    </w:p>
    <w:p>
      <w:pPr>
        <w:widowControl/>
        <w:numPr>
          <w:ilvl w:val="0"/>
          <w:numId w:val="0"/>
        </w:numPr>
        <w:spacing w:line="600" w:lineRule="exact"/>
        <w:jc w:val="both"/>
        <w:rPr>
          <w:rFonts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C75E25"/>
    <w:rsid w:val="00F95B2E"/>
    <w:rsid w:val="035F1D41"/>
    <w:rsid w:val="08155F01"/>
    <w:rsid w:val="08FB60A0"/>
    <w:rsid w:val="0CCE2DE0"/>
    <w:rsid w:val="0E9453BD"/>
    <w:rsid w:val="139350DC"/>
    <w:rsid w:val="13AF3688"/>
    <w:rsid w:val="15D2205D"/>
    <w:rsid w:val="1B876975"/>
    <w:rsid w:val="26DF4AA4"/>
    <w:rsid w:val="29537F65"/>
    <w:rsid w:val="34D96FB6"/>
    <w:rsid w:val="3B3C39B8"/>
    <w:rsid w:val="3F870FA4"/>
    <w:rsid w:val="43FD77D2"/>
    <w:rsid w:val="46784AC8"/>
    <w:rsid w:val="47C50CF5"/>
    <w:rsid w:val="4D0A4D32"/>
    <w:rsid w:val="4D2453A7"/>
    <w:rsid w:val="4EA63E4C"/>
    <w:rsid w:val="52595583"/>
    <w:rsid w:val="53560643"/>
    <w:rsid w:val="565F386B"/>
    <w:rsid w:val="57F318D0"/>
    <w:rsid w:val="590E285A"/>
    <w:rsid w:val="5EB313CC"/>
    <w:rsid w:val="63531ED7"/>
    <w:rsid w:val="647148F0"/>
    <w:rsid w:val="678D2522"/>
    <w:rsid w:val="68E93E01"/>
    <w:rsid w:val="69D67E15"/>
    <w:rsid w:val="6AE3772B"/>
    <w:rsid w:val="707865F0"/>
    <w:rsid w:val="71BF58F1"/>
    <w:rsid w:val="78C75E25"/>
    <w:rsid w:val="78EE1308"/>
    <w:rsid w:val="7A5D28A5"/>
    <w:rsid w:val="7BD72E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2020-04-20T07:41:00Z</dcterms:created>
  <dc:creator>jzhs</dc:creator>
  <cp:lastModifiedBy>Administrator</cp:lastModifiedBy>
  <cp:lastPrinted>2020-06-08T07:18:00Z</cp:lastPrinted>
  <dcterms:modified xsi:type="dcterms:W3CDTF">2021-03-22T08:52:16Z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