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both"/>
        <w:rPr>
          <w:sz w:val="44"/>
          <w:szCs w:val="44"/>
        </w:rPr>
      </w:pPr>
    </w:p>
    <w:p>
      <w:pPr>
        <w:widowControl/>
        <w:spacing w:line="600" w:lineRule="exact"/>
        <w:jc w:val="center"/>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2020年度靖州苗族侗族自治县市场监督管理局部门决算</w:t>
      </w:r>
    </w:p>
    <w:p>
      <w:pPr>
        <w:pStyle w:val="13"/>
        <w:spacing w:line="500" w:lineRule="exact"/>
        <w:jc w:val="both"/>
        <w:rPr>
          <w:rFonts w:hint="default"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 xml:space="preserve">                                         </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outlineLvl w:val="9"/>
        <w:rPr>
          <w:b w:val="0"/>
          <w:bCs/>
          <w:sz w:val="32"/>
          <w:szCs w:val="32"/>
        </w:rPr>
      </w:pPr>
      <w:r>
        <w:rPr>
          <w:rFonts w:hint="eastAsia"/>
          <w:b w:val="0"/>
          <w:bCs/>
          <w:sz w:val="32"/>
          <w:szCs w:val="32"/>
        </w:rPr>
        <w:t>目</w:t>
      </w:r>
      <w:r>
        <w:rPr>
          <w:rFonts w:hint="eastAsia"/>
          <w:b w:val="0"/>
          <w:bCs/>
          <w:sz w:val="32"/>
          <w:szCs w:val="32"/>
          <w:lang w:val="en-US" w:eastAsia="zh-CN"/>
        </w:rPr>
        <w:t xml:space="preserve"> </w:t>
      </w:r>
      <w:r>
        <w:rPr>
          <w:rFonts w:hint="eastAsia"/>
          <w:b w:val="0"/>
          <w:bCs/>
          <w:sz w:val="32"/>
          <w:szCs w:val="32"/>
        </w:rPr>
        <w:t>录</w:t>
      </w:r>
    </w:p>
    <w:p>
      <w:pPr>
        <w:widowControl/>
        <w:spacing w:line="600" w:lineRule="exact"/>
        <w:ind w:firstLine="643" w:firstLineChars="200"/>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第一部分</w:t>
      </w:r>
      <w:r>
        <w:rPr>
          <w:rFonts w:hint="eastAsia" w:ascii="Times New Roman" w:hAnsi="Times New Roman" w:eastAsia="仿宋_GB2312" w:cs="Times New Roman"/>
          <w:b/>
          <w:bCs/>
          <w:kern w:val="0"/>
          <w:sz w:val="32"/>
          <w:szCs w:val="32"/>
          <w:lang w:val="en-US" w:eastAsia="zh-CN"/>
        </w:rPr>
        <w:t xml:space="preserve"> </w:t>
      </w:r>
      <w:r>
        <w:rPr>
          <w:rFonts w:hint="eastAsia" w:ascii="Times New Roman" w:hAnsi="Times New Roman" w:eastAsia="仿宋_GB2312" w:cs="Times New Roman"/>
          <w:b/>
          <w:bCs/>
          <w:kern w:val="0"/>
          <w:sz w:val="32"/>
          <w:szCs w:val="32"/>
          <w:lang w:eastAsia="zh-CN"/>
        </w:rPr>
        <w:t>靖州</w:t>
      </w:r>
      <w:r>
        <w:rPr>
          <w:rFonts w:hint="eastAsia" w:ascii="Times New Roman" w:hAnsi="Times New Roman" w:eastAsia="仿宋_GB2312" w:cs="Times New Roman"/>
          <w:b/>
          <w:bCs/>
          <w:kern w:val="0"/>
          <w:sz w:val="32"/>
          <w:szCs w:val="32"/>
          <w:lang w:val="en-US" w:eastAsia="zh-CN"/>
        </w:rPr>
        <w:t>苗族侗族自治</w:t>
      </w:r>
      <w:r>
        <w:rPr>
          <w:rFonts w:hint="eastAsia" w:ascii="Times New Roman" w:hAnsi="Times New Roman" w:eastAsia="仿宋_GB2312" w:cs="Times New Roman"/>
          <w:b/>
          <w:bCs/>
          <w:kern w:val="0"/>
          <w:sz w:val="32"/>
          <w:szCs w:val="32"/>
          <w:lang w:eastAsia="zh-CN"/>
        </w:rPr>
        <w:t>县市场监督管理局</w:t>
      </w:r>
      <w:r>
        <w:rPr>
          <w:rFonts w:hint="eastAsia" w:ascii="Times New Roman" w:hAnsi="Times New Roman" w:eastAsia="仿宋_GB2312" w:cs="Times New Roman"/>
          <w:b/>
          <w:bCs/>
          <w:kern w:val="0"/>
          <w:sz w:val="32"/>
          <w:szCs w:val="32"/>
        </w:rPr>
        <w:t>概况</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一、部门职责</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二、机构设置</w:t>
      </w:r>
    </w:p>
    <w:p>
      <w:pPr>
        <w:widowControl/>
        <w:spacing w:line="600" w:lineRule="exact"/>
        <w:ind w:firstLine="643" w:firstLineChars="200"/>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第二部分</w:t>
      </w:r>
      <w:r>
        <w:rPr>
          <w:rFonts w:hint="eastAsia" w:ascii="Times New Roman" w:hAnsi="Times New Roman" w:eastAsia="仿宋_GB2312" w:cs="Times New Roman"/>
          <w:b/>
          <w:bCs/>
          <w:kern w:val="0"/>
          <w:sz w:val="32"/>
          <w:szCs w:val="32"/>
          <w:lang w:val="en-US" w:eastAsia="zh-CN"/>
        </w:rPr>
        <w:t xml:space="preserve"> </w:t>
      </w:r>
      <w:r>
        <w:rPr>
          <w:rFonts w:hint="eastAsia" w:ascii="Times New Roman" w:hAnsi="Times New Roman" w:eastAsia="仿宋_GB2312" w:cs="Times New Roman"/>
          <w:b/>
          <w:bCs/>
          <w:kern w:val="0"/>
          <w:sz w:val="32"/>
          <w:szCs w:val="32"/>
        </w:rPr>
        <w:t>2020年度部门决算表</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一、收入支出决算总表</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二、收入决算表</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三、支出决算表</w:t>
      </w:r>
    </w:p>
    <w:p>
      <w:pPr>
        <w:pStyle w:val="13"/>
        <w:spacing w:line="600" w:lineRule="exact"/>
        <w:ind w:firstLine="800" w:firstLineChars="250"/>
        <w:rPr>
          <w:rFonts w:hint="default"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rPr>
        <w:t>四、财政拨款收入支出决算总表</w:t>
      </w:r>
      <w:r>
        <w:rPr>
          <w:rFonts w:hint="eastAsia" w:ascii="Times New Roman" w:hAnsi="Times New Roman" w:eastAsia="仿宋_GB2312" w:cs="Times New Roman"/>
          <w:kern w:val="0"/>
          <w:sz w:val="32"/>
          <w:szCs w:val="32"/>
          <w:lang w:val="en-US" w:eastAsia="zh-CN"/>
        </w:rPr>
        <w:t xml:space="preserve">  </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五、一般公共预算财政拨款支出决算表</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六、一般公共预算财政拨款基本支出决算表</w:t>
      </w:r>
      <w:r>
        <w:rPr>
          <w:rFonts w:hint="eastAsia" w:ascii="Times New Roman" w:hAnsi="Times New Roman" w:eastAsia="仿宋_GB2312" w:cs="Times New Roman"/>
          <w:kern w:val="0"/>
          <w:sz w:val="32"/>
          <w:szCs w:val="32"/>
          <w:lang w:val="en-US" w:eastAsia="zh-CN"/>
        </w:rPr>
        <w:t xml:space="preserve"> </w:t>
      </w:r>
    </w:p>
    <w:p>
      <w:pPr>
        <w:pStyle w:val="13"/>
        <w:spacing w:line="600" w:lineRule="exact"/>
        <w:ind w:firstLine="800" w:firstLineChars="250"/>
        <w:rPr>
          <w:rFonts w:hint="eastAsia" w:ascii="Times New Roman" w:hAnsi="Times New Roman" w:eastAsia="仿宋_GB2312" w:cs="Times New Roman"/>
          <w:kern w:val="0"/>
          <w:sz w:val="32"/>
          <w:szCs w:val="32"/>
          <w:lang w:val="en-US" w:eastAsia="zh-CN"/>
        </w:rPr>
      </w:pP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七、一般公共预算财政拨款“三公”经费支出决算表</w:t>
      </w:r>
    </w:p>
    <w:p>
      <w:pPr>
        <w:pStyle w:val="13"/>
        <w:spacing w:line="600" w:lineRule="exact"/>
        <w:ind w:firstLine="800" w:firstLineChars="250"/>
        <w:rPr>
          <w:rFonts w:hint="eastAsia" w:ascii="Times New Roman" w:hAnsi="Times New Roman" w:eastAsia="仿宋_GB2312" w:cs="Times New Roman"/>
          <w:kern w:val="0"/>
          <w:sz w:val="32"/>
          <w:szCs w:val="32"/>
          <w:lang w:val="en-US" w:eastAsia="zh-CN"/>
        </w:rPr>
      </w:pPr>
      <w:r>
        <w:rPr>
          <w:rFonts w:ascii="Times New Roman" w:hAnsi="Times New Roman" w:eastAsia="仿宋_GB2312" w:cs="Times New Roman"/>
          <w:kern w:val="0"/>
          <w:sz w:val="32"/>
          <w:szCs w:val="32"/>
          <w:lang w:val="en-US" w:eastAsia="zh-CN"/>
        </w:rPr>
        <w:t>八、政府性基金预算财政拨款收入支出决算表</w:t>
      </w:r>
      <w:r>
        <w:rPr>
          <w:rFonts w:hint="eastAsia" w:ascii="Times New Roman" w:hAnsi="Times New Roman" w:eastAsia="仿宋_GB2312" w:cs="Times New Roman"/>
          <w:kern w:val="0"/>
          <w:sz w:val="32"/>
          <w:szCs w:val="32"/>
          <w:lang w:val="en-US" w:eastAsia="zh-CN"/>
        </w:rPr>
        <w:t xml:space="preserve"> </w:t>
      </w:r>
    </w:p>
    <w:p>
      <w:pPr>
        <w:pStyle w:val="13"/>
        <w:spacing w:line="600" w:lineRule="exact"/>
        <w:ind w:firstLine="800" w:firstLineChars="2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九、国有资本经营预算财政拨款支出决算表</w:t>
      </w:r>
    </w:p>
    <w:p>
      <w:pPr>
        <w:widowControl/>
        <w:spacing w:line="600" w:lineRule="exact"/>
        <w:ind w:firstLine="643" w:firstLineChars="200"/>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第三部分</w:t>
      </w:r>
      <w:r>
        <w:rPr>
          <w:rFonts w:hint="eastAsia" w:ascii="Times New Roman" w:hAnsi="Times New Roman" w:eastAsia="仿宋_GB2312" w:cs="Times New Roman"/>
          <w:b/>
          <w:bCs/>
          <w:kern w:val="0"/>
          <w:sz w:val="32"/>
          <w:szCs w:val="32"/>
          <w:lang w:val="en-US" w:eastAsia="zh-CN"/>
        </w:rPr>
        <w:t xml:space="preserve"> </w:t>
      </w:r>
      <w:r>
        <w:rPr>
          <w:rFonts w:hint="eastAsia" w:ascii="Times New Roman" w:hAnsi="Times New Roman" w:eastAsia="仿宋_GB2312" w:cs="Times New Roman"/>
          <w:b/>
          <w:bCs/>
          <w:kern w:val="0"/>
          <w:sz w:val="32"/>
          <w:szCs w:val="32"/>
        </w:rPr>
        <w:t>2020年度部门决算情况说明</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一、收入支出决算总体情况说明</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二、收入决算情况说明</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三、支出决算情况说明</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四、财政拨款收入支出决算总体情况说明</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五、一般公共预算财政拨款支出决算情况说明</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六、一般公共预算财政拨款基本支出决算情况说明</w:t>
      </w:r>
    </w:p>
    <w:p>
      <w:pPr>
        <w:pStyle w:val="13"/>
        <w:spacing w:line="600" w:lineRule="exact"/>
        <w:ind w:firstLine="800" w:firstLineChars="2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七、一般公共预算财政拨款三公经费支出决算情况说明</w:t>
      </w:r>
    </w:p>
    <w:p>
      <w:pPr>
        <w:pStyle w:val="13"/>
        <w:spacing w:line="600" w:lineRule="exact"/>
        <w:ind w:firstLine="800" w:firstLineChars="2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八</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政府性基金预算收入支出决算情况</w:t>
      </w:r>
    </w:p>
    <w:p>
      <w:pPr>
        <w:pStyle w:val="13"/>
        <w:spacing w:line="600" w:lineRule="exact"/>
        <w:ind w:firstLine="800" w:firstLineChars="2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九</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关于机关运行经费支出说明</w:t>
      </w:r>
    </w:p>
    <w:p>
      <w:pPr>
        <w:pStyle w:val="13"/>
        <w:spacing w:line="600" w:lineRule="exact"/>
        <w:ind w:firstLine="800" w:firstLineChars="2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十、一般性支出情况</w:t>
      </w:r>
    </w:p>
    <w:p>
      <w:pPr>
        <w:pStyle w:val="13"/>
        <w:spacing w:line="600" w:lineRule="exact"/>
        <w:ind w:firstLine="800" w:firstLineChars="2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十一、关于政府采购支出说明</w:t>
      </w:r>
    </w:p>
    <w:p>
      <w:pPr>
        <w:pStyle w:val="13"/>
        <w:spacing w:line="600" w:lineRule="exact"/>
        <w:ind w:firstLine="800" w:firstLineChars="2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十二、关于国有资产占用情况说明</w:t>
      </w:r>
    </w:p>
    <w:p>
      <w:pPr>
        <w:pStyle w:val="13"/>
        <w:spacing w:line="600" w:lineRule="exact"/>
        <w:ind w:firstLine="800" w:firstLineChars="2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十三、关于2020年度预算绩效情况的说明</w:t>
      </w:r>
    </w:p>
    <w:p>
      <w:pPr>
        <w:widowControl/>
        <w:spacing w:line="600" w:lineRule="exact"/>
        <w:ind w:firstLine="643" w:firstLineChars="200"/>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第四部分</w:t>
      </w:r>
      <w:r>
        <w:rPr>
          <w:rFonts w:hint="eastAsia" w:ascii="Times New Roman" w:hAnsi="Times New Roman" w:eastAsia="仿宋_GB2312" w:cs="Times New Roman"/>
          <w:b/>
          <w:bCs/>
          <w:kern w:val="0"/>
          <w:sz w:val="32"/>
          <w:szCs w:val="32"/>
          <w:lang w:val="en-US" w:eastAsia="zh-CN"/>
        </w:rPr>
        <w:t xml:space="preserve"> </w:t>
      </w:r>
      <w:r>
        <w:rPr>
          <w:rFonts w:hint="eastAsia" w:ascii="Times New Roman" w:hAnsi="Times New Roman" w:eastAsia="仿宋_GB2312" w:cs="Times New Roman"/>
          <w:b/>
          <w:bCs/>
          <w:kern w:val="0"/>
          <w:sz w:val="32"/>
          <w:szCs w:val="32"/>
        </w:rPr>
        <w:t>名词解释</w:t>
      </w:r>
    </w:p>
    <w:p>
      <w:pPr>
        <w:widowControl/>
        <w:spacing w:line="600" w:lineRule="exact"/>
        <w:ind w:firstLine="643" w:firstLineChars="200"/>
        <w:rPr>
          <w:rFonts w:hint="eastAsia"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第五部分</w:t>
      </w:r>
      <w:r>
        <w:rPr>
          <w:rFonts w:hint="eastAsia" w:ascii="Times New Roman" w:hAnsi="Times New Roman" w:eastAsia="仿宋_GB2312" w:cs="Times New Roman"/>
          <w:b/>
          <w:bCs/>
          <w:kern w:val="0"/>
          <w:sz w:val="32"/>
          <w:szCs w:val="32"/>
          <w:lang w:val="en-US" w:eastAsia="zh-CN"/>
        </w:rPr>
        <w:t xml:space="preserve"> </w:t>
      </w:r>
      <w:r>
        <w:rPr>
          <w:rFonts w:hint="eastAsia" w:ascii="Times New Roman" w:hAnsi="Times New Roman" w:eastAsia="仿宋_GB2312" w:cs="Times New Roman"/>
          <w:b/>
          <w:bCs/>
          <w:kern w:val="0"/>
          <w:sz w:val="32"/>
          <w:szCs w:val="32"/>
        </w:rPr>
        <w:t>附件</w:t>
      </w:r>
    </w:p>
    <w:p>
      <w:pPr>
        <w:widowControl/>
        <w:spacing w:line="600" w:lineRule="exact"/>
        <w:ind w:firstLine="643" w:firstLineChars="200"/>
        <w:jc w:val="left"/>
        <w:rPr>
          <w:rFonts w:hint="eastAsia" w:ascii="Times New Roman" w:hAnsi="Times New Roman" w:eastAsia="仿宋_GB2312" w:cs="Times New Roman"/>
          <w:b/>
          <w:bCs/>
          <w:kern w:val="0"/>
          <w:sz w:val="32"/>
          <w:szCs w:val="32"/>
        </w:rPr>
      </w:pPr>
    </w:p>
    <w:p>
      <w:pPr>
        <w:widowControl/>
        <w:spacing w:line="600" w:lineRule="exact"/>
        <w:ind w:firstLine="720" w:firstLineChars="200"/>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lang w:val="en-US" w:eastAsia="zh-CN"/>
        </w:rPr>
        <w:t>第一部分 靖州苗族侗族自治县市场监督管理局</w:t>
      </w:r>
      <w:r>
        <w:rPr>
          <w:rFonts w:hint="eastAsia" w:ascii="方正小标宋简体" w:hAnsi="方正小标宋简体" w:eastAsia="方正小标宋简体" w:cs="方正小标宋简体"/>
          <w:b w:val="0"/>
          <w:bCs w:val="0"/>
          <w:kern w:val="0"/>
          <w:sz w:val="36"/>
          <w:szCs w:val="36"/>
        </w:rPr>
        <w:t>概况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ascii="黑体" w:hAnsi="黑体" w:eastAsia="黑体"/>
          <w:sz w:val="32"/>
          <w:szCs w:val="32"/>
        </w:rPr>
      </w:pPr>
    </w:p>
    <w:p>
      <w:pPr>
        <w:pStyle w:val="1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市场综合监督管理工作。贯彻执行国家有关市场监督管理法律、法规、规章和政策；组织实施质量强县战略、食品药品安全战略、标准化战略和知识产权战略；拟订并组织实施有关规划，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市场主体统一登记注册。指导各类企业、农民专业合作社和从事经营活动的单位、个体工商户等市场主体的登记注册工作和监督管理工作，扶持个体、民营经济发展。建立市场主体信息公示和共享机制，依法公示和共享有关信息，加强信用监管，推动市场主体信息体系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组织和推进市场监管综合行政执法工作。贯彻落实中央和省、市关于市场监管综合行政执法改革相关文件精神，负责推进全县市场监管综合行政执法改革工作。组织实施全县市场监管综合行政执法队伍整合和建设，会同有关部门将反垄断执法、盐业执法整合纳入市场监管执法，规范市场监管行政执法行为。组织查处违法案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（四）负责反垄断相关工作。落实竞争政策，负责实施公平竞争审查制度。依法对经营者集中行为进行反垄断审查，根据授权负责垄断协议、滥用市场支配地位和滥用行政权力排除、限制竞争等反垄断工作。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监督管理市场秩序。依法监督管理市场交易、网络商品交易及有关服务行为。组织查处价格收费违法违规、不正当竞争、违法直销、传销、侵犯商标专利知识产权和制售假冒伪劣行为。指导广告业发展，监督管理广告活动。依法查处无证、无照生产经营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（六）负责组织开展有关服务领域消费维权工作，查处制售假冒伪劣等违法行为，指导消费者咨询、申诉、举报受理、处理和网络体系建设等工作，保护经营者、消费者合法权益。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（七）负责宏观质量管理。拟订推进质量强县战略的制度措施并组织实施。会同有关部门组织实施重大工程设备质量监理制度，组织质量事故调查，贯彻实施缺陷产品召回制度，监督管理产品防伪工作。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（八）负责产品质量安全监督管理。负责管理产品质量安全风险监控、监督抽查工作，负责实施质量分级制度、质量安全追溯制度。负责实施工业产品生产许可监督管理。负责纤维质量监督工作。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（九）负责特种设备安全监督管理。综合管理特种设备安全监察、监督工作，监督检查高耗能特种设备节能标准和锅炉环境保护标准的执行情况。配合上级调查处理特种设备事故并进行统计分析。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食品安全监督管理综合协调。组织实施食品安全重大政策，负责食品安全应急体系建设，组织重大食品安全事件应急处置和调查处理工作。落实食品安全重要信息直报制度。承担县食品安全委员会日常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食品安全监督管理。建立实施覆盖食品生产、流通、消费全过程的监督检查制度和隐患排查治理机制，防范区域性、系统性食品安全风险。推行食品生产经营者落实主体责任机制，健全食品安全追溯体系。组织开展食品安全监督抽检、风险监测、核查处置和风险预警、风险交流工作。组织实施特殊食品相关监督管理工作。负责食盐专营管理和食盐安全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（十二）负责统一管理计量工作。推行法定计量单位和国家计量制度，管理计量器具及量值传递和比对工作。规范、监督商品量和市场计量行为。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（十三）负责统一管理标准化工作。指导开展标准化试点示范工作。组织协调并指导推动各部门、各行业的标准化工作。依法对标准的实施进行监督。推行采用国际标准。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（十四）负责统一管理检验检测工作。推进检验检测机构改革，规范检验检测市场，完善检验检测体系，指导协调检验检测行业发展。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（十五）负责统一管理、监督和综合协调认证认可工作。组织实施统一的认证认可和合格评定监督管理制度。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实施知识产权战略，配合推进知识产权强省建设。组织实施知识产权创造、保护、运用的政策和措施。负责知识产权公共服务体系建设，推动知识产权信息传播利用，统筹协调涉外知识产权有关事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（十七）负责保护知识产权。落实严格保护商标、专利、原产地地理标志等相关工作，负责知识产权保护体系建设，组织指导商标、专利执法工作。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（十八）负责知识产权创造运用。按权限负责商标、专利和原产地地理标志的管理，开展知识产权运营体系建设，指导重大经济活动知识产权评议，规范知识产权交易和无形资产评估，促进知识产权转移转化。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（十九）负责市场监督管理、知识产权领域科技和信息化建设、新闻宣传、对外交流与合作。按规定承担技术性贸易措施有关工作。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负责药品（含中药、民族药，下同）、医疗器械和化妆品安全监督管理。贯彻执行国家药品、医疗器械和化妆品监督管理的法律、法规和规章，拟定相关制度措施，并组织实施。组织实施国家鼓励药品、医疗器械、化妆品新技术新产品管理和服务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（二十一）监督实施药品、医疗器械和化妆品分类管理制度，配合有关部门实施国家基本药物制度。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（二十二）负责药品、医疗器械和化妆品质量管理。监督实施药品、医疗器械经营质量管理规范，监督实施化妆品经营、使用卫生标准和技术规范。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（二十三）组织开展药品不良反应、医疗器械不良事件和化妆品不良反应的监测、评价和处置工作，监督实施产品召回制度。依法承担药品、医疗器械和化妆品安全应急管理工作。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（二十四）负责组织实施药品、医疗器械和化妆品监督检查。落实检查制度，依法查处药品零售、使用环节及医疗器械和化妆品经营、使用环节违法行为。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组织制定检查制度，并依职责组织实施。依职责组织查处药品、医疗器械和化妆品生产经营环节的违法行为，组织查处跨区域和重大复杂案件。负责药品、医疗器械和化妆品投诉举报的处理工作。推进专业化、职业化检查员队伍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（二十六）负责职责范围内食品药品行业安全生产工作。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（二十七）完成县委、县人民政府交办的其他任务。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（二十八）职能转变。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Cs/>
          <w:kern w:val="0"/>
          <w:sz w:val="32"/>
          <w:szCs w:val="32"/>
          <w:lang w:eastAsia="zh-CN"/>
        </w:rPr>
      </w:pPr>
      <w:r>
        <w:rPr>
          <w:rFonts w:hint="eastAsia" w:ascii="楷体_GB2312" w:hAnsi="宋体" w:eastAsia="楷体_GB2312" w:cs="Times New Roman"/>
          <w:b/>
          <w:bCs/>
          <w:kern w:val="0"/>
          <w:sz w:val="32"/>
          <w:szCs w:val="32"/>
        </w:rPr>
        <w:t>（一）内设机构设置。</w:t>
      </w:r>
      <w:r>
        <w:rPr>
          <w:rFonts w:hint="eastAsia" w:ascii="仿宋_GB2312" w:hAnsi="仿宋_GB2312" w:eastAsia="仿宋_GB2312" w:cs="仿宋_GB2312"/>
          <w:bCs/>
          <w:kern w:val="0"/>
          <w:sz w:val="32"/>
          <w:szCs w:val="32"/>
          <w:lang w:val="en-US" w:eastAsia="zh-CN"/>
        </w:rPr>
        <w:t>靖州苗族侗族自治县市场监督管理局</w:t>
      </w:r>
      <w:r>
        <w:rPr>
          <w:rFonts w:hint="eastAsia" w:ascii="仿宋_GB2312" w:hAnsi="仿宋_GB2312" w:eastAsia="仿宋_GB2312" w:cs="仿宋_GB2312"/>
          <w:bCs/>
          <w:kern w:val="0"/>
          <w:sz w:val="32"/>
          <w:szCs w:val="32"/>
        </w:rPr>
        <w:t>内设机构包括：办公室</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计财股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人事教育股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政策法规股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食品安全监督管理股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食品安全综合协调股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药品化妆品医疗器械监督管理股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消费者权益保护股（投诉举报中心）</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行政审批服务股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特种设备安全监察股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知识产权股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信用质量和广告网络监督管理股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标准计量认证认可监督管理股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价格监督管理股</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应急反应股</w:t>
      </w:r>
      <w:r>
        <w:rPr>
          <w:rFonts w:hint="eastAsia" w:ascii="仿宋_GB2312" w:hAnsi="仿宋_GB2312" w:eastAsia="仿宋_GB2312" w:cs="仿宋_GB2312"/>
          <w:bCs/>
          <w:kern w:val="0"/>
          <w:sz w:val="32"/>
          <w:szCs w:val="32"/>
          <w:lang w:eastAsia="zh-CN"/>
        </w:rPr>
        <w:t>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Cs/>
          <w:kern w:val="0"/>
          <w:sz w:val="32"/>
          <w:szCs w:val="32"/>
          <w:lang w:eastAsia="zh-CN"/>
        </w:rPr>
      </w:pPr>
      <w:r>
        <w:rPr>
          <w:rFonts w:hint="eastAsia" w:ascii="楷体_GB2312" w:hAnsi="宋体" w:eastAsia="楷体_GB2312" w:cs="Times New Roman"/>
          <w:b/>
          <w:bCs/>
          <w:kern w:val="0"/>
          <w:sz w:val="32"/>
          <w:szCs w:val="32"/>
        </w:rPr>
        <w:t>（二）决算单位构成。</w:t>
      </w:r>
      <w:r>
        <w:rPr>
          <w:rFonts w:hint="eastAsia" w:ascii="仿宋_GB2312" w:hAnsi="仿宋_GB2312" w:eastAsia="仿宋_GB2312" w:cs="仿宋_GB2312"/>
          <w:bCs/>
          <w:kern w:val="0"/>
          <w:sz w:val="32"/>
          <w:szCs w:val="32"/>
          <w:lang w:val="en-US" w:eastAsia="zh-CN"/>
        </w:rPr>
        <w:t>靖州苗族侗族自治县市场监督管理局2020年部门决算汇总公开单位构成包括：靖州苗族侗族自治县市场监督管理局本级。</w:t>
      </w:r>
    </w:p>
    <w:p>
      <w:pPr>
        <w:jc w:val="left"/>
        <w:rPr>
          <w:rFonts w:ascii="仿宋_GB2312" w:eastAsia="仿宋_GB2312" w:hAnsiTheme="minorEastAsia"/>
          <w:sz w:val="28"/>
          <w:szCs w:val="32"/>
        </w:rPr>
      </w:pPr>
    </w:p>
    <w:p>
      <w:pPr>
        <w:widowControl/>
        <w:spacing w:line="600" w:lineRule="exact"/>
        <w:ind w:firstLine="2160" w:firstLineChars="600"/>
        <w:jc w:val="both"/>
        <w:rPr>
          <w:rFonts w:hint="eastAsia" w:ascii="Times New Roman" w:hAnsi="Times New Roman" w:eastAsia="方正小标宋_GBK" w:cs="Times New Roman"/>
          <w:bCs/>
          <w:kern w:val="0"/>
          <w:sz w:val="36"/>
          <w:szCs w:val="36"/>
        </w:rPr>
      </w:pPr>
    </w:p>
    <w:p>
      <w:pPr>
        <w:widowControl/>
        <w:spacing w:line="600" w:lineRule="exact"/>
        <w:ind w:firstLine="2160" w:firstLineChars="600"/>
        <w:jc w:val="both"/>
        <w:rPr>
          <w:rFonts w:hint="eastAsia" w:ascii="Times New Roman" w:hAnsi="Times New Roman" w:eastAsia="方正小标宋_GBK" w:cs="Times New Roman"/>
          <w:bCs/>
          <w:kern w:val="0"/>
          <w:sz w:val="36"/>
          <w:szCs w:val="36"/>
        </w:rPr>
      </w:pPr>
    </w:p>
    <w:p>
      <w:pPr>
        <w:widowControl/>
        <w:spacing w:line="600" w:lineRule="exact"/>
        <w:ind w:firstLine="2160" w:firstLineChars="600"/>
        <w:jc w:val="both"/>
        <w:rPr>
          <w:rFonts w:hint="eastAsia" w:ascii="Times New Roman" w:hAnsi="Times New Roman" w:eastAsia="方正小标宋_GBK" w:cs="Times New Roman"/>
          <w:bCs/>
          <w:kern w:val="0"/>
          <w:sz w:val="36"/>
          <w:szCs w:val="36"/>
        </w:rPr>
      </w:pPr>
    </w:p>
    <w:p>
      <w:pPr>
        <w:widowControl/>
        <w:spacing w:line="600" w:lineRule="exact"/>
        <w:ind w:firstLine="2160" w:firstLineChars="600"/>
        <w:jc w:val="both"/>
        <w:rPr>
          <w:rFonts w:hint="eastAsia" w:ascii="Times New Roman" w:hAnsi="Times New Roman" w:eastAsia="方正小标宋_GBK" w:cs="Times New Roman"/>
          <w:bCs/>
          <w:kern w:val="0"/>
          <w:sz w:val="36"/>
          <w:szCs w:val="36"/>
        </w:rPr>
      </w:pPr>
    </w:p>
    <w:p>
      <w:pPr>
        <w:widowControl/>
        <w:spacing w:line="600" w:lineRule="exact"/>
        <w:ind w:firstLine="2160" w:firstLineChars="600"/>
        <w:jc w:val="both"/>
        <w:rPr>
          <w:rFonts w:hint="eastAsia" w:ascii="Times New Roman" w:hAnsi="Times New Roman" w:eastAsia="方正小标宋_GBK" w:cs="Times New Roman"/>
          <w:bCs/>
          <w:kern w:val="0"/>
          <w:sz w:val="36"/>
          <w:szCs w:val="36"/>
        </w:rPr>
      </w:pPr>
    </w:p>
    <w:p>
      <w:pPr>
        <w:widowControl/>
        <w:spacing w:line="600" w:lineRule="exact"/>
        <w:jc w:val="both"/>
        <w:rPr>
          <w:rFonts w:hint="eastAsia" w:ascii="Times New Roman" w:hAnsi="Times New Roman" w:eastAsia="方正小标宋_GBK" w:cs="Times New Roman"/>
          <w:bCs/>
          <w:kern w:val="0"/>
          <w:sz w:val="36"/>
          <w:szCs w:val="36"/>
        </w:rPr>
      </w:pPr>
      <w:bookmarkStart w:id="2" w:name="_GoBack"/>
      <w:bookmarkEnd w:id="2"/>
    </w:p>
    <w:p>
      <w:pPr>
        <w:widowControl/>
        <w:spacing w:line="600" w:lineRule="exact"/>
        <w:ind w:firstLine="2160" w:firstLineChars="600"/>
        <w:jc w:val="both"/>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第二部分</w:t>
      </w:r>
      <w:r>
        <w:rPr>
          <w:rFonts w:hint="eastAsia" w:ascii="方正小标宋简体" w:hAnsi="方正小标宋简体" w:eastAsia="方正小标宋简体" w:cs="方正小标宋简体"/>
          <w:bCs/>
          <w:kern w:val="0"/>
          <w:sz w:val="36"/>
          <w:szCs w:val="36"/>
          <w:lang w:val="en-US" w:eastAsia="zh-CN"/>
        </w:rPr>
        <w:t xml:space="preserve"> 2020年</w:t>
      </w:r>
      <w:r>
        <w:rPr>
          <w:rFonts w:hint="eastAsia" w:ascii="方正小标宋简体" w:hAnsi="方正小标宋简体" w:eastAsia="方正小标宋简体" w:cs="方正小标宋简体"/>
          <w:bCs/>
          <w:kern w:val="0"/>
          <w:sz w:val="36"/>
          <w:szCs w:val="36"/>
        </w:rPr>
        <w:t>部门决算表</w:t>
      </w:r>
    </w:p>
    <w:p>
      <w:pPr>
        <w:jc w:val="left"/>
        <w:rPr>
          <w:rFonts w:asciiTheme="minorEastAsia" w:hAnsiTheme="minorEastAsia"/>
          <w:sz w:val="32"/>
          <w:szCs w:val="32"/>
        </w:rPr>
        <w:sectPr>
          <w:pgSz w:w="16838" w:h="11906" w:orient="landscape"/>
          <w:pgMar w:top="1440" w:right="1800" w:bottom="1440" w:left="1800" w:header="851" w:footer="992" w:gutter="0"/>
          <w:cols w:space="425" w:num="1"/>
          <w:docGrid w:type="lines" w:linePitch="312" w:charSpace="0"/>
        </w:sectPr>
      </w:pPr>
    </w:p>
    <w:tbl>
      <w:tblPr>
        <w:tblStyle w:val="10"/>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Layout w:type="fixed"/>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Layout w:type="fixed"/>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Layout w:type="fixed"/>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靖州</w:t>
            </w:r>
            <w:r>
              <w:rPr>
                <w:rFonts w:hint="eastAsia" w:ascii="宋体" w:hAnsi="宋体" w:eastAsia="宋体" w:cs="宋体"/>
                <w:color w:val="000000"/>
                <w:kern w:val="0"/>
                <w:sz w:val="20"/>
                <w:szCs w:val="20"/>
                <w:lang w:val="en-US" w:eastAsia="zh-CN"/>
              </w:rPr>
              <w:t>苗族侗族自治</w:t>
            </w:r>
            <w:r>
              <w:rPr>
                <w:rFonts w:hint="eastAsia" w:ascii="宋体" w:hAnsi="宋体" w:eastAsia="宋体" w:cs="宋体"/>
                <w:color w:val="000000"/>
                <w:kern w:val="0"/>
                <w:sz w:val="20"/>
                <w:szCs w:val="20"/>
                <w:lang w:eastAsia="zh-CN"/>
              </w:rPr>
              <w:t>县市场监督管理局</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1959.76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Times New Roman" w:hAnsi="Times New Roman" w:eastAsia="仿宋_GB2312" w:cs="Times New Roman"/>
                <w:kern w:val="0"/>
                <w:szCs w:val="21"/>
                <w:lang w:val="en-US" w:eastAsia="zh-CN"/>
              </w:rPr>
              <w:t>1821.74</w:t>
            </w: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1959.76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1821.74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71.92　</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209.94　</w:t>
            </w:r>
          </w:p>
        </w:tc>
      </w:tr>
      <w:tr>
        <w:tblPrEx>
          <w:tblLayout w:type="fixed"/>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2031.68　</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2031.68　</w:t>
            </w:r>
          </w:p>
        </w:tc>
      </w:tr>
      <w:tr>
        <w:tblPrEx>
          <w:tblLayout w:type="fixed"/>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10"/>
        <w:tblW w:w="14400" w:type="dxa"/>
        <w:tblInd w:w="0" w:type="dxa"/>
        <w:tblLayout w:type="fixed"/>
        <w:tblCellMar>
          <w:top w:w="0" w:type="dxa"/>
          <w:left w:w="0" w:type="dxa"/>
          <w:bottom w:w="0" w:type="dxa"/>
          <w:right w:w="0" w:type="dxa"/>
        </w:tblCellMar>
      </w:tblPr>
      <w:tblGrid>
        <w:gridCol w:w="315"/>
        <w:gridCol w:w="315"/>
        <w:gridCol w:w="1370"/>
        <w:gridCol w:w="1671"/>
        <w:gridCol w:w="1671"/>
        <w:gridCol w:w="1671"/>
        <w:gridCol w:w="1671"/>
        <w:gridCol w:w="1671"/>
        <w:gridCol w:w="1671"/>
        <w:gridCol w:w="2374"/>
      </w:tblGrid>
      <w:tr>
        <w:tblPrEx>
          <w:tblLayout w:type="fixed"/>
          <w:tblCellMar>
            <w:top w:w="0" w:type="dxa"/>
            <w:left w:w="0" w:type="dxa"/>
            <w:bottom w:w="0" w:type="dxa"/>
            <w:right w:w="0" w:type="dxa"/>
          </w:tblCellMar>
        </w:tblPrEx>
        <w:trPr>
          <w:trHeight w:val="435" w:hRule="atLeast"/>
        </w:trPr>
        <w:tc>
          <w:tcPr>
            <w:tcW w:w="14400" w:type="dxa"/>
            <w:gridSpan w:val="10"/>
            <w:tcBorders>
              <w:top w:val="nil"/>
              <w:left w:val="nil"/>
              <w:bottom w:val="nil"/>
              <w:right w:val="nil"/>
            </w:tcBorders>
            <w:shd w:val="clear" w:color="auto" w:fill="auto"/>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15"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7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285" w:hRule="atLeast"/>
        </w:trPr>
        <w:tc>
          <w:tcPr>
            <w:tcW w:w="630"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712" w:type="dxa"/>
            <w:gridSpan w:val="3"/>
            <w:tcBorders>
              <w:top w:val="nil"/>
              <w:left w:val="nil"/>
              <w:bottom w:val="nil"/>
              <w:right w:val="nil"/>
            </w:tcBorders>
            <w:shd w:val="clear" w:color="000000" w:fill="FFFFFF"/>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color w:val="000000"/>
                <w:kern w:val="0"/>
                <w:sz w:val="20"/>
                <w:szCs w:val="20"/>
                <w:lang w:eastAsia="zh-CN"/>
              </w:rPr>
              <w:t>靖州</w:t>
            </w:r>
            <w:r>
              <w:rPr>
                <w:rFonts w:hint="eastAsia" w:ascii="宋体" w:hAnsi="宋体" w:eastAsia="宋体" w:cs="宋体"/>
                <w:color w:val="000000"/>
                <w:kern w:val="0"/>
                <w:sz w:val="20"/>
                <w:szCs w:val="20"/>
                <w:lang w:val="en-US" w:eastAsia="zh-CN"/>
              </w:rPr>
              <w:t>苗族侗族自治</w:t>
            </w:r>
            <w:r>
              <w:rPr>
                <w:rFonts w:hint="eastAsia" w:ascii="宋体" w:hAnsi="宋体" w:eastAsia="宋体" w:cs="宋体"/>
                <w:color w:val="000000"/>
                <w:kern w:val="0"/>
                <w:sz w:val="20"/>
                <w:szCs w:val="20"/>
                <w:lang w:eastAsia="zh-CN"/>
              </w:rPr>
              <w:t>县市场监督管理局</w:t>
            </w: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50" w:hRule="atLeast"/>
        </w:trPr>
        <w:tc>
          <w:tcPr>
            <w:tcW w:w="200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7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63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7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200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4"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450" w:hRule="atLeast"/>
        </w:trPr>
        <w:tc>
          <w:tcPr>
            <w:tcW w:w="200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1959.76</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1959.76</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0" w:type="dxa"/>
            <w:bottom w:w="0" w:type="dxa"/>
            <w:right w:w="0" w:type="dxa"/>
          </w:tblCellMar>
        </w:tblPrEx>
        <w:trPr>
          <w:trHeight w:val="9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137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一般公共服务支出</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1959.76</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1959.76</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　20138</w:t>
            </w:r>
          </w:p>
        </w:tc>
        <w:tc>
          <w:tcPr>
            <w:tcW w:w="137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市场监督管理事务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1959.76</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1959.76</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2013801</w:t>
            </w:r>
          </w:p>
        </w:tc>
        <w:tc>
          <w:tcPr>
            <w:tcW w:w="137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行政运行</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1867.63</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1867.63</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2013802</w:t>
            </w:r>
          </w:p>
        </w:tc>
        <w:tc>
          <w:tcPr>
            <w:tcW w:w="137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一般行政管理事务</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2.83</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2.83</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2013804</w:t>
            </w:r>
          </w:p>
        </w:tc>
        <w:tc>
          <w:tcPr>
            <w:tcW w:w="137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市场主体管理</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89.30</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89.30</w:t>
            </w:r>
            <w:r>
              <w:rPr>
                <w:rFonts w:hint="eastAsia" w:ascii="Times New Roman" w:hAnsi="Times New Roman" w:eastAsia="仿宋_GB2312" w:cs="Times New Roman"/>
                <w:kern w:val="0"/>
                <w:szCs w:val="21"/>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0" w:type="dxa"/>
            <w:bottom w:w="0" w:type="dxa"/>
            <w:right w:w="0" w:type="dxa"/>
          </w:tblCellMar>
        </w:tblPrEx>
        <w:trPr>
          <w:trHeight w:val="450" w:hRule="atLeast"/>
        </w:trPr>
        <w:tc>
          <w:tcPr>
            <w:tcW w:w="63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370"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615" w:hRule="atLeast"/>
        </w:trPr>
        <w:tc>
          <w:tcPr>
            <w:tcW w:w="144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0"/>
        <w:tblW w:w="13183" w:type="dxa"/>
        <w:tblInd w:w="93" w:type="dxa"/>
        <w:tblLayout w:type="fixed"/>
        <w:tblCellMar>
          <w:top w:w="0" w:type="dxa"/>
          <w:left w:w="108" w:type="dxa"/>
          <w:bottom w:w="0" w:type="dxa"/>
          <w:right w:w="108" w:type="dxa"/>
        </w:tblCellMar>
      </w:tblPr>
      <w:tblGrid>
        <w:gridCol w:w="1042"/>
        <w:gridCol w:w="222"/>
        <w:gridCol w:w="1249"/>
        <w:gridCol w:w="1646"/>
        <w:gridCol w:w="1679"/>
        <w:gridCol w:w="1679"/>
        <w:gridCol w:w="1679"/>
        <w:gridCol w:w="1679"/>
        <w:gridCol w:w="2308"/>
      </w:tblGrid>
      <w:tr>
        <w:tblPrEx>
          <w:tblLayout w:type="fixed"/>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trHeight w:val="285" w:hRule="atLeast"/>
        </w:trPr>
        <w:tc>
          <w:tcPr>
            <w:tcW w:w="4159"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靖州</w:t>
            </w:r>
            <w:r>
              <w:rPr>
                <w:rFonts w:hint="eastAsia" w:ascii="宋体" w:hAnsi="宋体" w:eastAsia="宋体" w:cs="宋体"/>
                <w:color w:val="000000"/>
                <w:kern w:val="0"/>
                <w:sz w:val="20"/>
                <w:szCs w:val="20"/>
                <w:lang w:val="en-US" w:eastAsia="zh-CN"/>
              </w:rPr>
              <w:t>苗族侗族自治</w:t>
            </w:r>
            <w:r>
              <w:rPr>
                <w:rFonts w:hint="eastAsia" w:ascii="宋体" w:hAnsi="宋体" w:eastAsia="宋体" w:cs="宋体"/>
                <w:color w:val="000000"/>
                <w:kern w:val="0"/>
                <w:sz w:val="20"/>
                <w:szCs w:val="20"/>
                <w:lang w:eastAsia="zh-CN"/>
              </w:rPr>
              <w:t>县市场监督管理局</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trHeight w:val="450" w:hRule="atLeast"/>
        </w:trPr>
        <w:tc>
          <w:tcPr>
            <w:tcW w:w="251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646"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1821.74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1732.44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89.30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w:t>
            </w:r>
          </w:p>
        </w:tc>
        <w:tc>
          <w:tcPr>
            <w:tcW w:w="1249" w:type="dxa"/>
            <w:tcBorders>
              <w:top w:val="nil"/>
              <w:left w:val="nil"/>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1646"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1821.74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1732.44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89.30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20138</w:t>
            </w:r>
          </w:p>
        </w:tc>
        <w:tc>
          <w:tcPr>
            <w:tcW w:w="1249" w:type="dxa"/>
            <w:tcBorders>
              <w:top w:val="nil"/>
              <w:left w:val="nil"/>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市场监督管理事务</w:t>
            </w:r>
          </w:p>
        </w:tc>
        <w:tc>
          <w:tcPr>
            <w:tcW w:w="1646"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1821.74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1732.44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89.30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2013801</w:t>
            </w:r>
          </w:p>
        </w:tc>
        <w:tc>
          <w:tcPr>
            <w:tcW w:w="1249" w:type="dxa"/>
            <w:tcBorders>
              <w:top w:val="nil"/>
              <w:left w:val="nil"/>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1646"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1729.61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1729.61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2013802</w:t>
            </w:r>
          </w:p>
        </w:tc>
        <w:tc>
          <w:tcPr>
            <w:tcW w:w="1249" w:type="dxa"/>
            <w:tcBorders>
              <w:top w:val="nil"/>
              <w:left w:val="nil"/>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一般行政管理事务</w:t>
            </w:r>
          </w:p>
        </w:tc>
        <w:tc>
          <w:tcPr>
            <w:tcW w:w="1646"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2.83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2.83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2013804</w:t>
            </w:r>
          </w:p>
        </w:tc>
        <w:tc>
          <w:tcPr>
            <w:tcW w:w="1249" w:type="dxa"/>
            <w:tcBorders>
              <w:top w:val="nil"/>
              <w:left w:val="nil"/>
              <w:bottom w:val="single" w:color="auto" w:sz="4" w:space="0"/>
              <w:right w:val="single" w:color="auto" w:sz="4" w:space="0"/>
            </w:tcBorders>
            <w:shd w:val="clear" w:color="000000" w:fill="FFFFFF"/>
            <w:vAlign w:val="center"/>
          </w:tcPr>
          <w:p>
            <w:pPr>
              <w:widowControl/>
              <w:jc w:val="lef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市场主体管理</w:t>
            </w:r>
          </w:p>
        </w:tc>
        <w:tc>
          <w:tcPr>
            <w:tcW w:w="1646"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89.30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89.30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jc w:val="both"/>
        <w:rPr>
          <w:rFonts w:hint="eastAsia" w:ascii="Times New Roman" w:hAnsi="Times New Roman" w:eastAsia="方正小标宋_GBK" w:cs="Times New Roman"/>
          <w:color w:val="000000"/>
          <w:kern w:val="0"/>
          <w:sz w:val="36"/>
          <w:szCs w:val="21"/>
          <w:lang w:val="en-US" w:eastAsia="zh-CN"/>
        </w:rPr>
      </w:pPr>
    </w:p>
    <w:p>
      <w:pPr>
        <w:widowControl/>
        <w:jc w:val="both"/>
        <w:rPr>
          <w:rFonts w:hint="eastAsia" w:ascii="Times New Roman" w:hAnsi="Times New Roman" w:eastAsia="方正小标宋_GBK" w:cs="Times New Roman"/>
          <w:color w:val="000000"/>
          <w:kern w:val="0"/>
          <w:sz w:val="36"/>
          <w:szCs w:val="21"/>
          <w:lang w:val="en-US" w:eastAsia="zh-CN"/>
        </w:rPr>
      </w:pPr>
    </w:p>
    <w:tbl>
      <w:tblPr>
        <w:tblStyle w:val="10"/>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4031"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靖州</w:t>
            </w:r>
            <w:r>
              <w:rPr>
                <w:rFonts w:hint="eastAsia" w:ascii="宋体" w:hAnsi="宋体" w:eastAsia="宋体" w:cs="宋体"/>
                <w:color w:val="000000"/>
                <w:kern w:val="0"/>
                <w:sz w:val="20"/>
                <w:szCs w:val="20"/>
                <w:lang w:val="en-US" w:eastAsia="zh-CN"/>
              </w:rPr>
              <w:t>苗族侗族自治</w:t>
            </w:r>
            <w:r>
              <w:rPr>
                <w:rFonts w:hint="eastAsia" w:ascii="宋体" w:hAnsi="宋体" w:eastAsia="宋体" w:cs="宋体"/>
                <w:color w:val="000000"/>
                <w:kern w:val="0"/>
                <w:sz w:val="20"/>
                <w:szCs w:val="20"/>
                <w:lang w:eastAsia="zh-CN"/>
              </w:rPr>
              <w:t>县市场监督管理局</w:t>
            </w: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1959.76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1821.74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1821.74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1959.76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1821.74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1821.74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71.92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209.94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209.94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71.92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341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2031.68　</w:t>
            </w:r>
          </w:p>
        </w:tc>
        <w:tc>
          <w:tcPr>
            <w:tcW w:w="34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2031.68　</w:t>
            </w:r>
          </w:p>
        </w:tc>
        <w:tc>
          <w:tcPr>
            <w:tcW w:w="1394" w:type="dxa"/>
            <w:tcBorders>
              <w:top w:val="nil"/>
              <w:left w:val="nil"/>
              <w:bottom w:val="single" w:color="auto" w:sz="4" w:space="0"/>
              <w:right w:val="single" w:color="auto" w:sz="4" w:space="0"/>
            </w:tcBorders>
            <w:shd w:val="clear" w:color="000000" w:fill="FFFFFF"/>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2031.68　</w:t>
            </w:r>
          </w:p>
        </w:tc>
        <w:tc>
          <w:tcPr>
            <w:tcW w:w="1394"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c>
          <w:tcPr>
            <w:tcW w:w="1573"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　</w:t>
            </w:r>
          </w:p>
        </w:tc>
      </w:tr>
      <w:tr>
        <w:tblPrEx>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靖州</w:t>
      </w:r>
      <w:r>
        <w:rPr>
          <w:rFonts w:hint="eastAsia" w:ascii="宋体" w:hAnsi="宋体" w:eastAsia="宋体" w:cs="宋体"/>
          <w:color w:val="000000"/>
          <w:kern w:val="0"/>
          <w:sz w:val="20"/>
          <w:szCs w:val="20"/>
          <w:lang w:val="en-US" w:eastAsia="zh-CN"/>
        </w:rPr>
        <w:t>苗族侗族自治</w:t>
      </w:r>
      <w:r>
        <w:rPr>
          <w:rFonts w:hint="eastAsia" w:ascii="宋体" w:hAnsi="宋体" w:eastAsia="宋体" w:cs="宋体"/>
          <w:color w:val="000000"/>
          <w:kern w:val="0"/>
          <w:sz w:val="20"/>
          <w:szCs w:val="20"/>
          <w:lang w:eastAsia="zh-CN"/>
        </w:rPr>
        <w:t>县市场监督管理局</w:t>
      </w:r>
      <w:r>
        <w:rPr>
          <w:rFonts w:hint="eastAsia" w:ascii="宋体" w:hAnsi="宋体" w:eastAsia="宋体" w:cs="宋体"/>
          <w:kern w:val="0"/>
          <w:sz w:val="24"/>
          <w:szCs w:val="24"/>
        </w:rPr>
        <w:t>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0"/>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1821.74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1732.44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89.30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1821.74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1732.44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89.30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20138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市场监督管理事务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1821.74</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1732.44</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89.30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1729.61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1729.61</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2.83</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2.83</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2013804</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市场主体管理</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89.30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89.30</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0"/>
        <w:tblW w:w="15614" w:type="dxa"/>
        <w:tblInd w:w="0" w:type="dxa"/>
        <w:tblLayout w:type="fixed"/>
        <w:tblCellMar>
          <w:top w:w="0" w:type="dxa"/>
          <w:left w:w="108" w:type="dxa"/>
          <w:bottom w:w="0" w:type="dxa"/>
          <w:right w:w="108" w:type="dxa"/>
        </w:tblCellMar>
      </w:tblPr>
      <w:tblGrid>
        <w:gridCol w:w="1110"/>
        <w:gridCol w:w="3465"/>
        <w:gridCol w:w="1081"/>
        <w:gridCol w:w="1145"/>
        <w:gridCol w:w="2096"/>
        <w:gridCol w:w="992"/>
        <w:gridCol w:w="946"/>
        <w:gridCol w:w="3732"/>
        <w:gridCol w:w="1047"/>
      </w:tblGrid>
      <w:tr>
        <w:tblPrEx>
          <w:tblLayout w:type="fixed"/>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vAlign w:val="center"/>
          </w:tcPr>
          <w:p>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一般公共预算财政拨款基本支出决算表</w:t>
            </w:r>
          </w:p>
          <w:p>
            <w:pPr>
              <w:widowControl/>
              <w:wordWrap w:val="0"/>
              <w:jc w:val="both"/>
              <w:rPr>
                <w:rFonts w:hint="eastAsia"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靖州</w:t>
            </w:r>
            <w:r>
              <w:rPr>
                <w:rFonts w:hint="eastAsia" w:ascii="Times New Roman" w:hAnsi="Times New Roman" w:eastAsia="仿宋_GB2312" w:cs="Times New Roman"/>
                <w:color w:val="000000"/>
                <w:kern w:val="0"/>
                <w:szCs w:val="21"/>
                <w:lang w:val="en-US" w:eastAsia="zh-CN"/>
              </w:rPr>
              <w:t>苗族侗族自治</w:t>
            </w:r>
            <w:r>
              <w:rPr>
                <w:rFonts w:hint="eastAsia" w:ascii="Times New Roman" w:hAnsi="Times New Roman" w:eastAsia="仿宋_GB2312" w:cs="Times New Roman"/>
                <w:color w:val="000000"/>
                <w:kern w:val="0"/>
                <w:szCs w:val="21"/>
                <w:lang w:eastAsia="zh-CN"/>
              </w:rPr>
              <w:t>县市场监督管理局</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wordWrap w:val="0"/>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1111.46</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393.50　393.50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606.00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9.06</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229.64</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14.88</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27.31</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16.08</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1.19</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8.72</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5.11</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0.72</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6.21</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031005</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24.97</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2.43</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5.41</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42.89</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20.18</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xml:space="preserve">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22.86</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170.01</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0.19</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227.47</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4.04</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151.07</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18.44</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2.93</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19.21</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4.35</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0.66</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2.40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59.76</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9.36</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17.00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78.18</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52.49</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6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1"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c>
          <w:tcPr>
            <w:tcW w:w="1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98.70</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w:t>
            </w:r>
          </w:p>
        </w:tc>
      </w:tr>
      <w:tr>
        <w:tblPrEx>
          <w:tblLayout w:type="fixed"/>
          <w:tblCellMar>
            <w:top w:w="0" w:type="dxa"/>
            <w:left w:w="108" w:type="dxa"/>
            <w:bottom w:w="0" w:type="dxa"/>
            <w:right w:w="108" w:type="dxa"/>
          </w:tblCellMar>
        </w:tblPrEx>
        <w:trPr>
          <w:trHeight w:val="284" w:hRule="exact"/>
        </w:trPr>
        <w:tc>
          <w:tcPr>
            <w:tcW w:w="45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1"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1338.94</w:t>
            </w:r>
          </w:p>
        </w:tc>
        <w:tc>
          <w:tcPr>
            <w:tcW w:w="891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393.50　393.50</w:t>
            </w:r>
          </w:p>
        </w:tc>
      </w:tr>
      <w:tr>
        <w:tblPrEx>
          <w:tblLayout w:type="fixed"/>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靖州</w:t>
      </w:r>
      <w:r>
        <w:rPr>
          <w:rFonts w:hint="eastAsia" w:ascii="宋体" w:hAnsi="宋体" w:eastAsia="宋体" w:cs="宋体"/>
          <w:color w:val="000000"/>
          <w:kern w:val="0"/>
          <w:sz w:val="20"/>
          <w:szCs w:val="20"/>
          <w:lang w:val="en-US" w:eastAsia="zh-CN"/>
        </w:rPr>
        <w:t>苗族侗族自治</w:t>
      </w:r>
      <w:r>
        <w:rPr>
          <w:rFonts w:hint="eastAsia" w:ascii="宋体" w:hAnsi="宋体" w:eastAsia="宋体" w:cs="宋体"/>
          <w:color w:val="000000"/>
          <w:kern w:val="0"/>
          <w:sz w:val="20"/>
          <w:szCs w:val="20"/>
          <w:lang w:eastAsia="zh-CN"/>
        </w:rPr>
        <w:t>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0"/>
        <w:tblW w:w="14640" w:type="dxa"/>
        <w:jc w:val="center"/>
        <w:tblInd w:w="0" w:type="dxa"/>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Layout w:type="fixed"/>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Layout w:type="fixed"/>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Layout w:type="fixed"/>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Layout w:type="fixed"/>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35.44</w:t>
            </w:r>
          </w:p>
        </w:tc>
        <w:tc>
          <w:tcPr>
            <w:tcW w:w="1220" w:type="dxa"/>
            <w:tcBorders>
              <w:top w:val="nil"/>
              <w:left w:val="nil"/>
              <w:bottom w:val="single" w:color="auto" w:sz="8" w:space="0"/>
              <w:right w:val="single" w:color="auto" w:sz="4" w:space="0"/>
            </w:tcBorders>
            <w:shd w:val="clear" w:color="auto" w:fill="auto"/>
            <w:vAlign w:val="center"/>
          </w:tcPr>
          <w:p>
            <w:pPr>
              <w:widowControl/>
              <w:ind w:firstLine="210" w:firstLineChars="100"/>
              <w:jc w:val="both"/>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17.00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17.00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18.44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35.44</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17.00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17.00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　18.44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靖州</w:t>
      </w:r>
      <w:r>
        <w:rPr>
          <w:rFonts w:hint="eastAsia" w:ascii="宋体" w:hAnsi="宋体" w:eastAsia="宋体" w:cs="宋体"/>
          <w:color w:val="000000"/>
          <w:kern w:val="0"/>
          <w:sz w:val="20"/>
          <w:szCs w:val="20"/>
          <w:lang w:val="en-US" w:eastAsia="zh-CN"/>
        </w:rPr>
        <w:t>苗族侗族自治</w:t>
      </w:r>
      <w:r>
        <w:rPr>
          <w:rFonts w:hint="eastAsia" w:ascii="宋体" w:hAnsi="宋体" w:eastAsia="宋体" w:cs="宋体"/>
          <w:color w:val="000000"/>
          <w:kern w:val="0"/>
          <w:sz w:val="20"/>
          <w:szCs w:val="20"/>
          <w:lang w:eastAsia="zh-CN"/>
        </w:rPr>
        <w:t>县市场监督管理局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10"/>
        <w:tblW w:w="14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10"/>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Layout w:type="fixed"/>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Layout w:type="fixed"/>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Layout w:type="fixed"/>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靖州</w:t>
            </w:r>
            <w:r>
              <w:rPr>
                <w:rFonts w:hint="eastAsia" w:ascii="宋体" w:hAnsi="宋体" w:eastAsia="宋体" w:cs="宋体"/>
                <w:color w:val="000000"/>
                <w:kern w:val="0"/>
                <w:sz w:val="20"/>
                <w:szCs w:val="20"/>
                <w:lang w:val="en-US" w:eastAsia="zh-CN"/>
              </w:rPr>
              <w:t>苗族侗族自治</w:t>
            </w:r>
            <w:r>
              <w:rPr>
                <w:rFonts w:hint="eastAsia" w:ascii="宋体" w:hAnsi="宋体" w:eastAsia="宋体" w:cs="宋体"/>
                <w:color w:val="000000"/>
                <w:kern w:val="0"/>
                <w:sz w:val="20"/>
                <w:szCs w:val="20"/>
                <w:lang w:eastAsia="zh-CN"/>
              </w:rPr>
              <w:t>县市场监督管理局</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Layout w:type="fixed"/>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Layout w:type="fixed"/>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rFonts w:hint="eastAsia" w:ascii="方正小标宋简体" w:hAnsi="方正小标宋简体" w:eastAsia="方正小标宋简体" w:cs="方正小标宋简体"/>
          <w:sz w:val="36"/>
          <w:szCs w:val="36"/>
        </w:rPr>
      </w:pPr>
    </w:p>
    <w:p>
      <w:pPr>
        <w:widowControl/>
        <w:spacing w:line="60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方正小标宋简体" w:eastAsia="方正小标宋简体" w:cs="方正小标宋简体"/>
          <w:bCs/>
          <w:kern w:val="0"/>
          <w:sz w:val="36"/>
          <w:szCs w:val="36"/>
          <w:lang w:val="en-US" w:eastAsia="zh-CN"/>
        </w:rPr>
        <w:t xml:space="preserve"> </w:t>
      </w:r>
      <w:r>
        <w:rPr>
          <w:rFonts w:hint="eastAsia" w:ascii="方正小标宋简体" w:hAnsi="方正小标宋简体" w:eastAsia="方正小标宋简体" w:cs="方正小标宋简体"/>
          <w:bCs/>
          <w:kern w:val="0"/>
          <w:sz w:val="36"/>
          <w:szCs w:val="36"/>
        </w:rPr>
        <w:t>2020年度部门决算情况说明</w:t>
      </w:r>
    </w:p>
    <w:p>
      <w:pPr>
        <w:widowControl/>
        <w:jc w:val="left"/>
        <w:rPr>
          <w:rFonts w:asciiTheme="minorEastAsia" w:hAnsiTheme="minorEastAsia" w:eastAsiaTheme="minorEastAsia"/>
          <w:sz w:val="32"/>
          <w:szCs w:val="32"/>
        </w:rPr>
      </w:pP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Ansi="黑体"/>
          <w:b w:val="0"/>
          <w:bCs/>
          <w:sz w:val="32"/>
          <w:szCs w:val="32"/>
        </w:rPr>
      </w:pPr>
      <w:r>
        <w:rPr>
          <w:rFonts w:hint="eastAsia" w:hAnsi="黑体"/>
          <w:b w:val="0"/>
          <w:bCs/>
          <w:sz w:val="32"/>
          <w:szCs w:val="32"/>
        </w:rPr>
        <w:t>一、收入支出决算总体情况说明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2020年度收、支总计</w:t>
      </w:r>
      <w:r>
        <w:rPr>
          <w:rFonts w:hint="eastAsia" w:ascii="仿宋_GB2312" w:hAnsi="仿宋_GB2312" w:eastAsia="仿宋_GB2312" w:cs="仿宋_GB2312"/>
          <w:sz w:val="32"/>
          <w:szCs w:val="32"/>
          <w:lang w:val="en-US" w:eastAsia="zh-CN"/>
        </w:rPr>
        <w:t>2031.68</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376.02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22.71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上年度部分公用经费未结账，转移到本年度。</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二、收入决算情况说明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w:t>
      </w:r>
      <w:r>
        <w:rPr>
          <w:rFonts w:hint="eastAsia" w:ascii="仿宋_GB2312" w:hAnsi="仿宋_GB2312" w:eastAsia="仿宋_GB2312" w:cs="仿宋_GB2312"/>
          <w:sz w:val="32"/>
          <w:szCs w:val="32"/>
          <w:lang w:val="en-US" w:eastAsia="zh-CN"/>
        </w:rPr>
        <w:t>1959.76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1959.76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三、支出决算情况说明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w:t>
      </w:r>
      <w:r>
        <w:rPr>
          <w:rFonts w:hint="eastAsia" w:ascii="仿宋_GB2312" w:hAnsi="仿宋_GB2312" w:eastAsia="仿宋_GB2312" w:cs="仿宋_GB2312"/>
          <w:sz w:val="32"/>
          <w:szCs w:val="32"/>
          <w:lang w:val="en-US" w:eastAsia="zh-CN"/>
        </w:rPr>
        <w:t>1821.74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1732.44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95.10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89.30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四、财政拨款收入支出决算总体情况说明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2020年度财政拨款收、支总计</w:t>
      </w:r>
      <w:r>
        <w:rPr>
          <w:rFonts w:hint="eastAsia" w:ascii="仿宋_GB2312" w:hAnsi="仿宋_GB2312" w:eastAsia="仿宋_GB2312" w:cs="仿宋_GB2312"/>
          <w:sz w:val="32"/>
          <w:szCs w:val="32"/>
          <w:lang w:val="en-US" w:eastAsia="zh-CN"/>
        </w:rPr>
        <w:t>2031.68</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相比，增加</w:t>
      </w:r>
      <w:r>
        <w:rPr>
          <w:rFonts w:hint="eastAsia" w:ascii="仿宋_GB2312" w:hAnsi="仿宋_GB2312" w:eastAsia="仿宋_GB2312" w:cs="仿宋_GB2312"/>
          <w:sz w:val="32"/>
          <w:szCs w:val="32"/>
          <w:lang w:val="en-US" w:eastAsia="zh-CN"/>
        </w:rPr>
        <w:t>376.02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22.71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上年度部分公用经费未结账，转移到本年度。</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五、一般公共预算财政拨款支出决算情况说明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（一）财政拨款支出决算总体情况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1821.74</w:t>
      </w:r>
      <w:r>
        <w:rPr>
          <w:rFonts w:hint="eastAsia" w:ascii="仿宋_GB2312" w:hAnsi="仿宋_GB2312" w:eastAsia="仿宋_GB2312" w:cs="仿宋_GB2312"/>
          <w:sz w:val="32"/>
          <w:szCs w:val="32"/>
        </w:rPr>
        <w:t>万元，占本年</w:t>
      </w:r>
      <w:r>
        <w:rPr>
          <w:rFonts w:hint="eastAsia" w:ascii="仿宋_GB2312" w:hAnsi="仿宋_GB2312" w:eastAsia="仿宋_GB2312" w:cs="仿宋_GB2312"/>
          <w:sz w:val="32"/>
          <w:szCs w:val="32"/>
          <w:lang w:eastAsia="zh-CN"/>
        </w:rPr>
        <w:t>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相比，财政拨款支出增加</w:t>
      </w:r>
      <w:r>
        <w:rPr>
          <w:rFonts w:hint="eastAsia" w:ascii="仿宋_GB2312" w:hAnsi="仿宋_GB2312" w:eastAsia="仿宋_GB2312" w:cs="仿宋_GB2312"/>
          <w:sz w:val="32"/>
          <w:szCs w:val="32"/>
          <w:lang w:val="en-US" w:eastAsia="zh-CN"/>
        </w:rPr>
        <w:t>238.00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15.03</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上年度部分公用经费未结账，转移到本年度。</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（二）财政拨款支出决算结构情况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2020年度财政拨款支出</w:t>
      </w:r>
      <w:r>
        <w:rPr>
          <w:rFonts w:hint="eastAsia" w:ascii="仿宋_GB2312" w:hAnsi="仿宋_GB2312" w:eastAsia="仿宋_GB2312" w:cs="仿宋_GB2312"/>
          <w:sz w:val="32"/>
          <w:szCs w:val="32"/>
          <w:lang w:val="en-US" w:eastAsia="zh-CN"/>
        </w:rPr>
        <w:t>1821.74</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1821.74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（三）财政拨款支出决算具体情况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2020年度财政拨款支出年初预算数为1633.31万元，支出决算数为</w:t>
      </w:r>
      <w:r>
        <w:rPr>
          <w:rFonts w:hint="eastAsia" w:ascii="仿宋_GB2312" w:hAnsi="仿宋_GB2312" w:eastAsia="仿宋_GB2312" w:cs="仿宋_GB2312"/>
          <w:sz w:val="32"/>
          <w:szCs w:val="32"/>
          <w:lang w:val="en-US" w:eastAsia="zh-CN"/>
        </w:rPr>
        <w:t>1821.74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111.54</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val="en-US" w:eastAsia="zh-CN"/>
        </w:rPr>
        <w:t>市场监督管理事务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年初预算为1216.66万元，支出决算为</w:t>
      </w:r>
      <w:r>
        <w:rPr>
          <w:rFonts w:hint="eastAsia" w:ascii="仿宋_GB2312" w:hAnsi="仿宋_GB2312" w:eastAsia="仿宋_GB2312" w:cs="仿宋_GB2312"/>
          <w:sz w:val="32"/>
          <w:szCs w:val="32"/>
          <w:lang w:val="en-US" w:eastAsia="zh-CN"/>
        </w:rPr>
        <w:t>1729.61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142.16</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上年度部分公用经费未结账，转移到本年度。</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val="en-US" w:eastAsia="zh-CN"/>
        </w:rPr>
        <w:t>市场监督管理事务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年初预算为416.65万元，支出决算为</w:t>
      </w:r>
      <w:r>
        <w:rPr>
          <w:rFonts w:hint="eastAsia" w:ascii="仿宋_GB2312" w:hAnsi="仿宋_GB2312" w:eastAsia="仿宋_GB2312" w:cs="仿宋_GB2312"/>
          <w:sz w:val="32"/>
          <w:szCs w:val="32"/>
          <w:lang w:val="en-US" w:eastAsia="zh-CN"/>
        </w:rPr>
        <w:t>2.83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0.68</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行政运行项目增加，导致一般行政管理事务减少。</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市场监督管理事务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市场主体管理</w:t>
      </w:r>
      <w:r>
        <w:rPr>
          <w:rFonts w:hint="eastAsia" w:ascii="仿宋_GB2312" w:hAnsi="仿宋_GB2312" w:eastAsia="仿宋_GB2312" w:cs="仿宋_GB2312"/>
          <w:sz w:val="32"/>
          <w:szCs w:val="32"/>
        </w:rPr>
        <w:t>（项）。</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89.30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于年初预算数的主要原因是：</w:t>
      </w:r>
      <w:r>
        <w:rPr>
          <w:rFonts w:hint="eastAsia" w:ascii="仿宋_GB2312" w:hAnsi="仿宋_GB2312" w:eastAsia="仿宋_GB2312" w:cs="仿宋_GB2312"/>
          <w:sz w:val="32"/>
          <w:szCs w:val="32"/>
          <w:lang w:eastAsia="zh-CN"/>
        </w:rPr>
        <w:t>上级专项资金拨款年初无预算。</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六、一般公共预算财政拨款基本支出决算情况说明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2020年度财政拨款基本支出</w:t>
      </w:r>
      <w:r>
        <w:rPr>
          <w:rFonts w:hint="eastAsia" w:ascii="仿宋_GB2312" w:hAnsi="仿宋_GB2312" w:eastAsia="仿宋_GB2312" w:cs="仿宋_GB2312"/>
          <w:sz w:val="32"/>
          <w:szCs w:val="32"/>
          <w:lang w:val="en-US" w:eastAsia="zh-CN"/>
        </w:rPr>
        <w:t>1732.44</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1338.94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77.29</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机关事业单位基本养老保险缴费、职业年金缴费、职工基本医疗保险缴费、公务员医疗补助缴费、其他社会保障缴费、住房公积金、其他工资福利支出、离休费、退休费、抚恤金、医疗费补助、</w:t>
      </w:r>
      <w:r>
        <w:rPr>
          <w:rFonts w:hint="eastAsia" w:ascii="仿宋_GB2312" w:hAnsi="仿宋_GB2312" w:eastAsia="仿宋_GB2312" w:cs="仿宋_GB2312"/>
          <w:sz w:val="32"/>
          <w:szCs w:val="32"/>
          <w:lang w:eastAsia="zh-CN"/>
        </w:rPr>
        <w:t>其他对个人和家庭的补助</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393.50</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22.71</w:t>
      </w:r>
      <w:r>
        <w:rPr>
          <w:rFonts w:hint="eastAsia" w:ascii="仿宋_GB2312" w:hAnsi="仿宋_GB2312" w:eastAsia="仿宋_GB2312" w:cs="仿宋_GB2312"/>
          <w:sz w:val="32"/>
          <w:szCs w:val="32"/>
        </w:rPr>
        <w:t>%，主要包括办公费、</w:t>
      </w:r>
      <w:r>
        <w:rPr>
          <w:rFonts w:hint="eastAsia" w:ascii="仿宋_GB2312" w:hAnsi="仿宋_GB2312" w:eastAsia="仿宋_GB2312" w:cs="仿宋_GB2312"/>
          <w:sz w:val="32"/>
          <w:szCs w:val="32"/>
          <w:lang w:val="en-US" w:eastAsia="zh-CN"/>
        </w:rPr>
        <w:t>印刷费、水费、电费、邮电费、差旅费、维修（护）费、租赁费、公务接待费、专用材料费、劳务费、委托业务费、工会经费、福利费、公务用车运行维护费、其他交通费用其他商品和服务支出。</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七、一般公共预算财政拨款三公经费支出决算情况说明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（一）“三公”经费财政拨款支出决算总体情况说明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35.44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35.44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与上年相比持平，上年与本年均无因公出境活动。</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18.44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sz w:val="32"/>
          <w:szCs w:val="32"/>
          <w:lang w:val="en-US" w:eastAsia="zh-CN"/>
        </w:rPr>
        <w:t>量入为出，厉行节约</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12.43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206.82</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上年度部分费用未结账，转移到本年度；各项上级专项检查增加，导致公务接待费增加</w:t>
      </w:r>
      <w:r>
        <w:rPr>
          <w:rFonts w:hint="eastAsia" w:ascii="仿宋_GB2312" w:hAnsi="仿宋_GB2312" w:eastAsia="仿宋_GB2312" w:cs="仿宋_GB2312"/>
          <w:sz w:val="32"/>
          <w:szCs w:val="32"/>
        </w:rPr>
        <w:t>。</w:t>
      </w:r>
    </w:p>
    <w:p>
      <w:pPr>
        <w:pStyle w:val="13"/>
        <w:ind w:firstLine="634" w:firstLineChars="200"/>
        <w:rPr>
          <w:rFonts w:asciiTheme="minorEastAsia" w:hAnsiTheme="minorEastAsia" w:eastAsiaTheme="minorEastAsia"/>
          <w:sz w:val="32"/>
          <w:szCs w:val="32"/>
        </w:rPr>
      </w:pPr>
      <w:r>
        <w:rPr>
          <w:rFonts w:hint="eastAsia" w:ascii="仿宋_GB2312" w:hAnsi="仿宋_GB2312" w:eastAsia="仿宋_GB2312" w:cs="仿宋_GB2312"/>
          <w:sz w:val="32"/>
          <w:szCs w:val="32"/>
        </w:rPr>
        <w:t>公务用车购置费及运行维护费支出预算为</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sz w:val="32"/>
          <w:szCs w:val="32"/>
          <w:lang w:eastAsia="zh-CN"/>
        </w:rPr>
        <w:t>严格按照公务用车</w:t>
      </w:r>
      <w:r>
        <w:rPr>
          <w:rFonts w:hint="eastAsia" w:ascii="仿宋_GB2312" w:hAnsi="仿宋_GB2312" w:eastAsia="仿宋_GB2312" w:cs="仿宋_GB2312"/>
          <w:sz w:val="32"/>
          <w:szCs w:val="32"/>
        </w:rPr>
        <w:t>购置费及运行维护费</w:t>
      </w:r>
      <w:r>
        <w:rPr>
          <w:rFonts w:hint="eastAsia" w:ascii="仿宋_GB2312" w:hAnsi="仿宋_GB2312" w:eastAsia="仿宋_GB2312" w:cs="仿宋_GB2312"/>
          <w:sz w:val="32"/>
          <w:szCs w:val="32"/>
          <w:lang w:eastAsia="zh-CN"/>
        </w:rPr>
        <w:t>预算经费开支</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5.11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42.98</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上年度部分经费未结账，转移到本年度</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（二）“三公”经费财政拨款支出决算具体情况说明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2020年度“三公”经费财政拨款支出决算中，公务接待费支出决算</w:t>
      </w:r>
      <w:r>
        <w:rPr>
          <w:rFonts w:hint="eastAsia" w:ascii="仿宋_GB2312" w:hAnsi="仿宋_GB2312" w:eastAsia="仿宋_GB2312" w:cs="仿宋_GB2312"/>
          <w:sz w:val="32"/>
          <w:szCs w:val="32"/>
          <w:lang w:val="en-US" w:eastAsia="zh-CN"/>
        </w:rPr>
        <w:t>18.44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52.03</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47.97</w:t>
      </w:r>
      <w:r>
        <w:rPr>
          <w:rFonts w:hint="eastAsia" w:ascii="仿宋_GB2312" w:hAnsi="仿宋_GB2312" w:eastAsia="仿宋_GB2312" w:cs="仿宋_GB2312"/>
          <w:sz w:val="32"/>
          <w:szCs w:val="32"/>
        </w:rPr>
        <w:t>%。其中：</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18.44</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1410</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val="en-US" w:eastAsia="zh-CN"/>
        </w:rPr>
        <w:t>交流学习、交叉检查发生</w:t>
      </w:r>
      <w:r>
        <w:rPr>
          <w:rFonts w:hint="eastAsia" w:ascii="仿宋_GB2312" w:hAnsi="仿宋_GB2312" w:eastAsia="仿宋_GB2312" w:cs="仿宋_GB2312"/>
          <w:sz w:val="32"/>
          <w:szCs w:val="32"/>
        </w:rPr>
        <w:t>发生的接待支出。</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靖州县市场监督管理局</w:t>
      </w:r>
      <w:r>
        <w:rPr>
          <w:rFonts w:hint="eastAsia" w:ascii="仿宋_GB2312" w:hAnsi="仿宋_GB2312" w:eastAsia="仿宋_GB2312" w:cs="仿宋_GB2312"/>
          <w:sz w:val="32"/>
          <w:szCs w:val="32"/>
        </w:rPr>
        <w:t>本级更新公务用车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辆。公务用车运行维护费</w:t>
      </w:r>
      <w:r>
        <w:rPr>
          <w:rFonts w:hint="eastAsia" w:ascii="仿宋_GB2312" w:hAnsi="仿宋_GB2312" w:eastAsia="仿宋_GB2312" w:cs="仿宋_GB2312"/>
          <w:sz w:val="32"/>
          <w:szCs w:val="32"/>
          <w:lang w:val="en-US" w:eastAsia="zh-CN"/>
        </w:rPr>
        <w:t>17.00</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汽油款、车辆保险、车辆维修维护等</w:t>
      </w:r>
      <w:r>
        <w:rPr>
          <w:rFonts w:hint="eastAsia" w:ascii="仿宋_GB2312" w:hAnsi="仿宋_GB2312" w:eastAsia="仿宋_GB2312" w:cs="仿宋_GB2312"/>
          <w:sz w:val="32"/>
          <w:szCs w:val="32"/>
        </w:rPr>
        <w:t>支出，截止2020年12月31日，我单位开支财政拨款的公务用车保有量为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八、政府性基金预算收入支出决算情况</w:t>
      </w:r>
    </w:p>
    <w:p>
      <w:pPr>
        <w:pStyle w:val="13"/>
        <w:rPr>
          <w:rFonts w:hint="eastAsia" w:ascii="仿宋_GB2312" w:hAnsi="仿宋_GB2312" w:eastAsia="仿宋_GB2312" w:cs="仿宋_GB2312"/>
          <w:b w:val="0"/>
          <w:bCs w:val="0"/>
          <w:color w:val="auto"/>
          <w:sz w:val="32"/>
          <w:szCs w:val="32"/>
          <w:lang w:val="en-US" w:eastAsia="zh-CN"/>
        </w:rPr>
      </w:pPr>
      <w:r>
        <w:rPr>
          <w:rFonts w:hint="eastAsia" w:asciiTheme="minorEastAsia" w:hAnsiTheme="minorEastAsia" w:eastAsiaTheme="minorEastAsia"/>
          <w:sz w:val="32"/>
          <w:szCs w:val="32"/>
        </w:rPr>
        <w:t xml:space="preserve">     </w:t>
      </w:r>
      <w:r>
        <w:rPr>
          <w:rFonts w:hint="eastAsia" w:ascii="仿宋_GB2312" w:hAnsi="仿宋_GB2312" w:eastAsia="仿宋_GB2312" w:cs="仿宋_GB2312"/>
          <w:sz w:val="32"/>
          <w:szCs w:val="32"/>
        </w:rPr>
        <w:t>2020年度政府性基金预算财政拨款收入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本单位无政府性基金收支。</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九、关于机关运行经费支出说明</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393.50</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144.50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58.03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上年度部分公用经费未结账，转移到本年度；</w:t>
      </w:r>
      <w:r>
        <w:rPr>
          <w:rFonts w:hint="eastAsia" w:ascii="仿宋_GB2312" w:hAnsi="仿宋_GB2312" w:eastAsia="仿宋_GB2312" w:cs="仿宋_GB2312"/>
          <w:b w:val="0"/>
          <w:bCs w:val="0"/>
          <w:color w:val="auto"/>
          <w:sz w:val="32"/>
          <w:szCs w:val="32"/>
          <w:lang w:val="en-US" w:eastAsia="zh-CN"/>
        </w:rPr>
        <w:t>各类专项整治行动增加，导致经费增加。</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十、一般性支出情况</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2020年本部门开支会议费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val="0"/>
          <w:color w:val="auto"/>
          <w:sz w:val="32"/>
          <w:szCs w:val="32"/>
          <w:lang w:val="en-US" w:eastAsia="zh-CN"/>
        </w:rPr>
        <w:t>开支培训费0万元，</w:t>
      </w:r>
      <w:r>
        <w:rPr>
          <w:rFonts w:hint="eastAsia" w:ascii="仿宋_GB2312" w:hAnsi="仿宋_GB2312" w:eastAsia="仿宋_GB2312" w:cs="仿宋_GB2312"/>
          <w:bCs/>
          <w:color w:val="auto"/>
          <w:kern w:val="0"/>
          <w:sz w:val="32"/>
          <w:szCs w:val="32"/>
          <w:lang w:val="en-US" w:eastAsia="zh-CN" w:bidi="ar-SA"/>
        </w:rPr>
        <w:t>无举办节庆、晚会、论坛、赛事活动。</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十一、关于政府采购支出说明</w:t>
      </w:r>
    </w:p>
    <w:p>
      <w:pPr>
        <w:pStyle w:val="13"/>
        <w:ind w:firstLine="634" w:firstLineChars="200"/>
        <w:rPr>
          <w:rFonts w:asciiTheme="minorEastAsia" w:hAnsiTheme="minorEastAsia" w:eastAsiaTheme="minorEastAsia"/>
          <w:sz w:val="32"/>
          <w:szCs w:val="32"/>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414</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十二、关于国有资产占用情况说明</w:t>
      </w:r>
    </w:p>
    <w:p>
      <w:pPr>
        <w:pStyle w:val="13"/>
        <w:ind w:firstLine="63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截至2020年12月31日，本单位共有车辆</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600" w:lineRule="exact"/>
        <w:ind w:firstLine="634" w:firstLineChars="200"/>
        <w:textAlignment w:val="auto"/>
        <w:outlineLvl w:val="9"/>
        <w:rPr>
          <w:rFonts w:hint="eastAsia" w:hAnsi="黑体"/>
          <w:b w:val="0"/>
          <w:bCs/>
          <w:sz w:val="32"/>
          <w:szCs w:val="32"/>
        </w:rPr>
      </w:pPr>
      <w:r>
        <w:rPr>
          <w:rFonts w:hint="eastAsia" w:hAnsi="黑体"/>
          <w:b w:val="0"/>
          <w:bCs/>
          <w:sz w:val="32"/>
          <w:szCs w:val="32"/>
        </w:rPr>
        <w:t>十三、关于2020年度预算绩效情况的说明</w:t>
      </w:r>
    </w:p>
    <w:p>
      <w:pPr>
        <w:pStyle w:val="13"/>
        <w:ind w:firstLine="63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本部门预算绩效管理开展情况、绩效目标和绩效评价报告等，按照财政绩效部门要求已公开或其他有关部门要求需随同部门决算一同公开的绩效信息，作为附件公开。</w:t>
      </w:r>
    </w:p>
    <w:p>
      <w:pPr>
        <w:pStyle w:val="13"/>
        <w:jc w:val="both"/>
        <w:rPr>
          <w:sz w:val="72"/>
          <w:szCs w:val="72"/>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kern w:val="0"/>
          <w:sz w:val="36"/>
          <w:szCs w:val="36"/>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kern w:val="0"/>
          <w:sz w:val="36"/>
          <w:szCs w:val="36"/>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kern w:val="0"/>
          <w:sz w:val="36"/>
          <w:szCs w:val="36"/>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lang w:eastAsia="zh-CN"/>
        </w:rPr>
        <w:t>第四部分</w:t>
      </w:r>
      <w:r>
        <w:rPr>
          <w:rFonts w:hint="eastAsia" w:ascii="方正小标宋简体" w:hAnsi="方正小标宋简体" w:eastAsia="方正小标宋简体" w:cs="方正小标宋简体"/>
          <w:bCs/>
          <w:kern w:val="0"/>
          <w:sz w:val="36"/>
          <w:szCs w:val="36"/>
          <w:lang w:val="en-US" w:eastAsia="zh-CN"/>
        </w:rPr>
        <w:t xml:space="preserve"> </w:t>
      </w:r>
      <w:r>
        <w:rPr>
          <w:rFonts w:hint="eastAsia" w:ascii="方正小标宋简体" w:hAnsi="方正小标宋简体" w:eastAsia="方正小标宋简体" w:cs="方正小标宋简体"/>
          <w:bCs/>
          <w:kern w:val="0"/>
          <w:sz w:val="36"/>
          <w:szCs w:val="36"/>
        </w:rPr>
        <w:t>名词解释</w:t>
      </w:r>
    </w:p>
    <w:p>
      <w:pPr>
        <w:widowControl/>
        <w:numPr>
          <w:ilvl w:val="0"/>
          <w:numId w:val="0"/>
        </w:numPr>
        <w:spacing w:line="600" w:lineRule="exact"/>
        <w:jc w:val="both"/>
        <w:rPr>
          <w:rFonts w:hint="eastAsia" w:ascii="Times New Roman" w:hAnsi="Times New Roman" w:eastAsia="方正小标宋_GBK" w:cs="Times New Roman"/>
          <w:bCs/>
          <w:kern w:val="0"/>
          <w:sz w:val="36"/>
          <w:szCs w:val="36"/>
        </w:rPr>
      </w:pPr>
    </w:p>
    <w:p>
      <w:pPr>
        <w:pStyle w:val="13"/>
        <w:ind w:firstLine="63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jc w:val="both"/>
        <w:rPr>
          <w:sz w:val="32"/>
          <w:szCs w:val="32"/>
        </w:rPr>
      </w:pPr>
    </w:p>
    <w:p>
      <w:pPr>
        <w:pStyle w:val="13"/>
        <w:jc w:val="both"/>
        <w:rPr>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kern w:val="0"/>
          <w:sz w:val="36"/>
          <w:szCs w:val="36"/>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kern w:val="0"/>
          <w:sz w:val="36"/>
          <w:szCs w:val="36"/>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both"/>
        <w:textAlignment w:val="auto"/>
        <w:outlineLvl w:val="9"/>
        <w:rPr>
          <w:rFonts w:hint="eastAsia" w:ascii="方正小标宋简体" w:hAnsi="方正小标宋简体" w:eastAsia="方正小标宋简体" w:cs="方正小标宋简体"/>
          <w:bCs/>
          <w:kern w:val="0"/>
          <w:sz w:val="36"/>
          <w:szCs w:val="36"/>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kern w:val="0"/>
          <w:sz w:val="36"/>
          <w:szCs w:val="36"/>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Cs/>
          <w:kern w:val="0"/>
          <w:sz w:val="36"/>
          <w:szCs w:val="36"/>
          <w:lang w:eastAsia="zh-CN"/>
        </w:rPr>
      </w:pPr>
      <w:r>
        <w:rPr>
          <w:rFonts w:hint="eastAsia" w:ascii="方正小标宋简体" w:hAnsi="方正小标宋简体" w:eastAsia="方正小标宋简体" w:cs="方正小标宋简体"/>
          <w:bCs/>
          <w:kern w:val="0"/>
          <w:sz w:val="36"/>
          <w:szCs w:val="36"/>
          <w:lang w:eastAsia="zh-CN"/>
        </w:rPr>
        <w:t>第五部分</w:t>
      </w:r>
      <w:r>
        <w:rPr>
          <w:rFonts w:hint="eastAsia" w:ascii="方正小标宋简体" w:hAnsi="方正小标宋简体" w:eastAsia="方正小标宋简体" w:cs="方正小标宋简体"/>
          <w:bCs/>
          <w:kern w:val="0"/>
          <w:sz w:val="36"/>
          <w:szCs w:val="36"/>
          <w:lang w:val="en-US" w:eastAsia="zh-CN"/>
        </w:rPr>
        <w:t xml:space="preserve"> </w:t>
      </w:r>
      <w:r>
        <w:rPr>
          <w:rFonts w:hint="eastAsia" w:ascii="方正小标宋简体" w:hAnsi="方正小标宋简体" w:eastAsia="方正小标宋简体" w:cs="方正小标宋简体"/>
          <w:bCs/>
          <w:kern w:val="0"/>
          <w:sz w:val="36"/>
          <w:szCs w:val="36"/>
          <w:lang w:eastAsia="zh-CN"/>
        </w:rPr>
        <w:t>附件</w:t>
      </w:r>
    </w:p>
    <w:p>
      <w:pPr>
        <w:ind w:firstLine="634" w:firstLineChars="200"/>
        <w:jc w:val="center"/>
        <w:rPr>
          <w:rFonts w:hint="eastAsia" w:cs="黑体" w:asciiTheme="minorEastAsia" w:hAnsiTheme="minorEastAsia"/>
          <w:b/>
          <w:color w:val="000000"/>
          <w:kern w:val="0"/>
          <w:sz w:val="32"/>
          <w:szCs w:val="32"/>
        </w:rPr>
      </w:pPr>
    </w:p>
    <w:p>
      <w:pPr>
        <w:jc w:val="center"/>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2020年度部门整体支出绩效评价报告</w:t>
      </w:r>
    </w:p>
    <w:p>
      <w:pPr>
        <w:spacing w:line="348" w:lineRule="auto"/>
        <w:rPr>
          <w:rFonts w:hint="eastAsia" w:eastAsia="黑体" w:cs="黑体"/>
          <w:bCs/>
          <w:sz w:val="32"/>
          <w:szCs w:val="32"/>
        </w:rPr>
      </w:pPr>
    </w:p>
    <w:p>
      <w:pPr>
        <w:spacing w:line="348" w:lineRule="auto"/>
        <w:rPr>
          <w:rFonts w:hint="eastAsia" w:eastAsia="黑体" w:cs="黑体"/>
          <w:bCs/>
          <w:sz w:val="32"/>
          <w:szCs w:val="32"/>
        </w:rPr>
      </w:pPr>
      <w:r>
        <w:rPr>
          <w:rFonts w:hint="eastAsia" w:eastAsia="黑体" w:cs="黑体"/>
          <w:bCs/>
          <w:sz w:val="32"/>
          <w:szCs w:val="32"/>
        </w:rPr>
        <w:t>附件1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靖州</w:t>
      </w:r>
      <w:r>
        <w:rPr>
          <w:rFonts w:hint="eastAsia" w:eastAsia="方正小标宋简体"/>
          <w:bCs/>
          <w:sz w:val="46"/>
          <w:szCs w:val="46"/>
          <w:u w:val="single"/>
        </w:rPr>
        <w:t xml:space="preserve"> </w:t>
      </w:r>
      <w:r>
        <w:rPr>
          <w:rFonts w:hint="eastAsia" w:eastAsia="方正小标宋简体"/>
          <w:bCs/>
          <w:sz w:val="46"/>
          <w:szCs w:val="46"/>
          <w:u w:val="single"/>
          <w:lang w:val="en-US" w:eastAsia="zh-CN"/>
        </w:rPr>
        <w:t>2020</w:t>
      </w:r>
      <w:r>
        <w:rPr>
          <w:rFonts w:hint="eastAsia" w:eastAsia="方正小标宋简体"/>
          <w:bCs/>
          <w:sz w:val="46"/>
          <w:szCs w:val="46"/>
          <w:u w:val="single"/>
        </w:rPr>
        <w:t xml:space="preserve"> </w:t>
      </w:r>
      <w:r>
        <w:rPr>
          <w:rFonts w:hint="eastAsia" w:eastAsia="方正小标宋简体"/>
          <w:bCs/>
          <w:sz w:val="46"/>
          <w:szCs w:val="46"/>
        </w:rPr>
        <w:t>年度部门（单位）整体支出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u w:val="single"/>
        </w:rPr>
      </w:pPr>
      <w:r>
        <w:rPr>
          <w:rFonts w:hint="eastAsia" w:eastAsia="仿宋_GB2312"/>
          <w:sz w:val="32"/>
        </w:rPr>
        <w:t>部门(单位)名称</w:t>
      </w:r>
      <w:r>
        <w:rPr>
          <w:rFonts w:hint="eastAsia" w:eastAsia="仿宋_GB2312"/>
          <w:sz w:val="32"/>
          <w:u w:val="single"/>
        </w:rPr>
        <w:t xml:space="preserve">  </w:t>
      </w:r>
      <w:r>
        <w:rPr>
          <w:rFonts w:hint="eastAsia" w:eastAsia="仿宋_GB2312"/>
          <w:sz w:val="32"/>
          <w:u w:val="single"/>
          <w:lang w:eastAsia="zh-CN"/>
        </w:rPr>
        <w:t>靖州苗族侗族自治县市场监督管理局</w:t>
      </w:r>
      <w:r>
        <w:rPr>
          <w:rFonts w:hint="eastAsia" w:eastAsia="仿宋_GB2312"/>
          <w:sz w:val="32"/>
          <w:u w:val="single"/>
          <w:lang w:val="en-US" w:eastAsia="zh-CN"/>
        </w:rPr>
        <w:t xml:space="preserve">  </w:t>
      </w:r>
    </w:p>
    <w:p>
      <w:pPr>
        <w:spacing w:before="301" w:beforeLines="50" w:line="348" w:lineRule="auto"/>
        <w:ind w:firstLine="476" w:firstLineChars="150"/>
        <w:rPr>
          <w:rFonts w:hint="eastAsia" w:eastAsia="仿宋_GB2312"/>
          <w:sz w:val="32"/>
        </w:rPr>
      </w:pPr>
      <w:r>
        <w:rPr>
          <w:rFonts w:hint="eastAsia" w:eastAsia="仿宋_GB2312"/>
          <w:sz w:val="32"/>
        </w:rPr>
        <w:t>预算编码</w:t>
      </w:r>
      <w:r>
        <w:rPr>
          <w:rFonts w:hint="eastAsia" w:eastAsia="仿宋_GB2312"/>
          <w:sz w:val="32"/>
          <w:u w:val="single"/>
        </w:rPr>
        <w:t xml:space="preserve">       </w:t>
      </w:r>
      <w:r>
        <w:rPr>
          <w:rFonts w:hint="eastAsia" w:eastAsia="仿宋_GB2312"/>
          <w:sz w:val="32"/>
          <w:u w:val="single"/>
          <w:lang w:val="en-US" w:eastAsia="zh-CN"/>
        </w:rPr>
        <w:t>141001</w:t>
      </w:r>
      <w:r>
        <w:rPr>
          <w:rFonts w:hint="eastAsia" w:eastAsia="仿宋_GB2312"/>
          <w:sz w:val="32"/>
          <w:u w:val="single"/>
        </w:rPr>
        <w:t xml:space="preserve">                         </w:t>
      </w:r>
    </w:p>
    <w:p>
      <w:pPr>
        <w:spacing w:before="301" w:beforeLines="50" w:line="348" w:lineRule="auto"/>
        <w:ind w:firstLine="476"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76" w:firstLineChars="150"/>
        <w:rPr>
          <w:rFonts w:hint="eastAsia"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pPr>
        <w:spacing w:line="348" w:lineRule="auto"/>
        <w:rPr>
          <w:rFonts w:hint="eastAsia" w:eastAsia="仿宋_GB2312"/>
          <w:sz w:val="32"/>
        </w:rPr>
      </w:pPr>
    </w:p>
    <w:p>
      <w:pPr>
        <w:spacing w:line="348" w:lineRule="auto"/>
        <w:ind w:firstLine="2188" w:firstLineChars="690"/>
        <w:rPr>
          <w:rFonts w:hint="eastAsia"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年</w:t>
      </w:r>
      <w:r>
        <w:rPr>
          <w:rFonts w:hint="eastAsia" w:eastAsia="仿宋_GB2312"/>
          <w:sz w:val="32"/>
          <w:lang w:val="en-US" w:eastAsia="zh-CN"/>
        </w:rPr>
        <w:t>5</w:t>
      </w:r>
      <w:r>
        <w:rPr>
          <w:rFonts w:hint="eastAsia" w:eastAsia="仿宋_GB2312"/>
          <w:sz w:val="32"/>
        </w:rPr>
        <w:t>月</w:t>
      </w:r>
      <w:r>
        <w:rPr>
          <w:rFonts w:hint="eastAsia" w:eastAsia="仿宋_GB2312"/>
          <w:sz w:val="32"/>
          <w:lang w:val="en-US" w:eastAsia="zh-CN"/>
        </w:rPr>
        <w:t>12</w:t>
      </w:r>
      <w:r>
        <w:rPr>
          <w:rFonts w:hint="eastAsia" w:eastAsia="仿宋_GB2312"/>
          <w:sz w:val="32"/>
        </w:rPr>
        <w:t>日</w:t>
      </w:r>
    </w:p>
    <w:p>
      <w:pPr>
        <w:autoSpaceDN w:val="0"/>
        <w:jc w:val="center"/>
        <w:textAlignment w:val="center"/>
        <w:rPr>
          <w:rFonts w:hint="eastAsia" w:eastAsia="仿宋_GB2312"/>
          <w:sz w:val="32"/>
          <w:szCs w:val="32"/>
        </w:rPr>
      </w:pPr>
      <w:r>
        <w:rPr>
          <w:rFonts w:hint="eastAsia" w:eastAsia="仿宋_GB2312"/>
          <w:sz w:val="32"/>
        </w:rPr>
        <w:t>靖州县财政</w:t>
      </w:r>
      <w:r>
        <w:rPr>
          <w:rFonts w:hint="eastAsia" w:eastAsia="仿宋_GB2312"/>
          <w:sz w:val="32"/>
          <w:szCs w:val="32"/>
        </w:rPr>
        <w:t>局（制）</w:t>
      </w:r>
    </w:p>
    <w:p>
      <w:pPr>
        <w:autoSpaceDN w:val="0"/>
        <w:jc w:val="center"/>
        <w:textAlignment w:val="center"/>
        <w:rPr>
          <w:rFonts w:hint="eastAsia" w:eastAsia="仿宋_GB2312"/>
          <w:sz w:val="32"/>
          <w:szCs w:val="32"/>
        </w:rPr>
        <w:sectPr>
          <w:headerReference r:id="rId3" w:type="default"/>
          <w:footerReference r:id="rId4" w:type="even"/>
          <w:pgSz w:w="16838" w:h="11906" w:orient="landscape"/>
          <w:pgMar w:top="1417" w:right="1701" w:bottom="1417" w:left="1701" w:header="851" w:footer="992" w:gutter="0"/>
          <w:pgNumType w:fmt="numberInDash" w:start="8"/>
          <w:cols w:space="720" w:num="1"/>
          <w:docGrid w:type="linesAndChars" w:linePitch="602" w:charSpace="-782"/>
        </w:sectPr>
      </w:pPr>
    </w:p>
    <w:tbl>
      <w:tblPr>
        <w:tblStyle w:val="10"/>
        <w:tblW w:w="96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92"/>
        <w:gridCol w:w="49"/>
        <w:gridCol w:w="477"/>
        <w:gridCol w:w="739"/>
        <w:gridCol w:w="333"/>
        <w:gridCol w:w="1000"/>
        <w:gridCol w:w="417"/>
        <w:gridCol w:w="655"/>
        <w:gridCol w:w="412"/>
        <w:gridCol w:w="243"/>
        <w:gridCol w:w="24"/>
        <w:gridCol w:w="454"/>
        <w:gridCol w:w="824"/>
        <w:gridCol w:w="97"/>
        <w:gridCol w:w="6"/>
        <w:gridCol w:w="412"/>
        <w:gridCol w:w="7"/>
        <w:gridCol w:w="508"/>
        <w:gridCol w:w="123"/>
        <w:gridCol w:w="344"/>
        <w:gridCol w:w="391"/>
        <w:gridCol w:w="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9697" w:type="dxa"/>
            <w:gridSpan w:val="22"/>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99" w:type="dxa"/>
            <w:gridSpan w:val="7"/>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杨莉华</w:t>
            </w:r>
          </w:p>
        </w:tc>
        <w:tc>
          <w:tcPr>
            <w:tcW w:w="1302"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8" w:type="dxa"/>
            <w:gridSpan w:val="9"/>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18797587580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99" w:type="dxa"/>
            <w:gridSpan w:val="7"/>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134</w:t>
            </w:r>
          </w:p>
        </w:tc>
        <w:tc>
          <w:tcPr>
            <w:tcW w:w="1302"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8" w:type="dxa"/>
            <w:gridSpan w:val="9"/>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779" w:type="dxa"/>
            <w:gridSpan w:val="19"/>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负责市场综合监督管理工作。贯彻执行国家有关市场监督管理法律、法规、规章和政策；组织实施质量强县战略、食品药品安全战略、标准化战略和知识产权战略；拟订并组织实施有关规划，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负责市场主体统一登记注册。指导各类企业、农民专业合作社和从事经营活动的单位、个体工商户等市场主体的登记注册工作和监督管理工作，扶持个体、民营经济发展。建立市场主体信息公示和共享机制，依法公示和共享有关信息，加强信用监管，推动市场主体信息体系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负责组织和推进市场监管综合行政执法工作。贯彻落实中央和省、市关于市场监管综合行政执法改革相关文件精神，负责推进全县市场监管综合行政执法改革工作。组织实施全县市场监管综合行政执法队伍整合和建设，会同有关部门将反垄断执法、盐业执法整合纳入市场监管执法，规范市场监管行政执法行为。组织查处违法案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（四）负责反垄断相关工作。落实竞争政策，负责实施公平竞争审查制度。依法对经营者集中行为进行反垄断审查，根据授权负责垄断协议、滥用市场支配地位和滥用行政权力排除、限制竞争等反垄断工作。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负责监督管理市场秩序。依法监督管理市场交易、网络商品交易及有关服务行为。组织查处价格收费违法违规、不正当竞争、违法直销、传销、侵犯商标专利知识产权和制售假冒伪劣行为。指导广告业发展，监督管理广告活动。依法查处无证、无照生产经营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（六）负责组织开展有关服务领域消费维权工作，查处制售假冒伪劣等违法行为，指导消费者咨询、申诉、举报受理、处理和网络体系建设等工作，保护经营者、消费者合法权益。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（七）负责宏观质量管理。拟订推进质量强县战略的制度措施并组织实施。会同有关部门组织实施重大工程设备质量监理制度，组织质量事故调查，贯彻实施缺陷产品召回制度，监督管理产品防伪工作。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（八）负责产品质量安全监督管理。负责管理产品质量安全风险监控、监督抽查工作，负责实施质量分级制度、质量安全追溯制度。负责实施工业产品生产许可监督管理。负责纤维质量监督工作。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（九）负责特种设备安全监督管理。综合管理特种设备安全监察、监督工作，监督检查高耗能特种设备节能标准和锅炉环境保护标准的执行情况。配合上级调查处理特种设备事故并进行统计分析。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负责食品安全监督管理综合协调。组织实施食品安全重大政策，负责食品安全应急体系建设，组织重大食品安全事件应急处置和调查处理工作。落实食品安全重要信息直报制度。承担县食品安全委员会日常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负责食品安全监督管理。建立实施覆盖食品生产、流通、消费全过程的监督检查制度和隐患排查治理机制，防范区域性、系统性食品安全风险。推行食品生产经营者落实主体责任机制，健全食品安全追溯体系。组织开展食品安全监督抽检、风险监测、核查处置和风险预警、风险交流工作。组织实施特殊食品相关监督管理工作。负责食盐专营管理和食盐安全监督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（十二）负责统一管理计量工作。推行法定计量单位和国家计量制度，管理计量器具及量值传递和比对工作。规范、监督商品量和市场计量行为。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（十三）负责统一管理标准化工作。指导开展标准化试点示范工作。组织协调并指导推动各部门、各行业的标准化工作。依法对标准的实施进行监督。推行采用国际标准。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（十四）负责统一管理检验检测工作。推进检验检测机构改革，规范检验检测市场，完善检验检测体系，指导协调检验检测行业发展。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（十五）负责统一管理、监督和综合协调认证认可工作。组织实施统一的认证认可和合格评定监督管理制度。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六）负责实施知识产权战略，配合推进知识产权强省建设。组织实施知识产权创造、保护、运用的政策和措施。负责知识产权公共服务体系建设，推动知识产权信息传播利用，统筹协调涉外知识产权有关事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（十七）负责保护知识产权。落实严格保护商标、专利、原产地地理标志等相关工作，负责知识产权保护体系建设，组织指导商标、专利执法工作。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（十八）负责知识产权创造运用。按权限负责商标、专利和原产地地理标志的管理，开展知识产权运营体系建设，指导重大经济活动知识产权评议，规范知识产权交易和无形资产评估，促进知识产权转移转化。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（十九）负责市场监督管理、知识产权领域科技和信息化建设、新闻宣传、对外交流与合作。按规定承担技术性贸易措施有关工作。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负责药品（含中药、民族药，下同）、医疗器械和化妆品安全监督管理。贯彻执行国家药品、医疗器械和化妆品监督管理的法律、法规和规章，拟定相关制度措施，并组织实施。组织实施国家鼓励药品、医疗器械、化妆品新技术新产品管理和服务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（二十一）监督实施药品、医疗器械和化妆品分类管理制度，配合有关部门实施国家基本药物制度。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（二十二）负责药品、医疗器械和化妆品质量管理。监督实施药品、医疗器械经营质量管理规范，监督实施化妆品经营、使用卫生标准和技术规范。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（二十三）组织开展药品不良反应、医疗器械不良事件和化妆品不良反应的监测、评价和处置工作，监督实施产品召回制度。依法承担药品、医疗器械和化妆品安全应急管理工作。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（二十四）负责组织实施药品、医疗器械和化妆品监督检查。落实检查制度，依法查处药品零售、使用环节及医疗器械和化妆品经营、使用环节违法行为。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五）组织制定检查制度，并依职责组织实施。依职责组织查处药品、医疗器械和化妆品生产经营环节的违法行为，组织查处跨区域和重大复杂案件。负责药品、医疗器械和化妆品投诉举报的处理工作。推进专业化、职业化检查员队伍建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（二十六）负责职责范围内食品药品行业安全生产工作。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（二十七）完成县委、县人民政府交办的其他任务。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rPr>
              <w:t>（二十八）职能转变。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959"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年度主要工作内容</w:t>
            </w:r>
          </w:p>
        </w:tc>
        <w:tc>
          <w:tcPr>
            <w:tcW w:w="7779" w:type="dxa"/>
            <w:gridSpan w:val="19"/>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任务1：深化商事制度改革，优化营商环境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任务2：坚持“四个最严”，确保市场安全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任务3：强化质量提升意识，当好高质量发展的推动者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6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7779" w:type="dxa"/>
            <w:gridSpan w:val="19"/>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b w:val="0"/>
                <w:bCs/>
                <w:color w:val="000000"/>
                <w:sz w:val="24"/>
                <w:szCs w:val="24"/>
                <w:shd w:val="clear" w:color="auto" w:fill="FFFFFF"/>
              </w:rPr>
            </w:pPr>
            <w:r>
              <w:rPr>
                <w:rFonts w:hint="eastAsia" w:ascii="仿宋_GB2312" w:hAnsi="仿宋_GB2312" w:eastAsia="仿宋_GB2312" w:cs="仿宋_GB2312"/>
                <w:b w:val="0"/>
                <w:bCs/>
                <w:color w:val="000000"/>
                <w:sz w:val="24"/>
                <w:szCs w:val="24"/>
                <w:shd w:val="clear" w:color="auto" w:fill="FFFFFF"/>
              </w:rPr>
              <w:t>（一）深化商事制度改革，优化营商环境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rPr>
              <w:t>1.围绕“放管服”要求，大力推进“互联网+政务服务”、企业“多证合一”，个体工商户“两证整合”、简易注销工作、“证照分离”、“最多跑一次”、“进一步压缩企业开办时间”等商事制度改革，积极推行“同城通办、局所联动”工作，打破了传统的属地管辖登记地域限制，为市场主体办理登记事项提供办理地点的可选择性。</w:t>
            </w:r>
            <w:r>
              <w:rPr>
                <w:rFonts w:hint="eastAsia" w:ascii="仿宋_GB2312" w:hAnsi="仿宋_GB2312" w:eastAsia="仿宋_GB2312" w:cs="仿宋_GB2312"/>
                <w:b w:val="0"/>
                <w:kern w:val="0"/>
                <w:sz w:val="24"/>
                <w:szCs w:val="24"/>
                <w:lang w:val="en-US" w:eastAsia="zh-CN"/>
              </w:rPr>
              <w:t>2020年，新发展企业主体363户（其中受理全程电子化业务200户）、个体工商户1726户，共计新发展市场主体户2089户，对比去年同期增长6.36%，发放食品经营许可证368户，小餐饮经营许可证74户。截止目前，共有企业2253户、个体工商户12802户。市场主体总量达15055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rPr>
              <w:t>2.通过采取简化市场主体注册登记程序、及时推送“双告知”信息、服务指导企业年报公示、强化经营异常名录管理、“双随机一公开”抽查结果的运用等措施，切实做到“即时提交、即时审核、即时发照”，激发了市场活力，服务水平得到优化，进一步提高注册登记服务效能，为企业和投资者创业提供宽松、便利的市场准入环</w:t>
            </w:r>
            <w:r>
              <w:rPr>
                <w:rFonts w:hint="eastAsia" w:ascii="仿宋_GB2312" w:hAnsi="仿宋_GB2312" w:eastAsia="仿宋_GB2312" w:cs="仿宋_GB2312"/>
                <w:b w:val="0"/>
                <w:bCs w:val="0"/>
                <w:kern w:val="0"/>
                <w:sz w:val="24"/>
                <w:szCs w:val="24"/>
              </w:rPr>
              <w:t>境。</w:t>
            </w:r>
            <w:r>
              <w:rPr>
                <w:rFonts w:hint="eastAsia" w:ascii="仿宋_GB2312" w:hAnsi="仿宋_GB2312" w:eastAsia="仿宋_GB2312" w:cs="仿宋_GB2312"/>
                <w:b w:val="0"/>
                <w:bCs w:val="0"/>
                <w:color w:val="000000"/>
                <w:sz w:val="24"/>
                <w:szCs w:val="24"/>
              </w:rPr>
              <w:t>一是加强年报工作推进力度。依托国家企业信用信</w:t>
            </w:r>
            <w:r>
              <w:rPr>
                <w:rFonts w:hint="eastAsia" w:ascii="仿宋_GB2312" w:hAnsi="仿宋_GB2312" w:eastAsia="仿宋_GB2312" w:cs="仿宋_GB2312"/>
                <w:b w:val="0"/>
                <w:bCs w:val="0"/>
                <w:color w:val="000000"/>
                <w:sz w:val="24"/>
                <w:szCs w:val="24"/>
                <w:shd w:val="clear" w:color="auto" w:fill="FFFFFF"/>
              </w:rPr>
              <w:t>息公示系统推动年报公示，本年度企业年报率9</w:t>
            </w:r>
            <w:r>
              <w:rPr>
                <w:rFonts w:hint="eastAsia" w:ascii="仿宋_GB2312" w:hAnsi="仿宋_GB2312" w:eastAsia="仿宋_GB2312" w:cs="仿宋_GB2312"/>
                <w:b w:val="0"/>
                <w:bCs w:val="0"/>
                <w:color w:val="000000"/>
                <w:sz w:val="24"/>
                <w:szCs w:val="24"/>
                <w:shd w:val="clear" w:color="auto" w:fill="FFFFFF"/>
                <w:lang w:val="en-US" w:eastAsia="zh-CN"/>
              </w:rPr>
              <w:t>0</w:t>
            </w:r>
            <w:r>
              <w:rPr>
                <w:rFonts w:hint="eastAsia" w:ascii="仿宋_GB2312" w:hAnsi="仿宋_GB2312" w:eastAsia="仿宋_GB2312" w:cs="仿宋_GB2312"/>
                <w:b w:val="0"/>
                <w:bCs w:val="0"/>
                <w:color w:val="000000"/>
                <w:sz w:val="24"/>
                <w:szCs w:val="24"/>
                <w:shd w:val="clear" w:color="auto" w:fill="FFFFFF"/>
              </w:rPr>
              <w:t>%，农专年报率81%。二是积极履行双告知工作。今年以来已向各审批部门推送市场主体信息</w:t>
            </w:r>
            <w:r>
              <w:rPr>
                <w:rFonts w:hint="eastAsia" w:ascii="仿宋_GB2312" w:hAnsi="仿宋_GB2312" w:eastAsia="仿宋_GB2312" w:cs="仿宋_GB2312"/>
                <w:b w:val="0"/>
                <w:bCs w:val="0"/>
                <w:color w:val="000000"/>
                <w:sz w:val="24"/>
                <w:szCs w:val="24"/>
                <w:shd w:val="clear" w:color="auto" w:fill="FFFFFF"/>
                <w:lang w:val="en-US" w:eastAsia="zh-CN"/>
              </w:rPr>
              <w:t>2221</w:t>
            </w:r>
            <w:r>
              <w:rPr>
                <w:rFonts w:hint="eastAsia" w:ascii="仿宋_GB2312" w:hAnsi="仿宋_GB2312" w:eastAsia="仿宋_GB2312" w:cs="仿宋_GB2312"/>
                <w:b w:val="0"/>
                <w:bCs w:val="0"/>
                <w:color w:val="000000"/>
                <w:sz w:val="24"/>
                <w:szCs w:val="24"/>
                <w:shd w:val="clear" w:color="auto" w:fill="FFFFFF"/>
              </w:rPr>
              <w:t>条。三是有序推进“双随机、一公开”工作。全面实施行政处罚案件信息公示制度、企业公示信息抽查制度，做好经营异常名录的列入、移出和经营异常状态标记工作，增强信用约束。</w:t>
            </w:r>
            <w:r>
              <w:rPr>
                <w:rFonts w:hint="eastAsia" w:ascii="仿宋_GB2312" w:hAnsi="仿宋_GB2312" w:eastAsia="仿宋_GB2312" w:cs="仿宋_GB2312"/>
                <w:b w:val="0"/>
                <w:bCs w:val="0"/>
                <w:color w:val="000000"/>
                <w:sz w:val="24"/>
                <w:szCs w:val="24"/>
              </w:rPr>
              <w:t>20</w:t>
            </w:r>
            <w:r>
              <w:rPr>
                <w:rFonts w:hint="eastAsia" w:ascii="仿宋_GB2312" w:hAnsi="仿宋_GB2312" w:eastAsia="仿宋_GB2312" w:cs="仿宋_GB2312"/>
                <w:b w:val="0"/>
                <w:bCs w:val="0"/>
                <w:color w:val="000000"/>
                <w:sz w:val="24"/>
                <w:szCs w:val="24"/>
                <w:lang w:val="en-US" w:eastAsia="zh-CN"/>
              </w:rPr>
              <w:t>20</w:t>
            </w:r>
            <w:r>
              <w:rPr>
                <w:rFonts w:hint="eastAsia" w:ascii="仿宋_GB2312" w:hAnsi="仿宋_GB2312" w:eastAsia="仿宋_GB2312" w:cs="仿宋_GB2312"/>
                <w:b w:val="0"/>
                <w:bCs w:val="0"/>
                <w:color w:val="000000"/>
                <w:sz w:val="24"/>
                <w:szCs w:val="24"/>
              </w:rPr>
              <w:t>年抽查企业</w:t>
            </w:r>
            <w:r>
              <w:rPr>
                <w:rFonts w:hint="eastAsia" w:ascii="仿宋_GB2312" w:hAnsi="仿宋_GB2312" w:eastAsia="仿宋_GB2312" w:cs="仿宋_GB2312"/>
                <w:b w:val="0"/>
                <w:bCs w:val="0"/>
                <w:color w:val="000000"/>
                <w:sz w:val="24"/>
                <w:szCs w:val="24"/>
                <w:lang w:val="en-US" w:eastAsia="zh-CN"/>
              </w:rPr>
              <w:t>47</w:t>
            </w:r>
            <w:r>
              <w:rPr>
                <w:rFonts w:hint="eastAsia" w:ascii="仿宋_GB2312" w:hAnsi="仿宋_GB2312" w:eastAsia="仿宋_GB2312" w:cs="仿宋_GB2312"/>
                <w:b w:val="0"/>
                <w:bCs w:val="0"/>
                <w:color w:val="000000"/>
                <w:sz w:val="24"/>
                <w:szCs w:val="24"/>
              </w:rPr>
              <w:t>家，11月底前完成各项抽查及录入工作。</w:t>
            </w:r>
            <w:r>
              <w:rPr>
                <w:rFonts w:hint="eastAsia" w:ascii="仿宋_GB2312" w:hAnsi="仿宋_GB2312" w:eastAsia="仿宋_GB2312" w:cs="仿宋_GB2312"/>
                <w:b w:val="0"/>
                <w:bCs w:val="0"/>
                <w:color w:val="000000"/>
                <w:sz w:val="24"/>
                <w:szCs w:val="24"/>
                <w:shd w:val="clear" w:color="auto" w:fill="FFFFFF"/>
              </w:rPr>
              <w:t>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b w:val="0"/>
                <w:bCs/>
                <w:color w:val="000000"/>
                <w:sz w:val="24"/>
                <w:szCs w:val="24"/>
                <w:shd w:val="clear" w:color="auto" w:fill="FFFFFF"/>
              </w:rPr>
            </w:pPr>
            <w:r>
              <w:rPr>
                <w:rFonts w:hint="eastAsia" w:ascii="仿宋_GB2312" w:hAnsi="仿宋_GB2312" w:eastAsia="仿宋_GB2312" w:cs="仿宋_GB2312"/>
                <w:b w:val="0"/>
                <w:bCs/>
                <w:color w:val="000000"/>
                <w:sz w:val="24"/>
                <w:szCs w:val="24"/>
                <w:shd w:val="clear" w:color="auto" w:fill="FFFFFF"/>
              </w:rPr>
              <w:t>（二）坚持“四个最严”，确保市场安全</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1.全面开展食品安全监管工作，提升食品安全</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bCs/>
                <w:kern w:val="0"/>
                <w:sz w:val="24"/>
                <w:szCs w:val="24"/>
              </w:rPr>
              <w:t>一是严把准入关口。加强对一品东方、湖南补天药业有限公司、靖州接官亭酒厂、靖州县武王食品加工厂、靖州老禹豆腐、靖州豆友缘豆腐、平茶马路口粽子加工等10家食品生产企业和小作坊办证、换证的服务帮扶工作，共帮扶2家企业新办理SC证，发放《食品生产加工小作坊许可证》</w:t>
            </w:r>
            <w:r>
              <w:rPr>
                <w:rFonts w:hint="eastAsia" w:ascii="仿宋_GB2312" w:hAnsi="仿宋_GB2312" w:eastAsia="仿宋_GB2312" w:cs="仿宋_GB2312"/>
                <w:b w:val="0"/>
                <w:bCs/>
                <w:kern w:val="0"/>
                <w:sz w:val="24"/>
                <w:szCs w:val="24"/>
                <w:lang w:val="en-US" w:eastAsia="zh-CN"/>
              </w:rPr>
              <w:t>6</w:t>
            </w:r>
            <w:r>
              <w:rPr>
                <w:rFonts w:hint="eastAsia" w:ascii="仿宋_GB2312" w:hAnsi="仿宋_GB2312" w:eastAsia="仿宋_GB2312" w:cs="仿宋_GB2312"/>
                <w:b w:val="0"/>
                <w:bCs/>
                <w:kern w:val="0"/>
                <w:sz w:val="24"/>
                <w:szCs w:val="24"/>
              </w:rPr>
              <w:t>户。二是在疫情期间加强市场监管。强化“三保”行动，保障餐饮安全。全面排查，稳定市场供应，维护市场经营秩序，确保疫情防控和复工复产有效落实。全面开展食品流通环节经营主体地毯式排查工作，对复学的17所学校食堂进行全程监督检查及指导服务，帮助学校食堂提升食品安全管理水平，并开展巡回检查，有效保障了校园食品安全。三是突出专项整治。开展</w:t>
            </w:r>
            <w:r>
              <w:rPr>
                <w:rFonts w:hint="eastAsia" w:ascii="仿宋_GB2312" w:hAnsi="仿宋_GB2312" w:eastAsia="仿宋_GB2312" w:cs="仿宋_GB2312"/>
                <w:b w:val="0"/>
                <w:kern w:val="0"/>
                <w:sz w:val="24"/>
                <w:szCs w:val="24"/>
              </w:rPr>
              <w:t>“四小”、“护苗”、“食品安全百日行动”、“护老行动”、特殊食品专项检查、“大米专项检查”、“固体饮料、代用茶、压片糖果”等专项整治。食品行业有限空间作业安全大检查持续开展，共检查食品企业13家。对全县81所学校及幼儿园食堂进行专项检查，并对校园周边100米内85家小餐饮及45家小食品店进行专项检查。积极开展食品生产企业日常监督检查，并落实食品生产企业风险分级管理办法，对食品生产企业实行风险分级管理。持续开展节前食品安全专项检查、农村食品安全无证经营、酒类整治专项行动和守护重大节日及重大活动的食品安全检查，确保两会期间食品安全得到有效保障，</w:t>
            </w:r>
            <w:r>
              <w:rPr>
                <w:rFonts w:hint="eastAsia" w:ascii="仿宋_GB2312" w:hAnsi="仿宋_GB2312" w:eastAsia="仿宋_GB2312" w:cs="仿宋_GB2312"/>
                <w:b w:val="0"/>
                <w:kern w:val="0"/>
                <w:sz w:val="24"/>
                <w:szCs w:val="24"/>
                <w:lang w:eastAsia="zh-CN"/>
              </w:rPr>
              <w:t>全年</w:t>
            </w:r>
            <w:r>
              <w:rPr>
                <w:rFonts w:hint="eastAsia" w:ascii="仿宋_GB2312" w:hAnsi="仿宋_GB2312" w:eastAsia="仿宋_GB2312" w:cs="仿宋_GB2312"/>
                <w:b w:val="0"/>
                <w:kern w:val="0"/>
                <w:sz w:val="24"/>
                <w:szCs w:val="24"/>
              </w:rPr>
              <w:t>未发生食品安全事故。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rPr>
              <w:t>强化药品市场监管，规范药品经营秩序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val="0"/>
                <w:bCs w:val="0"/>
                <w:kern w:val="0"/>
                <w:sz w:val="24"/>
                <w:szCs w:val="24"/>
              </w:rPr>
              <w:t>开展专项整治，规范市场秩序。开展中药饮片专项整治、药品流通领域突出问题专项整治、特殊药品监管等专项检查、精、麻药品专项整治、“两非”药品专项整治及无菌和植入性医疗器</w:t>
            </w:r>
            <w:r>
              <w:rPr>
                <w:rFonts w:hint="eastAsia" w:ascii="仿宋_GB2312" w:hAnsi="仿宋_GB2312" w:eastAsia="仿宋_GB2312" w:cs="仿宋_GB2312"/>
                <w:b w:val="0"/>
                <w:kern w:val="0"/>
                <w:sz w:val="24"/>
                <w:szCs w:val="24"/>
              </w:rPr>
              <w:t>械监督检查等专项行动。严厉打击购进、销售未经注册、无合格证明、过期、失效或者淘汰产品的违法、违规行为，坚决取缔无证经营的黑窝点</w:t>
            </w:r>
            <w:r>
              <w:rPr>
                <w:rFonts w:hint="eastAsia" w:ascii="仿宋_GB2312" w:hAnsi="仿宋_GB2312" w:eastAsia="仿宋_GB2312" w:cs="仿宋_GB2312"/>
                <w:b w:val="0"/>
                <w:bCs w:val="0"/>
                <w:kern w:val="0"/>
                <w:sz w:val="24"/>
                <w:szCs w:val="24"/>
              </w:rPr>
              <w:t>。积极开展行政许可工作。2020年是《药品经营许可证》大换证年，结合换证工作，</w:t>
            </w:r>
            <w:r>
              <w:rPr>
                <w:rFonts w:hint="eastAsia" w:ascii="仿宋_GB2312" w:hAnsi="仿宋_GB2312" w:eastAsia="仿宋_GB2312" w:cs="仿宋_GB2312"/>
                <w:b w:val="0"/>
                <w:bCs w:val="0"/>
                <w:kern w:val="0"/>
                <w:sz w:val="24"/>
                <w:szCs w:val="24"/>
                <w:lang w:eastAsia="zh-CN"/>
              </w:rPr>
              <w:t>我局</w:t>
            </w:r>
            <w:r>
              <w:rPr>
                <w:rFonts w:hint="eastAsia" w:ascii="仿宋_GB2312" w:hAnsi="仿宋_GB2312" w:eastAsia="仿宋_GB2312" w:cs="仿宋_GB2312"/>
                <w:b w:val="0"/>
                <w:bCs w:val="0"/>
                <w:kern w:val="0"/>
                <w:sz w:val="24"/>
                <w:szCs w:val="24"/>
              </w:rPr>
              <w:t>将到期换证企业的现场检查与日常监管相结合，督促企业严格执行药品经营质量管理规范，对不能持续合规的药品经营企业坚决取消其经营资质。对新开办的药品经营企业，严格审批把关，防止低水平重复</w:t>
            </w:r>
            <w:r>
              <w:rPr>
                <w:rFonts w:hint="eastAsia" w:ascii="仿宋_GB2312" w:hAnsi="仿宋_GB2312" w:eastAsia="仿宋_GB2312" w:cs="仿宋_GB2312"/>
                <w:b w:val="0"/>
                <w:bCs w:val="0"/>
                <w:kern w:val="0"/>
                <w:sz w:val="24"/>
                <w:szCs w:val="24"/>
                <w:lang w:val="en-US" w:eastAsia="zh-CN"/>
              </w:rPr>
              <w:t>。2020年，核发</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药品零售企业许可证</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33家，换发</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药品零售企业许可证</w:t>
            </w:r>
            <w:r>
              <w:rPr>
                <w:rFonts w:hint="eastAsia" w:ascii="仿宋_GB2312" w:hAnsi="仿宋_GB2312" w:eastAsia="仿宋_GB2312" w:cs="仿宋_GB2312"/>
                <w:b w:val="0"/>
                <w:bCs w:val="0"/>
                <w:kern w:val="0"/>
                <w:sz w:val="24"/>
                <w:szCs w:val="24"/>
              </w:rPr>
              <w:t>》</w:t>
            </w:r>
            <w:r>
              <w:rPr>
                <w:rFonts w:hint="eastAsia" w:ascii="仿宋_GB2312" w:hAnsi="仿宋_GB2312" w:eastAsia="仿宋_GB2312" w:cs="仿宋_GB2312"/>
                <w:b w:val="0"/>
                <w:bCs w:val="0"/>
                <w:kern w:val="0"/>
                <w:sz w:val="24"/>
                <w:szCs w:val="24"/>
                <w:lang w:val="en-US" w:eastAsia="zh-CN"/>
              </w:rPr>
              <w:t>19家。</w:t>
            </w:r>
            <w:r>
              <w:rPr>
                <w:rFonts w:hint="eastAsia" w:ascii="仿宋_GB2312" w:hAnsi="仿宋_GB2312" w:eastAsia="仿宋_GB2312" w:cs="仿宋_GB2312"/>
                <w:b w:val="0"/>
                <w:bCs w:val="0"/>
                <w:kern w:val="0"/>
                <w:sz w:val="24"/>
                <w:szCs w:val="24"/>
              </w:rPr>
              <w:t>积极部署药品不良反应、医疗器械不良事件及化妆品不良反应监测的上报工作。根据《怀化市20</w:t>
            </w:r>
            <w:r>
              <w:rPr>
                <w:rFonts w:hint="eastAsia" w:ascii="仿宋_GB2312" w:hAnsi="仿宋_GB2312" w:eastAsia="仿宋_GB2312" w:cs="仿宋_GB2312"/>
                <w:b w:val="0"/>
                <w:bCs w:val="0"/>
                <w:kern w:val="0"/>
                <w:sz w:val="24"/>
                <w:szCs w:val="24"/>
                <w:lang w:val="en-US" w:eastAsia="zh-CN"/>
              </w:rPr>
              <w:t>20</w:t>
            </w:r>
            <w:r>
              <w:rPr>
                <w:rFonts w:hint="eastAsia" w:ascii="仿宋_GB2312" w:hAnsi="仿宋_GB2312" w:eastAsia="仿宋_GB2312" w:cs="仿宋_GB2312"/>
                <w:b w:val="0"/>
                <w:bCs w:val="0"/>
                <w:kern w:val="0"/>
                <w:sz w:val="24"/>
                <w:szCs w:val="24"/>
              </w:rPr>
              <w:t>年不良反应/事件报告与监测工作目标管理实施方案》</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2020</w:t>
            </w:r>
            <w:r>
              <w:rPr>
                <w:rFonts w:hint="eastAsia" w:ascii="仿宋_GB2312" w:hAnsi="仿宋_GB2312" w:eastAsia="仿宋_GB2312" w:cs="仿宋_GB2312"/>
                <w:b w:val="0"/>
                <w:bCs w:val="0"/>
                <w:kern w:val="0"/>
                <w:sz w:val="24"/>
                <w:szCs w:val="24"/>
              </w:rPr>
              <w:t>年我局开展业务培训和现场指导相结合的方式，我县今年药品不良反应监测报告目标基数总数2</w:t>
            </w:r>
            <w:r>
              <w:rPr>
                <w:rFonts w:hint="eastAsia" w:ascii="仿宋_GB2312" w:hAnsi="仿宋_GB2312" w:eastAsia="仿宋_GB2312" w:cs="仿宋_GB2312"/>
                <w:b w:val="0"/>
                <w:bCs w:val="0"/>
                <w:kern w:val="0"/>
                <w:sz w:val="24"/>
                <w:szCs w:val="24"/>
                <w:lang w:val="en-US" w:eastAsia="zh-CN"/>
              </w:rPr>
              <w:t>40</w:t>
            </w:r>
            <w:r>
              <w:rPr>
                <w:rFonts w:hint="eastAsia" w:ascii="仿宋_GB2312" w:hAnsi="仿宋_GB2312" w:eastAsia="仿宋_GB2312" w:cs="仿宋_GB2312"/>
                <w:b w:val="0"/>
                <w:bCs w:val="0"/>
                <w:kern w:val="0"/>
                <w:sz w:val="24"/>
                <w:szCs w:val="24"/>
              </w:rPr>
              <w:t>份，现完成</w:t>
            </w:r>
            <w:r>
              <w:rPr>
                <w:rFonts w:hint="eastAsia" w:ascii="仿宋_GB2312" w:hAnsi="仿宋_GB2312" w:eastAsia="仿宋_GB2312" w:cs="仿宋_GB2312"/>
                <w:b w:val="0"/>
                <w:bCs w:val="0"/>
                <w:kern w:val="0"/>
                <w:sz w:val="24"/>
                <w:szCs w:val="24"/>
                <w:lang w:val="en-US" w:eastAsia="zh-CN"/>
              </w:rPr>
              <w:t>187</w:t>
            </w:r>
            <w:r>
              <w:rPr>
                <w:rFonts w:hint="eastAsia" w:ascii="仿宋_GB2312" w:hAnsi="仿宋_GB2312" w:eastAsia="仿宋_GB2312" w:cs="仿宋_GB2312"/>
                <w:b w:val="0"/>
                <w:bCs w:val="0"/>
                <w:kern w:val="0"/>
                <w:sz w:val="24"/>
                <w:szCs w:val="24"/>
              </w:rPr>
              <w:t>份；器械不良反应监测报告目标基数60份，现完成</w:t>
            </w:r>
            <w:r>
              <w:rPr>
                <w:rFonts w:hint="eastAsia" w:ascii="仿宋_GB2312" w:hAnsi="仿宋_GB2312" w:eastAsia="仿宋_GB2312" w:cs="仿宋_GB2312"/>
                <w:b w:val="0"/>
                <w:bCs w:val="0"/>
                <w:kern w:val="0"/>
                <w:sz w:val="24"/>
                <w:szCs w:val="24"/>
                <w:lang w:val="en-US" w:eastAsia="zh-CN"/>
              </w:rPr>
              <w:t>36</w:t>
            </w:r>
            <w:r>
              <w:rPr>
                <w:rFonts w:hint="eastAsia" w:ascii="仿宋_GB2312" w:hAnsi="仿宋_GB2312" w:eastAsia="仿宋_GB2312" w:cs="仿宋_GB2312"/>
                <w:b w:val="0"/>
                <w:bCs w:val="0"/>
                <w:kern w:val="0"/>
                <w:sz w:val="24"/>
                <w:szCs w:val="24"/>
              </w:rPr>
              <w:t>份；化妆品不良反应监测报告目标基数32份，现完成</w:t>
            </w:r>
            <w:r>
              <w:rPr>
                <w:rFonts w:hint="eastAsia" w:ascii="仿宋_GB2312" w:hAnsi="仿宋_GB2312" w:eastAsia="仿宋_GB2312" w:cs="仿宋_GB2312"/>
                <w:b w:val="0"/>
                <w:bCs w:val="0"/>
                <w:kern w:val="0"/>
                <w:sz w:val="24"/>
                <w:szCs w:val="24"/>
                <w:lang w:val="en-US" w:eastAsia="zh-CN"/>
              </w:rPr>
              <w:t>25</w:t>
            </w:r>
            <w:r>
              <w:rPr>
                <w:rFonts w:hint="eastAsia" w:ascii="仿宋_GB2312" w:hAnsi="仿宋_GB2312" w:eastAsia="仿宋_GB2312" w:cs="仿宋_GB2312"/>
                <w:b w:val="0"/>
                <w:bCs w:val="0"/>
                <w:kern w:val="0"/>
                <w:sz w:val="24"/>
                <w:szCs w:val="24"/>
              </w:rPr>
              <w:t>份。</w:t>
            </w:r>
            <w:r>
              <w:rPr>
                <w:rFonts w:hint="eastAsia" w:ascii="仿宋_GB2312" w:hAnsi="仿宋_GB2312" w:eastAsia="仿宋_GB2312" w:cs="仿宋_GB2312"/>
                <w:b w:val="0"/>
                <w:bCs w:val="0"/>
                <w:sz w:val="24"/>
                <w:szCs w:val="24"/>
              </w:rPr>
              <w:t>以世卫组织评估为契机健全疫苗监管体系</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kern w:val="0"/>
                <w:sz w:val="24"/>
                <w:szCs w:val="24"/>
                <w:lang w:val="en-US" w:eastAsia="zh-CN"/>
              </w:rPr>
              <w:t>为推进疫苗监管体系的建设，提升疫苗监管水平</w:t>
            </w:r>
            <w:r>
              <w:rPr>
                <w:rFonts w:hint="eastAsia" w:ascii="仿宋_GB2312" w:hAnsi="仿宋_GB2312" w:eastAsia="仿宋_GB2312" w:cs="仿宋_GB2312"/>
                <w:b w:val="0"/>
                <w:kern w:val="0"/>
                <w:sz w:val="24"/>
                <w:szCs w:val="24"/>
                <w:lang w:val="en-US" w:eastAsia="zh-CN"/>
              </w:rPr>
              <w:t>，成立疫苗监管体系工作领导小组，</w:t>
            </w:r>
            <w:r>
              <w:rPr>
                <w:rFonts w:hint="eastAsia" w:ascii="仿宋_GB2312" w:hAnsi="仿宋_GB2312" w:eastAsia="仿宋_GB2312" w:cs="仿宋_GB2312"/>
                <w:b w:val="0"/>
                <w:kern w:val="0"/>
                <w:sz w:val="24"/>
                <w:szCs w:val="24"/>
              </w:rPr>
              <w:t>领导小组下设疫苗监管体系评估工作办公室，</w:t>
            </w:r>
            <w:r>
              <w:rPr>
                <w:rFonts w:hint="eastAsia" w:ascii="仿宋_GB2312" w:hAnsi="仿宋_GB2312" w:eastAsia="仿宋_GB2312" w:cs="仿宋_GB2312"/>
                <w:b w:val="0"/>
                <w:kern w:val="0"/>
                <w:sz w:val="24"/>
                <w:szCs w:val="24"/>
                <w:lang w:eastAsia="zh-CN"/>
              </w:rPr>
              <w:t>加强疫苗监管力度</w:t>
            </w:r>
            <w:r>
              <w:rPr>
                <w:rFonts w:hint="eastAsia" w:ascii="仿宋_GB2312" w:hAnsi="仿宋_GB2312" w:eastAsia="仿宋_GB2312" w:cs="仿宋_GB2312"/>
                <w:b w:val="0"/>
                <w:kern w:val="0"/>
                <w:sz w:val="24"/>
                <w:szCs w:val="24"/>
                <w:lang w:val="en-US" w:eastAsia="zh-CN"/>
              </w:rPr>
              <w:t>，</w:t>
            </w:r>
            <w:r>
              <w:rPr>
                <w:rFonts w:hint="eastAsia" w:ascii="仿宋_GB2312" w:hAnsi="仿宋_GB2312" w:eastAsia="仿宋_GB2312" w:cs="仿宋_GB2312"/>
                <w:b w:val="0"/>
                <w:kern w:val="0"/>
                <w:sz w:val="24"/>
                <w:szCs w:val="24"/>
                <w:lang w:eastAsia="zh-CN"/>
              </w:rPr>
              <w:t>按照</w:t>
            </w:r>
            <w:r>
              <w:rPr>
                <w:rFonts w:hint="eastAsia" w:ascii="仿宋_GB2312" w:hAnsi="仿宋_GB2312" w:eastAsia="仿宋_GB2312" w:cs="仿宋_GB2312"/>
                <w:b w:val="0"/>
                <w:kern w:val="0"/>
                <w:sz w:val="24"/>
                <w:szCs w:val="24"/>
                <w:lang w:val="en-US" w:eastAsia="zh-CN"/>
              </w:rPr>
              <w:t>《中华人民共和国药品监督管理办法》、《中华人民共和国疫苗管理法》的要求全县疫苗的</w:t>
            </w:r>
            <w:r>
              <w:rPr>
                <w:rFonts w:hint="eastAsia" w:ascii="仿宋_GB2312" w:hAnsi="仿宋_GB2312" w:eastAsia="仿宋_GB2312" w:cs="仿宋_GB2312"/>
                <w:b w:val="0"/>
                <w:kern w:val="0"/>
                <w:sz w:val="24"/>
                <w:szCs w:val="24"/>
              </w:rPr>
              <w:t>储存、运输以及预防接种中的疫苗质量</w:t>
            </w:r>
            <w:r>
              <w:rPr>
                <w:rFonts w:hint="eastAsia" w:ascii="仿宋_GB2312" w:hAnsi="仿宋_GB2312" w:eastAsia="仿宋_GB2312" w:cs="仿宋_GB2312"/>
                <w:b w:val="0"/>
                <w:kern w:val="0"/>
                <w:sz w:val="24"/>
                <w:szCs w:val="24"/>
                <w:lang w:val="en-US" w:eastAsia="zh-CN"/>
              </w:rPr>
              <w:t>进行监督检查，</w:t>
            </w:r>
            <w:r>
              <w:rPr>
                <w:rFonts w:hint="eastAsia" w:ascii="仿宋_GB2312" w:hAnsi="仿宋_GB2312" w:eastAsia="仿宋_GB2312" w:cs="仿宋_GB2312"/>
                <w:b w:val="0"/>
                <w:kern w:val="0"/>
                <w:sz w:val="24"/>
                <w:szCs w:val="24"/>
                <w:lang w:eastAsia="zh-CN"/>
              </w:rPr>
              <w:t>对全县疫苗</w:t>
            </w:r>
            <w:r>
              <w:rPr>
                <w:rFonts w:hint="eastAsia" w:ascii="仿宋_GB2312" w:hAnsi="仿宋_GB2312" w:eastAsia="仿宋_GB2312" w:cs="仿宋_GB2312"/>
                <w:b w:val="0"/>
                <w:kern w:val="0"/>
                <w:sz w:val="24"/>
                <w:szCs w:val="24"/>
                <w:lang w:val="en-US" w:eastAsia="zh-CN"/>
              </w:rPr>
              <w:t>接种单位持续</w:t>
            </w:r>
            <w:r>
              <w:rPr>
                <w:rFonts w:hint="eastAsia" w:ascii="仿宋_GB2312" w:hAnsi="仿宋_GB2312" w:eastAsia="仿宋_GB2312" w:cs="仿宋_GB2312"/>
                <w:b w:val="0"/>
                <w:kern w:val="0"/>
                <w:sz w:val="24"/>
                <w:szCs w:val="24"/>
                <w:lang w:eastAsia="zh-CN"/>
              </w:rPr>
              <w:t>开展疫苗专项检查，已检查疫苗接种单位</w:t>
            </w:r>
            <w:r>
              <w:rPr>
                <w:rFonts w:hint="eastAsia" w:ascii="仿宋_GB2312" w:hAnsi="仿宋_GB2312" w:eastAsia="仿宋_GB2312" w:cs="仿宋_GB2312"/>
                <w:b w:val="0"/>
                <w:kern w:val="0"/>
                <w:sz w:val="24"/>
                <w:szCs w:val="24"/>
                <w:lang w:val="en-US" w:eastAsia="zh-CN"/>
              </w:rPr>
              <w:t>15家次，未发现违法违规行为。</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3.突出重点，标本兼治，全面铺开特种设备安全监察工作。</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rPr>
              <w:t>以推进“落实企业安全生产主体责任年”和“强执法防事故”活动为契机，持续深入开展特种设备安全隐患排查治理，督促企业全面落实安全生产主体责任。</w:t>
            </w:r>
            <w:r>
              <w:rPr>
                <w:rFonts w:hint="eastAsia" w:ascii="仿宋_GB2312" w:hAnsi="仿宋_GB2312" w:eastAsia="仿宋_GB2312" w:cs="仿宋_GB2312"/>
                <w:b w:val="0"/>
                <w:bCs w:val="0"/>
                <w:kern w:val="0"/>
                <w:sz w:val="24"/>
                <w:szCs w:val="24"/>
              </w:rPr>
              <w:t>一是积极开展日常监督检查。</w:t>
            </w:r>
            <w:r>
              <w:rPr>
                <w:rFonts w:hint="eastAsia" w:ascii="仿宋_GB2312" w:hAnsi="仿宋_GB2312" w:eastAsia="仿宋_GB2312" w:cs="仿宋_GB2312"/>
                <w:b w:val="0"/>
                <w:kern w:val="0"/>
                <w:sz w:val="24"/>
                <w:szCs w:val="24"/>
              </w:rPr>
              <w:t>对138家特种设备使用单位进行日常检查，发现安全隐患并下达安全监察指令书</w:t>
            </w:r>
            <w:r>
              <w:rPr>
                <w:rFonts w:hint="eastAsia" w:ascii="仿宋_GB2312" w:hAnsi="仿宋_GB2312" w:eastAsia="仿宋_GB2312" w:cs="仿宋_GB2312"/>
                <w:b w:val="0"/>
                <w:kern w:val="0"/>
                <w:sz w:val="24"/>
                <w:szCs w:val="24"/>
                <w:lang w:val="en-US" w:eastAsia="zh-CN"/>
              </w:rPr>
              <w:t>47</w:t>
            </w:r>
            <w:r>
              <w:rPr>
                <w:rFonts w:hint="eastAsia" w:ascii="仿宋_GB2312" w:hAnsi="仿宋_GB2312" w:eastAsia="仿宋_GB2312" w:cs="仿宋_GB2312"/>
                <w:b w:val="0"/>
                <w:kern w:val="0"/>
                <w:sz w:val="24"/>
                <w:szCs w:val="24"/>
              </w:rPr>
              <w:t>份，发现重大安全隐患1起</w:t>
            </w:r>
            <w:r>
              <w:rPr>
                <w:rFonts w:hint="eastAsia" w:ascii="仿宋_GB2312" w:hAnsi="仿宋_GB2312" w:eastAsia="仿宋_GB2312" w:cs="仿宋_GB2312"/>
                <w:b w:val="0"/>
                <w:kern w:val="0"/>
                <w:sz w:val="24"/>
                <w:szCs w:val="24"/>
                <w:lang w:eastAsia="zh-CN"/>
              </w:rPr>
              <w:t>，已整改完成</w:t>
            </w:r>
            <w:r>
              <w:rPr>
                <w:rFonts w:hint="eastAsia" w:ascii="仿宋_GB2312" w:hAnsi="仿宋_GB2312" w:eastAsia="仿宋_GB2312" w:cs="仿宋_GB2312"/>
                <w:b w:val="0"/>
                <w:kern w:val="0"/>
                <w:sz w:val="24"/>
                <w:szCs w:val="24"/>
              </w:rPr>
              <w:t>。</w:t>
            </w:r>
            <w:r>
              <w:rPr>
                <w:rFonts w:hint="eastAsia" w:ascii="仿宋_GB2312" w:hAnsi="仿宋_GB2312" w:eastAsia="仿宋_GB2312" w:cs="仿宋_GB2312"/>
                <w:b w:val="0"/>
                <w:bCs w:val="0"/>
                <w:kern w:val="0"/>
                <w:sz w:val="24"/>
                <w:szCs w:val="24"/>
              </w:rPr>
              <w:t>二是</w:t>
            </w:r>
            <w:r>
              <w:rPr>
                <w:rFonts w:hint="eastAsia" w:ascii="仿宋_GB2312" w:hAnsi="仿宋_GB2312" w:eastAsia="仿宋_GB2312" w:cs="仿宋_GB2312"/>
                <w:b w:val="0"/>
                <w:kern w:val="0"/>
                <w:sz w:val="24"/>
                <w:szCs w:val="24"/>
              </w:rPr>
              <w:t>开展“特种设备集中整治行动”、“特种设备重大风险源摸底排查”、“特种设备隐患治理专项行动”、液化石油气瓶专项治理行动“强执法防事故”等专项检查行动。</w:t>
            </w:r>
            <w:r>
              <w:rPr>
                <w:rFonts w:hint="eastAsia" w:ascii="仿宋_GB2312" w:hAnsi="仿宋_GB2312" w:eastAsia="仿宋_GB2312" w:cs="仿宋_GB2312"/>
                <w:b w:val="0"/>
                <w:bCs w:val="0"/>
                <w:kern w:val="0"/>
                <w:sz w:val="24"/>
                <w:szCs w:val="24"/>
              </w:rPr>
              <w:t>三是</w:t>
            </w:r>
            <w:r>
              <w:rPr>
                <w:rFonts w:hint="eastAsia" w:ascii="仿宋_GB2312" w:hAnsi="仿宋_GB2312" w:eastAsia="仿宋_GB2312" w:cs="仿宋_GB2312"/>
                <w:b w:val="0"/>
                <w:kern w:val="0"/>
                <w:sz w:val="24"/>
                <w:szCs w:val="24"/>
              </w:rPr>
              <w:t>协助市特种设备检验院对县内在用的特种设备进行了定期检验。定检电梯</w:t>
            </w:r>
            <w:r>
              <w:rPr>
                <w:rFonts w:hint="eastAsia" w:ascii="仿宋_GB2312" w:hAnsi="仿宋_GB2312" w:eastAsia="仿宋_GB2312" w:cs="仿宋_GB2312"/>
                <w:b w:val="0"/>
                <w:kern w:val="0"/>
                <w:sz w:val="24"/>
                <w:szCs w:val="24"/>
                <w:lang w:val="en-US" w:eastAsia="zh-CN"/>
              </w:rPr>
              <w:t>209</w:t>
            </w:r>
            <w:r>
              <w:rPr>
                <w:rFonts w:hint="eastAsia" w:ascii="仿宋_GB2312" w:hAnsi="仿宋_GB2312" w:eastAsia="仿宋_GB2312" w:cs="仿宋_GB2312"/>
                <w:b w:val="0"/>
                <w:kern w:val="0"/>
                <w:sz w:val="24"/>
                <w:szCs w:val="24"/>
              </w:rPr>
              <w:t>台，起重机</w:t>
            </w:r>
            <w:r>
              <w:rPr>
                <w:rFonts w:hint="eastAsia" w:ascii="仿宋_GB2312" w:hAnsi="仿宋_GB2312" w:eastAsia="仿宋_GB2312" w:cs="仿宋_GB2312"/>
                <w:b w:val="0"/>
                <w:kern w:val="0"/>
                <w:sz w:val="24"/>
                <w:szCs w:val="24"/>
                <w:lang w:val="en-US" w:eastAsia="zh-CN"/>
              </w:rPr>
              <w:t>28</w:t>
            </w:r>
            <w:r>
              <w:rPr>
                <w:rFonts w:hint="eastAsia" w:ascii="仿宋_GB2312" w:hAnsi="仿宋_GB2312" w:eastAsia="仿宋_GB2312" w:cs="仿宋_GB2312"/>
                <w:b w:val="0"/>
                <w:kern w:val="0"/>
                <w:sz w:val="24"/>
                <w:szCs w:val="24"/>
              </w:rPr>
              <w:t>台，场内机动车辆1</w:t>
            </w:r>
            <w:r>
              <w:rPr>
                <w:rFonts w:hint="eastAsia" w:ascii="仿宋_GB2312" w:hAnsi="仿宋_GB2312" w:eastAsia="仿宋_GB2312" w:cs="仿宋_GB2312"/>
                <w:b w:val="0"/>
                <w:kern w:val="0"/>
                <w:sz w:val="24"/>
                <w:szCs w:val="24"/>
                <w:lang w:val="en-US" w:eastAsia="zh-CN"/>
              </w:rPr>
              <w:t>6</w:t>
            </w:r>
            <w:r>
              <w:rPr>
                <w:rFonts w:hint="eastAsia" w:ascii="仿宋_GB2312" w:hAnsi="仿宋_GB2312" w:eastAsia="仿宋_GB2312" w:cs="仿宋_GB2312"/>
                <w:b w:val="0"/>
                <w:kern w:val="0"/>
                <w:sz w:val="24"/>
                <w:szCs w:val="24"/>
              </w:rPr>
              <w:t>台，锅炉</w:t>
            </w:r>
            <w:r>
              <w:rPr>
                <w:rFonts w:hint="eastAsia" w:ascii="仿宋_GB2312" w:hAnsi="仿宋_GB2312" w:eastAsia="仿宋_GB2312" w:cs="仿宋_GB2312"/>
                <w:b w:val="0"/>
                <w:kern w:val="0"/>
                <w:sz w:val="24"/>
                <w:szCs w:val="24"/>
                <w:lang w:val="en-US" w:eastAsia="zh-CN"/>
              </w:rPr>
              <w:t>41</w:t>
            </w:r>
            <w:r>
              <w:rPr>
                <w:rFonts w:hint="eastAsia" w:ascii="仿宋_GB2312" w:hAnsi="仿宋_GB2312" w:eastAsia="仿宋_GB2312" w:cs="仿宋_GB2312"/>
                <w:b w:val="0"/>
                <w:kern w:val="0"/>
                <w:sz w:val="24"/>
                <w:szCs w:val="24"/>
              </w:rPr>
              <w:t>台，压力容器4</w:t>
            </w:r>
            <w:r>
              <w:rPr>
                <w:rFonts w:hint="eastAsia" w:ascii="仿宋_GB2312" w:hAnsi="仿宋_GB2312" w:eastAsia="仿宋_GB2312" w:cs="仿宋_GB2312"/>
                <w:b w:val="0"/>
                <w:kern w:val="0"/>
                <w:sz w:val="24"/>
                <w:szCs w:val="24"/>
                <w:lang w:val="en-US" w:eastAsia="zh-CN"/>
              </w:rPr>
              <w:t>5</w:t>
            </w:r>
            <w:r>
              <w:rPr>
                <w:rFonts w:hint="eastAsia" w:ascii="仿宋_GB2312" w:hAnsi="仿宋_GB2312" w:eastAsia="仿宋_GB2312" w:cs="仿宋_GB2312"/>
                <w:b w:val="0"/>
                <w:kern w:val="0"/>
                <w:sz w:val="24"/>
                <w:szCs w:val="24"/>
              </w:rPr>
              <w:t>台。</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4.大力拓宽消费维权领域，加大消保维权力度，维护良好消费环境</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color w:val="000000"/>
                <w:kern w:val="0"/>
                <w:sz w:val="24"/>
                <w:szCs w:val="24"/>
              </w:rPr>
            </w:pPr>
            <w:r>
              <w:rPr>
                <w:rFonts w:hint="eastAsia" w:ascii="仿宋_GB2312" w:hAnsi="仿宋_GB2312" w:eastAsia="仿宋_GB2312" w:cs="仿宋_GB2312"/>
                <w:b w:val="0"/>
                <w:kern w:val="0"/>
                <w:sz w:val="24"/>
                <w:szCs w:val="24"/>
              </w:rPr>
              <w:t>以“12315”消费者申诉举报中心为依托，对消费者的申诉举报，做到了事事有着落，件件有回音</w:t>
            </w:r>
            <w:r>
              <w:rPr>
                <w:rFonts w:hint="eastAsia" w:ascii="仿宋_GB2312" w:hAnsi="仿宋_GB2312" w:eastAsia="仿宋_GB2312" w:cs="仿宋_GB2312"/>
                <w:b w:val="0"/>
                <w:color w:val="000000"/>
                <w:kern w:val="0"/>
                <w:sz w:val="24"/>
                <w:szCs w:val="24"/>
              </w:rPr>
              <w:t>。2020年</w:t>
            </w:r>
            <w:r>
              <w:rPr>
                <w:rFonts w:hint="eastAsia" w:ascii="仿宋_GB2312" w:hAnsi="仿宋_GB2312" w:eastAsia="仿宋_GB2312" w:cs="仿宋_GB2312"/>
                <w:color w:val="000000"/>
                <w:sz w:val="24"/>
                <w:szCs w:val="24"/>
                <w:lang w:val="en-US" w:eastAsia="zh-CN"/>
              </w:rPr>
              <w:t>共受理投诉举报178起，其中全国12315平台128起，市长热线42起，来信来访8起，</w:t>
            </w:r>
            <w:r>
              <w:rPr>
                <w:rFonts w:hint="eastAsia" w:ascii="仿宋_GB2312" w:hAnsi="仿宋_GB2312" w:eastAsia="仿宋_GB2312" w:cs="仿宋_GB2312"/>
                <w:b w:val="0"/>
                <w:color w:val="000000"/>
                <w:kern w:val="0"/>
                <w:sz w:val="24"/>
                <w:szCs w:val="24"/>
              </w:rPr>
              <w:t>已全部办结。</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kern w:val="0"/>
                <w:sz w:val="24"/>
                <w:szCs w:val="24"/>
              </w:rPr>
              <w:t>组织开展“3·15”国际消费者权益保护日大型宣传咨询服务活动，加强消费教育引导和媒体宣传。利用新闻媒介采取多种形式，加大消费维权宣传力度，及时发布消费提示、消费警示。积极开展“红盾质量打假”、“流通领域电线电缆质量监督检查”、“流通领域电器产品专项整治”等一系列专项整治行动，进一步优化消费环境。加大12315“五进”建设力度，增加消费维权服务站覆盖率，规范消费维权服务站工作运行，完善消费环节经营者首问和赔偿先付制度，引导经营者依法履行消费维权的社会责任，提升维权站人员消费纠纷调处能力，努力把消费纠纷化解在基层、解决在源头。</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5.加大培训宣传。一是</w:t>
            </w:r>
            <w:r>
              <w:rPr>
                <w:rFonts w:hint="eastAsia" w:ascii="仿宋_GB2312" w:hAnsi="仿宋_GB2312" w:eastAsia="仿宋_GB2312" w:cs="仿宋_GB2312"/>
                <w:b w:val="0"/>
                <w:kern w:val="0"/>
                <w:sz w:val="24"/>
                <w:szCs w:val="24"/>
              </w:rPr>
              <w:t>认真贯彻落实“一法一条例”等法律法规要求，先后组织全县学校及幼儿园负责人100余人进行培训学习，其他从业人员通过湖南省食品安全教育平台进行培训和学习，</w:t>
            </w:r>
            <w:r>
              <w:rPr>
                <w:rFonts w:hint="eastAsia" w:ascii="仿宋_GB2312" w:hAnsi="仿宋_GB2312" w:eastAsia="仿宋_GB2312" w:cs="仿宋_GB2312"/>
                <w:b w:val="0"/>
                <w:kern w:val="0"/>
                <w:sz w:val="24"/>
                <w:szCs w:val="24"/>
                <w:lang w:val="en-US" w:eastAsia="zh-CN"/>
              </w:rPr>
              <w:t>2020年</w:t>
            </w:r>
            <w:r>
              <w:rPr>
                <w:rFonts w:hint="eastAsia" w:ascii="仿宋_GB2312" w:hAnsi="仿宋_GB2312" w:eastAsia="仿宋_GB2312" w:cs="仿宋_GB2312"/>
                <w:b w:val="0"/>
                <w:kern w:val="0"/>
                <w:sz w:val="24"/>
                <w:szCs w:val="24"/>
              </w:rPr>
              <w:t>共有</w:t>
            </w:r>
            <w:r>
              <w:rPr>
                <w:rFonts w:hint="eastAsia" w:ascii="仿宋_GB2312" w:hAnsi="仿宋_GB2312" w:eastAsia="仿宋_GB2312" w:cs="仿宋_GB2312"/>
                <w:b w:val="0"/>
                <w:kern w:val="0"/>
                <w:sz w:val="24"/>
                <w:szCs w:val="24"/>
                <w:lang w:val="en-US" w:eastAsia="zh-CN"/>
              </w:rPr>
              <w:t>160</w:t>
            </w:r>
            <w:r>
              <w:rPr>
                <w:rFonts w:hint="eastAsia" w:ascii="仿宋_GB2312" w:hAnsi="仿宋_GB2312" w:eastAsia="仿宋_GB2312" w:cs="仿宋_GB2312"/>
                <w:b w:val="0"/>
                <w:kern w:val="0"/>
                <w:sz w:val="24"/>
                <w:szCs w:val="24"/>
              </w:rPr>
              <w:t>余人参加培训学习并参加考试。</w:t>
            </w:r>
            <w:r>
              <w:rPr>
                <w:rFonts w:hint="eastAsia" w:ascii="仿宋_GB2312" w:hAnsi="仿宋_GB2312" w:eastAsia="仿宋_GB2312" w:cs="仿宋_GB2312"/>
                <w:b w:val="0"/>
                <w:bCs w:val="0"/>
                <w:kern w:val="0"/>
                <w:sz w:val="24"/>
                <w:szCs w:val="24"/>
              </w:rPr>
              <w:t>二是深入开展安全生产月、法制宣传周、食品药品安全宣传月、“5.20”世界计量日活动、“5.25爱肤日”药品科技活动周暨化妆品安全科普宣传周活动等宣传活动，通过提供免费咨询服务活动、张贴主题宣传画、加大对相关法律法规的宣传力度。共计发放宣传资料及相关手册3500份，开设宣传栏、展板16块，现场接受群众咨询240人次。</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6.全力推动高效监管，维护市场公平竞争环境。</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以维护市场秩序的和谐稳定为目标，强力整顿和规范市场经济秩序。开展价格监控及稳价保供工作。疫情期间加大对猪肉、蔬菜等农副产品价格监管力度，配合畜牧部门，引导步步高、佳慧、大润发等中大超市发挥主渠道作用，积极配合政府做好保供稳价工作，严厉打击疫情期间不正当价格行为。全面推进涉企收费治理工作。为进一步加强事中事后监管，制定《靖州县违规涉企收费治理工作方案》，开展涉企收费专项检查，暂未发现违规收费行为。加强民生领域收费监管。密切关注教育、医疗、交通等民生领域的收费热点问题，及时回应群众关切，开展节日期间专项价格监管。加强各类市场专项整治。开展了虚假违法广告专项整治、交通问题顽瘴痼疾专项检查、电取暖器专项检查、车辆检测站专项检查、消防产品专项检查、地理标志证明商标专项检查、电动车市场专项检查、电线电缆产品质量抽检等工作，及时纠正了部分违法行为。开展计量专项整治。开</w:t>
            </w:r>
            <w:r>
              <w:rPr>
                <w:rFonts w:hint="eastAsia" w:ascii="仿宋_GB2312" w:hAnsi="仿宋_GB2312" w:eastAsia="仿宋_GB2312" w:cs="仿宋_GB2312"/>
                <w:b w:val="0"/>
                <w:kern w:val="0"/>
                <w:sz w:val="24"/>
                <w:szCs w:val="24"/>
              </w:rPr>
              <w:t>展以集贸市场、商场超市、经销商贸衡器的个体门店为重点对象的计量专项整治工作，共检查固定及流动摊贩计量器具240余把，经销商贸衡器的商家10余家、市场门店121家，没收问题计量器具</w:t>
            </w:r>
            <w:r>
              <w:rPr>
                <w:rFonts w:hint="eastAsia" w:ascii="仿宋_GB2312" w:hAnsi="仿宋_GB2312" w:eastAsia="仿宋_GB2312" w:cs="仿宋_GB2312"/>
                <w:b w:val="0"/>
                <w:kern w:val="0"/>
                <w:sz w:val="24"/>
                <w:szCs w:val="24"/>
                <w:lang w:val="en-US" w:eastAsia="zh-CN"/>
              </w:rPr>
              <w:t>7</w:t>
            </w:r>
            <w:r>
              <w:rPr>
                <w:rFonts w:hint="eastAsia" w:ascii="仿宋_GB2312" w:hAnsi="仿宋_GB2312" w:eastAsia="仿宋_GB2312" w:cs="仿宋_GB2312"/>
                <w:b w:val="0"/>
                <w:kern w:val="0"/>
                <w:sz w:val="24"/>
                <w:szCs w:val="24"/>
              </w:rPr>
              <w:t>把（台），查处违法经营户24家。杨梅节期间，持续开展杨梅市场计量专项检查</w:t>
            </w:r>
            <w:r>
              <w:rPr>
                <w:rFonts w:hint="eastAsia" w:ascii="仿宋_GB2312" w:hAnsi="仿宋_GB2312" w:eastAsia="仿宋_GB2312" w:cs="仿宋_GB2312"/>
                <w:b w:val="0"/>
                <w:bCs w:val="0"/>
                <w:kern w:val="0"/>
                <w:sz w:val="24"/>
                <w:szCs w:val="24"/>
              </w:rPr>
              <w:t>，同时在市场中心设立公平秤，共检查商贩80余户，没收不合格秤5把。维护消费者的合法权益，保障了市场的公平交易。开展扫黑除恶专项斗争工作</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制定《靖州县市场监督管理局2020年扫黑除恶专项斗争市场流通领域专项整治工作方案》,共出动执法人员935人次，检查经营户1533户。摸排案件线索3条,移送公安线索1条。</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Chars="0" w:firstLine="480" w:firstLineChars="200"/>
              <w:jc w:val="left"/>
              <w:textAlignment w:val="auto"/>
              <w:outlineLvl w:val="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持续推进</w:t>
            </w:r>
            <w:r>
              <w:rPr>
                <w:rFonts w:hint="eastAsia" w:ascii="仿宋_GB2312" w:hAnsi="仿宋_GB2312" w:eastAsia="仿宋_GB2312" w:cs="仿宋_GB2312"/>
                <w:b w:val="0"/>
                <w:bCs w:val="0"/>
                <w:kern w:val="0"/>
                <w:sz w:val="24"/>
                <w:szCs w:val="24"/>
              </w:rPr>
              <w:t>市场监管领域疫情防控常态化工作。</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lang w:val="en-US" w:eastAsia="zh-CN"/>
              </w:rPr>
              <w:t>新型冠状病毒肺炎疫情发生以来，在县疫情防控指挥部正确领导下，我局高度重视，狠抓落实。成立专班，按职责职能进行全面分工，做到责任到人，任务到人。制定严格的管控措施，</w:t>
            </w:r>
            <w:r>
              <w:rPr>
                <w:rFonts w:hint="eastAsia" w:ascii="仿宋_GB2312" w:hAnsi="仿宋_GB2312" w:eastAsia="仿宋_GB2312" w:cs="仿宋_GB2312"/>
                <w:b w:val="0"/>
                <w:kern w:val="0"/>
                <w:sz w:val="24"/>
                <w:szCs w:val="24"/>
              </w:rPr>
              <w:t>认真落实“六稳”“六保”工作任务要求，</w:t>
            </w:r>
            <w:r>
              <w:rPr>
                <w:rFonts w:hint="eastAsia" w:ascii="仿宋_GB2312" w:hAnsi="仿宋_GB2312" w:eastAsia="仿宋_GB2312" w:cs="仿宋_GB2312"/>
                <w:b w:val="0"/>
                <w:kern w:val="0"/>
                <w:sz w:val="24"/>
                <w:szCs w:val="24"/>
                <w:lang w:val="en-US" w:eastAsia="zh-CN"/>
              </w:rPr>
              <w:t>做到疫情防控和复工复业两手抓。</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color w:val="000000"/>
                <w:kern w:val="0"/>
                <w:sz w:val="24"/>
                <w:szCs w:val="24"/>
              </w:rPr>
            </w:pPr>
            <w:r>
              <w:rPr>
                <w:rFonts w:hint="eastAsia" w:ascii="仿宋_GB2312" w:hAnsi="仿宋_GB2312" w:eastAsia="仿宋_GB2312" w:cs="仿宋_GB2312"/>
                <w:b w:val="0"/>
                <w:color w:val="000000"/>
                <w:kern w:val="0"/>
                <w:sz w:val="24"/>
                <w:szCs w:val="24"/>
              </w:rPr>
              <w:t>2020年，全局共立案</w:t>
            </w:r>
            <w:r>
              <w:rPr>
                <w:rFonts w:hint="eastAsia" w:ascii="仿宋_GB2312" w:hAnsi="仿宋_GB2312" w:eastAsia="仿宋_GB2312" w:cs="仿宋_GB2312"/>
                <w:b w:val="0"/>
                <w:color w:val="000000"/>
                <w:kern w:val="0"/>
                <w:sz w:val="24"/>
                <w:szCs w:val="24"/>
                <w:lang w:val="en-US" w:eastAsia="zh-CN"/>
              </w:rPr>
              <w:t>60</w:t>
            </w:r>
            <w:r>
              <w:rPr>
                <w:rFonts w:hint="eastAsia" w:ascii="仿宋_GB2312" w:hAnsi="仿宋_GB2312" w:eastAsia="仿宋_GB2312" w:cs="仿宋_GB2312"/>
                <w:b w:val="0"/>
                <w:color w:val="000000"/>
                <w:kern w:val="0"/>
                <w:sz w:val="24"/>
                <w:szCs w:val="24"/>
              </w:rPr>
              <w:t>起。已核审</w:t>
            </w:r>
            <w:r>
              <w:rPr>
                <w:rFonts w:hint="eastAsia" w:ascii="仿宋_GB2312" w:hAnsi="仿宋_GB2312" w:eastAsia="仿宋_GB2312" w:cs="仿宋_GB2312"/>
                <w:b w:val="0"/>
                <w:color w:val="000000"/>
                <w:kern w:val="0"/>
                <w:sz w:val="24"/>
                <w:szCs w:val="24"/>
                <w:lang w:val="en-US" w:eastAsia="zh-CN"/>
              </w:rPr>
              <w:t>60</w:t>
            </w:r>
            <w:r>
              <w:rPr>
                <w:rFonts w:hint="eastAsia" w:ascii="仿宋_GB2312" w:hAnsi="仿宋_GB2312" w:eastAsia="仿宋_GB2312" w:cs="仿宋_GB2312"/>
                <w:b w:val="0"/>
                <w:color w:val="000000"/>
                <w:kern w:val="0"/>
                <w:sz w:val="24"/>
                <w:szCs w:val="24"/>
              </w:rPr>
              <w:t>起,结案</w:t>
            </w:r>
            <w:r>
              <w:rPr>
                <w:rFonts w:hint="eastAsia" w:ascii="仿宋_GB2312" w:hAnsi="仿宋_GB2312" w:eastAsia="仿宋_GB2312" w:cs="仿宋_GB2312"/>
                <w:b w:val="0"/>
                <w:color w:val="000000"/>
                <w:kern w:val="0"/>
                <w:sz w:val="24"/>
                <w:szCs w:val="24"/>
                <w:lang w:val="en-US" w:eastAsia="zh-CN"/>
              </w:rPr>
              <w:t>60</w:t>
            </w:r>
            <w:r>
              <w:rPr>
                <w:rFonts w:hint="eastAsia" w:ascii="仿宋_GB2312" w:hAnsi="仿宋_GB2312" w:eastAsia="仿宋_GB2312" w:cs="仿宋_GB2312"/>
                <w:b w:val="0"/>
                <w:color w:val="000000"/>
                <w:kern w:val="0"/>
                <w:sz w:val="24"/>
                <w:szCs w:val="24"/>
              </w:rPr>
              <w:t>起，罚款金额</w:t>
            </w:r>
            <w:r>
              <w:rPr>
                <w:rFonts w:hint="eastAsia" w:ascii="仿宋_GB2312" w:hAnsi="仿宋_GB2312" w:eastAsia="仿宋_GB2312" w:cs="仿宋_GB2312"/>
                <w:b w:val="0"/>
                <w:color w:val="000000"/>
                <w:kern w:val="0"/>
                <w:sz w:val="24"/>
                <w:szCs w:val="24"/>
                <w:lang w:val="en-US" w:eastAsia="zh-CN"/>
              </w:rPr>
              <w:t>1580701.16</w:t>
            </w:r>
            <w:r>
              <w:rPr>
                <w:rFonts w:hint="eastAsia" w:ascii="仿宋_GB2312" w:hAnsi="仿宋_GB2312" w:eastAsia="仿宋_GB2312" w:cs="仿宋_GB2312"/>
                <w:b w:val="0"/>
                <w:color w:val="000000"/>
                <w:kern w:val="0"/>
                <w:sz w:val="24"/>
                <w:szCs w:val="24"/>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仿宋_GB2312" w:hAnsi="仿宋_GB2312" w:eastAsia="仿宋_GB2312" w:cs="仿宋_GB2312"/>
                <w:b w:val="0"/>
                <w:bCs/>
                <w:color w:val="000000"/>
                <w:sz w:val="24"/>
                <w:szCs w:val="24"/>
                <w:shd w:val="clear" w:color="auto" w:fill="FFFFFF"/>
              </w:rPr>
            </w:pPr>
            <w:r>
              <w:rPr>
                <w:rFonts w:hint="eastAsia" w:ascii="仿宋_GB2312" w:hAnsi="仿宋_GB2312" w:eastAsia="仿宋_GB2312" w:cs="仿宋_GB2312"/>
                <w:b w:val="0"/>
                <w:bCs/>
                <w:color w:val="000000"/>
                <w:sz w:val="24"/>
                <w:szCs w:val="24"/>
                <w:shd w:val="clear" w:color="auto" w:fill="FFFFFF"/>
              </w:rPr>
              <w:t>（三）强化质量提升意识，当好高质量发展的推动者</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 w:val="0"/>
                <w:bCs/>
                <w:kern w:val="0"/>
                <w:sz w:val="24"/>
                <w:szCs w:val="24"/>
              </w:rPr>
              <w:t>1.加强知识产权帮扶。围绕“知识产权与健康中国”活动主题开展知识产权宣传周活动，开设宣传咨询服务台，宣传知识产权相关法律法规；组织知识产权工作人员及企业参加网络“中国知识产权远程</w:t>
            </w:r>
            <w:r>
              <w:rPr>
                <w:rFonts w:hint="eastAsia" w:ascii="仿宋_GB2312" w:hAnsi="仿宋_GB2312" w:eastAsia="仿宋_GB2312" w:cs="仿宋_GB2312"/>
                <w:b w:val="0"/>
                <w:kern w:val="0"/>
                <w:sz w:val="24"/>
                <w:szCs w:val="24"/>
              </w:rPr>
              <w:t>教育平台”及国家知识产权培训基地横琴国际知识产权交易中心“微开讲”平台学习；积极帮扶靖州茯苓协会、靖州杨梅协会、靖州山核桃协会等获得地理标志注册商标的商标持有人和具有一定知识产权成果的公司申报2020年度湖南省知识产权战略实施专项项目。</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2.加大专利奖补。</w:t>
            </w:r>
            <w:r>
              <w:rPr>
                <w:rFonts w:hint="eastAsia" w:ascii="仿宋_GB2312" w:hAnsi="仿宋_GB2312" w:eastAsia="仿宋_GB2312" w:cs="仿宋_GB2312"/>
                <w:b w:val="0"/>
                <w:bCs w:val="0"/>
                <w:color w:val="000000"/>
                <w:sz w:val="24"/>
                <w:szCs w:val="24"/>
                <w:shd w:val="clear" w:color="auto" w:fill="FFFFFF"/>
              </w:rPr>
              <w:t>加强专利申请指导帮扶力度，积极推进知识产权质押融资工作，</w:t>
            </w:r>
            <w:r>
              <w:rPr>
                <w:rFonts w:hint="eastAsia" w:ascii="仿宋_GB2312" w:hAnsi="仿宋_GB2312" w:eastAsia="仿宋_GB2312" w:cs="仿宋_GB2312"/>
                <w:b w:val="0"/>
                <w:bCs w:val="0"/>
                <w:color w:val="000000"/>
                <w:sz w:val="24"/>
                <w:szCs w:val="24"/>
                <w:shd w:val="clear" w:color="auto" w:fill="FFFFFF"/>
                <w:lang w:val="en-US" w:eastAsia="zh-CN"/>
              </w:rPr>
              <w:t>2020年</w:t>
            </w:r>
            <w:r>
              <w:rPr>
                <w:rFonts w:hint="eastAsia" w:ascii="仿宋_GB2312" w:hAnsi="仿宋_GB2312" w:eastAsia="仿宋_GB2312" w:cs="仿宋_GB2312"/>
                <w:b w:val="0"/>
                <w:bCs w:val="0"/>
                <w:color w:val="000000"/>
                <w:sz w:val="24"/>
                <w:szCs w:val="24"/>
                <w:shd w:val="clear" w:color="auto" w:fill="FFFFFF"/>
              </w:rPr>
              <w:t>专利申请量为</w:t>
            </w:r>
            <w:r>
              <w:rPr>
                <w:rFonts w:hint="eastAsia" w:ascii="仿宋_GB2312" w:hAnsi="仿宋_GB2312" w:eastAsia="仿宋_GB2312" w:cs="仿宋_GB2312"/>
                <w:b w:val="0"/>
                <w:bCs w:val="0"/>
                <w:color w:val="000000"/>
                <w:sz w:val="24"/>
                <w:szCs w:val="24"/>
                <w:shd w:val="clear" w:color="auto" w:fill="FFFFFF"/>
                <w:lang w:val="en-US" w:eastAsia="zh-CN"/>
              </w:rPr>
              <w:t>206</w:t>
            </w:r>
            <w:r>
              <w:rPr>
                <w:rFonts w:hint="eastAsia" w:ascii="仿宋_GB2312" w:hAnsi="仿宋_GB2312" w:eastAsia="仿宋_GB2312" w:cs="仿宋_GB2312"/>
                <w:b w:val="0"/>
                <w:bCs w:val="0"/>
                <w:color w:val="000000"/>
                <w:sz w:val="24"/>
                <w:szCs w:val="24"/>
                <w:shd w:val="clear" w:color="auto" w:fill="FFFFFF"/>
              </w:rPr>
              <w:t>件。</w:t>
            </w:r>
            <w:r>
              <w:rPr>
                <w:rFonts w:hint="eastAsia" w:ascii="仿宋_GB2312" w:hAnsi="仿宋_GB2312" w:eastAsia="仿宋_GB2312" w:cs="仿宋_GB2312"/>
                <w:b w:val="0"/>
                <w:bCs w:val="0"/>
                <w:kern w:val="0"/>
                <w:sz w:val="24"/>
                <w:szCs w:val="24"/>
              </w:rPr>
              <w:t>组织辖区内企业参加2020年湖南省专利奖申报、评选、2020年中小学知识产权教育试点示范学校申报、评选、湖南省知识产权综合服务分中心的申报等工作，帮助湖南补天药业有限公司、靖州县惠能耐火材料有限公司及获得2019年专利质押融资的企业申请专利融资评估费补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80" w:firstLineChars="200"/>
              <w:jc w:val="left"/>
              <w:textAlignment w:val="auto"/>
              <w:outlineLvl w:val="9"/>
              <w:rPr>
                <w:rFonts w:hint="eastAsia" w:ascii="仿宋_GB2312" w:hAnsi="仿宋_GB2312" w:eastAsia="仿宋_GB2312" w:cs="仿宋_GB2312"/>
                <w:b w:val="0"/>
                <w:color w:val="C00000"/>
                <w:kern w:val="0"/>
                <w:sz w:val="24"/>
                <w:szCs w:val="24"/>
              </w:rPr>
            </w:pPr>
            <w:r>
              <w:rPr>
                <w:rFonts w:hint="eastAsia" w:ascii="仿宋_GB2312" w:hAnsi="仿宋_GB2312" w:eastAsia="仿宋_GB2312" w:cs="仿宋_GB2312"/>
                <w:b w:val="0"/>
                <w:bCs w:val="0"/>
                <w:color w:val="000000"/>
                <w:sz w:val="24"/>
                <w:szCs w:val="24"/>
                <w:lang w:val="en-US" w:eastAsia="zh-CN"/>
              </w:rPr>
              <w:t>3.</w:t>
            </w:r>
            <w:r>
              <w:rPr>
                <w:rFonts w:hint="eastAsia" w:ascii="仿宋_GB2312" w:hAnsi="仿宋_GB2312" w:eastAsia="仿宋_GB2312" w:cs="仿宋_GB2312"/>
                <w:b w:val="0"/>
                <w:bCs w:val="0"/>
                <w:color w:val="000000"/>
                <w:sz w:val="24"/>
                <w:szCs w:val="24"/>
              </w:rPr>
              <w:t>加强商标帮扶。依托杨梅、茯苓、山核桃及本土特色品牌为载体，引导我县企业争创各级商标、名牌、质量奖，获得15件省著名商标</w:t>
            </w:r>
            <w:r>
              <w:rPr>
                <w:rFonts w:hint="eastAsia" w:ascii="仿宋_GB2312" w:hAnsi="仿宋_GB2312" w:eastAsia="仿宋_GB2312" w:cs="仿宋_GB2312"/>
                <w:b w:val="0"/>
                <w:bCs w:val="0"/>
                <w:color w:val="000000"/>
                <w:sz w:val="24"/>
                <w:szCs w:val="24"/>
                <w:lang w:eastAsia="zh-CN"/>
              </w:rPr>
              <w:t>。</w:t>
            </w:r>
            <w:r>
              <w:rPr>
                <w:rFonts w:hint="eastAsia" w:ascii="仿宋_GB2312" w:hAnsi="仿宋_GB2312" w:eastAsia="仿宋_GB2312" w:cs="仿宋_GB2312"/>
                <w:b w:val="0"/>
                <w:bCs w:val="0"/>
                <w:color w:val="000000"/>
                <w:sz w:val="24"/>
                <w:szCs w:val="24"/>
              </w:rPr>
              <w:t>充分发挥“靖州”字号效应，加大商标品牌创新力</w:t>
            </w:r>
            <w:r>
              <w:rPr>
                <w:rFonts w:hint="eastAsia" w:ascii="仿宋_GB2312" w:hAnsi="仿宋_GB2312" w:eastAsia="仿宋_GB2312" w:cs="仿宋_GB2312"/>
                <w:color w:val="000000"/>
                <w:sz w:val="24"/>
                <w:szCs w:val="24"/>
              </w:rPr>
              <w:t>度，培育和发展一批科技含量高、附加值高、市场前景好的商标品牌。主动衔接商标代理机构，签订地理标志证明商标合作协议，对我县的“靖州杨梅酒”、“靖州雕花蜜饯”等九个优势产品进行申报，大力发展我县农村经济，助力精准扶贫。目前已有“靖州杨梅酒”、“靖州雕花蜜饯”等三个商标被国家知识产权局受理，进入了实质审核阶段。</w:t>
            </w:r>
            <w:r>
              <w:rPr>
                <w:rFonts w:hint="eastAsia" w:ascii="仿宋_GB2312" w:hAnsi="仿宋_GB2312" w:eastAsia="仿宋_GB2312" w:cs="仿宋_GB2312"/>
                <w:color w:val="000000"/>
                <w:sz w:val="24"/>
                <w:szCs w:val="24"/>
                <w:highlight w:val="none"/>
                <w:lang w:eastAsia="zh-CN"/>
              </w:rPr>
              <w:t>截至目前</w:t>
            </w:r>
            <w:r>
              <w:rPr>
                <w:rFonts w:hint="eastAsia" w:ascii="仿宋_GB2312" w:hAnsi="仿宋_GB2312" w:eastAsia="仿宋_GB2312" w:cs="仿宋_GB2312"/>
                <w:color w:val="000000"/>
                <w:sz w:val="24"/>
                <w:szCs w:val="24"/>
              </w:rPr>
              <w:t>，全县有效商标注册数为</w:t>
            </w:r>
            <w:r>
              <w:rPr>
                <w:rFonts w:hint="eastAsia" w:ascii="仿宋_GB2312" w:hAnsi="仿宋_GB2312" w:eastAsia="仿宋_GB2312" w:cs="仿宋_GB2312"/>
                <w:color w:val="000000"/>
                <w:sz w:val="24"/>
                <w:szCs w:val="24"/>
                <w:lang w:val="en-US" w:eastAsia="zh-CN"/>
              </w:rPr>
              <w:t>1279</w:t>
            </w:r>
            <w:r>
              <w:rPr>
                <w:rFonts w:hint="eastAsia" w:ascii="仿宋_GB2312" w:hAnsi="仿宋_GB2312" w:eastAsia="仿宋_GB2312" w:cs="仿宋_GB2312"/>
                <w:color w:val="000000"/>
                <w:sz w:val="24"/>
                <w:szCs w:val="24"/>
              </w:rPr>
              <w:t>件，其中地理标志证明商标3件。</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480" w:firstLineChars="200"/>
              <w:jc w:val="left"/>
              <w:textAlignment w:val="auto"/>
              <w:outlineLvl w:val="9"/>
              <w:rPr>
                <w:rFonts w:hint="eastAsia" w:ascii="仿宋_GB2312" w:hAnsi="仿宋_GB2312" w:eastAsia="仿宋_GB2312" w:cs="仿宋_GB2312"/>
                <w:color w:val="000000"/>
                <w:sz w:val="24"/>
              </w:rPr>
            </w:pP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rPr>
              <w:t>.抓实产品抽检。</w:t>
            </w:r>
            <w:r>
              <w:rPr>
                <w:rFonts w:hint="eastAsia" w:ascii="仿宋_GB2312" w:hAnsi="仿宋_GB2312" w:eastAsia="仿宋_GB2312" w:cs="仿宋_GB2312"/>
                <w:b w:val="0"/>
                <w:bCs w:val="0"/>
                <w:color w:val="000000"/>
                <w:sz w:val="24"/>
                <w:szCs w:val="24"/>
                <w:lang w:eastAsia="zh-CN"/>
              </w:rPr>
              <w:t>全年</w:t>
            </w:r>
            <w:r>
              <w:rPr>
                <w:rFonts w:hint="eastAsia" w:ascii="仿宋_GB2312" w:hAnsi="仿宋_GB2312" w:eastAsia="仿宋_GB2312" w:cs="仿宋_GB2312"/>
                <w:b w:val="0"/>
                <w:bCs w:val="0"/>
                <w:color w:val="000000"/>
                <w:sz w:val="24"/>
                <w:szCs w:val="24"/>
              </w:rPr>
              <w:t>共抽</w:t>
            </w:r>
            <w:r>
              <w:rPr>
                <w:rFonts w:hint="eastAsia" w:ascii="仿宋_GB2312" w:hAnsi="仿宋_GB2312" w:eastAsia="仿宋_GB2312" w:cs="仿宋_GB2312"/>
                <w:color w:val="000000"/>
                <w:sz w:val="24"/>
                <w:szCs w:val="24"/>
              </w:rPr>
              <w:t>检食用农产品</w:t>
            </w:r>
            <w:r>
              <w:rPr>
                <w:rFonts w:hint="eastAsia" w:ascii="仿宋_GB2312" w:hAnsi="仿宋_GB2312" w:eastAsia="仿宋_GB2312" w:cs="仿宋_GB2312"/>
                <w:color w:val="000000"/>
                <w:sz w:val="24"/>
                <w:szCs w:val="24"/>
                <w:lang w:val="en-US" w:eastAsia="zh-CN"/>
              </w:rPr>
              <w:t>660</w:t>
            </w:r>
            <w:r>
              <w:rPr>
                <w:rFonts w:hint="eastAsia" w:ascii="仿宋_GB2312" w:hAnsi="仿宋_GB2312" w:eastAsia="仿宋_GB2312" w:cs="仿宋_GB2312"/>
                <w:color w:val="000000"/>
                <w:sz w:val="24"/>
                <w:szCs w:val="24"/>
              </w:rPr>
              <w:t>批次，合格</w:t>
            </w:r>
            <w:r>
              <w:rPr>
                <w:rFonts w:hint="eastAsia" w:ascii="仿宋_GB2312" w:hAnsi="仿宋_GB2312" w:eastAsia="仿宋_GB2312" w:cs="仿宋_GB2312"/>
                <w:color w:val="000000"/>
                <w:sz w:val="24"/>
                <w:szCs w:val="24"/>
                <w:lang w:val="en-US" w:eastAsia="zh-CN"/>
              </w:rPr>
              <w:t>648</w:t>
            </w:r>
            <w:r>
              <w:rPr>
                <w:rFonts w:hint="eastAsia" w:ascii="仿宋_GB2312" w:hAnsi="仿宋_GB2312" w:eastAsia="仿宋_GB2312" w:cs="仿宋_GB2312"/>
                <w:color w:val="000000"/>
                <w:sz w:val="24"/>
                <w:szCs w:val="24"/>
              </w:rPr>
              <w:t>批次，合格率98.</w:t>
            </w:r>
            <w:r>
              <w:rPr>
                <w:rFonts w:hint="eastAsia" w:ascii="仿宋_GB2312" w:hAnsi="仿宋_GB2312" w:eastAsia="仿宋_GB2312" w:cs="仿宋_GB2312"/>
                <w:color w:val="000000"/>
                <w:sz w:val="24"/>
                <w:szCs w:val="24"/>
                <w:lang w:val="en-US" w:eastAsia="zh-CN"/>
              </w:rPr>
              <w:t>2</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（预计）</w:t>
            </w:r>
            <w:r>
              <w:rPr>
                <w:rFonts w:hint="eastAsia" w:ascii="仿宋_GB2312" w:hAnsi="仿宋_GB2312" w:eastAsia="仿宋_GB2312" w:cs="仿宋_GB2312"/>
                <w:color w:val="000000"/>
                <w:sz w:val="24"/>
                <w:szCs w:val="24"/>
              </w:rPr>
              <w:t>。开展食品生产领域监督抽检，抽检食品</w:t>
            </w:r>
            <w:r>
              <w:rPr>
                <w:rFonts w:hint="eastAsia" w:ascii="仿宋_GB2312" w:hAnsi="仿宋_GB2312" w:eastAsia="仿宋_GB2312" w:cs="仿宋_GB2312"/>
                <w:color w:val="000000"/>
                <w:sz w:val="24"/>
                <w:szCs w:val="24"/>
                <w:lang w:val="en-US" w:eastAsia="zh-CN"/>
              </w:rPr>
              <w:t>95</w:t>
            </w:r>
            <w:r>
              <w:rPr>
                <w:rFonts w:hint="eastAsia" w:ascii="仿宋_GB2312" w:hAnsi="仿宋_GB2312" w:eastAsia="仿宋_GB2312" w:cs="仿宋_GB2312"/>
                <w:color w:val="000000"/>
                <w:sz w:val="24"/>
                <w:szCs w:val="24"/>
              </w:rPr>
              <w:t>批次，合格</w:t>
            </w:r>
            <w:r>
              <w:rPr>
                <w:rFonts w:hint="eastAsia" w:ascii="仿宋_GB2312" w:hAnsi="仿宋_GB2312" w:eastAsia="仿宋_GB2312" w:cs="仿宋_GB2312"/>
                <w:color w:val="000000"/>
                <w:sz w:val="24"/>
                <w:szCs w:val="24"/>
                <w:lang w:val="en-US" w:eastAsia="zh-CN"/>
              </w:rPr>
              <w:t>93</w:t>
            </w:r>
            <w:r>
              <w:rPr>
                <w:rFonts w:hint="eastAsia" w:ascii="仿宋_GB2312" w:hAnsi="仿宋_GB2312" w:eastAsia="仿宋_GB2312" w:cs="仿宋_GB2312"/>
                <w:color w:val="000000"/>
                <w:sz w:val="24"/>
                <w:szCs w:val="24"/>
              </w:rPr>
              <w:t>批次，合格率</w:t>
            </w:r>
            <w:r>
              <w:rPr>
                <w:rFonts w:hint="eastAsia" w:ascii="仿宋_GB2312" w:hAnsi="仿宋_GB2312" w:eastAsia="仿宋_GB2312" w:cs="仿宋_GB2312"/>
                <w:color w:val="000000"/>
                <w:sz w:val="24"/>
                <w:szCs w:val="24"/>
                <w:lang w:val="en-US" w:eastAsia="zh-CN"/>
              </w:rPr>
              <w:t>97.8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（预计），立案</w:t>
            </w:r>
            <w:r>
              <w:rPr>
                <w:rFonts w:hint="eastAsia" w:ascii="仿宋_GB2312" w:hAnsi="仿宋_GB2312" w:eastAsia="仿宋_GB2312" w:cs="仿宋_GB2312"/>
                <w:color w:val="000000"/>
                <w:sz w:val="24"/>
                <w:szCs w:val="24"/>
                <w:lang w:val="en-US" w:eastAsia="zh-CN"/>
              </w:rPr>
              <w:t>9起，罚没11.66万元</w:t>
            </w:r>
            <w:r>
              <w:rPr>
                <w:rFonts w:hint="eastAsia" w:ascii="仿宋_GB2312" w:hAnsi="仿宋_GB2312" w:eastAsia="仿宋_GB2312" w:cs="仿宋_GB2312"/>
                <w:color w:val="000000"/>
                <w:sz w:val="24"/>
                <w:szCs w:val="24"/>
              </w:rPr>
              <w:t>。对加油机、衡器、压力表、水表等计量器具进行了强检，共计委托检验146批次，检定各类计量器具900台件。配合中小学开学水质检测</w:t>
            </w:r>
            <w:r>
              <w:rPr>
                <w:rFonts w:hint="eastAsia" w:ascii="仿宋_GB2312" w:hAnsi="仿宋_GB2312" w:eastAsia="仿宋_GB2312" w:cs="仿宋_GB2312"/>
                <w:b w:val="0"/>
                <w:kern w:val="0"/>
                <w:sz w:val="24"/>
                <w:szCs w:val="24"/>
              </w:rPr>
              <w:t>，重大活动大型餐饮、学校食材配送企业等快速检测等共快检60多批次。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9697" w:type="dxa"/>
            <w:gridSpan w:val="22"/>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9697" w:type="dxa"/>
            <w:gridSpan w:val="2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40" w:type="dxa"/>
            <w:gridSpan w:val="18"/>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Merge w:val="continue"/>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72"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133"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54"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648"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82" w:hRule="atLeast"/>
        </w:trPr>
        <w:tc>
          <w:tcPr>
            <w:tcW w:w="1392"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265" w:type="dxa"/>
            <w:gridSpan w:val="3"/>
            <w:tcBorders>
              <w:right w:val="single" w:color="auto" w:sz="4" w:space="0"/>
            </w:tcBorders>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2031.68</w:t>
            </w:r>
          </w:p>
        </w:tc>
        <w:tc>
          <w:tcPr>
            <w:tcW w:w="1333" w:type="dxa"/>
            <w:gridSpan w:val="2"/>
            <w:tcBorders>
              <w:left w:val="single" w:color="auto" w:sz="4" w:space="0"/>
            </w:tcBorders>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71.92</w:t>
            </w:r>
          </w:p>
        </w:tc>
        <w:tc>
          <w:tcPr>
            <w:tcW w:w="1072" w:type="dxa"/>
            <w:gridSpan w:val="2"/>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1959.76</w:t>
            </w:r>
          </w:p>
        </w:tc>
        <w:tc>
          <w:tcPr>
            <w:tcW w:w="1133"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54"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648"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2031.68</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71.92</w:t>
            </w:r>
          </w:p>
        </w:tc>
        <w:tc>
          <w:tcPr>
            <w:tcW w:w="1072"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1959.76</w:t>
            </w:r>
          </w:p>
        </w:tc>
        <w:tc>
          <w:tcPr>
            <w:tcW w:w="1133"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854"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648"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0</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2"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133"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54"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648"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392" w:type="dxa"/>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2"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133"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54"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648" w:type="dxa"/>
            <w:gridSpan w:val="4"/>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9697" w:type="dxa"/>
            <w:gridSpan w:val="2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restart"/>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15" w:type="dxa"/>
            <w:gridSpan w:val="15"/>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25" w:type="dxa"/>
            <w:gridSpan w:val="3"/>
            <w:tcBorders>
              <w:left w:val="single" w:color="auto" w:sz="4" w:space="0"/>
              <w:bottom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continue"/>
            <w:vAlign w:val="center"/>
          </w:tcPr>
          <w:p>
            <w:pPr>
              <w:spacing w:line="400" w:lineRule="exact"/>
              <w:jc w:val="center"/>
              <w:rPr>
                <w:rFonts w:hint="eastAsia" w:ascii="仿宋_GB2312" w:hAnsi="仿宋_GB2312" w:eastAsia="仿宋_GB2312" w:cs="仿宋_GB2312"/>
                <w:sz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vMerge w:val="restart"/>
            <w:tcBorders>
              <w:top w:val="single" w:color="auto" w:sz="4" w:space="0"/>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32" w:type="dxa"/>
            <w:gridSpan w:val="9"/>
            <w:tcBorders>
              <w:top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50" w:type="dxa"/>
            <w:gridSpan w:val="4"/>
            <w:vMerge w:val="restart"/>
            <w:tcBorders>
              <w:top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35" w:type="dxa"/>
            <w:gridSpan w:val="2"/>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90" w:type="dxa"/>
            <w:vMerge w:val="restart"/>
            <w:tcBorders>
              <w:top w:val="single" w:color="auto" w:sz="4" w:space="0"/>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continue"/>
            <w:vAlign w:val="center"/>
          </w:tcPr>
          <w:p>
            <w:pPr>
              <w:spacing w:line="400" w:lineRule="exact"/>
              <w:jc w:val="center"/>
              <w:rPr>
                <w:rFonts w:hint="eastAsia" w:ascii="仿宋_GB2312" w:hAnsi="仿宋_GB2312" w:eastAsia="仿宋_GB2312" w:cs="仿宋_GB2312"/>
                <w:sz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vMerge w:val="continue"/>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48"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50" w:type="dxa"/>
            <w:gridSpan w:val="4"/>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35" w:type="dxa"/>
            <w:gridSpan w:val="2"/>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90" w:type="dxa"/>
            <w:vMerge w:val="continue"/>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3"/>
            <w:tcBorders>
              <w:right w:val="single" w:color="auto" w:sz="4" w:space="0"/>
            </w:tcBorders>
            <w:vAlign w:val="center"/>
          </w:tcPr>
          <w:p>
            <w:pPr>
              <w:autoSpaceDN w:val="0"/>
              <w:spacing w:line="40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1821.74</w:t>
            </w:r>
          </w:p>
        </w:tc>
        <w:tc>
          <w:tcPr>
            <w:tcW w:w="1333" w:type="dxa"/>
            <w:gridSpan w:val="2"/>
            <w:tcBorders>
              <w:left w:val="single" w:color="auto" w:sz="4" w:space="0"/>
            </w:tcBorders>
            <w:vAlign w:val="center"/>
          </w:tcPr>
          <w:p>
            <w:pPr>
              <w:autoSpaceDN w:val="0"/>
              <w:spacing w:line="40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1732.44</w:t>
            </w:r>
          </w:p>
        </w:tc>
        <w:tc>
          <w:tcPr>
            <w:tcW w:w="1484" w:type="dxa"/>
            <w:gridSpan w:val="3"/>
            <w:vAlign w:val="center"/>
          </w:tcPr>
          <w:p>
            <w:pPr>
              <w:autoSpaceDN w:val="0"/>
              <w:spacing w:line="40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1338.94</w:t>
            </w:r>
          </w:p>
        </w:tc>
        <w:tc>
          <w:tcPr>
            <w:tcW w:w="1648" w:type="dxa"/>
            <w:gridSpan w:val="6"/>
            <w:vAlign w:val="center"/>
          </w:tcPr>
          <w:p>
            <w:pPr>
              <w:autoSpaceDN w:val="0"/>
              <w:spacing w:line="40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393.50</w:t>
            </w:r>
          </w:p>
        </w:tc>
        <w:tc>
          <w:tcPr>
            <w:tcW w:w="1050" w:type="dxa"/>
            <w:gridSpan w:val="4"/>
            <w:vAlign w:val="center"/>
          </w:tcPr>
          <w:p>
            <w:pPr>
              <w:autoSpaceDN w:val="0"/>
              <w:spacing w:line="40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89.30</w:t>
            </w:r>
          </w:p>
        </w:tc>
        <w:tc>
          <w:tcPr>
            <w:tcW w:w="735" w:type="dxa"/>
            <w:gridSpan w:val="2"/>
            <w:tcBorders>
              <w:right w:val="single" w:color="auto" w:sz="4" w:space="0"/>
            </w:tcBorders>
            <w:vAlign w:val="center"/>
          </w:tcPr>
          <w:p>
            <w:pPr>
              <w:autoSpaceDN w:val="0"/>
              <w:spacing w:line="40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138.02</w:t>
            </w:r>
          </w:p>
        </w:tc>
        <w:tc>
          <w:tcPr>
            <w:tcW w:w="790" w:type="dxa"/>
            <w:tcBorders>
              <w:left w:val="single" w:color="auto" w:sz="4" w:space="0"/>
            </w:tcBorders>
            <w:vAlign w:val="center"/>
          </w:tcPr>
          <w:p>
            <w:pPr>
              <w:autoSpaceDN w:val="0"/>
              <w:spacing w:line="40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265" w:type="dxa"/>
            <w:gridSpan w:val="3"/>
            <w:tcBorders>
              <w:right w:val="single" w:color="auto" w:sz="4" w:space="0"/>
            </w:tcBorders>
            <w:vAlign w:val="center"/>
          </w:tcPr>
          <w:p>
            <w:pPr>
              <w:autoSpaceDN w:val="0"/>
              <w:spacing w:line="40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1821.74</w:t>
            </w:r>
          </w:p>
        </w:tc>
        <w:tc>
          <w:tcPr>
            <w:tcW w:w="1333" w:type="dxa"/>
            <w:gridSpan w:val="2"/>
            <w:tcBorders>
              <w:left w:val="single" w:color="auto" w:sz="4" w:space="0"/>
            </w:tcBorders>
            <w:vAlign w:val="center"/>
          </w:tcPr>
          <w:p>
            <w:pPr>
              <w:autoSpaceDN w:val="0"/>
              <w:spacing w:line="40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1732.44</w:t>
            </w:r>
          </w:p>
        </w:tc>
        <w:tc>
          <w:tcPr>
            <w:tcW w:w="1484" w:type="dxa"/>
            <w:gridSpan w:val="3"/>
            <w:vAlign w:val="center"/>
          </w:tcPr>
          <w:p>
            <w:pPr>
              <w:autoSpaceDN w:val="0"/>
              <w:spacing w:line="40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1338.94</w:t>
            </w:r>
          </w:p>
        </w:tc>
        <w:tc>
          <w:tcPr>
            <w:tcW w:w="1648" w:type="dxa"/>
            <w:gridSpan w:val="6"/>
            <w:vAlign w:val="center"/>
          </w:tcPr>
          <w:p>
            <w:pPr>
              <w:autoSpaceDN w:val="0"/>
              <w:spacing w:line="400" w:lineRule="exact"/>
              <w:jc w:val="both"/>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393.50</w:t>
            </w:r>
          </w:p>
        </w:tc>
        <w:tc>
          <w:tcPr>
            <w:tcW w:w="1050" w:type="dxa"/>
            <w:gridSpan w:val="4"/>
            <w:vAlign w:val="center"/>
          </w:tcPr>
          <w:p>
            <w:pPr>
              <w:autoSpaceDN w:val="0"/>
              <w:spacing w:line="40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89.30</w:t>
            </w:r>
          </w:p>
        </w:tc>
        <w:tc>
          <w:tcPr>
            <w:tcW w:w="735" w:type="dxa"/>
            <w:gridSpan w:val="2"/>
            <w:tcBorders>
              <w:right w:val="single" w:color="auto" w:sz="4" w:space="0"/>
            </w:tcBorders>
            <w:vAlign w:val="center"/>
          </w:tcPr>
          <w:p>
            <w:pPr>
              <w:autoSpaceDN w:val="0"/>
              <w:spacing w:line="40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138.02</w:t>
            </w:r>
          </w:p>
        </w:tc>
        <w:tc>
          <w:tcPr>
            <w:tcW w:w="790" w:type="dxa"/>
            <w:tcBorders>
              <w:left w:val="single" w:color="auto" w:sz="4" w:space="0"/>
            </w:tcBorders>
            <w:vAlign w:val="center"/>
          </w:tcPr>
          <w:p>
            <w:pPr>
              <w:autoSpaceDN w:val="0"/>
              <w:spacing w:line="40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0</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484"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648"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50"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73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790" w:type="dxa"/>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484"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648"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50" w:type="dxa"/>
            <w:gridSpan w:val="4"/>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735" w:type="dxa"/>
            <w:gridSpan w:val="2"/>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790" w:type="dxa"/>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40" w:type="dxa"/>
            <w:gridSpan w:val="18"/>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continue"/>
            <w:vAlign w:val="center"/>
          </w:tcPr>
          <w:p>
            <w:pPr>
              <w:spacing w:line="400" w:lineRule="exact"/>
              <w:jc w:val="center"/>
              <w:rPr>
                <w:rFonts w:hint="eastAsia" w:ascii="仿宋_GB2312" w:hAnsi="仿宋_GB2312" w:eastAsia="仿宋_GB2312" w:cs="仿宋_GB2312"/>
                <w:sz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751"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00"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15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3"/>
            <w:tcBorders>
              <w:right w:val="single" w:color="auto" w:sz="4" w:space="0"/>
            </w:tcBorders>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35.44</w:t>
            </w:r>
          </w:p>
        </w:tc>
        <w:tc>
          <w:tcPr>
            <w:tcW w:w="1333" w:type="dxa"/>
            <w:gridSpan w:val="2"/>
            <w:tcBorders>
              <w:left w:val="single" w:color="auto" w:sz="4" w:space="0"/>
            </w:tcBorders>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18.44</w:t>
            </w:r>
          </w:p>
        </w:tc>
        <w:tc>
          <w:tcPr>
            <w:tcW w:w="1751" w:type="dxa"/>
            <w:gridSpan w:val="5"/>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w:t>
            </w:r>
          </w:p>
        </w:tc>
        <w:tc>
          <w:tcPr>
            <w:tcW w:w="1800"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5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35.44</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18.44</w:t>
            </w:r>
          </w:p>
        </w:tc>
        <w:tc>
          <w:tcPr>
            <w:tcW w:w="1751"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17</w:t>
            </w:r>
          </w:p>
        </w:tc>
        <w:tc>
          <w:tcPr>
            <w:tcW w:w="1800"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5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0</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51"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800"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5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333" w:type="dxa"/>
            <w:gridSpan w:val="2"/>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51"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800"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5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3"/>
            <w:vMerge w:val="restart"/>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877" w:type="dxa"/>
            <w:gridSpan w:val="12"/>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63" w:type="dxa"/>
            <w:gridSpan w:val="6"/>
            <w:vMerge w:val="restart"/>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Merge w:val="continue"/>
            <w:vAlign w:val="center"/>
          </w:tcPr>
          <w:p>
            <w:pPr>
              <w:spacing w:line="400" w:lineRule="exact"/>
              <w:jc w:val="center"/>
              <w:rPr>
                <w:rFonts w:hint="eastAsia" w:ascii="仿宋_GB2312" w:hAnsi="仿宋_GB2312" w:eastAsia="仿宋_GB2312" w:cs="仿宋_GB2312"/>
                <w:sz w:val="24"/>
              </w:rPr>
            </w:pPr>
          </w:p>
        </w:tc>
        <w:tc>
          <w:tcPr>
            <w:tcW w:w="1265" w:type="dxa"/>
            <w:gridSpan w:val="3"/>
            <w:vMerge w:val="continue"/>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1793" w:type="dxa"/>
            <w:gridSpan w:val="5"/>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2163" w:type="dxa"/>
            <w:gridSpan w:val="6"/>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3"/>
            <w:tcBorders>
              <w:right w:val="single" w:color="auto" w:sz="4" w:space="0"/>
            </w:tcBorders>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1005.81</w:t>
            </w:r>
          </w:p>
        </w:tc>
        <w:tc>
          <w:tcPr>
            <w:tcW w:w="3084" w:type="dxa"/>
            <w:gridSpan w:val="7"/>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1005.81</w:t>
            </w:r>
          </w:p>
        </w:tc>
        <w:tc>
          <w:tcPr>
            <w:tcW w:w="1793"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3"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1005.81</w:t>
            </w:r>
          </w:p>
        </w:tc>
        <w:tc>
          <w:tcPr>
            <w:tcW w:w="3084" w:type="dxa"/>
            <w:gridSpan w:val="7"/>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1005.81</w:t>
            </w:r>
          </w:p>
        </w:tc>
        <w:tc>
          <w:tcPr>
            <w:tcW w:w="1793"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3"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0</w:t>
            </w:r>
          </w:p>
        </w:tc>
        <w:tc>
          <w:tcPr>
            <w:tcW w:w="3084" w:type="dxa"/>
            <w:gridSpan w:val="7"/>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93"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63"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trPr>
        <w:tc>
          <w:tcPr>
            <w:tcW w:w="1392" w:type="dxa"/>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3"/>
            <w:tcBorders>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3084" w:type="dxa"/>
            <w:gridSpan w:val="7"/>
            <w:tcBorders>
              <w:lef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793"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63"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9697" w:type="dxa"/>
            <w:gridSpan w:val="22"/>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441"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276" w:type="dxa"/>
            <w:gridSpan w:val="8"/>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980" w:type="dxa"/>
            <w:gridSpan w:val="1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670"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4276"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目标1：深化商事制度改革，优化营商环境</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目标2：坚持“四个最严”，确保市场安全</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目标3：强化质量提升意识，当好高质量发展的推动者</w:t>
            </w:r>
          </w:p>
        </w:tc>
        <w:tc>
          <w:tcPr>
            <w:tcW w:w="3980" w:type="dxa"/>
            <w:gridSpan w:val="12"/>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目标1：深化商事制度改革，优化营商环境</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目标2：坚持“四个最严”，确保市场安全</w:t>
            </w:r>
          </w:p>
          <w:p>
            <w:pPr>
              <w:keepNext w:val="0"/>
              <w:keepLines w:val="0"/>
              <w:pageBreakBefore w:val="0"/>
              <w:widowControl w:val="0"/>
              <w:kinsoku/>
              <w:wordWrap/>
              <w:overflowPunct/>
              <w:topLinePunct w:val="0"/>
              <w:autoSpaceDE/>
              <w:autoSpaceDN w:val="0"/>
              <w:bidi w:val="0"/>
              <w:adjustRightInd/>
              <w:snapToGrid/>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szCs w:val="24"/>
              </w:rPr>
              <w:t>目标3：强化质量提升意识，当好高质量发展的推动者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441"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c>
          <w:tcPr>
            <w:tcW w:w="2966"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7"/>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（部门工作实绩，根据部门实际进行调整细化）</w:t>
            </w:r>
          </w:p>
        </w:tc>
        <w:tc>
          <w:tcPr>
            <w:tcW w:w="1417"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办理个体工商营业执照、食品经营许可证、</w:t>
            </w:r>
            <w:r>
              <w:rPr>
                <w:rFonts w:hint="eastAsia" w:ascii="仿宋_GB2312" w:hAnsi="仿宋_GB2312" w:eastAsia="仿宋_GB2312" w:cs="仿宋_GB2312"/>
                <w:color w:val="000000"/>
                <w:sz w:val="24"/>
                <w:lang w:val="en-US" w:eastAsia="zh-CN"/>
              </w:rPr>
              <w:t>小餐饮许可证完成情况</w:t>
            </w:r>
          </w:p>
        </w:tc>
        <w:tc>
          <w:tcPr>
            <w:tcW w:w="2581" w:type="dxa"/>
            <w:gridSpan w:val="8"/>
            <w:vAlign w:val="center"/>
          </w:tcPr>
          <w:p>
            <w:pPr>
              <w:autoSpaceDN w:val="0"/>
              <w:spacing w:line="400" w:lineRule="exact"/>
              <w:jc w:val="left"/>
              <w:textAlignment w:val="center"/>
              <w:rPr>
                <w:rFonts w:hint="default" w:ascii="仿宋_GB2312" w:hAnsi="仿宋_GB2312" w:eastAsia="仿宋_GB2312" w:cs="仿宋_GB2312"/>
                <w:b/>
                <w:color w:val="000000"/>
                <w:sz w:val="24"/>
                <w:lang w:val="en-US"/>
              </w:rPr>
            </w:pPr>
            <w:r>
              <w:rPr>
                <w:rFonts w:hint="eastAsia" w:ascii="仿宋_GB2312" w:hAnsi="仿宋_GB2312" w:eastAsia="仿宋_GB2312" w:cs="仿宋_GB2312"/>
                <w:color w:val="000000"/>
                <w:sz w:val="24"/>
                <w:lang w:eastAsia="zh-CN"/>
              </w:rPr>
              <w:t>个体工商营业执照</w:t>
            </w:r>
            <w:r>
              <w:rPr>
                <w:rFonts w:hint="eastAsia" w:ascii="仿宋_GB2312" w:hAnsi="仿宋_GB2312" w:eastAsia="仿宋_GB2312" w:cs="仿宋_GB2312"/>
                <w:color w:val="000000"/>
                <w:sz w:val="24"/>
                <w:lang w:val="en-US" w:eastAsia="zh-CN"/>
              </w:rPr>
              <w:t>1726户、</w:t>
            </w:r>
            <w:r>
              <w:rPr>
                <w:rFonts w:hint="eastAsia" w:ascii="仿宋_GB2312" w:hAnsi="仿宋_GB2312" w:eastAsia="仿宋_GB2312" w:cs="仿宋_GB2312"/>
                <w:color w:val="000000"/>
                <w:sz w:val="24"/>
                <w:lang w:eastAsia="zh-CN"/>
              </w:rPr>
              <w:t>食品经营许可证</w:t>
            </w:r>
            <w:r>
              <w:rPr>
                <w:rFonts w:hint="eastAsia" w:ascii="仿宋_GB2312" w:hAnsi="仿宋_GB2312" w:eastAsia="仿宋_GB2312" w:cs="仿宋_GB2312"/>
                <w:color w:val="000000"/>
                <w:sz w:val="24"/>
                <w:lang w:val="en-US" w:eastAsia="zh-CN"/>
              </w:rPr>
              <w:t>368户、小餐饮许可证74户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spacing w:line="400" w:lineRule="exact"/>
              <w:rPr>
                <w:rFonts w:hint="eastAsia" w:ascii="仿宋_GB2312" w:hAnsi="仿宋_GB2312" w:eastAsia="仿宋_GB2312" w:cs="仿宋_GB2312"/>
                <w:sz w:val="24"/>
              </w:rPr>
            </w:pP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检查食品、药品、特种设备完成情况</w:t>
            </w:r>
          </w:p>
        </w:tc>
        <w:tc>
          <w:tcPr>
            <w:tcW w:w="2581" w:type="dxa"/>
            <w:gridSpan w:val="8"/>
            <w:vAlign w:val="center"/>
          </w:tcPr>
          <w:p>
            <w:pPr>
              <w:autoSpaceDN w:val="0"/>
              <w:spacing w:line="400" w:lineRule="exact"/>
              <w:jc w:val="left"/>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食品行业224家、药品行业108家、特种设备使用单位138家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spacing w:line="400" w:lineRule="exact"/>
              <w:rPr>
                <w:rFonts w:hint="eastAsia" w:ascii="仿宋_GB2312" w:hAnsi="仿宋_GB2312" w:eastAsia="仿宋_GB2312" w:cs="仿宋_GB2312"/>
                <w:sz w:val="24"/>
              </w:rPr>
            </w:pP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抽检食用农产品和其他</w:t>
            </w:r>
            <w:r>
              <w:rPr>
                <w:rFonts w:hint="eastAsia" w:ascii="仿宋_GB2312" w:hAnsi="仿宋_GB2312" w:eastAsia="仿宋_GB2312" w:cs="仿宋_GB2312"/>
                <w:color w:val="000000"/>
                <w:sz w:val="24"/>
                <w:lang w:val="en-US" w:eastAsia="zh-CN"/>
              </w:rPr>
              <w:t>产</w:t>
            </w:r>
            <w:r>
              <w:rPr>
                <w:rFonts w:hint="default" w:ascii="仿宋_GB2312" w:hAnsi="仿宋_GB2312" w:eastAsia="仿宋_GB2312" w:cs="仿宋_GB2312"/>
                <w:color w:val="000000"/>
                <w:sz w:val="24"/>
                <w:lang w:val="en-US" w:eastAsia="zh-CN"/>
              </w:rPr>
              <w:t>品完成情况</w:t>
            </w:r>
          </w:p>
        </w:tc>
        <w:tc>
          <w:tcPr>
            <w:tcW w:w="2581" w:type="dxa"/>
            <w:gridSpan w:val="8"/>
            <w:vAlign w:val="center"/>
          </w:tcPr>
          <w:p>
            <w:pPr>
              <w:autoSpaceDN w:val="0"/>
              <w:spacing w:line="400" w:lineRule="exact"/>
              <w:jc w:val="left"/>
              <w:textAlignment w:val="center"/>
              <w:rPr>
                <w:rFonts w:hint="default" w:ascii="仿宋_GB2312" w:hAnsi="仿宋_GB2312" w:eastAsia="仿宋_GB2312" w:cs="仿宋_GB2312"/>
                <w:b/>
                <w:color w:val="000000"/>
                <w:sz w:val="24"/>
                <w:lang w:val="en-US" w:eastAsia="zh-CN"/>
              </w:rPr>
            </w:pPr>
            <w:r>
              <w:rPr>
                <w:rFonts w:hint="default" w:ascii="仿宋_GB2312" w:hAnsi="仿宋_GB2312" w:eastAsia="仿宋_GB2312" w:cs="仿宋_GB2312"/>
                <w:color w:val="000000"/>
                <w:sz w:val="24"/>
                <w:lang w:val="en-US" w:eastAsia="zh-CN"/>
              </w:rPr>
              <w:t>食用农产品和其他</w:t>
            </w:r>
            <w:r>
              <w:rPr>
                <w:rFonts w:hint="eastAsia" w:ascii="仿宋_GB2312" w:hAnsi="仿宋_GB2312" w:eastAsia="仿宋_GB2312" w:cs="仿宋_GB2312"/>
                <w:color w:val="000000"/>
                <w:sz w:val="24"/>
                <w:lang w:val="en-US" w:eastAsia="zh-CN"/>
              </w:rPr>
              <w:t>产</w:t>
            </w:r>
            <w:r>
              <w:rPr>
                <w:rFonts w:hint="default" w:ascii="仿宋_GB2312" w:hAnsi="仿宋_GB2312" w:eastAsia="仿宋_GB2312" w:cs="仿宋_GB2312"/>
                <w:color w:val="000000"/>
                <w:sz w:val="24"/>
                <w:lang w:val="en-US" w:eastAsia="zh-CN"/>
              </w:rPr>
              <w:t>品</w:t>
            </w:r>
            <w:r>
              <w:rPr>
                <w:rFonts w:hint="eastAsia" w:ascii="仿宋_GB2312" w:hAnsi="仿宋_GB2312" w:eastAsia="仿宋_GB2312" w:cs="仿宋_GB2312"/>
                <w:color w:val="000000"/>
                <w:sz w:val="24"/>
                <w:lang w:val="en-US" w:eastAsia="zh-CN"/>
              </w:rPr>
              <w:t>866批次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办理个体工商营业执照、食品经营许可证、小餐饮许可证完成情况</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hint="eastAsia" w:ascii="仿宋_GB2312" w:hAnsi="仿宋_GB2312" w:eastAsia="仿宋_GB2312" w:cs="仿宋_GB2312"/>
                <w:sz w:val="24"/>
              </w:rPr>
            </w:pPr>
          </w:p>
        </w:tc>
        <w:tc>
          <w:tcPr>
            <w:tcW w:w="2709" w:type="dxa"/>
            <w:gridSpan w:val="7"/>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400" w:lineRule="exact"/>
              <w:jc w:val="left"/>
              <w:textAlignment w:val="center"/>
              <w:outlineLvl w:val="9"/>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val="en-US" w:eastAsia="zh-CN"/>
              </w:rPr>
              <w:t>检查食品、药品、特种设备完成情况</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hint="eastAsia" w:ascii="仿宋_GB2312" w:hAnsi="仿宋_GB2312" w:eastAsia="仿宋_GB2312" w:cs="仿宋_GB2312"/>
                <w:sz w:val="24"/>
              </w:rPr>
            </w:pP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w:t>
            </w:r>
            <w:r>
              <w:rPr>
                <w:rFonts w:hint="default" w:ascii="仿宋_GB2312" w:hAnsi="仿宋_GB2312" w:eastAsia="仿宋_GB2312" w:cs="仿宋_GB2312"/>
                <w:color w:val="000000"/>
                <w:sz w:val="24"/>
                <w:lang w:val="en-US" w:eastAsia="zh-CN"/>
              </w:rPr>
              <w:t>抽检食用农产品和其他</w:t>
            </w:r>
            <w:r>
              <w:rPr>
                <w:rFonts w:hint="eastAsia" w:ascii="仿宋_GB2312" w:hAnsi="仿宋_GB2312" w:eastAsia="仿宋_GB2312" w:cs="仿宋_GB2312"/>
                <w:color w:val="000000"/>
                <w:sz w:val="24"/>
                <w:lang w:val="en-US" w:eastAsia="zh-CN"/>
              </w:rPr>
              <w:t>产</w:t>
            </w:r>
            <w:r>
              <w:rPr>
                <w:rFonts w:hint="default" w:ascii="仿宋_GB2312" w:hAnsi="仿宋_GB2312" w:eastAsia="仿宋_GB2312" w:cs="仿宋_GB2312"/>
                <w:color w:val="000000"/>
                <w:sz w:val="24"/>
                <w:lang w:val="en-US" w:eastAsia="zh-CN"/>
              </w:rPr>
              <w:t>品完成情况</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指标1：完成时间</w:t>
            </w:r>
          </w:p>
        </w:tc>
        <w:tc>
          <w:tcPr>
            <w:tcW w:w="2581" w:type="dxa"/>
            <w:gridSpan w:val="8"/>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三公经费不超预算</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35.44万元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预算执行情况</w:t>
            </w:r>
          </w:p>
        </w:tc>
        <w:tc>
          <w:tcPr>
            <w:tcW w:w="2581" w:type="dxa"/>
            <w:gridSpan w:val="8"/>
            <w:vAlign w:val="center"/>
          </w:tcPr>
          <w:p>
            <w:pPr>
              <w:autoSpaceDN w:val="0"/>
              <w:spacing w:line="400" w:lineRule="exact"/>
              <w:jc w:val="center"/>
              <w:textAlignment w:val="center"/>
              <w:rPr>
                <w:rFonts w:hint="default" w:ascii="仿宋_GB2312" w:hAnsi="仿宋_GB2312" w:eastAsia="仿宋_GB2312" w:cs="仿宋_GB2312"/>
                <w:b/>
                <w:color w:val="000000"/>
                <w:sz w:val="24"/>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w:t>
            </w:r>
            <w:r>
              <w:rPr>
                <w:rFonts w:hint="eastAsia" w:ascii="仿宋_GB2312" w:hAnsi="仿宋_GB2312" w:eastAsia="仿宋_GB2312" w:cs="仿宋_GB2312"/>
                <w:color w:val="000000"/>
                <w:sz w:val="24"/>
                <w:lang w:val="en-US" w:eastAsia="zh-CN"/>
              </w:rPr>
              <w:t>标1：切实维护人民群众的合法权益，确保社会安定</w:t>
            </w:r>
          </w:p>
        </w:tc>
        <w:tc>
          <w:tcPr>
            <w:tcW w:w="2581" w:type="dxa"/>
            <w:gridSpan w:val="8"/>
            <w:vAlign w:val="center"/>
          </w:tcPr>
          <w:p>
            <w:pPr>
              <w:autoSpaceDN w:val="0"/>
              <w:spacing w:line="400" w:lineRule="exact"/>
              <w:jc w:val="center"/>
              <w:textAlignment w:val="center"/>
              <w:rPr>
                <w:rFonts w:hint="eastAsia" w:ascii="仿宋" w:hAnsi="仿宋" w:eastAsia="仿宋" w:cs="仿宋"/>
                <w:kern w:val="2"/>
                <w:sz w:val="21"/>
                <w:szCs w:val="21"/>
                <w:lang w:val="en-US" w:eastAsia="zh-CN" w:bidi="ar-SA"/>
              </w:rPr>
            </w:pPr>
            <w:r>
              <w:rPr>
                <w:rFonts w:hint="eastAsia" w:ascii="仿宋_GB2312" w:hAnsi="仿宋_GB2312" w:eastAsia="仿宋_GB2312" w:cs="仿宋_GB2312"/>
                <w:color w:val="000000"/>
                <w:sz w:val="24"/>
                <w:lang w:val="en-US" w:eastAsia="zh-CN"/>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417" w:type="dxa"/>
            <w:gridSpan w:val="2"/>
            <w:vMerge w:val="continue"/>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指标2：提高食品安全监管水平和公共安全知识素养</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逐步提高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保障公共安全，提高市场竞争力</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不断提升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规范行业水平，优化市场营销环境</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val="en-US" w:eastAsia="zh-CN"/>
              </w:rPr>
              <w:t>：部门满意度</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trPr>
        <w:tc>
          <w:tcPr>
            <w:tcW w:w="1441" w:type="dxa"/>
            <w:gridSpan w:val="2"/>
            <w:vMerge w:val="continue"/>
            <w:vAlign w:val="center"/>
          </w:tcPr>
          <w:p>
            <w:pPr>
              <w:spacing w:line="400" w:lineRule="exact"/>
              <w:rPr>
                <w:rFonts w:hint="eastAsia" w:ascii="仿宋_GB2312" w:hAnsi="仿宋_GB2312" w:eastAsia="仿宋_GB2312" w:cs="仿宋_GB2312"/>
                <w:sz w:val="24"/>
              </w:rPr>
            </w:pPr>
          </w:p>
        </w:tc>
        <w:tc>
          <w:tcPr>
            <w:tcW w:w="1549" w:type="dxa"/>
            <w:gridSpan w:val="3"/>
            <w:vMerge w:val="continue"/>
            <w:vAlign w:val="center"/>
          </w:tcPr>
          <w:p>
            <w:pPr>
              <w:autoSpaceDN w:val="0"/>
              <w:spacing w:line="40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09" w:type="dxa"/>
            <w:gridSpan w:val="7"/>
            <w:vAlign w:val="center"/>
          </w:tcPr>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指标2：社会公共满意度</w:t>
            </w:r>
          </w:p>
        </w:tc>
        <w:tc>
          <w:tcPr>
            <w:tcW w:w="2581" w:type="dxa"/>
            <w:gridSpan w:val="8"/>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299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707" w:type="dxa"/>
            <w:gridSpan w:val="17"/>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2990" w:type="dxa"/>
            <w:gridSpan w:val="5"/>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707" w:type="dxa"/>
            <w:gridSpan w:val="17"/>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9697" w:type="dxa"/>
            <w:gridSpan w:val="22"/>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99" w:type="dxa"/>
            <w:gridSpan w:val="7"/>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799" w:type="dxa"/>
            <w:gridSpan w:val="1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181"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莫政生</w:t>
            </w:r>
          </w:p>
        </w:tc>
        <w:tc>
          <w:tcPr>
            <w:tcW w:w="3799" w:type="dxa"/>
            <w:gridSpan w:val="7"/>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副局长</w:t>
            </w:r>
          </w:p>
        </w:tc>
        <w:tc>
          <w:tcPr>
            <w:tcW w:w="2799" w:type="dxa"/>
            <w:gridSpan w:val="1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靖州县市场监督管理局</w:t>
            </w:r>
          </w:p>
        </w:tc>
        <w:tc>
          <w:tcPr>
            <w:tcW w:w="1181"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夏泽胜</w:t>
            </w:r>
          </w:p>
        </w:tc>
        <w:tc>
          <w:tcPr>
            <w:tcW w:w="3799" w:type="dxa"/>
            <w:gridSpan w:val="7"/>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办公室主任</w:t>
            </w:r>
          </w:p>
        </w:tc>
        <w:tc>
          <w:tcPr>
            <w:tcW w:w="2799" w:type="dxa"/>
            <w:gridSpan w:val="1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靖州县市场监督管理局</w:t>
            </w:r>
          </w:p>
        </w:tc>
        <w:tc>
          <w:tcPr>
            <w:tcW w:w="1181"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黄婷</w:t>
            </w:r>
          </w:p>
        </w:tc>
        <w:tc>
          <w:tcPr>
            <w:tcW w:w="3799" w:type="dxa"/>
            <w:gridSpan w:val="7"/>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人事教育股股长</w:t>
            </w:r>
          </w:p>
        </w:tc>
        <w:tc>
          <w:tcPr>
            <w:tcW w:w="2799" w:type="dxa"/>
            <w:gridSpan w:val="1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靖州县市场监督管理局</w:t>
            </w:r>
          </w:p>
        </w:tc>
        <w:tc>
          <w:tcPr>
            <w:tcW w:w="1181"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trPr>
        <w:tc>
          <w:tcPr>
            <w:tcW w:w="1918" w:type="dxa"/>
            <w:gridSpan w:val="3"/>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杨莉华</w:t>
            </w:r>
          </w:p>
        </w:tc>
        <w:tc>
          <w:tcPr>
            <w:tcW w:w="3799" w:type="dxa"/>
            <w:gridSpan w:val="7"/>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计财股股长</w:t>
            </w:r>
          </w:p>
        </w:tc>
        <w:tc>
          <w:tcPr>
            <w:tcW w:w="2799" w:type="dxa"/>
            <w:gridSpan w:val="1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靖州县市场监督管理局</w:t>
            </w:r>
          </w:p>
        </w:tc>
        <w:tc>
          <w:tcPr>
            <w:tcW w:w="1181"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327" w:hRule="atLeast"/>
        </w:trPr>
        <w:tc>
          <w:tcPr>
            <w:tcW w:w="9697" w:type="dxa"/>
            <w:gridSpan w:val="22"/>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84" w:hRule="atLeast"/>
        </w:trPr>
        <w:tc>
          <w:tcPr>
            <w:tcW w:w="9697" w:type="dxa"/>
            <w:gridSpan w:val="22"/>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66" w:hRule="atLeast"/>
        </w:trPr>
        <w:tc>
          <w:tcPr>
            <w:tcW w:w="9697" w:type="dxa"/>
            <w:gridSpan w:val="22"/>
            <w:vAlign w:val="center"/>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w:t>
            </w:r>
            <w:r>
              <w:rPr>
                <w:rFonts w:hint="eastAsia" w:eastAsia="仿宋_GB2312"/>
                <w:sz w:val="24"/>
                <w:lang w:val="en-US" w:eastAsia="zh-CN"/>
              </w:rPr>
              <w:t xml:space="preserve"> </w:t>
            </w: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10"/>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trPr>
        <w:tc>
          <w:tcPr>
            <w:tcW w:w="9275" w:type="dxa"/>
            <w:vAlign w:val="top"/>
          </w:tcPr>
          <w:p>
            <w:pPr>
              <w:jc w:val="center"/>
              <w:rPr>
                <w:rFonts w:hint="eastAsia" w:eastAsia="仿宋_GB2312"/>
                <w:sz w:val="32"/>
                <w:szCs w:val="32"/>
              </w:rPr>
            </w:pPr>
            <w:r>
              <w:rPr>
                <w:rFonts w:hint="eastAsia" w:ascii="黑体" w:hAnsi="黑体" w:eastAsia="黑体" w:cs="黑体"/>
                <w:b/>
                <w:bCs/>
                <w:sz w:val="28"/>
                <w:szCs w:val="28"/>
              </w:rPr>
              <w:t>五、评价报告综述（文字部分）</w:t>
            </w:r>
          </w:p>
          <w:p>
            <w:pPr>
              <w:spacing w:line="4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根据编委核定，我单位是全额拨款的行政单位，在职人员行政编制数为65人，现在实际人数为61人。 事业编制64人，现在实际人数为37人。工勤编制5人，现在实际人数为5人。其中：在职人员副处级0人，正科级10人，副科级33人。科员及以下18人，事业中级职称1人，初级职称8人，其它人员28人。现有退休人员79人。本单位内设办公室、计财股、人事教育股、政策法规股、食品安全监督管理股、食品安全综合协调股、药品化妆品医疗器械监督管理股、消费者权益保护股（投诉举报中心）、行政审批服务股、特种设备安全监察股、知识产权股、信用质量和广告网络监督管理股、标准计量认证认可监督管理股、价格监督管理股、应急反应股等。</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深化商事制度改革，优化营商环境</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坚持“四个最严”，确保市场安全</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强化质量提升意识，当好高质量发展的推动者</w:t>
            </w:r>
          </w:p>
          <w:p>
            <w:pPr>
              <w:spacing w:line="4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年年终基本支出决算数1732.44万元，是指为保障单位机构正常运转、完成日常工作任务而发生的各项支出，包括用于基本工资、津贴补贴等人员经费及办公费、水电费、设备购置费日常公用经费等。其中：人员经费支出 1338.94万元 ;一般商品和服务支出393.50万元，主要用于保障单位机构正常运转、完成日常工作任务而发生的各项业务支出等。其中：三公经费支出为35.44万元，公务接待费18.44万元，公务用车运行费17万元，主要用于单位按规定开支的各类公务接待支出，单位公务用车燃料费、维修费、保险费等支出。</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2020年收入项目资金合计为89.30万元，支出专项资金合计89.30万元，用于单位各项日常工作开展。</w:t>
            </w:r>
          </w:p>
          <w:p>
            <w:pPr>
              <w:numPr>
                <w:ilvl w:val="0"/>
                <w:numId w:val="2"/>
              </w:numPr>
              <w:spacing w:line="40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spacing w:line="400" w:lineRule="exact"/>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项目资金为89.30万元。用于产商品计量检定；食品安全委员会日常工作；食品生产、经营的安全监督管理；药品、医疗器械、保健食品和化妆品质量安全监督管理；商标使用和广告活动的监督管理；消费者权益保护；特种设备安全监察；产品质量安全监督和认证认可工作；产品质量、食品药品安全宣传、教育培训；价格监督；乡（镇）商品市场、食品药品安全、质量监督管理工作。</w:t>
            </w:r>
          </w:p>
          <w:p>
            <w:pPr>
              <w:numPr>
                <w:ilvl w:val="0"/>
                <w:numId w:val="2"/>
              </w:numPr>
              <w:spacing w:line="400" w:lineRule="exact"/>
              <w:ind w:left="0" w:leftChars="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numPr>
                <w:ilvl w:val="0"/>
                <w:numId w:val="0"/>
              </w:num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严格按照专项资金管理规定，按时按进度支付相关经费，按时填报绩效相关报告。</w:t>
            </w:r>
          </w:p>
          <w:p>
            <w:pPr>
              <w:numPr>
                <w:ilvl w:val="0"/>
                <w:numId w:val="3"/>
              </w:numPr>
              <w:spacing w:line="4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numPr>
                <w:ilvl w:val="0"/>
                <w:numId w:val="0"/>
              </w:num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2020年年终支出决算数1732.44万元，其中基本支出合计为1732.44万元，包括人员经费支出 1338.94万元、一般商品和服务支出393.50万元；    三公经费支出为35.44万元，公务接待费18.44万元、公务用车运行费17万元；项目资金为89.30万元。</w:t>
            </w:r>
          </w:p>
          <w:p>
            <w:pPr>
              <w:numPr>
                <w:ilvl w:val="0"/>
                <w:numId w:val="0"/>
              </w:num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2020年资金主要用于：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hAnsi="仿宋_GB2312" w:eastAsia="仿宋_GB2312" w:cs="仿宋_GB2312"/>
                <w:b/>
                <w:bCs w:val="0"/>
                <w:color w:val="000000"/>
                <w:sz w:val="28"/>
                <w:szCs w:val="28"/>
                <w:shd w:val="clear" w:color="auto" w:fill="FFFFFF"/>
              </w:rPr>
            </w:pPr>
            <w:r>
              <w:rPr>
                <w:rFonts w:hint="eastAsia" w:ascii="仿宋_GB2312" w:hAnsi="仿宋_GB2312" w:eastAsia="仿宋_GB2312" w:cs="仿宋_GB2312"/>
                <w:b/>
                <w:bCs w:val="0"/>
                <w:color w:val="000000"/>
                <w:sz w:val="28"/>
                <w:szCs w:val="28"/>
                <w:shd w:val="clear" w:color="auto" w:fill="FFFFFF"/>
              </w:rPr>
              <w:t>（一）深化商事制度改革，优化营商环境</w:t>
            </w:r>
          </w:p>
          <w:p>
            <w:pPr>
              <w:numPr>
                <w:ilvl w:val="0"/>
                <w:numId w:val="0"/>
              </w:num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围绕“放管服”要求，大力推进“互联网+政务服务”、企业“多证合一”，个体工商户“两证整合”、简易注销工作、“证照分离”、“最多跑一次”、“进一步压缩企业开办时间”等商事制度改革，积极推行“同城通办、局所联动”工作，打破了传统的属地管辖登记地域限制，为市场主体办理登记事项提供办理地点的可选择性。2020年，新发展企业主体363户（其中受理全程电子化业务200户）、个体工商户1726户，共计新发展市场主体户2089户，对比去年同期增长6.36%，发放食品经营许可证368户，小餐饮经营许可证74户。截止目前，共有企业2253户、个体工商户12802户。市场主体总量达15055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Cs/>
                <w:sz w:val="28"/>
                <w:szCs w:val="28"/>
                <w:lang w:val="en-US" w:eastAsia="zh-CN"/>
              </w:rPr>
              <w:t>2.通过采取简化市场主体注册登记程序、及时推送“双告知”信息、服务指导企业年报公示、强化经营异常名录管理、“双随机一公开”抽查结果的运用等措施，切实做到“即时提交、即时审核、即时发照”，激发了市场活力，服务水平得到优化，进一步提高注册登记服务效能，为企业和投资者创业提供宽松、便利的市场准入环境。</w:t>
            </w:r>
            <w:r>
              <w:rPr>
                <w:rFonts w:hint="eastAsia" w:ascii="仿宋_GB2312" w:hAnsi="仿宋_GB2312" w:eastAsia="仿宋_GB2312" w:cs="仿宋_GB2312"/>
                <w:b/>
                <w:color w:val="000000"/>
                <w:sz w:val="28"/>
                <w:szCs w:val="28"/>
              </w:rPr>
              <w:t>一是加强年报工作推进力度。</w:t>
            </w:r>
            <w:r>
              <w:rPr>
                <w:rFonts w:hint="eastAsia" w:ascii="仿宋_GB2312" w:hAnsi="仿宋_GB2312" w:eastAsia="仿宋_GB2312" w:cs="仿宋_GB2312"/>
                <w:bCs/>
                <w:sz w:val="28"/>
                <w:szCs w:val="28"/>
                <w:lang w:val="en-US" w:eastAsia="zh-CN"/>
              </w:rPr>
              <w:t>依托国家企业信用信息公示系统推动年报公示，本年度企业年报率90%，农专年报率81%。</w:t>
            </w:r>
            <w:r>
              <w:rPr>
                <w:rFonts w:hint="eastAsia" w:ascii="仿宋_GB2312" w:hAnsi="仿宋_GB2312" w:eastAsia="仿宋_GB2312" w:cs="仿宋_GB2312"/>
                <w:b/>
                <w:color w:val="000000"/>
                <w:sz w:val="28"/>
                <w:szCs w:val="28"/>
              </w:rPr>
              <w:t>二是积极履行双告知工作。</w:t>
            </w:r>
            <w:r>
              <w:rPr>
                <w:rFonts w:hint="eastAsia" w:ascii="仿宋_GB2312" w:hAnsi="仿宋_GB2312" w:eastAsia="仿宋_GB2312" w:cs="仿宋_GB2312"/>
                <w:bCs/>
                <w:sz w:val="28"/>
                <w:szCs w:val="28"/>
                <w:lang w:val="en-US" w:eastAsia="zh-CN"/>
              </w:rPr>
              <w:t>今年以来已向各审批部门推送市场主体信息2221条。</w:t>
            </w:r>
            <w:r>
              <w:rPr>
                <w:rFonts w:hint="eastAsia" w:ascii="仿宋_GB2312" w:hAnsi="仿宋_GB2312" w:eastAsia="仿宋_GB2312" w:cs="仿宋_GB2312"/>
                <w:b/>
                <w:color w:val="000000"/>
                <w:sz w:val="28"/>
                <w:szCs w:val="28"/>
              </w:rPr>
              <w:t>三是有序推进“双随机、一公开”工作。</w:t>
            </w:r>
            <w:r>
              <w:rPr>
                <w:rFonts w:hint="eastAsia" w:ascii="仿宋_GB2312" w:hAnsi="仿宋_GB2312" w:eastAsia="仿宋_GB2312" w:cs="仿宋_GB2312"/>
                <w:bCs/>
                <w:sz w:val="28"/>
                <w:szCs w:val="28"/>
                <w:lang w:val="en-US" w:eastAsia="zh-CN"/>
              </w:rPr>
              <w:t>全面实施行政处罚案件信息公示制度、企业公示信息抽查制度，做好经营异常名录的列入、移出和经营异常状态标记工作，增强信用约束。2020年抽查企业47家，11月底前完成各项抽查及录入工作。</w:t>
            </w:r>
            <w:r>
              <w:rPr>
                <w:rFonts w:hint="eastAsia" w:ascii="仿宋_GB2312" w:hAnsi="仿宋_GB2312" w:eastAsia="仿宋_GB2312" w:cs="仿宋_GB2312"/>
                <w:color w:val="000000"/>
                <w:sz w:val="24"/>
                <w:szCs w:val="24"/>
                <w:shd w:val="clear" w:color="auto" w:fill="FFFFFF"/>
              </w:rPr>
              <w:t>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hAnsi="仿宋_GB2312" w:eastAsia="仿宋_GB2312" w:cs="仿宋_GB2312"/>
                <w:b/>
                <w:bCs w:val="0"/>
                <w:color w:val="000000"/>
                <w:sz w:val="28"/>
                <w:szCs w:val="28"/>
                <w:shd w:val="clear" w:color="auto" w:fill="FFFFFF"/>
              </w:rPr>
            </w:pPr>
            <w:r>
              <w:rPr>
                <w:rFonts w:hint="eastAsia" w:ascii="仿宋_GB2312" w:hAnsi="仿宋_GB2312" w:eastAsia="仿宋_GB2312" w:cs="仿宋_GB2312"/>
                <w:b/>
                <w:bCs w:val="0"/>
                <w:color w:val="000000"/>
                <w:sz w:val="28"/>
                <w:szCs w:val="28"/>
                <w:shd w:val="clear" w:color="auto" w:fill="FFFFFF"/>
              </w:rPr>
              <w:t>（二）坚持“四个最严”，确保市场安全</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1.全面开展食品安全监管工作，提升食品安全</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
                <w:color w:val="000000"/>
                <w:sz w:val="28"/>
                <w:szCs w:val="28"/>
              </w:rPr>
              <w:t>一是严把准入关口。</w:t>
            </w:r>
            <w:r>
              <w:rPr>
                <w:rFonts w:hint="eastAsia" w:ascii="仿宋_GB2312" w:hAnsi="仿宋_GB2312" w:eastAsia="仿宋_GB2312" w:cs="仿宋_GB2312"/>
                <w:bCs/>
                <w:sz w:val="28"/>
                <w:szCs w:val="28"/>
                <w:lang w:val="en-US" w:eastAsia="zh-CN"/>
              </w:rPr>
              <w:t>加强对一品东方、湖南补天药业有限公司、靖州接官亭酒厂、靖州县武王食品加工厂、靖州老禹豆腐、靖州豆友缘豆腐、平茶马路口粽子加工等10家食品生产企业和小作坊办证、换证的服务帮扶工作，共帮扶2家企业新办理SC证，发放《食品生产加工小作坊许可证》6户。</w:t>
            </w:r>
            <w:r>
              <w:rPr>
                <w:rFonts w:hint="eastAsia" w:ascii="仿宋_GB2312" w:hAnsi="仿宋_GB2312" w:eastAsia="仿宋_GB2312" w:cs="仿宋_GB2312"/>
                <w:b/>
                <w:color w:val="000000"/>
                <w:sz w:val="28"/>
                <w:szCs w:val="28"/>
              </w:rPr>
              <w:t>二是在疫情期间加强市场监管。</w:t>
            </w:r>
            <w:r>
              <w:rPr>
                <w:rFonts w:hint="eastAsia" w:ascii="仿宋_GB2312" w:hAnsi="仿宋_GB2312" w:eastAsia="仿宋_GB2312" w:cs="仿宋_GB2312"/>
                <w:bCs/>
                <w:sz w:val="28"/>
                <w:szCs w:val="28"/>
                <w:lang w:val="en-US" w:eastAsia="zh-CN"/>
              </w:rPr>
              <w:t>强化“三保”行动，保障餐饮安全。全面排查，稳定市场供应，维护市场经营秩序，确保疫情防控和复工复产有效落实。全面开展食品流通环节经营主体地毯式排查工作，对复学的17所学校食堂进行全程监督检查及指导服务，帮助学校食堂提升食品安全管理水平，并开展巡回检查，有效保障了校园食品安全。</w:t>
            </w:r>
            <w:r>
              <w:rPr>
                <w:rFonts w:hint="eastAsia" w:ascii="仿宋_GB2312" w:hAnsi="仿宋_GB2312" w:eastAsia="仿宋_GB2312" w:cs="仿宋_GB2312"/>
                <w:b/>
                <w:color w:val="000000"/>
                <w:sz w:val="28"/>
                <w:szCs w:val="28"/>
              </w:rPr>
              <w:t>三是突出专项整治。</w:t>
            </w:r>
            <w:r>
              <w:rPr>
                <w:rFonts w:hint="eastAsia" w:ascii="仿宋_GB2312" w:hAnsi="仿宋_GB2312" w:eastAsia="仿宋_GB2312" w:cs="仿宋_GB2312"/>
                <w:bCs/>
                <w:sz w:val="28"/>
                <w:szCs w:val="28"/>
                <w:lang w:val="en-US" w:eastAsia="zh-CN"/>
              </w:rPr>
              <w:t>开展“四小”、“护苗”、“食品安全百日行动”、“护老行动”、特殊食品专项检查、“大米专项检查”、“固体饮料、代用茶、压片糖果”等专项整治。食品行业有限空间作业安全大检查持续开展，共检查食品企业13家。对全县81所学校及幼儿园食堂进行专项检查，并对校园周边100米内85家小餐饮及45家小食品店进行专项检查。积极开展食品生产企业日常监督检查，并落实食品生产企业风险分级管理办法，对食品生产企业实行风险分级管理。持续开展节前食品安全专项检查、农村食品安全无证经营、酒类整治专项行动和守护重大节日及重大活动的食品安全检查，确保两会期间食品安全得到有效保障，全年未发生食品安全事故。</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2.</w:t>
            </w:r>
            <w:r>
              <w:rPr>
                <w:rFonts w:hint="eastAsia" w:ascii="仿宋_GB2312" w:hAnsi="仿宋_GB2312" w:eastAsia="仿宋_GB2312" w:cs="仿宋_GB2312"/>
                <w:b/>
                <w:color w:val="000000"/>
                <w:sz w:val="28"/>
                <w:szCs w:val="28"/>
              </w:rPr>
              <w:t>强化药品市场监管，规范药品经营秩序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仿宋_GB2312" w:hAnsi="仿宋_GB2312" w:eastAsia="仿宋_GB2312" w:cs="仿宋_GB2312"/>
                <w:b w:val="0"/>
                <w:bCs w:val="0"/>
                <w:sz w:val="24"/>
                <w:szCs w:val="24"/>
                <w:lang w:val="en-US"/>
              </w:rPr>
            </w:pPr>
            <w:r>
              <w:rPr>
                <w:rFonts w:hint="eastAsia" w:ascii="仿宋_GB2312" w:hAnsi="仿宋_GB2312" w:eastAsia="仿宋_GB2312" w:cs="仿宋_GB2312"/>
                <w:b/>
                <w:color w:val="000000"/>
                <w:sz w:val="28"/>
                <w:szCs w:val="28"/>
                <w:lang w:val="en-US" w:eastAsia="zh-CN"/>
              </w:rPr>
              <w:t>开展专项整治，规范市场秩序。</w:t>
            </w:r>
            <w:r>
              <w:rPr>
                <w:rFonts w:hint="eastAsia" w:ascii="仿宋_GB2312" w:hAnsi="仿宋_GB2312" w:eastAsia="仿宋_GB2312" w:cs="仿宋_GB2312"/>
                <w:bCs/>
                <w:sz w:val="28"/>
                <w:szCs w:val="28"/>
                <w:lang w:val="en-US" w:eastAsia="zh-CN"/>
              </w:rPr>
              <w:t>开展中药饮片专项整治、药品流通领域突出问题专项整治、特殊药品监管等专项检查、精、麻药品专项整治、“两非”药品专项整治及无菌和植入性医疗器械监督检查等专项行动。严厉打击购进、销售未经注册、无合格证明、过期、失效或者淘汰产品的违法、违规行为，坚决取缔无证经营的黑窝点。</w:t>
            </w:r>
            <w:r>
              <w:rPr>
                <w:rFonts w:hint="eastAsia" w:ascii="仿宋_GB2312" w:hAnsi="仿宋_GB2312" w:eastAsia="仿宋_GB2312" w:cs="仿宋_GB2312"/>
                <w:b/>
                <w:color w:val="000000"/>
                <w:sz w:val="28"/>
                <w:szCs w:val="28"/>
                <w:lang w:val="en-US" w:eastAsia="zh-CN"/>
              </w:rPr>
              <w:t>积极开展行政许可工作。</w:t>
            </w:r>
            <w:r>
              <w:rPr>
                <w:rFonts w:hint="eastAsia" w:ascii="仿宋_GB2312" w:hAnsi="仿宋_GB2312" w:eastAsia="仿宋_GB2312" w:cs="仿宋_GB2312"/>
                <w:bCs/>
                <w:sz w:val="28"/>
                <w:szCs w:val="28"/>
                <w:lang w:val="en-US" w:eastAsia="zh-CN"/>
              </w:rPr>
              <w:t>2020年是《药品经营许可证》大换证年，结合换证工作，我局将到期换证企业的现场检查与日常监管相结合，督促企业严格执行药品经营质量管理规范，对不能持续合规的药品经营企业坚决取消其经营资质。对新开办的药品经营企业，严格审批把关，防止低水平重复。2020年，核发《药品零售企业许可证》33家，换发《药品零售企业许可证》19家。</w:t>
            </w:r>
            <w:r>
              <w:rPr>
                <w:rFonts w:hint="eastAsia" w:ascii="仿宋_GB2312" w:hAnsi="仿宋_GB2312" w:eastAsia="仿宋_GB2312" w:cs="仿宋_GB2312"/>
                <w:b/>
                <w:color w:val="000000"/>
                <w:sz w:val="28"/>
                <w:szCs w:val="28"/>
                <w:lang w:val="en-US" w:eastAsia="zh-CN"/>
              </w:rPr>
              <w:t>积极部署药品不良反应、医疗器械不良事件及化妆品不良反应监测的上报工作。</w:t>
            </w:r>
            <w:r>
              <w:rPr>
                <w:rFonts w:hint="eastAsia" w:ascii="仿宋_GB2312" w:hAnsi="仿宋_GB2312" w:eastAsia="仿宋_GB2312" w:cs="仿宋_GB2312"/>
                <w:bCs/>
                <w:sz w:val="28"/>
                <w:szCs w:val="28"/>
                <w:lang w:val="en-US" w:eastAsia="zh-CN"/>
              </w:rPr>
              <w:t>根据《怀化市2020年不良反应/事件报告与监测工作目标管理实施方案》，2020年我局开展业务培训和现场指导相结合的方式，我县今年药品不良反应监测报告目标基数总数240份，现完成187份；器械不良反应监测报告目标基数60份，现完成36份；化妆品不良反应监测报告目标基数32份，现完成25份。</w:t>
            </w:r>
            <w:r>
              <w:rPr>
                <w:rFonts w:hint="eastAsia" w:ascii="仿宋_GB2312" w:hAnsi="仿宋_GB2312" w:eastAsia="仿宋_GB2312" w:cs="仿宋_GB2312"/>
                <w:b/>
                <w:color w:val="000000"/>
                <w:sz w:val="28"/>
                <w:szCs w:val="28"/>
                <w:lang w:val="en-US" w:eastAsia="zh-CN"/>
              </w:rPr>
              <w:t>以世卫组织评估为契机健全疫苗监管体系。</w:t>
            </w:r>
            <w:r>
              <w:rPr>
                <w:rFonts w:hint="eastAsia" w:ascii="仿宋_GB2312" w:hAnsi="仿宋_GB2312" w:eastAsia="仿宋_GB2312" w:cs="仿宋_GB2312"/>
                <w:bCs/>
                <w:sz w:val="28"/>
                <w:szCs w:val="28"/>
                <w:lang w:val="en-US" w:eastAsia="zh-CN"/>
              </w:rPr>
              <w:t>为推进疫苗监管体系的建设，提升疫苗监管水平，成立疫苗监管体系工作领导小组，领导小组下设疫苗监管体系评估工作办公室，加强疫苗监管力度，按照《中华人民共和国药品监督管理办法》、《中华人民共和国疫苗管理法》的要求全县疫苗的储存、运输以及预防接种中的疫苗质量进行监督检查，对全县疫苗接种单位持续开展疫苗专项检查，已检查疫苗接种单位15家次，未发现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3.突出重点，标本兼治，全面铺开特种设备安全监察工作。</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以推进“落实企业安全生产主体责任年”和“强执法防事故”活动为契机，持续深入开展特种设备安全隐患排查治理，督促企业全面落实安全生产主体责任。</w:t>
            </w:r>
            <w:r>
              <w:rPr>
                <w:rFonts w:hint="eastAsia" w:ascii="仿宋_GB2312" w:hAnsi="仿宋_GB2312" w:eastAsia="仿宋_GB2312" w:cs="仿宋_GB2312"/>
                <w:b/>
                <w:color w:val="000000"/>
                <w:sz w:val="28"/>
                <w:szCs w:val="28"/>
                <w:lang w:val="en-US" w:eastAsia="zh-CN"/>
              </w:rPr>
              <w:t>一是</w:t>
            </w:r>
            <w:r>
              <w:rPr>
                <w:rFonts w:hint="eastAsia" w:ascii="仿宋_GB2312" w:hAnsi="仿宋_GB2312" w:eastAsia="仿宋_GB2312" w:cs="仿宋_GB2312"/>
                <w:bCs/>
                <w:sz w:val="28"/>
                <w:szCs w:val="28"/>
                <w:lang w:val="en-US" w:eastAsia="zh-CN"/>
              </w:rPr>
              <w:t>积极开展日常监督检查。对138家特种设备使用单位进行日常检查，发现安全隐患并下达安全监察指令书47份，发现重大安全隐患1起，已整改完成。</w:t>
            </w:r>
            <w:r>
              <w:rPr>
                <w:rFonts w:hint="eastAsia" w:ascii="仿宋_GB2312" w:hAnsi="仿宋_GB2312" w:eastAsia="仿宋_GB2312" w:cs="仿宋_GB2312"/>
                <w:b/>
                <w:color w:val="000000"/>
                <w:sz w:val="28"/>
                <w:szCs w:val="28"/>
                <w:lang w:val="en-US" w:eastAsia="zh-CN"/>
              </w:rPr>
              <w:t>二是</w:t>
            </w:r>
            <w:r>
              <w:rPr>
                <w:rFonts w:hint="eastAsia" w:ascii="仿宋_GB2312" w:hAnsi="仿宋_GB2312" w:eastAsia="仿宋_GB2312" w:cs="仿宋_GB2312"/>
                <w:bCs/>
                <w:sz w:val="28"/>
                <w:szCs w:val="28"/>
                <w:lang w:val="en-US" w:eastAsia="zh-CN"/>
              </w:rPr>
              <w:t>开展“特种设备集中整治行动”、“特种设备重大风险源摸底排查”、“特种设备隐患治理专项行动”、液化石油气瓶专项治理行动“强执法防事故”等专项检查行动。</w:t>
            </w:r>
            <w:r>
              <w:rPr>
                <w:rFonts w:hint="eastAsia" w:ascii="仿宋_GB2312" w:hAnsi="仿宋_GB2312" w:eastAsia="仿宋_GB2312" w:cs="仿宋_GB2312"/>
                <w:b/>
                <w:color w:val="000000"/>
                <w:sz w:val="28"/>
                <w:szCs w:val="28"/>
                <w:lang w:val="en-US" w:eastAsia="zh-CN"/>
              </w:rPr>
              <w:t>三是</w:t>
            </w:r>
            <w:r>
              <w:rPr>
                <w:rFonts w:hint="eastAsia" w:ascii="仿宋_GB2312" w:hAnsi="仿宋_GB2312" w:eastAsia="仿宋_GB2312" w:cs="仿宋_GB2312"/>
                <w:bCs/>
                <w:sz w:val="28"/>
                <w:szCs w:val="28"/>
                <w:lang w:val="en-US" w:eastAsia="zh-CN"/>
              </w:rPr>
              <w:t>协助市特种设备检验院对县内在用的特种设备进行了定期检验。定检电梯209台，起重机28台，场内机动车辆16台，锅炉41台，压力容器45台。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60" w:firstLineChars="200"/>
              <w:jc w:val="left"/>
              <w:textAlignment w:val="auto"/>
              <w:outlineLvl w:val="9"/>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4.大力拓宽消费维权领域，加大消保维权力度，维护良好消费环境</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以“12315”消费者申诉举报中心为依托，对消费者的申诉举报，做到了事事有着落，件件有回音。2020年共受理投诉举报178起，其中全国12315平台128起，市长热线42起，来信来访8起，已全部办结。</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组织开展“3·15”国际消费者权益保护日大型宣传咨询服务活动，加强消费教育引导和媒体宣传。利用新闻媒介采取多种形式，加大消费维权宣传力度，及时发布消费提示、消费警示。积极开展“红盾质量打假”、“流通领域电线电缆质量监督检查”、“流通领域电器产品专项整治”等一系列专项整治行动，进一步优化消费环境。加大12315“五进”建设力度，增加消费维权服务站覆盖率，规范消费维权服务站工作运行，完善消费环节经营者首问和赔偿先付制度，引导经营者依法履行消费维权的社会责任，提升维权站人员消费纠纷调处能力，努力把消费纠纷化解在基层、解决在源头。</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
                <w:color w:val="000000"/>
                <w:sz w:val="28"/>
                <w:szCs w:val="28"/>
                <w:lang w:val="en-US" w:eastAsia="zh-CN"/>
              </w:rPr>
              <w:t>5.加大培训宣传。一是</w:t>
            </w:r>
            <w:r>
              <w:rPr>
                <w:rFonts w:hint="eastAsia" w:ascii="仿宋_GB2312" w:hAnsi="仿宋_GB2312" w:eastAsia="仿宋_GB2312" w:cs="仿宋_GB2312"/>
                <w:bCs/>
                <w:sz w:val="28"/>
                <w:szCs w:val="28"/>
                <w:lang w:val="en-US" w:eastAsia="zh-CN"/>
              </w:rPr>
              <w:t>认真贯彻落实“一法一条例”等法律法规要求，先后组织全县学校及幼儿园负责人100余人进行培训学习，其他从业人员通过湖南省食品安全教育平台进行培训和学习，2020年共有160余人参加培训学习并参加考试。</w:t>
            </w:r>
            <w:r>
              <w:rPr>
                <w:rFonts w:hint="eastAsia" w:ascii="仿宋_GB2312" w:hAnsi="仿宋_GB2312" w:eastAsia="仿宋_GB2312" w:cs="仿宋_GB2312"/>
                <w:b/>
                <w:color w:val="000000"/>
                <w:sz w:val="28"/>
                <w:szCs w:val="28"/>
                <w:lang w:val="en-US" w:eastAsia="zh-CN"/>
              </w:rPr>
              <w:t>二是</w:t>
            </w:r>
            <w:r>
              <w:rPr>
                <w:rFonts w:hint="eastAsia" w:ascii="仿宋_GB2312" w:hAnsi="仿宋_GB2312" w:eastAsia="仿宋_GB2312" w:cs="仿宋_GB2312"/>
                <w:bCs/>
                <w:sz w:val="28"/>
                <w:szCs w:val="28"/>
                <w:lang w:val="en-US" w:eastAsia="zh-CN"/>
              </w:rPr>
              <w:t>深入开展安全生产月、法制宣传周、食品药品安全宣传月、“5.20”世界计量日活动、“5.25爱肤日”药品科技活动周暨化妆品安全科普宣传周活动等宣传活动，通过提供免费咨询服务活动、张贴主题宣传画、加大对相关法律法规的宣传力度。共计发放宣传资料及相关手册3500份，开设宣传栏、展板16块，现场接受群众咨询240人次。</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6.全力推动高效监管，维护市场公平竞争环境。</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Cs/>
                <w:sz w:val="28"/>
                <w:szCs w:val="28"/>
                <w:lang w:val="en-US" w:eastAsia="zh-CN"/>
              </w:rPr>
              <w:t>以维护市场秩序的和谐稳定为目标，强力整顿和规范市场经济秩序。</w:t>
            </w:r>
            <w:r>
              <w:rPr>
                <w:rFonts w:hint="eastAsia" w:ascii="仿宋_GB2312" w:hAnsi="仿宋_GB2312" w:eastAsia="仿宋_GB2312" w:cs="仿宋_GB2312"/>
                <w:b/>
                <w:color w:val="000000"/>
                <w:sz w:val="28"/>
                <w:szCs w:val="28"/>
                <w:lang w:val="en-US" w:eastAsia="zh-CN"/>
              </w:rPr>
              <w:t>开展价格监控及稳价保供工作。</w:t>
            </w:r>
            <w:r>
              <w:rPr>
                <w:rFonts w:hint="eastAsia" w:ascii="仿宋_GB2312" w:hAnsi="仿宋_GB2312" w:eastAsia="仿宋_GB2312" w:cs="仿宋_GB2312"/>
                <w:bCs/>
                <w:sz w:val="28"/>
                <w:szCs w:val="28"/>
                <w:lang w:val="en-US" w:eastAsia="zh-CN"/>
              </w:rPr>
              <w:t>疫情期间加大对猪肉、蔬菜等农副产品价格监管力度，配合畜牧部门，引导步步高、佳慧、大润发等中大超市发挥主渠道作用，积极配合政府做好保供稳价工作，严厉打击疫情期间不正当价格行为。</w:t>
            </w:r>
            <w:r>
              <w:rPr>
                <w:rFonts w:hint="eastAsia" w:ascii="仿宋_GB2312" w:hAnsi="仿宋_GB2312" w:eastAsia="仿宋_GB2312" w:cs="仿宋_GB2312"/>
                <w:b/>
                <w:color w:val="000000"/>
                <w:sz w:val="28"/>
                <w:szCs w:val="28"/>
                <w:lang w:val="en-US" w:eastAsia="zh-CN"/>
              </w:rPr>
              <w:t>全面推进涉企收费治理工作。</w:t>
            </w:r>
            <w:r>
              <w:rPr>
                <w:rFonts w:hint="eastAsia" w:ascii="仿宋_GB2312" w:hAnsi="仿宋_GB2312" w:eastAsia="仿宋_GB2312" w:cs="仿宋_GB2312"/>
                <w:bCs/>
                <w:sz w:val="28"/>
                <w:szCs w:val="28"/>
                <w:lang w:val="en-US" w:eastAsia="zh-CN"/>
              </w:rPr>
              <w:t>为进一步加强事中事后监管，制定《靖州县违规涉企收费治理工作方案》，开展涉企收费专项检查，暂未发现违规收费行为。</w:t>
            </w:r>
            <w:r>
              <w:rPr>
                <w:rFonts w:hint="eastAsia" w:ascii="仿宋_GB2312" w:hAnsi="仿宋_GB2312" w:eastAsia="仿宋_GB2312" w:cs="仿宋_GB2312"/>
                <w:b/>
                <w:color w:val="000000"/>
                <w:sz w:val="28"/>
                <w:szCs w:val="28"/>
                <w:lang w:val="en-US" w:eastAsia="zh-CN"/>
              </w:rPr>
              <w:t>加强民生领域收费监管。</w:t>
            </w:r>
            <w:r>
              <w:rPr>
                <w:rFonts w:hint="eastAsia" w:ascii="仿宋_GB2312" w:hAnsi="仿宋_GB2312" w:eastAsia="仿宋_GB2312" w:cs="仿宋_GB2312"/>
                <w:bCs/>
                <w:sz w:val="28"/>
                <w:szCs w:val="28"/>
                <w:lang w:val="en-US" w:eastAsia="zh-CN"/>
              </w:rPr>
              <w:t>密切关注教育、医疗、交通等民生领域的收费热点问题，及时回应群众关切，开展节日期间专项价格监管。</w:t>
            </w:r>
            <w:r>
              <w:rPr>
                <w:rFonts w:hint="eastAsia" w:ascii="仿宋_GB2312" w:hAnsi="仿宋_GB2312" w:eastAsia="仿宋_GB2312" w:cs="仿宋_GB2312"/>
                <w:b/>
                <w:color w:val="000000"/>
                <w:sz w:val="28"/>
                <w:szCs w:val="28"/>
                <w:lang w:val="en-US" w:eastAsia="zh-CN"/>
              </w:rPr>
              <w:t>加强各类市场专项整治。</w:t>
            </w:r>
            <w:r>
              <w:rPr>
                <w:rFonts w:hint="eastAsia" w:ascii="仿宋_GB2312" w:hAnsi="仿宋_GB2312" w:eastAsia="仿宋_GB2312" w:cs="仿宋_GB2312"/>
                <w:bCs/>
                <w:sz w:val="28"/>
                <w:szCs w:val="28"/>
                <w:lang w:val="en-US" w:eastAsia="zh-CN"/>
              </w:rPr>
              <w:t>开展了虚假违法广告专项整治、交通问题顽瘴痼疾专项检查、电取暖器专项检查、车辆检测站专项检查、消防产品专项检查、地理标志证明商标专项检查、电动车市场专项检查、电线电缆产品质量抽检等工作，及时纠正了部分违法行为。</w:t>
            </w:r>
            <w:r>
              <w:rPr>
                <w:rFonts w:hint="eastAsia" w:ascii="仿宋_GB2312" w:hAnsi="仿宋_GB2312" w:eastAsia="仿宋_GB2312" w:cs="仿宋_GB2312"/>
                <w:b/>
                <w:color w:val="000000"/>
                <w:sz w:val="28"/>
                <w:szCs w:val="28"/>
                <w:lang w:val="en-US" w:eastAsia="zh-CN"/>
              </w:rPr>
              <w:t>开展计量专项整治。</w:t>
            </w:r>
            <w:r>
              <w:rPr>
                <w:rFonts w:hint="eastAsia" w:ascii="仿宋_GB2312" w:hAnsi="仿宋_GB2312" w:eastAsia="仿宋_GB2312" w:cs="仿宋_GB2312"/>
                <w:bCs/>
                <w:sz w:val="28"/>
                <w:szCs w:val="28"/>
                <w:lang w:val="en-US" w:eastAsia="zh-CN"/>
              </w:rPr>
              <w:t>开展以集贸市场、商场超市、经销商贸衡器的个体门店为重点对象的计量专项整治工作，共检查固定及流动摊贩计量器具240余把，经销商贸衡器的商家10余家、市场门店121家，没收问题计量器具7把（台），查处违法经营户24家。杨梅节期间，持续开展杨梅市场计量专项检查，同时在市场中心设立公平秤，共检查商贩80余户，没收不合格秤5把。维护消费者的合法权益，保障了市场的公平交易。</w:t>
            </w:r>
            <w:r>
              <w:rPr>
                <w:rFonts w:hint="eastAsia" w:ascii="仿宋_GB2312" w:hAnsi="仿宋_GB2312" w:eastAsia="仿宋_GB2312" w:cs="仿宋_GB2312"/>
                <w:b/>
                <w:color w:val="000000"/>
                <w:sz w:val="28"/>
                <w:szCs w:val="28"/>
                <w:lang w:val="en-US" w:eastAsia="zh-CN"/>
              </w:rPr>
              <w:t>开展扫黑除恶专项斗争工作。</w:t>
            </w:r>
            <w:r>
              <w:rPr>
                <w:rFonts w:hint="eastAsia" w:ascii="仿宋_GB2312" w:hAnsi="仿宋_GB2312" w:eastAsia="仿宋_GB2312" w:cs="仿宋_GB2312"/>
                <w:bCs/>
                <w:sz w:val="28"/>
                <w:szCs w:val="28"/>
                <w:lang w:val="en-US" w:eastAsia="zh-CN"/>
              </w:rPr>
              <w:t>制定《靖州县市场监督管理局2020年扫黑除恶专项斗争市场流通领域专项整治工作方案》,共出动执法人员935人次，检查经营户1533户。摸排案件线索3条,移送公安线索1条。</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
                <w:color w:val="000000"/>
                <w:sz w:val="28"/>
                <w:szCs w:val="28"/>
                <w:lang w:val="en-US" w:eastAsia="zh-CN"/>
              </w:rPr>
            </w:pPr>
            <w:r>
              <w:rPr>
                <w:rFonts w:hint="eastAsia" w:ascii="仿宋_GB2312" w:hAnsi="仿宋_GB2312" w:eastAsia="仿宋_GB2312" w:cs="仿宋_GB2312"/>
                <w:b/>
                <w:color w:val="000000"/>
                <w:sz w:val="28"/>
                <w:szCs w:val="28"/>
                <w:lang w:val="en-US" w:eastAsia="zh-CN"/>
              </w:rPr>
              <w:t>8.持续推进市场监管领域疫情防控常态化工作。</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新型冠状病毒肺炎疫情发生以来，在县疫情防控指挥部正确领导下，我局高度重视，狠抓落实。成立专班，按职责职能进行全面分工，做到责任到人，任务到人。制定严格的管控措施，认真落实“六稳”“六保”工作任务要求，做到疫情防控和复工复业两手抓。</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2020年，全局共立案60起。已核审60起,结案60起，罚款金额1580701.16元。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仿宋_GB2312" w:hAnsi="仿宋_GB2312" w:eastAsia="仿宋_GB2312" w:cs="仿宋_GB2312"/>
                <w:b/>
                <w:bCs w:val="0"/>
                <w:color w:val="000000"/>
                <w:sz w:val="28"/>
                <w:szCs w:val="28"/>
                <w:shd w:val="clear" w:color="auto" w:fill="FFFFFF"/>
              </w:rPr>
            </w:pPr>
            <w:r>
              <w:rPr>
                <w:rFonts w:hint="eastAsia" w:ascii="仿宋_GB2312" w:hAnsi="仿宋_GB2312" w:eastAsia="仿宋_GB2312" w:cs="仿宋_GB2312"/>
                <w:b/>
                <w:bCs w:val="0"/>
                <w:color w:val="000000"/>
                <w:sz w:val="28"/>
                <w:szCs w:val="28"/>
                <w:shd w:val="clear" w:color="auto" w:fill="FFFFFF"/>
              </w:rPr>
              <w:t>（三）强化质量提升意识，当好高质量发展的推动者</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color w:val="000000"/>
                <w:sz w:val="28"/>
                <w:szCs w:val="28"/>
                <w:lang w:val="en-US" w:eastAsia="zh-CN"/>
              </w:rPr>
              <w:t>1.加强知识产权帮扶。</w:t>
            </w:r>
            <w:r>
              <w:rPr>
                <w:rFonts w:hint="eastAsia" w:ascii="仿宋_GB2312" w:hAnsi="仿宋_GB2312" w:eastAsia="仿宋_GB2312" w:cs="仿宋_GB2312"/>
                <w:bCs/>
                <w:sz w:val="28"/>
                <w:szCs w:val="28"/>
                <w:lang w:val="en-US" w:eastAsia="zh-CN"/>
              </w:rPr>
              <w:t>围绕“知识产权与健康中国”活动主题开展知识产权宣传周活动，开设宣传咨询服务台，宣传知识产权相关法律法规；组织知识产权工作人员及企业参加网络“中国知识产权远程教育平台”及国家知识产权培训基地横琴国际知识产权交易中心“微开讲”平台学习；积极帮扶靖州茯苓协会、靖州杨梅协会、靖州山核桃协会等获得地理标志注册商标的商标持有人和具有一定知识产权成果的公司申报2020年度湖南省知识产权战略实施专项项目。</w:t>
            </w:r>
          </w:p>
          <w:p>
            <w:pPr>
              <w:keepNext w:val="0"/>
              <w:keepLines w:val="0"/>
              <w:pageBreakBefore w:val="0"/>
              <w:widowControl w:val="0"/>
              <w:suppressLineNumbers w:val="0"/>
              <w:kinsoku/>
              <w:wordWrap/>
              <w:overflowPunct/>
              <w:topLinePunct w:val="0"/>
              <w:autoSpaceDE/>
              <w:autoSpaceDN/>
              <w:bidi w:val="0"/>
              <w:adjustRightInd/>
              <w:snapToGrid/>
              <w:spacing w:line="400" w:lineRule="exact"/>
              <w:ind w:left="0" w:firstLine="560" w:firstLineChars="200"/>
              <w:jc w:val="left"/>
              <w:textAlignment w:val="auto"/>
              <w:outlineLvl w:val="9"/>
              <w:rPr>
                <w:rFonts w:hint="eastAsia" w:ascii="仿宋_GB2312" w:hAnsi="仿宋_GB2312" w:eastAsia="仿宋_GB2312" w:cs="仿宋_GB2312"/>
                <w:b w:val="0"/>
                <w:kern w:val="0"/>
                <w:sz w:val="24"/>
                <w:szCs w:val="24"/>
              </w:rPr>
            </w:pPr>
            <w:r>
              <w:rPr>
                <w:rFonts w:hint="eastAsia" w:ascii="仿宋_GB2312" w:hAnsi="仿宋_GB2312" w:eastAsia="仿宋_GB2312" w:cs="仿宋_GB2312"/>
                <w:b/>
                <w:color w:val="000000"/>
                <w:sz w:val="28"/>
                <w:szCs w:val="28"/>
                <w:lang w:val="en-US" w:eastAsia="zh-CN"/>
              </w:rPr>
              <w:t>2.加大专利奖补。</w:t>
            </w:r>
            <w:r>
              <w:rPr>
                <w:rFonts w:hint="eastAsia" w:ascii="仿宋_GB2312" w:hAnsi="仿宋_GB2312" w:eastAsia="仿宋_GB2312" w:cs="仿宋_GB2312"/>
                <w:bCs/>
                <w:sz w:val="28"/>
                <w:szCs w:val="28"/>
                <w:lang w:val="en-US" w:eastAsia="zh-CN"/>
              </w:rPr>
              <w:t>加强专利申请指导帮扶力度，积极推进知识产权质押融资工作，2020年专利申请量为206件。组织辖区内企业参加2020年湖南省专利奖申报、评选、2020年中小学知识产权教育试点示范学校申报、评选、湖南省知识产权综合服务分中心的申报等工作，帮助湖南补天药业有限公司、靖州县惠能耐火材料有限公司及获得2019年专利质押融资的企业申请专利融资评估费补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outlineLvl w:val="9"/>
              <w:rPr>
                <w:rFonts w:hint="eastAsia" w:ascii="仿宋_GB2312" w:hAnsi="仿宋_GB2312" w:eastAsia="仿宋_GB2312" w:cs="仿宋_GB2312"/>
                <w:b w:val="0"/>
                <w:color w:val="C00000"/>
                <w:kern w:val="0"/>
                <w:sz w:val="24"/>
                <w:szCs w:val="24"/>
              </w:rPr>
            </w:pPr>
            <w:r>
              <w:rPr>
                <w:rFonts w:hint="eastAsia" w:ascii="仿宋_GB2312" w:hAnsi="仿宋_GB2312" w:eastAsia="仿宋_GB2312" w:cs="仿宋_GB2312"/>
                <w:b/>
                <w:color w:val="000000"/>
                <w:sz w:val="28"/>
                <w:szCs w:val="28"/>
                <w:lang w:val="en-US" w:eastAsia="zh-CN"/>
              </w:rPr>
              <w:t>3.加强商标帮扶。</w:t>
            </w:r>
            <w:r>
              <w:rPr>
                <w:rFonts w:hint="eastAsia" w:ascii="仿宋_GB2312" w:hAnsi="仿宋_GB2312" w:eastAsia="仿宋_GB2312" w:cs="仿宋_GB2312"/>
                <w:bCs/>
                <w:sz w:val="28"/>
                <w:szCs w:val="28"/>
                <w:lang w:val="en-US" w:eastAsia="zh-CN"/>
              </w:rPr>
              <w:t>依托杨梅、茯苓、山核桃及本土特色品牌为载体，引导我县企业争创各级商标、名牌、质量奖，获得15件省著名商标。充分发挥“靖州”字号效应，加大商标品牌创新力度，培育和发展一批科技含量高、附加值高、市场前景好的商标品牌。主动衔接商标代理机构，签订地理标志证明商标合作协议，对我县的“靖州杨梅酒”、“靖州雕花蜜饯”等九个优势产品进行申报，大力发展我县农村经济，助力精准扶贫。目前已有“靖州杨梅酒”、“靖州雕花蜜饯”等三个商标被国家知识产权局受理，进入了实质审核阶段。截至目前，全县有效商标注册数为1279件，其中地理标志证明商标3件。</w:t>
            </w:r>
          </w:p>
          <w:p>
            <w:pPr>
              <w:numPr>
                <w:ilvl w:val="0"/>
                <w:numId w:val="0"/>
              </w:num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color w:val="000000"/>
                <w:sz w:val="28"/>
                <w:szCs w:val="28"/>
                <w:lang w:val="en-US" w:eastAsia="zh-CN"/>
              </w:rPr>
              <w:t>4.抓实产品抽检。</w:t>
            </w:r>
            <w:r>
              <w:rPr>
                <w:rFonts w:hint="eastAsia" w:ascii="仿宋_GB2312" w:hAnsi="仿宋_GB2312" w:eastAsia="仿宋_GB2312" w:cs="仿宋_GB2312"/>
                <w:bCs/>
                <w:sz w:val="28"/>
                <w:szCs w:val="28"/>
                <w:lang w:val="en-US" w:eastAsia="zh-CN"/>
              </w:rPr>
              <w:t>全年共抽检食用农产品660批次，合格648批次，合格率98.2%（预计）。开展食品生产领域监督抽检，抽检食品95批次，合格93批次，合格率97.8%（预计），立案9起，罚没11.66万元。对加油机、衡器、压力表、水表等计量器具进行了强检，共计委托检验146批次，检定各类计量器具900台件。配合中小学开学水质检测，重大活动大型餐饮、学校食材配送企业等快速检测等共快检60多批次。</w:t>
            </w:r>
          </w:p>
          <w:p>
            <w:pPr>
              <w:numPr>
                <w:ilvl w:val="0"/>
                <w:numId w:val="0"/>
              </w:numPr>
              <w:spacing w:line="4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存在的主要问题</w:t>
            </w:r>
          </w:p>
          <w:p>
            <w:pPr>
              <w:numPr>
                <w:ilvl w:val="0"/>
                <w:numId w:val="4"/>
              </w:num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食用农产品抽检数量基本上是逐年增加的，抽检经费严重不足。目前抽检专项经费仅勉强满足抽检，无经费用于提升监管人员执法水平、经营者素质。</w:t>
            </w:r>
          </w:p>
          <w:p>
            <w:pPr>
              <w:numPr>
                <w:ilvl w:val="0"/>
                <w:numId w:val="4"/>
              </w:numPr>
              <w:spacing w:line="40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16个乡镇（便民服务中心）市场监督管理所负责的区域广，责任大。在目前人员编制的情况下，做不到科学合理的进行日常监管工作。</w:t>
            </w:r>
          </w:p>
          <w:p>
            <w:pPr>
              <w:numPr>
                <w:ilvl w:val="0"/>
                <w:numId w:val="4"/>
              </w:numPr>
              <w:spacing w:line="400" w:lineRule="exact"/>
              <w:ind w:firstLine="560" w:firstLineChars="200"/>
              <w:rPr>
                <w:rFonts w:hint="eastAsia" w:ascii="黑体" w:hAnsi="黑体" w:eastAsia="黑体" w:cs="黑体"/>
                <w:bCs/>
                <w:sz w:val="28"/>
                <w:szCs w:val="28"/>
              </w:rPr>
            </w:pPr>
            <w:r>
              <w:rPr>
                <w:rFonts w:hint="eastAsia" w:ascii="仿宋_GB2312" w:hAnsi="仿宋_GB2312" w:eastAsia="仿宋_GB2312" w:cs="仿宋_GB2312"/>
                <w:bCs/>
                <w:sz w:val="28"/>
                <w:szCs w:val="28"/>
                <w:lang w:val="en-US" w:eastAsia="zh-CN"/>
              </w:rPr>
              <w:t>单位日常工作任务重，办公设备老旧，严重影响办公速度及效率。</w:t>
            </w:r>
          </w:p>
          <w:p>
            <w:pPr>
              <w:numPr>
                <w:ilvl w:val="0"/>
                <w:numId w:val="3"/>
              </w:numPr>
              <w:spacing w:line="40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增加部分经费用于提升工作人员执法水平，对经营者进行培训学习，提高经营者素质。</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560" w:firstLineChars="200"/>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在目前人员编制的情况下，增加基层工作人员比重，进行乡镇日常监管工作。</w:t>
            </w:r>
          </w:p>
          <w:p>
            <w:pPr>
              <w:numPr>
                <w:ilvl w:val="0"/>
                <w:numId w:val="0"/>
              </w:numPr>
              <w:spacing w:line="400" w:lineRule="exact"/>
              <w:ind w:firstLine="560" w:firstLineChars="200"/>
              <w:rPr>
                <w:rFonts w:hint="eastAsia" w:ascii="黑体" w:hAnsi="黑体" w:eastAsia="黑体" w:cs="黑体"/>
                <w:bCs/>
                <w:sz w:val="28"/>
                <w:szCs w:val="28"/>
                <w:lang w:val="en-US" w:eastAsia="zh-CN"/>
              </w:rPr>
            </w:pPr>
            <w:r>
              <w:rPr>
                <w:rFonts w:hint="eastAsia" w:ascii="仿宋_GB2312" w:hAnsi="仿宋_GB2312" w:eastAsia="仿宋_GB2312" w:cs="仿宋_GB2312"/>
                <w:bCs/>
                <w:sz w:val="28"/>
                <w:szCs w:val="28"/>
                <w:lang w:val="en-US" w:eastAsia="zh-CN"/>
              </w:rPr>
              <w:t>3.在规范管理、厉行节约基础上，更换一批老旧设备，以保证工作能高效率的进行，更好的为人民群众服务。</w:t>
            </w:r>
          </w:p>
          <w:p>
            <w:pPr>
              <w:rPr>
                <w:rFonts w:eastAsia="楷体_GB2312"/>
                <w:bCs/>
                <w:sz w:val="28"/>
                <w:szCs w:val="28"/>
              </w:rPr>
            </w:pPr>
          </w:p>
        </w:tc>
      </w:tr>
    </w:tbl>
    <w:p>
      <w:pPr>
        <w:adjustRightInd w:val="0"/>
        <w:snapToGrid w:val="0"/>
        <w:spacing w:line="360" w:lineRule="auto"/>
        <w:ind w:firstLine="560" w:firstLineChars="200"/>
        <w:rPr>
          <w:rFonts w:hint="eastAsia" w:eastAsia="仿宋_GB2312"/>
          <w:bCs/>
          <w:sz w:val="32"/>
          <w:szCs w:val="32"/>
        </w:rPr>
      </w:pPr>
      <w:r>
        <w:rPr>
          <w:rFonts w:eastAsia="楷体_GB2312"/>
          <w:bCs/>
          <w:sz w:val="28"/>
          <w:szCs w:val="28"/>
        </w:rPr>
        <w:br w:type="page"/>
      </w:r>
    </w:p>
    <w:p>
      <w:pPr>
        <w:ind w:firstLine="640" w:firstLineChars="200"/>
        <w:jc w:val="left"/>
        <w:rPr>
          <w:rFonts w:cs="黑体" w:asciiTheme="minorEastAsia" w:hAnsiTheme="minorEastAsia"/>
          <w:color w:val="000000"/>
          <w:kern w:val="0"/>
          <w:sz w:val="32"/>
          <w:szCs w:val="32"/>
        </w:rPr>
      </w:pPr>
    </w:p>
    <w:sectPr>
      <w:pgSz w:w="11906" w:h="16838"/>
      <w:pgMar w:top="1800" w:right="1440" w:bottom="1800"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separate"/>
    </w:r>
    <w:r>
      <w:rPr>
        <w:rStyle w:val="9"/>
      </w:rPr>
      <w:t>- 15 -</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1E98B"/>
    <w:multiLevelType w:val="singleLevel"/>
    <w:tmpl w:val="9531E98B"/>
    <w:lvl w:ilvl="0" w:tentative="0">
      <w:start w:val="3"/>
      <w:numFmt w:val="chineseCounting"/>
      <w:suff w:val="nothing"/>
      <w:lvlText w:val="%1、"/>
      <w:lvlJc w:val="left"/>
      <w:rPr>
        <w:rFonts w:hint="eastAsia"/>
      </w:rPr>
    </w:lvl>
  </w:abstractNum>
  <w:abstractNum w:abstractNumId="1">
    <w:nsid w:val="FC1990BC"/>
    <w:multiLevelType w:val="singleLevel"/>
    <w:tmpl w:val="FC1990BC"/>
    <w:lvl w:ilvl="0" w:tentative="0">
      <w:start w:val="1"/>
      <w:numFmt w:val="decimal"/>
      <w:lvlText w:val="%1."/>
      <w:lvlJc w:val="left"/>
      <w:pPr>
        <w:tabs>
          <w:tab w:val="left" w:pos="312"/>
        </w:tabs>
      </w:pPr>
    </w:lvl>
  </w:abstractNum>
  <w:abstractNum w:abstractNumId="2">
    <w:nsid w:val="1588C9C2"/>
    <w:multiLevelType w:val="singleLevel"/>
    <w:tmpl w:val="1588C9C2"/>
    <w:lvl w:ilvl="0" w:tentative="0">
      <w:start w:val="2"/>
      <w:numFmt w:val="decimal"/>
      <w:suff w:val="nothing"/>
      <w:lvlText w:val="%1、"/>
      <w:lvlJc w:val="left"/>
    </w:lvl>
  </w:abstractNum>
  <w:abstractNum w:abstractNumId="3">
    <w:nsid w:val="1598C802"/>
    <w:multiLevelType w:val="singleLevel"/>
    <w:tmpl w:val="1598C802"/>
    <w:lvl w:ilvl="0" w:tentative="0">
      <w:start w:val="7"/>
      <w:numFmt w:val="decimal"/>
      <w:lvlText w:val="%1."/>
      <w:lvlJc w:val="left"/>
      <w:pPr>
        <w:tabs>
          <w:tab w:val="left" w:pos="312"/>
        </w:tabs>
      </w:pPr>
    </w:lvl>
  </w:abstractNum>
  <w:abstractNum w:abstractNumId="4">
    <w:nsid w:val="7974FB59"/>
    <w:multiLevelType w:val="singleLevel"/>
    <w:tmpl w:val="7974FB59"/>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12CD3FA6"/>
    <w:rsid w:val="17376283"/>
    <w:rsid w:val="18B02348"/>
    <w:rsid w:val="22114CA6"/>
    <w:rsid w:val="2C9530AB"/>
    <w:rsid w:val="2FF35340"/>
    <w:rsid w:val="45924EA8"/>
    <w:rsid w:val="46BA4BCF"/>
    <w:rsid w:val="49282169"/>
    <w:rsid w:val="50BC5BB3"/>
    <w:rsid w:val="5285186D"/>
    <w:rsid w:val="5E686264"/>
    <w:rsid w:val="5FB24CF7"/>
    <w:rsid w:val="6ABB473D"/>
    <w:rsid w:val="6B8F41C6"/>
    <w:rsid w:val="71D7485F"/>
    <w:rsid w:val="7C9607E4"/>
    <w:rsid w:val="7E354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0" w:beforeLines="0" w:beforeAutospacing="0" w:after="0" w:afterLines="0" w:afterAutospacing="0" w:line="360" w:lineRule="auto"/>
      <w:ind w:firstLine="720" w:firstLineChars="200"/>
      <w:outlineLvl w:val="1"/>
    </w:pPr>
    <w:rPr>
      <w:rFonts w:ascii="Arial" w:hAnsi="Arial" w:eastAsia="黑体"/>
      <w:b/>
      <w:sz w:val="32"/>
      <w:szCs w:val="24"/>
      <w:lang w:bidi="ar-SA"/>
    </w:rPr>
  </w:style>
  <w:style w:type="paragraph" w:styleId="3">
    <w:name w:val="heading 3"/>
    <w:basedOn w:val="1"/>
    <w:next w:val="1"/>
    <w:link w:val="16"/>
    <w:qFormat/>
    <w:uiPriority w:val="0"/>
    <w:pPr>
      <w:keepNext/>
      <w:keepLines/>
      <w:spacing w:before="0" w:beforeLines="0" w:beforeAutospacing="0" w:after="0" w:afterLines="0" w:afterAutospacing="0" w:line="360" w:lineRule="auto"/>
      <w:outlineLvl w:val="2"/>
    </w:pPr>
    <w:rPr>
      <w:rFonts w:eastAsia="楷体_GB2312"/>
      <w:b/>
      <w:kern w:val="0"/>
      <w:sz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2"/>
    <w:basedOn w:val="1"/>
    <w:qFormat/>
    <w:uiPriority w:val="0"/>
    <w:pPr>
      <w:ind w:firstLine="588" w:firstLineChars="200"/>
    </w:pPr>
    <w:rPr>
      <w:rFonts w:ascii="仿宋_GB2312" w:eastAsia="仿宋_GB2312"/>
      <w:sz w:val="32"/>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8"/>
    <w:link w:val="5"/>
    <w:semiHidden/>
    <w:qFormat/>
    <w:uiPriority w:val="99"/>
    <w:rPr>
      <w:sz w:val="18"/>
      <w:szCs w:val="18"/>
    </w:rPr>
  </w:style>
  <w:style w:type="character" w:customStyle="1" w:styleId="16">
    <w:name w:val=" Char Char"/>
    <w:link w:val="3"/>
    <w:qFormat/>
    <w:uiPriority w:val="0"/>
    <w:rPr>
      <w:rFonts w:eastAsia="楷体_GB2312"/>
      <w:b/>
      <w:kern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1308</Words>
  <Characters>7462</Characters>
  <Lines>62</Lines>
  <Paragraphs>17</Paragraphs>
  <TotalTime>7</TotalTime>
  <ScaleCrop>false</ScaleCrop>
  <LinksUpToDate>false</LinksUpToDate>
  <CharactersWithSpaces>8753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2021-07-28T00:12:00Z</cp:lastPrinted>
  <dcterms:modified xsi:type="dcterms:W3CDTF">2021-09-22T03:23:34Z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