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2021年靖州县市场监督管理局部门预算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目 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第一部分 </w:t>
      </w:r>
      <w:r>
        <w:rPr>
          <w:rFonts w:hint="eastAsia"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 xml:space="preserve">2021年部门预算说明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第二部分 </w:t>
      </w:r>
      <w:r>
        <w:rPr>
          <w:rFonts w:hint="eastAsia"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 xml:space="preserve">2021年部门预算表 </w:t>
      </w:r>
    </w:p>
    <w:p>
      <w:pPr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1、收支预算总表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收入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3、非税收入征收计划表 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4、支出预算分类汇总表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(部门经济分类）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（政府经济分类）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6、基本支出预算明细表-工资福利支出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7、基本支出预算明细表-商品和服务支出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8、基本支出预算明细表-对个人和家庭的补助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9、公共财政拨款支出预算分类汇总表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10、政府性基金拨款支出预算分类汇总表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11-13、项目支出预算明细表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14、政府采购预算表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15、“三公”经费预算公开表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16、单位基本情况信息表</w:t>
      </w: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第一部分：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Times New Roman" w:hAnsi="Times New Roman" w:eastAsia="宋体" w:cs="Times New Roman"/>
          <w:b/>
          <w:color w:val="auto"/>
          <w:kern w:val="0"/>
          <w:sz w:val="36"/>
          <w:szCs w:val="36"/>
          <w:lang w:val="en-US" w:eastAsia="zh-CN" w:bidi="ar"/>
        </w:rPr>
        <w:t>2021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年部门预算说明</w:t>
      </w:r>
    </w:p>
    <w:p>
      <w:pPr>
        <w:keepNext w:val="0"/>
        <w:keepLines w:val="0"/>
        <w:widowControl/>
        <w:suppressLineNumbers w:val="0"/>
        <w:jc w:val="both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、职能职责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Times New Roman" w:hAnsi="Times New Roman" w:eastAsia="方正仿宋简体"/>
          <w:sz w:val="32"/>
          <w:szCs w:val="32"/>
        </w:rPr>
        <w:t>负责市场综合监督管理工作。贯彻执行国家有关市场监督管理法律、法规、规章和政策；组织实施质量强县战略、食品药品安全战略、标准化战略和知识产权战略；拟订并组织实施有关规划，规范和维护市场秩序，营造诚实守信、公平竞争的市场环境。</w:t>
      </w:r>
    </w:p>
    <w:p>
      <w:pPr>
        <w:spacing w:line="580" w:lineRule="exact"/>
        <w:ind w:firstLine="62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（2）</w:t>
      </w:r>
      <w:r>
        <w:rPr>
          <w:rFonts w:hint="eastAsia" w:ascii="Times New Roman" w:hAnsi="Times New Roman" w:eastAsia="方正仿宋简体"/>
          <w:sz w:val="32"/>
          <w:szCs w:val="32"/>
        </w:rPr>
        <w:t>负责市场主体统一登记注册。指导各类企业、农民专业合作社和从事经营活动的单位、个体工商户等市场主体的登记注册工作和监督管理工作，扶持个体、民营经济发展。建立市场主体信息公示和共享机制，依法公示和共享有关信息，加强信用监管，推动市场主体信息体系建设。</w:t>
      </w:r>
    </w:p>
    <w:p>
      <w:pPr>
        <w:spacing w:line="580" w:lineRule="exact"/>
        <w:ind w:firstLine="62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（3）</w:t>
      </w:r>
      <w:r>
        <w:rPr>
          <w:rFonts w:hint="eastAsia" w:ascii="Times New Roman" w:hAnsi="Times New Roman" w:eastAsia="方正仿宋简体"/>
          <w:sz w:val="32"/>
          <w:szCs w:val="32"/>
        </w:rPr>
        <w:t>负责组织和推进市场监管综合行政执法工作。贯彻落实中央和省、市关于市场监管综合行政执法改革相关文件精神，负责推进全县市场监管综合行政执法改革工作。组织实施全县市场监管综合行政执法队伍整合和建设，会同有关部门将反垄断执法、盐业执法整合纳入市场监管执法，规范市场监管行政执法行为。组织查处违法案件。</w:t>
      </w:r>
    </w:p>
    <w:p>
      <w:pPr>
        <w:spacing w:line="580" w:lineRule="exact"/>
        <w:ind w:firstLine="62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lang w:val="en-US" w:eastAsia="zh-CN" w:bidi="ar"/>
        </w:rPr>
        <w:t>（4）</w:t>
      </w:r>
      <w:r>
        <w:rPr>
          <w:rFonts w:hint="eastAsia" w:ascii="Times New Roman" w:hAnsi="Times New Roman" w:eastAsia="方正仿宋简体"/>
          <w:sz w:val="32"/>
          <w:szCs w:val="32"/>
        </w:rPr>
        <w:t>负责反垄断相关工作。落实竞争政策，负责实施公平竞争审查制度。依法对经营者集中行为进行反垄断审查，根据授权负责垄断协议、滥用市场支配地位和滥用行政权力排除、限制竞争等反垄断工作。</w:t>
      </w:r>
    </w:p>
    <w:p>
      <w:pPr>
        <w:spacing w:line="580" w:lineRule="exact"/>
        <w:ind w:firstLine="62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（5）</w:t>
      </w:r>
      <w:r>
        <w:rPr>
          <w:rFonts w:hint="eastAsia" w:ascii="Times New Roman" w:hAnsi="Times New Roman" w:eastAsia="方正仿宋简体"/>
          <w:sz w:val="32"/>
          <w:szCs w:val="32"/>
        </w:rPr>
        <w:t>负责监督管理市场秩序。依法监督管理市场交易、网络商品交易及有关服务行为。组织查处价格收费违法违规、不正当竞争、违法直销、传销、侵犯商标专利知识产权和制售假冒伪劣行为。指导广告业发展，监督管理广告活动。依法查处无证、无照生产经营行为。</w:t>
      </w:r>
    </w:p>
    <w:p>
      <w:pPr>
        <w:spacing w:line="580" w:lineRule="exact"/>
        <w:ind w:firstLine="62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（6）</w:t>
      </w:r>
      <w:r>
        <w:rPr>
          <w:rFonts w:hint="eastAsia" w:ascii="Times New Roman" w:hAnsi="Times New Roman" w:eastAsia="方正仿宋简体"/>
          <w:sz w:val="32"/>
          <w:szCs w:val="32"/>
        </w:rPr>
        <w:t>负责组织开展有关服务领域消费维权工作，查处制售假冒伪劣等违法行为，指导消费者咨询、申诉、举报受理、处理和网络体系建设等工作，保护经营者、消费者合法权益。</w:t>
      </w:r>
    </w:p>
    <w:p>
      <w:pPr>
        <w:spacing w:line="580" w:lineRule="exact"/>
        <w:ind w:firstLine="62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（7）</w:t>
      </w:r>
      <w:r>
        <w:rPr>
          <w:rFonts w:hint="eastAsia" w:ascii="Times New Roman" w:hAnsi="Times New Roman" w:eastAsia="方正仿宋简体"/>
          <w:sz w:val="32"/>
          <w:szCs w:val="32"/>
        </w:rPr>
        <w:t>负责宏观质量管理。拟订推进质量强县战略的制度措施并组织实施。会同有关部门组织实施重大工程设备质量监理制度，组织质量事故调查，贯彻实施缺陷产品召回制度，监督管理产品防伪工作。</w:t>
      </w:r>
    </w:p>
    <w:p>
      <w:pPr>
        <w:spacing w:line="580" w:lineRule="exact"/>
        <w:ind w:firstLine="62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（8）</w:t>
      </w:r>
      <w:r>
        <w:rPr>
          <w:rFonts w:hint="eastAsia" w:ascii="Times New Roman" w:hAnsi="Times New Roman" w:eastAsia="方正仿宋简体"/>
          <w:sz w:val="32"/>
          <w:szCs w:val="32"/>
        </w:rPr>
        <w:t>负责产品质量安全监督管理。负责管理产品质量安全风险监控、监督抽查工作，负责实施质量分级制度、质量安全追溯制度。负责实施工业产品生产许可监督管理。负责纤维质量监督工作。</w:t>
      </w:r>
    </w:p>
    <w:p>
      <w:pPr>
        <w:spacing w:line="580" w:lineRule="exact"/>
        <w:ind w:firstLine="62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（9）</w:t>
      </w:r>
      <w:r>
        <w:rPr>
          <w:rFonts w:hint="eastAsia" w:ascii="Times New Roman" w:hAnsi="Times New Roman" w:eastAsia="方正仿宋简体"/>
          <w:sz w:val="32"/>
          <w:szCs w:val="32"/>
        </w:rPr>
        <w:t>负责特种设备安全监督管理。综合管理特种设备安全监察、监督工作，监督检查高耗能特种设备节能标准和锅炉环境保护标准的执行情况。配合上级调查处理特种设备事故并进行统计分析。</w:t>
      </w:r>
    </w:p>
    <w:p>
      <w:pPr>
        <w:spacing w:line="580" w:lineRule="exact"/>
        <w:ind w:firstLine="62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（10）</w:t>
      </w:r>
      <w:r>
        <w:rPr>
          <w:rFonts w:hint="eastAsia" w:ascii="Times New Roman" w:hAnsi="Times New Roman" w:eastAsia="方正仿宋简体"/>
          <w:sz w:val="32"/>
          <w:szCs w:val="32"/>
        </w:rPr>
        <w:t>负责食品安全监督管理综合协调。组织实施食品安全重大政策，负责食品安全应急体系建设，组织重大食品安全事件应急处置和调查处理工作。落实食品安全重要信息直报制度。承担县食品安全委员会日常工作。</w:t>
      </w:r>
    </w:p>
    <w:p>
      <w:pPr>
        <w:spacing w:line="580" w:lineRule="exact"/>
        <w:ind w:firstLine="62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（11）</w:t>
      </w:r>
      <w:r>
        <w:rPr>
          <w:rFonts w:hint="eastAsia" w:ascii="Times New Roman" w:hAnsi="Times New Roman" w:eastAsia="方正仿宋简体"/>
          <w:sz w:val="32"/>
          <w:szCs w:val="32"/>
        </w:rPr>
        <w:t>负责食品安全监督管理。建立实施覆盖食品生产、流通、消费全过程的监督检查制度和隐患排查治理机制，防范区域性、系统性食品安全风险。推行食品生产经营者落实主体责任机制，健全食品安全追溯体系。组织开展食品安全监督抽检、风险监测、核查处置和风险预警、风险交流工作。组织实施特殊食品相关监督管理工作。负责食盐专营管理和食盐安全监督管理。</w:t>
      </w:r>
    </w:p>
    <w:p>
      <w:pPr>
        <w:spacing w:line="580" w:lineRule="exact"/>
        <w:ind w:firstLine="62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（12）</w:t>
      </w:r>
      <w:r>
        <w:rPr>
          <w:rFonts w:hint="eastAsia" w:ascii="Times New Roman" w:hAnsi="Times New Roman" w:eastAsia="方正仿宋简体"/>
          <w:sz w:val="32"/>
          <w:szCs w:val="32"/>
        </w:rPr>
        <w:t>负责统一管理计量工作。推行法定计量单位和国家计量制度，管理计量器具及量值传递和比对工作。规范、监督商品量和市场计量行为。</w:t>
      </w:r>
    </w:p>
    <w:p>
      <w:pPr>
        <w:spacing w:line="580" w:lineRule="exact"/>
        <w:ind w:firstLine="62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（13）</w:t>
      </w:r>
      <w:r>
        <w:rPr>
          <w:rFonts w:hint="eastAsia" w:ascii="Times New Roman" w:hAnsi="Times New Roman" w:eastAsia="方正仿宋简体"/>
          <w:sz w:val="32"/>
          <w:szCs w:val="32"/>
        </w:rPr>
        <w:t>负责统一管理标准化工作。指导开展标准化试点示范工作。组织协调并指导推动各部门、各行业的标准化工作。依法对标准的实施进行监督。推行采用国际标准。</w:t>
      </w:r>
    </w:p>
    <w:p>
      <w:pPr>
        <w:spacing w:line="580" w:lineRule="exact"/>
        <w:ind w:firstLine="62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（14）</w:t>
      </w:r>
      <w:r>
        <w:rPr>
          <w:rFonts w:hint="eastAsia" w:ascii="Times New Roman" w:hAnsi="Times New Roman" w:eastAsia="方正仿宋简体"/>
          <w:sz w:val="32"/>
          <w:szCs w:val="32"/>
        </w:rPr>
        <w:t>负责统一管理检验检测工作。推进检验检测机构改革，规范检验检测市场，完善检验检测体系，指导协调检验检测行业发展。</w:t>
      </w:r>
    </w:p>
    <w:p>
      <w:pPr>
        <w:spacing w:line="580" w:lineRule="exact"/>
        <w:ind w:firstLine="62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（15）</w:t>
      </w:r>
      <w:r>
        <w:rPr>
          <w:rFonts w:hint="eastAsia" w:ascii="Times New Roman" w:hAnsi="Times New Roman" w:eastAsia="方正仿宋简体"/>
          <w:sz w:val="32"/>
          <w:szCs w:val="32"/>
        </w:rPr>
        <w:t>负责统一管理、监督和综合协调认证认可工作。组织实施统一的认证认可和合格评定监督管理制度。</w:t>
      </w:r>
    </w:p>
    <w:p>
      <w:pPr>
        <w:spacing w:line="580" w:lineRule="exact"/>
        <w:ind w:firstLine="62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（16）</w:t>
      </w:r>
      <w:r>
        <w:rPr>
          <w:rFonts w:hint="eastAsia" w:ascii="Times New Roman" w:hAnsi="Times New Roman" w:eastAsia="方正仿宋简体"/>
          <w:sz w:val="32"/>
          <w:szCs w:val="32"/>
        </w:rPr>
        <w:t>负责实施知识产权战略，配合推进知识产权强省建设。组织实施知识产权创造、保护、运用的政策和措施。负责知识产权公共服务体系建设，推动知识产权信息传播利用，统筹协调涉外知识产权有关事宜。</w:t>
      </w:r>
    </w:p>
    <w:p>
      <w:pPr>
        <w:spacing w:line="580" w:lineRule="exact"/>
        <w:ind w:firstLine="62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（17）</w:t>
      </w:r>
      <w:r>
        <w:rPr>
          <w:rFonts w:hint="eastAsia" w:ascii="Times New Roman" w:hAnsi="Times New Roman" w:eastAsia="方正仿宋简体"/>
          <w:sz w:val="32"/>
          <w:szCs w:val="32"/>
        </w:rPr>
        <w:t>负责保护知识产权。落实严格保护商标、专利、原产地地理标志等相关工作，负责知识产权保护体系建设，组织指导商标、专利执法工作。</w:t>
      </w:r>
    </w:p>
    <w:p>
      <w:pPr>
        <w:spacing w:line="580" w:lineRule="exact"/>
        <w:ind w:firstLine="62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（18）</w:t>
      </w:r>
      <w:r>
        <w:rPr>
          <w:rFonts w:hint="eastAsia" w:ascii="Times New Roman" w:hAnsi="Times New Roman" w:eastAsia="方正仿宋简体"/>
          <w:sz w:val="32"/>
          <w:szCs w:val="32"/>
        </w:rPr>
        <w:t>负责知识产权创造运用。按权限负责商标、专利和原产地地理标志的管理，开展知识产权运营体系建设，指导重大经济活动知识产权评议，规范知识产权交易和无形资产评估，促进知识产权转移转化。</w:t>
      </w:r>
    </w:p>
    <w:p>
      <w:pPr>
        <w:spacing w:line="580" w:lineRule="exact"/>
        <w:ind w:firstLine="62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（19）</w:t>
      </w:r>
      <w:r>
        <w:rPr>
          <w:rFonts w:hint="eastAsia" w:ascii="Times New Roman" w:hAnsi="Times New Roman" w:eastAsia="方正仿宋简体"/>
          <w:sz w:val="32"/>
          <w:szCs w:val="32"/>
        </w:rPr>
        <w:t>负责市场监督管理、知识产权领域科技和信息化建设、新闻宣传、对外交流与合作。按规定承担技术性贸易措施有关工作。</w:t>
      </w:r>
    </w:p>
    <w:p>
      <w:pPr>
        <w:spacing w:line="580" w:lineRule="exact"/>
        <w:ind w:firstLine="62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（20）</w:t>
      </w:r>
      <w:r>
        <w:rPr>
          <w:rFonts w:hint="eastAsia" w:ascii="Times New Roman" w:hAnsi="Times New Roman" w:eastAsia="方正仿宋简体"/>
          <w:sz w:val="32"/>
          <w:szCs w:val="32"/>
        </w:rPr>
        <w:t>负责药品（含中药、民族药，下同）、医疗器械和化妆品安全监督管理。贯彻执行国家药品、医疗器械和化妆品监督管理的法律、法规和规章，拟定相关制度措施，并组织实施。组织实施国家鼓励药品、医疗器械、化妆品新技术新产品管理和服务政策。</w:t>
      </w:r>
    </w:p>
    <w:p>
      <w:pPr>
        <w:spacing w:line="580" w:lineRule="exact"/>
        <w:ind w:firstLine="62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（21）</w:t>
      </w:r>
      <w:r>
        <w:rPr>
          <w:rFonts w:hint="eastAsia" w:ascii="Times New Roman" w:hAnsi="Times New Roman" w:eastAsia="方正仿宋简体"/>
          <w:sz w:val="32"/>
          <w:szCs w:val="32"/>
        </w:rPr>
        <w:t>监督实施药品、医疗器械和化妆品分类管理制度，配合有关部门实施国家基本药物制度。</w:t>
      </w:r>
    </w:p>
    <w:p>
      <w:pPr>
        <w:spacing w:line="580" w:lineRule="exact"/>
        <w:ind w:firstLine="62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（22）</w:t>
      </w:r>
      <w:r>
        <w:rPr>
          <w:rFonts w:hint="eastAsia" w:ascii="Times New Roman" w:hAnsi="Times New Roman" w:eastAsia="方正仿宋简体"/>
          <w:sz w:val="32"/>
          <w:szCs w:val="32"/>
        </w:rPr>
        <w:t>负责药品、医疗器械和化妆品质量管理。监督实施药品、医疗器械经营质量管理规范，监督实施化妆品经营、使用卫生标准和技术规范。</w:t>
      </w:r>
      <w:r>
        <w:rPr>
          <w:rFonts w:ascii="Times New Roman" w:hAnsi="Times New Roman" w:eastAsia="方正仿宋简体"/>
          <w:sz w:val="32"/>
          <w:szCs w:val="32"/>
        </w:rPr>
        <w:t xml:space="preserve">  </w:t>
      </w:r>
    </w:p>
    <w:p>
      <w:pPr>
        <w:spacing w:line="580" w:lineRule="exact"/>
        <w:ind w:firstLine="62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（23）</w:t>
      </w:r>
      <w:r>
        <w:rPr>
          <w:rFonts w:hint="eastAsia" w:ascii="Times New Roman" w:hAnsi="Times New Roman" w:eastAsia="方正仿宋简体"/>
          <w:sz w:val="32"/>
          <w:szCs w:val="32"/>
        </w:rPr>
        <w:t>组织开展药品不良反应、医疗器械不良事件和化妆品不良反应的监测、评价和处置工作，监督实施产品召回制度。依法承担药品、医疗器械和化妆品安全应急管理工作。</w:t>
      </w:r>
    </w:p>
    <w:p>
      <w:pPr>
        <w:spacing w:line="580" w:lineRule="exact"/>
        <w:ind w:firstLine="62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（24）</w:t>
      </w:r>
      <w:r>
        <w:rPr>
          <w:rFonts w:hint="eastAsia" w:ascii="Times New Roman" w:hAnsi="Times New Roman" w:eastAsia="方正仿宋简体"/>
          <w:sz w:val="32"/>
          <w:szCs w:val="32"/>
        </w:rPr>
        <w:t>负责组织实施药品、医疗器械和化妆品监督检查。落实检查制度，依法查处药品零售、使用环节及医疗器械和化妆品经营、使用环节违法行为。</w:t>
      </w:r>
    </w:p>
    <w:p>
      <w:pPr>
        <w:spacing w:line="580" w:lineRule="exact"/>
        <w:ind w:firstLine="62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（25）</w:t>
      </w:r>
      <w:r>
        <w:rPr>
          <w:rFonts w:hint="eastAsia" w:ascii="Times New Roman" w:hAnsi="Times New Roman" w:eastAsia="方正仿宋简体"/>
          <w:sz w:val="32"/>
          <w:szCs w:val="32"/>
        </w:rPr>
        <w:t>组织制定检查制度，并依职责组织实施。依职责组织查处药品、医疗器械和化妆品生产经营环节的违法行为，组织查处跨区域和重大复杂案件。负责药品、医疗器械和化妆品投诉举报的处理工作。推进专业化、职业化检查员队伍建设。</w:t>
      </w:r>
    </w:p>
    <w:p>
      <w:pPr>
        <w:spacing w:line="580" w:lineRule="exact"/>
        <w:ind w:firstLine="62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（26）</w:t>
      </w:r>
      <w:r>
        <w:rPr>
          <w:rFonts w:hint="eastAsia" w:ascii="Times New Roman" w:hAnsi="Times New Roman" w:eastAsia="方正仿宋简体"/>
          <w:sz w:val="32"/>
          <w:szCs w:val="32"/>
        </w:rPr>
        <w:t>负责职责范围内食品药品行业安全生产工作。</w:t>
      </w:r>
    </w:p>
    <w:p>
      <w:pPr>
        <w:spacing w:line="580" w:lineRule="exact"/>
        <w:ind w:firstLine="62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（27）</w:t>
      </w:r>
      <w:r>
        <w:rPr>
          <w:rFonts w:hint="eastAsia" w:ascii="Times New Roman" w:hAnsi="Times New Roman" w:eastAsia="方正仿宋简体"/>
          <w:sz w:val="32"/>
          <w:szCs w:val="32"/>
        </w:rPr>
        <w:t>完成县委、县人民政府交办的其他任务。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（28）</w:t>
      </w:r>
      <w:r>
        <w:rPr>
          <w:rFonts w:hint="eastAsia" w:ascii="Times New Roman" w:hAnsi="Times New Roman" w:eastAsia="方正仿宋简体"/>
          <w:sz w:val="32"/>
          <w:szCs w:val="32"/>
        </w:rPr>
        <w:t>职能转变。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、机构设置 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lang w:val="en-US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根据编委核定，我单位是</w:t>
      </w:r>
      <w:r>
        <w:rPr>
          <w:rFonts w:hint="eastAsia" w:ascii="仿宋_GB2312" w:hAnsi="宋体" w:eastAsia="仿宋_GB2312"/>
          <w:sz w:val="32"/>
          <w:szCs w:val="32"/>
        </w:rPr>
        <w:t>全额拨款的行政单位。2019年4月出台的县市场监督管理三定方案中，共有内设机构1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个，机关行政编制29名（含乡镇市场监督管理所编制16名），机关后勤服务全额拨款事业编制2名。县市场监督管理局直属机构、派出机构及所属事业单位的设置、职责和编制事项另行规定。全局实有在职人员97名，行政编制57名（含2名机关工勤人员）；事业编制40名（含1名差额事业编）；临聘用人员11名（含3名公益性岗位）；现有退休人员61名，提前退休人员17人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其中：在职人员副处级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人，正科级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人，副科级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科员及以下1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事业管理人员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20人，</w:t>
      </w:r>
      <w:r>
        <w:rPr>
          <w:rFonts w:hint="eastAsia" w:ascii="仿宋_GB2312" w:hAnsi="仿宋" w:eastAsia="仿宋_GB2312"/>
          <w:sz w:val="32"/>
          <w:szCs w:val="32"/>
        </w:rPr>
        <w:t>事业中级职称1人，初级职称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人，其它人员8人。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本单位内设</w:t>
      </w:r>
      <w:r>
        <w:rPr>
          <w:rFonts w:hint="eastAsia" w:ascii="仿宋_GB2312" w:hAnsi="宋体" w:eastAsia="仿宋_GB2312"/>
          <w:sz w:val="32"/>
          <w:szCs w:val="32"/>
        </w:rPr>
        <w:t>办公室、计财股、人事教育股、政策法规股、食品安全监督管理股、食品安全综合协调股、药品化妆品医疗器械监督管理股、消费者权益保护股（投诉举报中心）、行政审批服务股、特种设备安全监察股、知识产权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信用质量和广告网络监督管理股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标准计量认证认可监督管理股、价格监督管理股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应急反应股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2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kern w:val="0"/>
          <w:sz w:val="32"/>
          <w:szCs w:val="32"/>
        </w:rPr>
        <w:t>二、</w:t>
      </w:r>
      <w:r>
        <w:rPr>
          <w:rFonts w:hint="eastAsia" w:ascii="黑体" w:eastAsia="黑体"/>
          <w:color w:val="auto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年预算包括收入、支出及专项经费安排情况。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1、收入预算: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1404.95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万元,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一般公共预算拨款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1404.95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万元（经费拨款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1362.45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万元，纳入一般公共预算管理的非税收入拨款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42.50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万元）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上级财政补助收入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万元。收入较去年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228.36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经费拨款减少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235.86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行政事业性收费收入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增加0万元，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上级财政补助收入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减少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2、支出预算: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1404.95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970.10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243.85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，对个人和家庭补助支出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191.00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widowControl/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年一般公共预算拨款收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1404.95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万元，具体安排情况如下：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1、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基本支出：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1404.95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970.10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;一般商品和服务支出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243.85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万元，主要用于</w:t>
      </w:r>
      <w:r>
        <w:rPr>
          <w:rFonts w:hint="eastAsia" w:ascii="仿宋_GB2312" w:hAnsi="宋体" w:eastAsia="仿宋_GB2312"/>
          <w:kern w:val="0"/>
          <w:sz w:val="32"/>
          <w:szCs w:val="32"/>
        </w:rPr>
        <w:t>保障单位机构正常运转、完成日常工作任务而发生的各项业务支出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等;对个人和家庭补助支出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191.00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万元主要用于</w:t>
      </w:r>
      <w:r>
        <w:rPr>
          <w:rFonts w:hint="eastAsia" w:ascii="仿宋_GB2312" w:hAnsi="宋体" w:eastAsia="仿宋_GB2312"/>
          <w:sz w:val="32"/>
          <w:szCs w:val="32"/>
        </w:rPr>
        <w:t>退休费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等。  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项目支出：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宋体" w:eastAsia="黑体"/>
          <w:color w:val="auto"/>
          <w:kern w:val="0"/>
          <w:sz w:val="32"/>
          <w:szCs w:val="32"/>
        </w:rPr>
        <w:t>政府性基金预算收支情况</w:t>
      </w:r>
    </w:p>
    <w:p>
      <w:pPr>
        <w:widowControl/>
        <w:spacing w:line="520" w:lineRule="exact"/>
        <w:jc w:val="both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年本部门没有政府性基金预算收入，相应没有安排政府性基金预算支出。</w:t>
      </w:r>
    </w:p>
    <w:p>
      <w:pPr>
        <w:spacing w:line="520" w:lineRule="exact"/>
        <w:jc w:val="lef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年机关运行经费为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183.65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万元，比20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年预算减少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65.35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万元。减少原因是</w:t>
      </w:r>
      <w:r>
        <w:rPr>
          <w:rFonts w:hint="eastAsia" w:ascii="仿宋_GB2312" w:hAnsi="宋体" w:eastAsia="仿宋_GB2312"/>
          <w:kern w:val="0"/>
          <w:sz w:val="32"/>
          <w:szCs w:val="32"/>
        </w:rPr>
        <w:t>今年我局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人员减少，</w:t>
      </w:r>
      <w:r>
        <w:rPr>
          <w:rFonts w:hint="eastAsia" w:ascii="仿宋_GB2312" w:hAnsi="宋体" w:eastAsia="仿宋_GB2312"/>
          <w:kern w:val="0"/>
          <w:sz w:val="32"/>
          <w:szCs w:val="32"/>
        </w:rPr>
        <w:t>厉行节约严格控制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“三公”经费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年“三公”经费预算数为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50.00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万元，其中公务接待费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30.00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万元，公务用车购置及运行费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20.00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年“三公”经费公务用车购置及运行费预算与20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增加，增加了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3万元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、公务接待费比上年减少</w:t>
      </w:r>
      <w:r>
        <w:rPr>
          <w:rFonts w:hint="eastAsia" w:ascii="仿宋_GB2312" w:hAnsi="宋体" w:eastAsia="仿宋_GB2312"/>
          <w:kern w:val="0"/>
          <w:sz w:val="32"/>
          <w:szCs w:val="32"/>
        </w:rPr>
        <w:t>4.68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主要是厉行节约，规范管理，进一步压缩三公经费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3、一般性支出情况：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2021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年本部门会议费预算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4、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政府采购情况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政府采购预算为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 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国有资产占用使用及新增资产配置情况</w:t>
      </w:r>
      <w:r>
        <w:rPr>
          <w:rFonts w:eastAsia="楷体_GB2312"/>
          <w:b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截至 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日，共有车辆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辆，均为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行政执法业务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用车。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我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没有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万元以上通用设备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万元以上专用设备。 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  <w:t>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numPr>
          <w:ilvl w:val="0"/>
          <w:numId w:val="0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2、</w:t>
      </w:r>
      <w:r>
        <w:rPr>
          <w:rFonts w:eastAsia="仿宋_GB2312"/>
          <w:sz w:val="32"/>
          <w:szCs w:val="32"/>
        </w:rPr>
        <w:t>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numPr>
          <w:ilvl w:val="0"/>
          <w:numId w:val="0"/>
        </w:numPr>
        <w:spacing w:line="600" w:lineRule="exact"/>
        <w:jc w:val="both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5E25"/>
    <w:rsid w:val="00F95B2E"/>
    <w:rsid w:val="022443D2"/>
    <w:rsid w:val="02761BF4"/>
    <w:rsid w:val="035F1D41"/>
    <w:rsid w:val="08FB60A0"/>
    <w:rsid w:val="0CCE2DE0"/>
    <w:rsid w:val="0E527FE5"/>
    <w:rsid w:val="0E9453BD"/>
    <w:rsid w:val="139350DC"/>
    <w:rsid w:val="13AF3688"/>
    <w:rsid w:val="15D2205D"/>
    <w:rsid w:val="1B876975"/>
    <w:rsid w:val="26DF4AA4"/>
    <w:rsid w:val="29537F65"/>
    <w:rsid w:val="34D96FB6"/>
    <w:rsid w:val="3B3C39B8"/>
    <w:rsid w:val="3F870FA4"/>
    <w:rsid w:val="43FD77D2"/>
    <w:rsid w:val="46784AC8"/>
    <w:rsid w:val="47C50CF5"/>
    <w:rsid w:val="4D0A4D32"/>
    <w:rsid w:val="4D2453A7"/>
    <w:rsid w:val="4EA63E4C"/>
    <w:rsid w:val="52595583"/>
    <w:rsid w:val="53560643"/>
    <w:rsid w:val="565F386B"/>
    <w:rsid w:val="5678085C"/>
    <w:rsid w:val="57F318D0"/>
    <w:rsid w:val="58421205"/>
    <w:rsid w:val="590E285A"/>
    <w:rsid w:val="5EB313CC"/>
    <w:rsid w:val="62F31524"/>
    <w:rsid w:val="63531ED7"/>
    <w:rsid w:val="647148F0"/>
    <w:rsid w:val="678D2522"/>
    <w:rsid w:val="68E93E01"/>
    <w:rsid w:val="69D67E15"/>
    <w:rsid w:val="6AE3772B"/>
    <w:rsid w:val="707865F0"/>
    <w:rsid w:val="71BF58F1"/>
    <w:rsid w:val="73FB2114"/>
    <w:rsid w:val="78C75E25"/>
    <w:rsid w:val="78EE1308"/>
    <w:rsid w:val="7A5D28A5"/>
    <w:rsid w:val="7BD72E49"/>
    <w:rsid w:val="7C526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jzhs</cp:lastModifiedBy>
  <cp:lastPrinted>2020-06-08T07:18:00Z</cp:lastPrinted>
  <dcterms:modified xsi:type="dcterms:W3CDTF">2021-04-02T01:49:45Z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D4CE208325C343779C2CBF3B9F2C2053</vt:lpwstr>
  </property>
</Properties>
</file>