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方正大标宋简体" w:eastAsia="仿宋_GB2312" w:cs="方正大标宋简体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方正大标宋简体" w:eastAsia="仿宋_GB2312" w:cs="方正大标宋简体"/>
          <w:bCs/>
          <w:color w:val="000000"/>
          <w:sz w:val="32"/>
          <w:szCs w:val="32"/>
          <w:lang w:val="en-US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eastAsia="方正小标宋_GBK"/>
          <w:color w:val="333333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靖州苗族侗族自治县农业农村局重大执法决定法制审核目录清单</w:t>
      </w:r>
    </w:p>
    <w:tbl>
      <w:tblPr>
        <w:tblStyle w:val="6"/>
        <w:tblW w:w="140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869"/>
        <w:gridCol w:w="3526"/>
        <w:gridCol w:w="3119"/>
        <w:gridCol w:w="2508"/>
        <w:gridCol w:w="3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执法类别</w:t>
            </w:r>
          </w:p>
        </w:tc>
        <w:tc>
          <w:tcPr>
            <w:tcW w:w="3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审核事项名称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实施依据</w:t>
            </w:r>
          </w:p>
        </w:tc>
        <w:tc>
          <w:tcPr>
            <w:tcW w:w="2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应提交的审核材料</w:t>
            </w:r>
          </w:p>
        </w:tc>
        <w:tc>
          <w:tcPr>
            <w:tcW w:w="3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审核重点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行政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许可</w:t>
            </w:r>
          </w:p>
        </w:tc>
        <w:tc>
          <w:tcPr>
            <w:tcW w:w="3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实施行政许可应当组织听证</w:t>
            </w:r>
          </w:p>
        </w:tc>
        <w:tc>
          <w:tcPr>
            <w:tcW w:w="3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《行政许可法》第四十六条</w:t>
            </w:r>
          </w:p>
        </w:tc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组织听证的申请材料</w:t>
            </w:r>
          </w:p>
        </w:tc>
        <w:tc>
          <w:tcPr>
            <w:tcW w:w="3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听证申请材料的合法性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行政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许可</w:t>
            </w:r>
          </w:p>
        </w:tc>
        <w:tc>
          <w:tcPr>
            <w:tcW w:w="3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拟作出不予许可或撤销许可决定的</w:t>
            </w:r>
          </w:p>
        </w:tc>
        <w:tc>
          <w:tcPr>
            <w:tcW w:w="3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Calibri" w:eastAsia="仿宋_GB2312" w:cs="Calibri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《行政许可法》第三十八条、第二十九条</w:t>
            </w:r>
          </w:p>
        </w:tc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拟作出的不予行政许可或撤销行政许可决定的材料</w:t>
            </w:r>
          </w:p>
        </w:tc>
        <w:tc>
          <w:tcPr>
            <w:tcW w:w="3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审核不予行政许可或撤销行政许可决定的依据是否准确，程序是否合法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行政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处罚</w:t>
            </w:r>
          </w:p>
        </w:tc>
        <w:tc>
          <w:tcPr>
            <w:tcW w:w="3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作出责令停产停业、吊销许可证或者执照，较大数额罚款等行政处罚依法应当组织听证的</w:t>
            </w:r>
          </w:p>
        </w:tc>
        <w:tc>
          <w:tcPr>
            <w:tcW w:w="3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《行政处罚法》第六十三条</w:t>
            </w:r>
          </w:p>
        </w:tc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拟作出行政处罚的理由、依据等材料</w:t>
            </w:r>
          </w:p>
        </w:tc>
        <w:tc>
          <w:tcPr>
            <w:tcW w:w="3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审核行政处罚的事实是否清楚，证据是否确凿、充分；依据是否准确、程序是否合法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行政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处罚</w:t>
            </w:r>
          </w:p>
        </w:tc>
        <w:tc>
          <w:tcPr>
            <w:tcW w:w="3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对法人或者其他组织处2万元，对公民处以3000元以上罚款等重大行政处罚的</w:t>
            </w:r>
          </w:p>
        </w:tc>
        <w:tc>
          <w:tcPr>
            <w:tcW w:w="3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《行政处罚法》第六十三条</w:t>
            </w:r>
          </w:p>
        </w:tc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拟作出的重大行政处罚决定草案、案件调查报告、申请人陈述记录等</w:t>
            </w:r>
          </w:p>
        </w:tc>
        <w:tc>
          <w:tcPr>
            <w:tcW w:w="3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主要事实是否清楚、证据是否确凿、充分、适用法律法规规章是否准确、程序是否合法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行政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处罚</w:t>
            </w:r>
          </w:p>
        </w:tc>
        <w:tc>
          <w:tcPr>
            <w:tcW w:w="3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行政执法事项涉及当事人、利害关系人人数达10人以上，可能造成重大社会影响的</w:t>
            </w:r>
          </w:p>
        </w:tc>
        <w:tc>
          <w:tcPr>
            <w:tcW w:w="3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《农业行政处罚程序规定》</w:t>
            </w:r>
          </w:p>
        </w:tc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拟作出的重大行政处罚决定草案、案件调查报告、申请人陈述记录等</w:t>
            </w:r>
          </w:p>
        </w:tc>
        <w:tc>
          <w:tcPr>
            <w:tcW w:w="3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主要事实是否清楚、证据是否确凿、充分、适用法律法规规章是否准确、程序是否合法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5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行政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强制</w:t>
            </w:r>
          </w:p>
        </w:tc>
        <w:tc>
          <w:tcPr>
            <w:tcW w:w="3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查封、扣押当事人财务</w:t>
            </w:r>
          </w:p>
        </w:tc>
        <w:tc>
          <w:tcPr>
            <w:tcW w:w="3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《行政强制法》第二十四、二十七条</w:t>
            </w:r>
          </w:p>
        </w:tc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拟作出查封和扣押的理由、依据等</w:t>
            </w:r>
          </w:p>
        </w:tc>
        <w:tc>
          <w:tcPr>
            <w:tcW w:w="3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仿宋_GB2312" w:hAnsi="仿宋" w:eastAsia="仿宋_GB2312" w:cs="仿宋"/>
                <w:color w:val="000000"/>
                <w:w w:val="9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</w:rPr>
              <w:t>主要事实是否清楚、证据是否确凿、充分、适用法律法规规章是否准确、程序是否合法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20" w:lineRule="exact"/>
        <w:jc w:val="center"/>
      </w:pPr>
    </w:p>
    <w:sectPr>
      <w:footerReference r:id="rId3" w:type="default"/>
      <w:pgSz w:w="16840" w:h="11910" w:orient="landscape"/>
      <w:pgMar w:top="1134" w:right="1134" w:bottom="2316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A2202A-D226-452D-96EE-B7B21EA173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531A1F7-64AF-4240-8275-FFEA5C1581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4FA954-D724-4D60-9A06-85506AAD145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E8787B1-A339-479F-AD6F-3A8AA99ADD9F}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5" w:fontKey="{94CE1CAD-4D82-4C5F-A407-35580E24D91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F9B5F62B-C627-4F9D-8DB1-0E3FF8D93E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8"/>
        <w:rFonts w:ascii="Times New Roman" w:hAnsi="Times New Roman" w:cs="宋体"/>
        <w:sz w:val="28"/>
        <w:szCs w:val="28"/>
      </w:rPr>
    </w:pPr>
    <w:r>
      <w:rPr>
        <w:rStyle w:val="8"/>
        <w:rFonts w:ascii="Times New Roman" w:hAnsi="Times New Roman" w:cs="宋体"/>
        <w:sz w:val="28"/>
        <w:szCs w:val="28"/>
      </w:rPr>
      <w:t xml:space="preserve">— </w:t>
    </w:r>
    <w:r>
      <w:rPr>
        <w:rStyle w:val="8"/>
        <w:rFonts w:ascii="Times New Roman" w:hAnsi="Times New Roman" w:cs="宋体"/>
        <w:sz w:val="28"/>
        <w:szCs w:val="28"/>
      </w:rPr>
      <w:fldChar w:fldCharType="begin"/>
    </w:r>
    <w:r>
      <w:rPr>
        <w:rStyle w:val="8"/>
        <w:rFonts w:ascii="Times New Roman" w:hAnsi="Times New Roman" w:cs="宋体"/>
        <w:sz w:val="28"/>
        <w:szCs w:val="28"/>
      </w:rPr>
      <w:instrText xml:space="preserve"> PAGE </w:instrText>
    </w:r>
    <w:r>
      <w:rPr>
        <w:rStyle w:val="8"/>
        <w:rFonts w:ascii="Times New Roman" w:hAnsi="Times New Roman" w:cs="宋体"/>
        <w:sz w:val="28"/>
        <w:szCs w:val="28"/>
      </w:rPr>
      <w:fldChar w:fldCharType="separate"/>
    </w:r>
    <w:r>
      <w:rPr>
        <w:rStyle w:val="8"/>
        <w:rFonts w:ascii="Times New Roman" w:hAnsi="Times New Roman" w:cs="宋体"/>
        <w:sz w:val="28"/>
        <w:szCs w:val="28"/>
      </w:rPr>
      <w:t>2</w:t>
    </w:r>
    <w:r>
      <w:rPr>
        <w:rStyle w:val="8"/>
        <w:rFonts w:ascii="Times New Roman" w:hAnsi="Times New Roman" w:cs="宋体"/>
        <w:sz w:val="28"/>
        <w:szCs w:val="28"/>
      </w:rPr>
      <w:fldChar w:fldCharType="end"/>
    </w:r>
    <w:r>
      <w:rPr>
        <w:rStyle w:val="8"/>
        <w:rFonts w:ascii="Times New Roman" w:hAnsi="Times New Roman" w:cs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nforcement="0"/>
  <w:defaultTabStop w:val="720"/>
  <w:doNotHyphenateCaps/>
  <w:drawingGridHorizontalSpacing w:val="11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doNotExpandShiftReturn/>
    <w:useFELayout/>
    <w:compatSetting w:name="compatibilityMode" w:uri="http://schemas.microsoft.com/office/word" w:val="12"/>
  </w:compat>
  <w:docVars>
    <w:docVar w:name="commondata" w:val="eyJoZGlkIjoiMTkzNWVhN2E3ZTEwZDJlMDJhOTIxMGY0MjFmYjRlNWEifQ=="/>
  </w:docVars>
  <w:rsids>
    <w:rsidRoot w:val="00272EBA"/>
    <w:rsid w:val="00177622"/>
    <w:rsid w:val="00204E2F"/>
    <w:rsid w:val="00272EBA"/>
    <w:rsid w:val="00487B19"/>
    <w:rsid w:val="009D7541"/>
    <w:rsid w:val="00B60C07"/>
    <w:rsid w:val="00E221D1"/>
    <w:rsid w:val="00F96B1A"/>
    <w:rsid w:val="10C04E65"/>
    <w:rsid w:val="17017F86"/>
    <w:rsid w:val="262D722C"/>
    <w:rsid w:val="293D309F"/>
    <w:rsid w:val="30A457B2"/>
    <w:rsid w:val="316118F5"/>
    <w:rsid w:val="36883480"/>
    <w:rsid w:val="37117919"/>
    <w:rsid w:val="391D1F6E"/>
    <w:rsid w:val="3B8E778B"/>
    <w:rsid w:val="4242307D"/>
    <w:rsid w:val="42D9578F"/>
    <w:rsid w:val="44311CF1"/>
    <w:rsid w:val="48F84495"/>
    <w:rsid w:val="5052092F"/>
    <w:rsid w:val="57DD4F82"/>
    <w:rsid w:val="58EE75F5"/>
    <w:rsid w:val="5A8130C7"/>
    <w:rsid w:val="5FA3091E"/>
    <w:rsid w:val="603242D9"/>
    <w:rsid w:val="61C63E3E"/>
    <w:rsid w:val="67CC70F1"/>
    <w:rsid w:val="67DF4D46"/>
    <w:rsid w:val="6ACE4BFE"/>
    <w:rsid w:val="6D3F41EC"/>
    <w:rsid w:val="6FD9651F"/>
    <w:rsid w:val="6FFB46E7"/>
    <w:rsid w:val="70BD4471"/>
    <w:rsid w:val="728E1843"/>
    <w:rsid w:val="79E57808"/>
    <w:rsid w:val="7C701FB9"/>
    <w:rsid w:val="7D140B97"/>
    <w:rsid w:val="7DA04029"/>
    <w:rsid w:val="7E177F37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rFonts w:ascii="Times New Roman" w:hAnsi="Times New Roman" w:cs="Times New Roman"/>
      <w:sz w:val="30"/>
      <w:szCs w:val="30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正文文本 Char"/>
    <w:basedOn w:val="7"/>
    <w:link w:val="2"/>
    <w:qFormat/>
    <w:uiPriority w:val="99"/>
    <w:rPr>
      <w:rFonts w:ascii="宋体" w:eastAsia="宋体" w:cs="宋体"/>
      <w:kern w:val="0"/>
      <w:sz w:val="22"/>
      <w:lang w:val="zh-CN"/>
    </w:rPr>
  </w:style>
  <w:style w:type="table" w:customStyle="1" w:styleId="10">
    <w:name w:val="Table Normal1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99"/>
  </w:style>
  <w:style w:type="paragraph" w:customStyle="1" w:styleId="12">
    <w:name w:val="Table Paragraph"/>
    <w:basedOn w:val="1"/>
    <w:qFormat/>
    <w:uiPriority w:val="99"/>
  </w:style>
  <w:style w:type="character" w:customStyle="1" w:styleId="13">
    <w:name w:val="页眉 Char"/>
    <w:basedOn w:val="7"/>
    <w:link w:val="4"/>
    <w:qFormat/>
    <w:uiPriority w:val="99"/>
    <w:rPr>
      <w:rFonts w:ascii="宋体" w:hAnsi="宋体" w:eastAsia="宋体" w:cs="宋体"/>
      <w:sz w:val="18"/>
      <w:szCs w:val="18"/>
      <w:lang w:val="zh-CN"/>
    </w:rPr>
  </w:style>
  <w:style w:type="character" w:customStyle="1" w:styleId="14">
    <w:name w:val="页脚 Char"/>
    <w:basedOn w:val="7"/>
    <w:link w:val="3"/>
    <w:qFormat/>
    <w:uiPriority w:val="99"/>
    <w:rPr>
      <w:rFonts w:ascii="宋体" w:hAnsi="宋体" w:eastAsia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953</Words>
  <Characters>969</Characters>
  <Lines>7</Lines>
  <Paragraphs>2</Paragraphs>
  <TotalTime>4</TotalTime>
  <ScaleCrop>false</ScaleCrop>
  <LinksUpToDate>false</LinksUpToDate>
  <CharactersWithSpaces>970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2022-11-11T02:07:00Z</dcterms:created>
  <dc:creator>Administrator</dc:creator>
  <cp:lastModifiedBy>慎独</cp:lastModifiedBy>
  <cp:lastPrinted>2022-11-11T02:07:00Z</cp:lastPrinted>
  <dcterms:modified xsi:type="dcterms:W3CDTF">2022-12-05T01:51:53Z</dcterms:modified>
  <dc:title>Microsoft Word - 苏司〔2020〕23号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2052-11.1.0.12763</vt:lpwstr>
  </property>
  <property fmtid="{D5CDD505-2E9C-101B-9397-08002B2CF9AE}" pid="4" name="ICV">
    <vt:lpwstr>3FC93DCDB67C4F08B5B694CAB782A94E</vt:lpwstr>
  </property>
</Properties>
</file>