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靖州县统计局202</w:t>
      </w:r>
      <w:r>
        <w:rPr>
          <w:rFonts w:hint="eastAsia" w:ascii="方正小标宋_GBK" w:eastAsia="方正小标宋_GBK" w:cs="黑体"/>
          <w:sz w:val="44"/>
          <w:szCs w:val="44"/>
          <w:lang w:val="en-US" w:eastAsia="zh-CN" w:bidi="ar-SA"/>
        </w:rPr>
        <w:t>3</w:t>
      </w:r>
      <w:r>
        <w:rPr>
          <w:rFonts w:hint="eastAsia" w:ascii="方正小标宋_GBK" w:eastAsia="方正小标宋_GBK" w:cs="黑体"/>
          <w:sz w:val="44"/>
          <w:szCs w:val="44"/>
          <w:lang w:bidi="ar-SA"/>
        </w:rPr>
        <w:t>年政府信息公开工作</w:t>
      </w:r>
    </w:p>
    <w:p>
      <w:pPr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年度报告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2023年，我局认真贯彻落实相关文件工作要求，按照国家、省、市、县要求，将政府信息公开工作与重点工作紧密结合，精心周密部署，积极组织实施，圆满完成了政府信息公开各项工作任务。现将我局2023年度政府信息公开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3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年，全年通过县人民政府门户网主动公开信息数量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26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条，其中机构信息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3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文件通知3条，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统计数据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9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条，数据分析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4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条，统计公报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1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条，资金信息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条，人事信息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条，规划计划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条。在公开方式上，政府信息主要通过县人民政府门户网、政务公开栏等途径进行公开。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依申请公开情况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我局2023年受理依申请公开信息共1条,已依法依规办理答复，没有发生行政复议和行政诉讼。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政府信息管理情况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 xml:space="preserve">  我局始终把信息公开作为一项基本制度和常态化要求融入日常工作，严格按照规定和要求，加强政府信息公开工作的统一领导与协调，成立了政府信息公开工作领导小组，姜雪峰为组长，潘登为副组长，各股室长为成员，负责政府信息公开工作监督管理，确保发布的各项信息符合要求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"/>
          <w:kern w:val="2"/>
          <w:sz w:val="32"/>
          <w:szCs w:val="32"/>
          <w:lang w:val="en-US" w:eastAsia="zh-CN" w:bidi="ar-SA"/>
        </w:rPr>
        <w:t>（四）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我局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主要依托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靖州苗族侗族自治县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人民政府门户网站进行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政府信息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公开，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及时做好信息发布。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监督保障情况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为切实加强政府信息公开工作，我局坚持主要领导负总责，分管领导具体负责，确定专人负责政府信息公开具体工作，并及时和县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政务中心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联系，解决工作中出现的新情况和新问题，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坚持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信息发布三审制，未经审核的信息一律不准发布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，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确保信息及时准确发布。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我局积极开展全县政务公开绩效考核指标及工作要点的学习，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把政府信息公开作为单位日常工作的重要组成部分，加强对信息员的管理和指导，确保政府信息公开常态化、规范化。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二、主动公开政府信息情况</w:t>
      </w:r>
    </w:p>
    <w:p>
      <w:pPr>
        <w:rPr>
          <w:rFonts w:hint="eastAsia" w:ascii="黑体" w:eastAsia="黑体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本年废止件数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包括自然失效和不再按规范性文件管理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>
      <w:pPr>
        <w:rPr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三、收到和处理政府信息公开申请情况</w:t>
      </w:r>
    </w:p>
    <w:p>
      <w:pPr>
        <w:rPr>
          <w:rFonts w:hint="eastAsia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商业</w:t>
            </w:r>
          </w:p>
          <w:p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科研</w:t>
            </w:r>
          </w:p>
          <w:p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四、政府信息公开行政复议、行政诉讼情况</w:t>
      </w:r>
    </w:p>
    <w:p>
      <w:pPr>
        <w:rPr>
          <w:rFonts w:hint="eastAsia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3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年，我局政府信息公开工作取得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一些阶段性成果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的同时，也存在一定不足：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一是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发布信息审核把关不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够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严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瑾，还有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信息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格式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错误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的情况。二是存在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信息更新不及时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、滞后的问题。三是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政府信息公开还需深化，公开质量还需进一步提高，公开广度和深度有待进一步拓展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我局成立了政府信息公开工作领导小组，明确由信息专干专人负责政府信息公开工作，进一步规范信息公开审核流程；加强干部队伍素质建设和责任心教育，强化各部门的沟通协调，形成人人关心信息公开的良好氛围；加大信息公开力度，按照“公开为原则，不公开为例外”的总体要求，进一步梳理政府信息，妥善处理公开与保密的关系，合理界定信息公开范围，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拓展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政府信息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公开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的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广度和深度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按照《国务院办公厅关于印发〈政府信息公开信息处理费管理办法〉的通知》（国办函〔2020〕109号）规定的按件、按量收费标准，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我局</w:t>
      </w:r>
      <w:r>
        <w:rPr>
          <w:rFonts w:hint="default" w:ascii="仿宋_GB2312" w:eastAsia="仿宋_GB2312" w:cs="仿宋"/>
          <w:sz w:val="32"/>
          <w:szCs w:val="32"/>
          <w:lang w:val="en-US" w:eastAsia="zh-CN" w:bidi="ar-SA"/>
        </w:rPr>
        <w:t>本年度没有产生信息公开处理费。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此外，我局无其他需要报告的事项。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M0ZDZjODI5NTI2YmVkNWI5NGIyNzZkYTI3YjMifQ=="/>
  </w:docVars>
  <w:rsids>
    <w:rsidRoot w:val="00000000"/>
    <w:rsid w:val="016267ED"/>
    <w:rsid w:val="05542478"/>
    <w:rsid w:val="05E25CD6"/>
    <w:rsid w:val="069F38DC"/>
    <w:rsid w:val="0963712E"/>
    <w:rsid w:val="0A072D6F"/>
    <w:rsid w:val="0E2A1FC8"/>
    <w:rsid w:val="12415B32"/>
    <w:rsid w:val="12802AFE"/>
    <w:rsid w:val="138E124B"/>
    <w:rsid w:val="14975EDD"/>
    <w:rsid w:val="14C173FE"/>
    <w:rsid w:val="16E318AE"/>
    <w:rsid w:val="16F615E1"/>
    <w:rsid w:val="174D31CB"/>
    <w:rsid w:val="18695DE3"/>
    <w:rsid w:val="189D1D23"/>
    <w:rsid w:val="1D07067D"/>
    <w:rsid w:val="1E401D97"/>
    <w:rsid w:val="1E68561D"/>
    <w:rsid w:val="1E786D7F"/>
    <w:rsid w:val="1EEC1283"/>
    <w:rsid w:val="1FA13A24"/>
    <w:rsid w:val="203942EC"/>
    <w:rsid w:val="224376A4"/>
    <w:rsid w:val="2283001C"/>
    <w:rsid w:val="25AB7A3A"/>
    <w:rsid w:val="25B85CB3"/>
    <w:rsid w:val="2A3B1CD8"/>
    <w:rsid w:val="2C300C99"/>
    <w:rsid w:val="2C94792E"/>
    <w:rsid w:val="2E09467E"/>
    <w:rsid w:val="2E67296D"/>
    <w:rsid w:val="328C2961"/>
    <w:rsid w:val="35753BC1"/>
    <w:rsid w:val="39965EB4"/>
    <w:rsid w:val="41AA4BF2"/>
    <w:rsid w:val="42DE0FF8"/>
    <w:rsid w:val="42EE5B92"/>
    <w:rsid w:val="459C71FB"/>
    <w:rsid w:val="4A7F3CD9"/>
    <w:rsid w:val="50D457E8"/>
    <w:rsid w:val="516A7EFA"/>
    <w:rsid w:val="52B0193D"/>
    <w:rsid w:val="565C5AA9"/>
    <w:rsid w:val="57454D4A"/>
    <w:rsid w:val="5A810715"/>
    <w:rsid w:val="5B0A0784"/>
    <w:rsid w:val="5C462B23"/>
    <w:rsid w:val="5CA1447E"/>
    <w:rsid w:val="5D3A2E77"/>
    <w:rsid w:val="5E0F1217"/>
    <w:rsid w:val="5F977F32"/>
    <w:rsid w:val="614442C4"/>
    <w:rsid w:val="62E23D94"/>
    <w:rsid w:val="62E96ED1"/>
    <w:rsid w:val="63414F5F"/>
    <w:rsid w:val="640D3093"/>
    <w:rsid w:val="64A55079"/>
    <w:rsid w:val="6675777F"/>
    <w:rsid w:val="68476448"/>
    <w:rsid w:val="72512C22"/>
    <w:rsid w:val="73227BE3"/>
    <w:rsid w:val="73F013FA"/>
    <w:rsid w:val="75157FF7"/>
    <w:rsid w:val="7A910122"/>
    <w:rsid w:val="7C5C0F66"/>
    <w:rsid w:val="7DE762AB"/>
    <w:rsid w:val="7E1E602A"/>
    <w:rsid w:val="7EA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2024-01-10T09:00:00Z</dcterms:created>
  <dc:creator>Administrator</dc:creator>
  <cp:lastModifiedBy>Administrator</cp:lastModifiedBy>
  <dcterms:modified xsi:type="dcterms:W3CDTF">2024-01-12T02:25:36Z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77FFDF6CD39E4A7E830BF5B3E3F59A2F_12</vt:lpwstr>
  </property>
</Properties>
</file>