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2021年怀化市生态环境局靖州分局部门预算</w:t>
      </w:r>
    </w:p>
    <w:p>
      <w:pPr>
        <w:keepNext w:val="0"/>
        <w:keepLines w:val="0"/>
        <w:widowControl/>
        <w:suppressLineNumbers w:val="0"/>
        <w:jc w:val="center"/>
        <w:rPr>
          <w:color w:val="auto"/>
        </w:rPr>
      </w:pPr>
      <w:r>
        <w:rPr>
          <w:rFonts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目 录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Arial Unicode MS" w:hAnsi="Arial Unicode MS" w:eastAsia="Arial Unicode MS" w:cs="Arial Unicode MS"/>
          <w:color w:val="auto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b/>
          <w:color w:val="auto"/>
          <w:kern w:val="0"/>
          <w:sz w:val="31"/>
          <w:szCs w:val="31"/>
          <w:lang w:val="en-US" w:eastAsia="zh-CN" w:bidi="ar"/>
        </w:rPr>
        <w:t xml:space="preserve">第一部分 </w:t>
      </w:r>
      <w:r>
        <w:rPr>
          <w:rFonts w:hint="eastAsia" w:ascii="Arial Unicode MS" w:hAnsi="Arial Unicode MS" w:eastAsia="Arial Unicode MS" w:cs="Arial Unicode MS"/>
          <w:color w:val="auto"/>
          <w:kern w:val="0"/>
          <w:sz w:val="31"/>
          <w:szCs w:val="31"/>
          <w:lang w:val="en-US" w:eastAsia="zh-CN" w:bidi="ar"/>
        </w:rPr>
        <w:t xml:space="preserve">2021年部门预算说明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ascii="仿宋_GB2312" w:hAnsi="仿宋_GB2312" w:eastAsia="仿宋_GB2312" w:cs="仿宋_GB2312"/>
          <w:b/>
          <w:color w:val="auto"/>
          <w:kern w:val="0"/>
          <w:sz w:val="31"/>
          <w:szCs w:val="31"/>
          <w:lang w:val="en-US" w:eastAsia="zh-CN" w:bidi="ar"/>
        </w:rPr>
        <w:t xml:space="preserve">第二部分 </w:t>
      </w:r>
      <w:r>
        <w:rPr>
          <w:rFonts w:hint="eastAsia" w:ascii="Arial Unicode MS" w:hAnsi="Arial Unicode MS" w:eastAsia="Arial Unicode MS" w:cs="Arial Unicode MS"/>
          <w:color w:val="auto"/>
          <w:kern w:val="0"/>
          <w:sz w:val="31"/>
          <w:szCs w:val="31"/>
          <w:lang w:val="en-US" w:eastAsia="zh-CN" w:bidi="ar"/>
        </w:rPr>
        <w:t xml:space="preserve">2021年部门预算表 </w:t>
      </w:r>
    </w:p>
    <w:p>
      <w:pPr>
        <w:spacing w:line="520" w:lineRule="exac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1、收支预算总表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收入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预算总表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 xml:space="preserve">3、非税收入征收计划表   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4、支出预算分类汇总表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(部门经济分类）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支出预算分类汇总表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（政府经济分类）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6、基本支出预算明细表-工资福利支出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7、基本支出预算明细表-商品和服务支出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8、基本支出预算明细表-对个人和家庭的补助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9、公共财政拨款支出预算分类汇总表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10、政府性基金拨款支出预算分类汇总表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11-13、项目支出预算明细表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14、政府采购预算表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15、“三公”经费预算公开表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16、单位基本情况信息表</w:t>
      </w: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注：以上部门预算报表中，空表表示本部门无相关收支情况。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第一部分：</w:t>
      </w:r>
    </w:p>
    <w:p>
      <w:pPr>
        <w:keepNext w:val="0"/>
        <w:keepLines w:val="0"/>
        <w:widowControl/>
        <w:suppressLineNumbers w:val="0"/>
        <w:jc w:val="center"/>
        <w:rPr>
          <w:color w:val="auto"/>
        </w:rPr>
      </w:pPr>
      <w:r>
        <w:rPr>
          <w:rFonts w:hint="eastAsia" w:ascii="Times New Roman" w:hAnsi="Times New Roman" w:eastAsia="宋体" w:cs="Times New Roman"/>
          <w:b/>
          <w:color w:val="auto"/>
          <w:kern w:val="0"/>
          <w:sz w:val="36"/>
          <w:szCs w:val="36"/>
          <w:lang w:val="en-US" w:eastAsia="zh-CN" w:bidi="ar"/>
        </w:rPr>
        <w:t>2021</w:t>
      </w: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 w:bidi="ar"/>
        </w:rPr>
        <w:t>年部门预算说明</w:t>
      </w:r>
    </w:p>
    <w:p>
      <w:pPr>
        <w:keepNext w:val="0"/>
        <w:keepLines w:val="0"/>
        <w:widowControl/>
        <w:suppressLineNumbers w:val="0"/>
        <w:jc w:val="both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 xml:space="preserve">一、部门基本概况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、职能职责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贯彻执行国家生态环境基本制度。会同同级有关部门拟定生态环境保护规划、规范、制度，经批准后组织实施；会同同级有关部门编制并监督实施重点区域、流域、饮用水源地生态环境规划和水功能区划。</w:t>
      </w:r>
    </w:p>
    <w:p>
      <w:pPr>
        <w:ind w:firstLine="310" w:firstLineChars="100"/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负责统筹协调和监督管理生态环境保护工作。组织协调环境污染事故和生态破坏事件的调查处理，指导协调突发生态环境事件的应急、预警工作，参与实施生态环境损害赔偿制度。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3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负责监督管理减排目标的落实。根据上级核定污染物总量控制目标，组织制定并监督实施本辖区污染物排放总量控制计划及相关措施，监督实施排污许可制度，监督检查污染物减排任务完成情况，实施生态环境保护目标责任制，组织协调应对气候变化和温室气体减排工作。</w:t>
      </w:r>
    </w:p>
    <w:p>
      <w:pPr>
        <w:keepNext w:val="0"/>
        <w:keepLines w:val="0"/>
        <w:widowControl/>
        <w:suppressLineNumbers w:val="0"/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负责环境污染防治的监督管理。组织拟订本辖区大气、水、土壤、噪声、光、恶臭、固体废物、废弃化学品、危险废物、机动车等的污染防治管理制度并监督实施；会同有关部门监督管理饮用水水源地生态环境保护工作；指导城乡生态环境综合整治工作，监督农业面源污染治理工作；监督指导区域大气环境保护工作，组织实施区域大气污染联防联控协作机制。</w:t>
      </w:r>
    </w:p>
    <w:p>
      <w:pPr>
        <w:keepNext w:val="0"/>
        <w:keepLines w:val="0"/>
        <w:widowControl/>
        <w:suppressLineNumbers w:val="0"/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指导协调和监督生态保护修复工作。监督管理对生态环境有影响的自然资源开发利用活动、重要生态环境建设和生态破坏恢复工作；指导协调和监督各类自然保护地的生态环境保护工作；监督野生动植物保护、湿地生态环境保护等工作；指导协调和监督农村生态环境保护，监督生物技术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环境安全，参与生物多样性保护工作，参与生态保护补偿工作。</w:t>
      </w:r>
    </w:p>
    <w:p>
      <w:pPr>
        <w:keepNext w:val="0"/>
        <w:keepLines w:val="0"/>
        <w:widowControl/>
        <w:suppressLineNumbers w:val="0"/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6）负责核与辐射安全的监督管理。牵头核安全工作协调机制有关工作。参与核事故应急处理，负责辐射环境事故应急处理；监督管理核设施和放射源安全，监督管理核设施、核技术应用、电磁辐射、伴有放射性矿产资源开发利用活动中的污染防治；对核材料管制和民用核安全设备的设计、制造、安装及无损检验活动实施监督管理。</w:t>
      </w:r>
    </w:p>
    <w:p>
      <w:pPr>
        <w:keepNext w:val="0"/>
        <w:keepLines w:val="0"/>
        <w:widowControl/>
        <w:suppressLineNumbers w:val="0"/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（7）负责生态环境准入的监督管理。组织实施生态环境准入清单；按规定审批或审查开发建设区域、规划、项目环境影响评价文件。</w:t>
      </w:r>
    </w:p>
    <w:p>
      <w:pPr>
        <w:keepNext w:val="0"/>
        <w:keepLines w:val="0"/>
        <w:widowControl/>
        <w:suppressLineNumbers w:val="0"/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（8）负责生态环境监测工作。组织实施生态环境执法监测、应急监测、环境质量监测、污染源监测。</w:t>
      </w:r>
    </w:p>
    <w:p>
      <w:pPr>
        <w:keepNext w:val="0"/>
        <w:keepLines w:val="0"/>
        <w:widowControl/>
        <w:suppressLineNumbers w:val="0"/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9）协调配合做好中央和省生态环境保护督察相关工作。指导、协调、督促生态环境保护督察反馈问题整改工作；对同级有关部门（单位）贯彻落实生态环境保护决策部署情况、对生态环境保护督察反馈问题整改情况、对“党政同责”“一岗双责”落实情况进行督查督办，对贯彻落实不到位、整改不力的请提问责。</w:t>
      </w:r>
    </w:p>
    <w:p>
      <w:pPr>
        <w:keepNext w:val="0"/>
        <w:keepLines w:val="0"/>
        <w:widowControl/>
        <w:suppressLineNumbers w:val="0"/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（10）统一负责生态环境保护综合行政执法。组织开展生态环境保护执法检查活动，查处生态环境违法问题。</w:t>
      </w:r>
    </w:p>
    <w:p>
      <w:pPr>
        <w:keepNext w:val="0"/>
        <w:keepLines w:val="0"/>
        <w:widowControl/>
        <w:suppressLineNumbers w:val="0"/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（11）组织指导和协调生态环境宣传教育工作。推动社会组织和公众参与生态环境保护；开展生态环境科技工作，组织生态环境重大科学研究和技术工程示范。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（12）</w:t>
      </w:r>
      <w:r>
        <w:rPr>
          <w:rFonts w:hint="eastAsia" w:ascii="仿宋" w:hAnsi="仿宋" w:eastAsia="仿宋" w:cs="仿宋"/>
          <w:spacing w:val="-17"/>
          <w:sz w:val="32"/>
          <w:szCs w:val="32"/>
          <w:lang w:val="en-US" w:eastAsia="zh-CN"/>
        </w:rPr>
        <w:t>完成市生态环境局和县市区委、政府交办的其他工作。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、机构设置 </w:t>
      </w:r>
    </w:p>
    <w:p>
      <w:pPr>
        <w:keepNext w:val="0"/>
        <w:keepLines w:val="0"/>
        <w:widowControl/>
        <w:suppressLineNumbers w:val="0"/>
        <w:jc w:val="left"/>
        <w:rPr>
          <w:color w:val="auto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根据编委核定，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我单位是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全额拨款</w:t>
      </w:r>
      <w:r>
        <w:rPr>
          <w:rFonts w:hint="eastAsia" w:ascii="仿宋_GB2312" w:eastAsia="仿宋_GB2312"/>
          <w:color w:val="auto"/>
          <w:sz w:val="32"/>
          <w:szCs w:val="32"/>
        </w:rPr>
        <w:t>的行政单位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全局共有在职人员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退休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、参照政策提前批退休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2人、临聘人员3人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其中，局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行政</w:t>
      </w:r>
      <w:r>
        <w:rPr>
          <w:rFonts w:hint="eastAsia" w:ascii="仿宋" w:hAnsi="仿宋" w:eastAsia="仿宋" w:cs="仿宋"/>
          <w:sz w:val="32"/>
          <w:szCs w:val="32"/>
        </w:rPr>
        <w:t>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工勤编制1名，实有人数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（副处级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1人、正科级2人、副科级2人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本单位内设办公室、环保督察协调股、行政审批股（法治宣传股）、污染防治股。下设怀化市靖州生态环境综合行政执法大队（事业参公</w:t>
      </w:r>
      <w:r>
        <w:rPr>
          <w:rFonts w:hint="eastAsia" w:ascii="仿宋" w:hAnsi="仿宋" w:eastAsia="仿宋" w:cs="仿宋"/>
          <w:sz w:val="32"/>
          <w:szCs w:val="32"/>
        </w:rPr>
        <w:t>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名，实有人数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）和怀化市靖州生态环境监测站（事业</w:t>
      </w:r>
      <w:r>
        <w:rPr>
          <w:rFonts w:hint="eastAsia" w:ascii="仿宋" w:hAnsi="仿宋" w:eastAsia="仿宋" w:cs="仿宋"/>
          <w:sz w:val="32"/>
          <w:szCs w:val="32"/>
        </w:rPr>
        <w:t>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名，实有人数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其中高级工程师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人、工程师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人、助理工程师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20" w:lineRule="exact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hAnsi="宋体" w:eastAsia="黑体"/>
          <w:b/>
          <w:color w:val="auto"/>
          <w:kern w:val="0"/>
          <w:sz w:val="32"/>
          <w:szCs w:val="32"/>
        </w:rPr>
        <w:t>二、</w:t>
      </w:r>
      <w:r>
        <w:rPr>
          <w:rFonts w:hint="eastAsia" w:ascii="黑体" w:eastAsia="黑体"/>
          <w:color w:val="auto"/>
          <w:sz w:val="32"/>
          <w:szCs w:val="32"/>
        </w:rPr>
        <w:t>部门收支总体情况</w:t>
      </w:r>
    </w:p>
    <w:p>
      <w:pPr>
        <w:widowControl/>
        <w:spacing w:line="520" w:lineRule="exac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年预算包括收入、支出及专项经费安排情况。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1、收入预算:20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年年初预算数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1620.28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万元,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一般公共预算拨款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1620.28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万元（经费拨款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1568.48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万元，纳入一般公共预算管理的非税收入拨款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51.8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。收入较去年增加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12.06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万元，主要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经费拨款增加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2.26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纳入一般公共预算管理的非税收入拨款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增加9.8万元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2、支出预算:20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年年初预算数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1620.28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万元，其中：工资福利支出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278.8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万元，一般商品和服务支出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38.4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，专项商品和服务支出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1303.08万元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spacing w:line="520" w:lineRule="exact"/>
        <w:rPr>
          <w:rFonts w:hint="eastAsia" w:ascii="黑体" w:hAnsi="宋体" w:eastAsia="黑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/>
          <w:color w:val="auto"/>
          <w:kern w:val="0"/>
          <w:sz w:val="32"/>
          <w:szCs w:val="32"/>
        </w:rPr>
        <w:t>三、一般公共预算拨款支出情况</w:t>
      </w:r>
    </w:p>
    <w:p>
      <w:pPr>
        <w:widowControl/>
        <w:spacing w:line="520" w:lineRule="exac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年一般公共预算拨款收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1620.28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万元，具体安排情况如下：</w:t>
      </w:r>
    </w:p>
    <w:p>
      <w:pPr>
        <w:widowControl/>
        <w:numPr>
          <w:ilvl w:val="0"/>
          <w:numId w:val="0"/>
        </w:numPr>
        <w:spacing w:line="520" w:lineRule="exac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1、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基本支出：20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年年初预算数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317.2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万元，是指为保障单位机构正常运转、完成日常工作任务而发生的各项支出，包括用于基本工资、津贴补贴等人员经费及办公费、水电费、设备购置费日常公用经费等。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其中：工资福利支出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278.8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 ;一般商品和服务支出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38.4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万元，主要用于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我县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生态环境保护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相关工作的开展及保障机关正常工作运行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等。  </w:t>
      </w:r>
    </w:p>
    <w:p>
      <w:pPr>
        <w:widowControl/>
        <w:numPr>
          <w:ilvl w:val="0"/>
          <w:numId w:val="0"/>
        </w:numPr>
        <w:spacing w:line="520" w:lineRule="exact"/>
        <w:rPr>
          <w:rFonts w:hint="eastAsia" w:ascii="黑体" w:hAnsi="宋体" w:eastAsia="黑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2、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项目支出：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年预算数为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1303.08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万元，是指单位为完成特定行政工作任务或事业发展目标而发生的支出，其中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我县空气、水质自动监测站运营支出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51万元，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主要用于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了解我县环境质量状况；金鸡岩矿区和红友采石场污染治理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项目支出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709.45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万元，主要用于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金鸡岩矿区污染治理和红友采石场污染治理项目；靖州县木洞村、太阳坪村农村生活污水处理项目支出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82.2，主要用于加强农村生态环境工作；县域生态功能区考核、环境监测、污染防治攻坚战、饮用水水源保护等专项支出460.43万元，主要用于我县生态环境保护各项工作任务顺利完成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0"/>
        </w:numPr>
        <w:spacing w:line="520" w:lineRule="exact"/>
        <w:rPr>
          <w:rFonts w:hint="eastAsia" w:ascii="黑体" w:hAnsi="宋体" w:eastAsia="黑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/>
          <w:color w:val="auto"/>
          <w:kern w:val="0"/>
          <w:sz w:val="32"/>
          <w:szCs w:val="32"/>
          <w:lang w:eastAsia="zh-CN"/>
        </w:rPr>
        <w:t>四、</w:t>
      </w:r>
      <w:r>
        <w:rPr>
          <w:rFonts w:hint="eastAsia" w:ascii="黑体" w:hAnsi="宋体" w:eastAsia="黑体"/>
          <w:color w:val="auto"/>
          <w:kern w:val="0"/>
          <w:sz w:val="32"/>
          <w:szCs w:val="32"/>
        </w:rPr>
        <w:t>政府性基金预算收支情况</w:t>
      </w:r>
    </w:p>
    <w:p>
      <w:pPr>
        <w:widowControl/>
        <w:spacing w:line="520" w:lineRule="exact"/>
        <w:jc w:val="both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年本部门没有政府性基金预算收入，相应没有安排政府性基金预算支出。</w:t>
      </w:r>
    </w:p>
    <w:p>
      <w:pPr>
        <w:spacing w:line="520" w:lineRule="exact"/>
        <w:jc w:val="left"/>
        <w:rPr>
          <w:rFonts w:hint="eastAsia" w:ascii="黑体" w:hAnsi="宋体" w:eastAsia="黑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/>
          <w:color w:val="auto"/>
          <w:kern w:val="0"/>
          <w:sz w:val="32"/>
          <w:szCs w:val="32"/>
        </w:rPr>
        <w:t>五、其他重要事项的情况说明</w:t>
      </w:r>
    </w:p>
    <w:p>
      <w:pPr>
        <w:spacing w:line="520" w:lineRule="exact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1、机关运行经费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年机关运行经费为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317.2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万元，比20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年预算减少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288.76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万元。减少原因是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按照省、市、县相关文件要求，商品服务支出压缩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20%以及部分商品服务支出纳入专项经费管理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。</w:t>
      </w:r>
    </w:p>
    <w:p>
      <w:pPr>
        <w:spacing w:line="520" w:lineRule="exact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2、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“三公”经费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年“三公”经费预算数为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10.88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万元，其中公务接待费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7.68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万元，公务用车购置及运行费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3.2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万元。20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年“三公”经费公务用车购置及运行费预算、公务接待费比上年减少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20%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，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主要是厉行节约，规范管理，进一步压缩三公经费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3、一般性支出情况：</w:t>
      </w:r>
      <w:r>
        <w:rPr>
          <w:rFonts w:hint="eastAsia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2021</w:t>
      </w: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年本部门会议费预算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万元，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拟召开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生态环境保护工作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等会议，人数约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50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人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；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未计划举办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培训、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节庆、晚会、论坛、赛事活动。</w:t>
      </w:r>
    </w:p>
    <w:p>
      <w:pPr>
        <w:numPr>
          <w:ilvl w:val="0"/>
          <w:numId w:val="0"/>
        </w:numPr>
        <w:spacing w:line="520" w:lineRule="exact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4、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政府采购情况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我单位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政府采购预算为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1193.83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其中，政府采购货物预算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82.2万元，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政府采购服务预算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1111.63万元。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    5、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国有资产占用使用及新增资产配置情况</w:t>
      </w:r>
      <w:r>
        <w:rPr>
          <w:rFonts w:eastAsia="楷体_GB2312"/>
          <w:b/>
          <w:sz w:val="32"/>
          <w:szCs w:val="32"/>
        </w:rPr>
        <w:t>：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截至 </w:t>
      </w: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20</w:t>
      </w:r>
      <w:r>
        <w:rPr>
          <w:rFonts w:hint="eastAsia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20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12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31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日，共有车辆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辆，为一般公务用车。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我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单位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没有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价值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50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万元以上通用设备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和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单位价值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100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万元以上专用设备。 </w:t>
      </w:r>
    </w:p>
    <w:p>
      <w:pPr>
        <w:numPr>
          <w:ilvl w:val="0"/>
          <w:numId w:val="0"/>
        </w:numPr>
        <w:spacing w:line="520" w:lineRule="exact"/>
        <w:jc w:val="left"/>
        <w:rPr>
          <w:rFonts w:hint="eastAsia" w:ascii="仿宋_GB2312" w:hAnsi="宋体" w:eastAsia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auto"/>
          <w:kern w:val="0"/>
          <w:sz w:val="32"/>
          <w:szCs w:val="32"/>
          <w:lang w:eastAsia="zh-CN"/>
        </w:rPr>
        <w:t>六、</w:t>
      </w:r>
      <w:r>
        <w:rPr>
          <w:rFonts w:hint="eastAsia" w:ascii="仿宋_GB2312" w:hAnsi="宋体" w:eastAsia="仿宋_GB2312"/>
          <w:b/>
          <w:bCs/>
          <w:color w:val="auto"/>
          <w:kern w:val="0"/>
          <w:sz w:val="32"/>
          <w:szCs w:val="32"/>
        </w:rPr>
        <w:t>名词解释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widowControl/>
        <w:numPr>
          <w:ilvl w:val="0"/>
          <w:numId w:val="0"/>
        </w:num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2、</w:t>
      </w:r>
      <w:r>
        <w:rPr>
          <w:rFonts w:eastAsia="仿宋_GB2312"/>
          <w:sz w:val="32"/>
          <w:szCs w:val="32"/>
        </w:rPr>
        <w:t>“三公”经费：纳入省（市/县）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widowControl/>
        <w:numPr>
          <w:ilvl w:val="0"/>
          <w:numId w:val="0"/>
        </w:numPr>
        <w:spacing w:line="600" w:lineRule="exact"/>
        <w:jc w:val="both"/>
        <w:rPr>
          <w:rFonts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75E25"/>
    <w:rsid w:val="00F95B2E"/>
    <w:rsid w:val="035F1D41"/>
    <w:rsid w:val="08FB60A0"/>
    <w:rsid w:val="0CCE2DE0"/>
    <w:rsid w:val="0E9453BD"/>
    <w:rsid w:val="139350DC"/>
    <w:rsid w:val="13AF3688"/>
    <w:rsid w:val="15D2205D"/>
    <w:rsid w:val="1B876975"/>
    <w:rsid w:val="26DF4AA4"/>
    <w:rsid w:val="29537F65"/>
    <w:rsid w:val="34D96FB6"/>
    <w:rsid w:val="3B3C39B8"/>
    <w:rsid w:val="3F870FA4"/>
    <w:rsid w:val="43FD77D2"/>
    <w:rsid w:val="46784AC8"/>
    <w:rsid w:val="47C50CF5"/>
    <w:rsid w:val="4AE30E55"/>
    <w:rsid w:val="4D0A4D32"/>
    <w:rsid w:val="4D2453A7"/>
    <w:rsid w:val="4EA63E4C"/>
    <w:rsid w:val="52595583"/>
    <w:rsid w:val="53560643"/>
    <w:rsid w:val="55812F7E"/>
    <w:rsid w:val="565F386B"/>
    <w:rsid w:val="57F318D0"/>
    <w:rsid w:val="590E285A"/>
    <w:rsid w:val="5EB313CC"/>
    <w:rsid w:val="63531ED7"/>
    <w:rsid w:val="647148F0"/>
    <w:rsid w:val="678D2522"/>
    <w:rsid w:val="68E93E01"/>
    <w:rsid w:val="69D67E15"/>
    <w:rsid w:val="6AE3772B"/>
    <w:rsid w:val="707865F0"/>
    <w:rsid w:val="71BF58F1"/>
    <w:rsid w:val="78C75E25"/>
    <w:rsid w:val="78EE1308"/>
    <w:rsid w:val="7A5D28A5"/>
    <w:rsid w:val="7BD72E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2020-04-20T07:41:00Z</dcterms:created>
  <dc:creator>jzhs</dc:creator>
  <cp:lastModifiedBy>jzhs</cp:lastModifiedBy>
  <cp:lastPrinted>2020-06-08T07:18:00Z</cp:lastPrinted>
  <dcterms:modified xsi:type="dcterms:W3CDTF">2021-03-30T00:58:37Z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