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outlineLvl w:val="0"/>
        <w:rPr>
          <w:rFonts w:eastAsia="方正小标宋_GBK"/>
          <w:bCs/>
          <w:sz w:val="72"/>
          <w:szCs w:val="72"/>
        </w:rPr>
      </w:pPr>
      <w:bookmarkStart w:id="0" w:name="_Toc78811926"/>
      <w:r>
        <w:rPr>
          <w:rFonts w:eastAsia="方正小标宋_GBK"/>
          <w:bCs/>
          <w:sz w:val="72"/>
          <w:szCs w:val="72"/>
        </w:rPr>
        <w:t>建设项目环境影响报告表</w:t>
      </w:r>
      <w:bookmarkEnd w:id="0"/>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rPr>
          <w:kern w:val="44"/>
        </w:rPr>
      </w:pPr>
    </w:p>
    <w:p>
      <w:pPr>
        <w:jc w:val="center"/>
        <w:rPr>
          <w:rFonts w:eastAsia="仿宋"/>
          <w:sz w:val="52"/>
          <w:szCs w:val="52"/>
        </w:rPr>
      </w:pPr>
    </w:p>
    <w:p>
      <w:pPr>
        <w:ind w:firstLine="1040"/>
        <w:rPr>
          <w:rFonts w:hint="eastAsia"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left="2395" w:leftChars="426" w:hanging="1500" w:hangingChars="500"/>
        <w:textAlignment w:val="auto"/>
        <w:rPr>
          <w:rFonts w:hint="default" w:eastAsia="仿宋_GB2312"/>
          <w:sz w:val="30"/>
          <w:szCs w:val="30"/>
          <w:u w:val="single"/>
          <w:lang w:val="en-US" w:eastAsia="zh-CN"/>
        </w:rPr>
      </w:pPr>
      <w:r>
        <w:rPr>
          <w:rFonts w:eastAsia="仿宋_GB2312"/>
          <w:sz w:val="30"/>
          <w:szCs w:val="30"/>
        </w:rPr>
        <w:t>项目名称：</w:t>
      </w:r>
      <w:r>
        <w:rPr>
          <w:rFonts w:hint="eastAsia" w:eastAsia="仿宋_GB2312"/>
          <w:sz w:val="30"/>
          <w:szCs w:val="30"/>
          <w:u w:val="single"/>
          <w:lang w:eastAsia="zh-CN"/>
        </w:rPr>
        <w:t>靖州金益再生资源循环利用项目</w:t>
      </w:r>
      <w:r>
        <w:rPr>
          <w:rFonts w:hint="eastAsia" w:eastAsia="仿宋_GB2312"/>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900" w:firstLineChars="300"/>
        <w:jc w:val="left"/>
        <w:textAlignment w:val="auto"/>
        <w:rPr>
          <w:rFonts w:eastAsia="仿宋_GB2312"/>
          <w:sz w:val="30"/>
          <w:szCs w:val="30"/>
          <w:u w:val="single"/>
        </w:rPr>
      </w:pPr>
      <w:r>
        <w:rPr>
          <w:rFonts w:eastAsia="仿宋_GB2312"/>
          <w:sz w:val="30"/>
          <w:szCs w:val="30"/>
        </w:rPr>
        <w:t>建设单位（盖章）：</w:t>
      </w:r>
      <w:r>
        <w:rPr>
          <w:rFonts w:hint="eastAsia" w:eastAsia="仿宋_GB2312"/>
          <w:sz w:val="30"/>
          <w:szCs w:val="30"/>
          <w:u w:val="single"/>
        </w:rPr>
        <w:t xml:space="preserve">靖州金益资源利用有限公司   </w:t>
      </w:r>
      <w:r>
        <w:rPr>
          <w:rFonts w:hint="eastAsia" w:eastAsia="仿宋_GB2312"/>
          <w:sz w:val="30"/>
          <w:szCs w:val="30"/>
          <w:u w:val="single"/>
          <w:lang w:val="en-US" w:eastAsia="zh-CN"/>
        </w:rPr>
        <w:t xml:space="preserve">   </w:t>
      </w:r>
      <w:r>
        <w:rPr>
          <w:rFonts w:hint="eastAsia" w:eastAsia="仿宋_GB2312"/>
          <w:sz w:val="30"/>
          <w:szCs w:val="30"/>
          <w:u w:val="single"/>
        </w:rPr>
        <w:t xml:space="preserve"> </w:t>
      </w:r>
      <w:r>
        <w:rPr>
          <w:rFonts w:hint="eastAsia" w:eastAsia="仿宋_GB2312"/>
          <w:sz w:val="30"/>
          <w:szCs w:val="30"/>
          <w:u w:val="single"/>
          <w:lang w:val="en-US" w:eastAsia="zh-CN"/>
        </w:rPr>
        <w:t xml:space="preserve">  </w:t>
      </w:r>
      <w:r>
        <w:rPr>
          <w:rFonts w:hint="eastAsia" w:eastAsia="仿宋_GB2312"/>
          <w:sz w:val="30"/>
          <w:szCs w:val="30"/>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firstLine="900" w:firstLineChars="300"/>
        <w:textAlignment w:val="auto"/>
        <w:rPr>
          <w:rFonts w:eastAsia="仿宋_GB2312"/>
          <w:sz w:val="36"/>
          <w:szCs w:val="36"/>
          <w:u w:val="single"/>
        </w:rPr>
      </w:pPr>
      <w:r>
        <w:rPr>
          <w:rFonts w:eastAsia="仿宋_GB2312"/>
          <w:sz w:val="30"/>
          <w:szCs w:val="30"/>
        </w:rPr>
        <w:t>编制日期：</w:t>
      </w:r>
      <w:r>
        <w:rPr>
          <w:rFonts w:eastAsia="仿宋_GB2312"/>
          <w:sz w:val="30"/>
          <w:szCs w:val="30"/>
          <w:u w:val="single"/>
        </w:rPr>
        <w:t xml:space="preserve">        </w:t>
      </w:r>
      <w:r>
        <w:rPr>
          <w:rFonts w:hint="eastAsia" w:eastAsia="仿宋_GB2312"/>
          <w:sz w:val="30"/>
          <w:szCs w:val="30"/>
          <w:u w:val="single"/>
        </w:rPr>
        <w:t xml:space="preserve"> </w:t>
      </w:r>
      <w:r>
        <w:rPr>
          <w:rFonts w:eastAsia="仿宋_GB2312"/>
          <w:sz w:val="30"/>
          <w:szCs w:val="30"/>
          <w:u w:val="single"/>
        </w:rPr>
        <w:t xml:space="preserve"> </w:t>
      </w:r>
      <w:r>
        <w:rPr>
          <w:rFonts w:hint="eastAsia" w:eastAsia="仿宋_GB2312"/>
          <w:sz w:val="30"/>
          <w:szCs w:val="30"/>
          <w:u w:val="single"/>
          <w:lang w:val="en-US" w:eastAsia="zh-CN"/>
        </w:rPr>
        <w:t xml:space="preserve">   </w:t>
      </w:r>
      <w:r>
        <w:rPr>
          <w:rFonts w:eastAsia="仿宋_GB2312"/>
          <w:sz w:val="30"/>
          <w:szCs w:val="30"/>
          <w:u w:val="single"/>
        </w:rPr>
        <w:t xml:space="preserve"> 202</w:t>
      </w:r>
      <w:r>
        <w:rPr>
          <w:rFonts w:hint="eastAsia" w:eastAsia="仿宋_GB2312"/>
          <w:sz w:val="30"/>
          <w:szCs w:val="30"/>
          <w:u w:val="single"/>
          <w:lang w:val="en-US" w:eastAsia="zh-CN"/>
        </w:rPr>
        <w:t>2</w:t>
      </w:r>
      <w:r>
        <w:rPr>
          <w:rFonts w:eastAsia="仿宋_GB2312"/>
          <w:sz w:val="30"/>
          <w:szCs w:val="30"/>
          <w:u w:val="single"/>
        </w:rPr>
        <w:t>年</w:t>
      </w:r>
      <w:r>
        <w:rPr>
          <w:rFonts w:hint="eastAsia" w:eastAsia="仿宋_GB2312"/>
          <w:sz w:val="30"/>
          <w:szCs w:val="30"/>
          <w:u w:val="single"/>
          <w:lang w:val="en-US" w:eastAsia="zh-CN"/>
        </w:rPr>
        <w:t>9</w:t>
      </w:r>
      <w:r>
        <w:rPr>
          <w:rFonts w:eastAsia="仿宋_GB2312"/>
          <w:sz w:val="30"/>
          <w:szCs w:val="30"/>
          <w:u w:val="single"/>
        </w:rPr>
        <w:t>月</w:t>
      </w:r>
      <w:r>
        <w:rPr>
          <w:rFonts w:hint="eastAsia" w:eastAsia="仿宋_GB2312"/>
          <w:sz w:val="30"/>
          <w:szCs w:val="30"/>
          <w:u w:val="single"/>
          <w:lang w:val="en-US" w:eastAsia="zh-CN"/>
        </w:rPr>
        <w:t xml:space="preserve">   </w:t>
      </w:r>
      <w:r>
        <w:rPr>
          <w:rFonts w:eastAsia="仿宋_GB2312"/>
          <w:sz w:val="30"/>
          <w:szCs w:val="30"/>
          <w:u w:val="single"/>
        </w:rPr>
        <w:t xml:space="preserve">              </w:t>
      </w:r>
      <w:bookmarkStart w:id="1" w:name="_Hlk57884087"/>
      <w:r>
        <w:rPr>
          <w:rFonts w:eastAsia="仿宋_GB2312"/>
          <w:sz w:val="30"/>
          <w:szCs w:val="30"/>
          <w:u w:val="single"/>
        </w:rPr>
        <w:t xml:space="preserve"> </w:t>
      </w: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bookmarkEnd w:id="1"/>
    <w:p>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pPr>
        <w:adjustRightInd w:val="0"/>
        <w:snapToGrid w:val="0"/>
        <w:spacing w:line="288" w:lineRule="auto"/>
        <w:rPr>
          <w:rFonts w:hint="eastAsia" w:eastAsia="仿宋_GB2312"/>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18" w:right="1531" w:bottom="1418"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4"/>
        <w:rPr>
          <w:rFonts w:hint="eastAsia"/>
        </w:rPr>
        <w:sectPr>
          <w:pgSz w:w="11906" w:h="16838"/>
          <w:pgMar w:top="1418" w:right="1531" w:bottom="1418" w:left="1531" w:header="851" w:footer="1077" w:gutter="0"/>
          <w:pgBorders>
            <w:top w:val="none" w:sz="0" w:space="0"/>
            <w:left w:val="none" w:sz="0" w:space="0"/>
            <w:bottom w:val="none" w:sz="0" w:space="0"/>
            <w:right w:val="none" w:sz="0" w:space="0"/>
          </w:pgBorders>
          <w:pgNumType w:start="3"/>
          <w:cols w:space="720" w:num="1"/>
          <w:docGrid w:linePitch="312" w:charSpace="0"/>
        </w:sectPr>
      </w:pPr>
      <w:bookmarkStart w:id="11" w:name="_GoBack"/>
      <w:bookmarkEnd w:id="11"/>
      <w:r>
        <w:drawing>
          <wp:anchor distT="0" distB="0" distL="114300" distR="114300" simplePos="0" relativeHeight="251676672" behindDoc="1" locked="0" layoutInCell="1" allowOverlap="1">
            <wp:simplePos x="0" y="0"/>
            <wp:positionH relativeFrom="column">
              <wp:posOffset>-381000</wp:posOffset>
            </wp:positionH>
            <wp:positionV relativeFrom="paragraph">
              <wp:posOffset>38100</wp:posOffset>
            </wp:positionV>
            <wp:extent cx="6092190" cy="7849870"/>
            <wp:effectExtent l="0" t="0" r="3810" b="17780"/>
            <wp:wrapNone/>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2"/>
                    <a:stretch>
                      <a:fillRect/>
                    </a:stretch>
                  </pic:blipFill>
                  <pic:spPr>
                    <a:xfrm>
                      <a:off x="0" y="0"/>
                      <a:ext cx="6092190" cy="7849870"/>
                    </a:xfrm>
                    <a:prstGeom prst="rect">
                      <a:avLst/>
                    </a:prstGeom>
                    <a:noFill/>
                    <a:ln>
                      <a:noFill/>
                    </a:ln>
                  </pic:spPr>
                </pic:pic>
              </a:graphicData>
            </a:graphic>
          </wp:anchor>
        </w:drawing>
      </w:r>
    </w:p>
    <w:p>
      <w:pPr>
        <w:pStyle w:val="5"/>
        <w:rPr>
          <w:rFonts w:hint="eastAsia" w:eastAsia="宋体"/>
          <w:lang w:eastAsia="zh-CN"/>
        </w:rPr>
        <w:sectPr>
          <w:pgSz w:w="11906" w:h="16838"/>
          <w:pgMar w:top="1418" w:right="1531" w:bottom="1418"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宋体"/>
          <w:lang w:eastAsia="zh-CN"/>
        </w:rPr>
        <w:drawing>
          <wp:anchor distT="0" distB="0" distL="114300" distR="114300" simplePos="0" relativeHeight="251665408" behindDoc="1" locked="0" layoutInCell="1" allowOverlap="1">
            <wp:simplePos x="0" y="0"/>
            <wp:positionH relativeFrom="column">
              <wp:posOffset>-295275</wp:posOffset>
            </wp:positionH>
            <wp:positionV relativeFrom="paragraph">
              <wp:posOffset>0</wp:posOffset>
            </wp:positionV>
            <wp:extent cx="6176645" cy="8359775"/>
            <wp:effectExtent l="0" t="0" r="14605" b="3175"/>
            <wp:wrapNone/>
            <wp:docPr id="60" name="图片 5"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承诺书"/>
                    <pic:cNvPicPr>
                      <a:picLocks noChangeAspect="1"/>
                    </pic:cNvPicPr>
                  </pic:nvPicPr>
                  <pic:blipFill>
                    <a:blip r:embed="rId13"/>
                    <a:stretch>
                      <a:fillRect/>
                    </a:stretch>
                  </pic:blipFill>
                  <pic:spPr>
                    <a:xfrm>
                      <a:off x="0" y="0"/>
                      <a:ext cx="6176645" cy="8359775"/>
                    </a:xfrm>
                    <a:prstGeom prst="rect">
                      <a:avLst/>
                    </a:prstGeom>
                    <a:noFill/>
                    <a:ln>
                      <a:noFill/>
                    </a:ln>
                  </pic:spPr>
                </pic:pic>
              </a:graphicData>
            </a:graphic>
          </wp:anchor>
        </w:drawing>
      </w:r>
    </w:p>
    <w:p>
      <w:pPr>
        <w:pStyle w:val="5"/>
        <w:rPr>
          <w:rFonts w:hint="eastAsia" w:eastAsia="宋体"/>
          <w:lang w:eastAsia="zh-CN"/>
        </w:rPr>
        <w:sectPr>
          <w:pgSz w:w="11906" w:h="16838"/>
          <w:pgMar w:top="1418" w:right="1531" w:bottom="1418"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宋体"/>
          <w:lang w:eastAsia="zh-CN"/>
        </w:rPr>
        <w:drawing>
          <wp:anchor distT="0" distB="0" distL="114300" distR="114300" simplePos="0" relativeHeight="251668480" behindDoc="1" locked="0" layoutInCell="1" allowOverlap="1">
            <wp:simplePos x="0" y="0"/>
            <wp:positionH relativeFrom="column">
              <wp:posOffset>-216535</wp:posOffset>
            </wp:positionH>
            <wp:positionV relativeFrom="paragraph">
              <wp:posOffset>0</wp:posOffset>
            </wp:positionV>
            <wp:extent cx="5925820" cy="5633720"/>
            <wp:effectExtent l="0" t="0" r="17780" b="5080"/>
            <wp:wrapNone/>
            <wp:docPr id="59" name="图片 6" descr="a2b0007760e2efd5be87a85152ca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 descr="a2b0007760e2efd5be87a85152cad4d"/>
                    <pic:cNvPicPr>
                      <a:picLocks noChangeAspect="1"/>
                    </pic:cNvPicPr>
                  </pic:nvPicPr>
                  <pic:blipFill>
                    <a:blip r:embed="rId14"/>
                    <a:stretch>
                      <a:fillRect/>
                    </a:stretch>
                  </pic:blipFill>
                  <pic:spPr>
                    <a:xfrm>
                      <a:off x="0" y="0"/>
                      <a:ext cx="5925820" cy="5633720"/>
                    </a:xfrm>
                    <a:prstGeom prst="rect">
                      <a:avLst/>
                    </a:prstGeom>
                    <a:noFill/>
                    <a:ln>
                      <a:noFill/>
                    </a:ln>
                  </pic:spPr>
                </pic:pic>
              </a:graphicData>
            </a:graphic>
          </wp:anchor>
        </w:drawing>
      </w:r>
    </w:p>
    <w:p>
      <w:pPr>
        <w:pStyle w:val="5"/>
        <w:rPr>
          <w:rFonts w:hint="eastAsia"/>
        </w:rPr>
        <w:sectPr>
          <w:pgSz w:w="11906" w:h="16838"/>
          <w:pgMar w:top="1418" w:right="1531" w:bottom="1418"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eastAsia="宋体"/>
          <w:lang w:eastAsia="zh-CN"/>
        </w:rPr>
        <w:drawing>
          <wp:anchor distT="0" distB="0" distL="114300" distR="114300" simplePos="0" relativeHeight="251666432" behindDoc="1" locked="0" layoutInCell="1" allowOverlap="1">
            <wp:simplePos x="0" y="0"/>
            <wp:positionH relativeFrom="column">
              <wp:posOffset>-468630</wp:posOffset>
            </wp:positionH>
            <wp:positionV relativeFrom="paragraph">
              <wp:posOffset>-121920</wp:posOffset>
            </wp:positionV>
            <wp:extent cx="6510655" cy="8853805"/>
            <wp:effectExtent l="0" t="0" r="4445" b="4445"/>
            <wp:wrapNone/>
            <wp:docPr id="58" name="图片 7"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descr="Page0003"/>
                    <pic:cNvPicPr>
                      <a:picLocks noChangeAspect="1"/>
                    </pic:cNvPicPr>
                  </pic:nvPicPr>
                  <pic:blipFill>
                    <a:blip r:embed="rId15"/>
                    <a:stretch>
                      <a:fillRect/>
                    </a:stretch>
                  </pic:blipFill>
                  <pic:spPr>
                    <a:xfrm>
                      <a:off x="0" y="0"/>
                      <a:ext cx="6510655" cy="8853805"/>
                    </a:xfrm>
                    <a:prstGeom prst="rect">
                      <a:avLst/>
                    </a:prstGeom>
                    <a:noFill/>
                    <a:ln>
                      <a:noFill/>
                    </a:ln>
                  </pic:spPr>
                </pic:pic>
              </a:graphicData>
            </a:graphic>
          </wp:anchor>
        </w:drawing>
      </w:r>
    </w:p>
    <w:p>
      <w:pPr>
        <w:pStyle w:val="5"/>
        <w:rPr>
          <w:rFonts w:hint="eastAsia"/>
        </w:rPr>
        <w:sectPr>
          <w:pgSz w:w="11906" w:h="16838"/>
          <w:pgMar w:top="1418" w:right="1531" w:bottom="1418" w:left="1531" w:header="851" w:footer="1077" w:gutter="0"/>
          <w:pgBorders>
            <w:top w:val="none" w:sz="0" w:space="0"/>
            <w:left w:val="none" w:sz="0" w:space="0"/>
            <w:bottom w:val="none" w:sz="0" w:space="0"/>
            <w:right w:val="none" w:sz="0" w:space="0"/>
          </w:pgBorders>
          <w:pgNumType w:start="3"/>
          <w:cols w:space="720" w:num="1"/>
          <w:docGrid w:linePitch="312" w:charSpace="0"/>
        </w:sectPr>
      </w:pPr>
      <w:r>
        <w:drawing>
          <wp:anchor distT="0" distB="0" distL="114300" distR="114300" simplePos="0" relativeHeight="251667456" behindDoc="1" locked="0" layoutInCell="1" allowOverlap="1">
            <wp:simplePos x="0" y="0"/>
            <wp:positionH relativeFrom="column">
              <wp:posOffset>-371475</wp:posOffset>
            </wp:positionH>
            <wp:positionV relativeFrom="paragraph">
              <wp:posOffset>0</wp:posOffset>
            </wp:positionV>
            <wp:extent cx="6331585" cy="8505825"/>
            <wp:effectExtent l="0" t="0" r="12065" b="9525"/>
            <wp:wrapNone/>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16"/>
                    <a:stretch>
                      <a:fillRect/>
                    </a:stretch>
                  </pic:blipFill>
                  <pic:spPr>
                    <a:xfrm>
                      <a:off x="0" y="0"/>
                      <a:ext cx="6331585" cy="8505825"/>
                    </a:xfrm>
                    <a:prstGeom prst="rect">
                      <a:avLst/>
                    </a:prstGeom>
                    <a:noFill/>
                    <a:ln>
                      <a:noFill/>
                    </a:ln>
                  </pic:spPr>
                </pic:pic>
              </a:graphicData>
            </a:graphic>
          </wp:anchor>
        </w:drawing>
      </w:r>
    </w:p>
    <w:p>
      <w:pPr>
        <w:adjustRightInd w:val="0"/>
        <w:snapToGrid w:val="0"/>
        <w:spacing w:line="288" w:lineRule="auto"/>
        <w:jc w:val="center"/>
        <w:rPr>
          <w:rFonts w:hint="eastAsia" w:ascii="宋体" w:hAnsi="宋体" w:eastAsia="宋体" w:cs="宋体"/>
          <w:b/>
          <w:sz w:val="36"/>
          <w:szCs w:val="36"/>
        </w:rPr>
      </w:pPr>
      <w:r>
        <w:rPr>
          <w:rFonts w:hint="eastAsia" w:ascii="宋体" w:hAnsi="宋体" w:eastAsia="宋体" w:cs="宋体"/>
          <w:b/>
          <w:sz w:val="36"/>
          <w:szCs w:val="36"/>
        </w:rPr>
        <w:t>目     录</w:t>
      </w:r>
      <w:r>
        <w:rPr>
          <w:rFonts w:hint="eastAsia" w:ascii="宋体" w:hAnsi="宋体" w:eastAsia="宋体" w:cs="宋体"/>
          <w:sz w:val="36"/>
          <w:szCs w:val="36"/>
        </w:rPr>
        <w:fldChar w:fldCharType="begin"/>
      </w:r>
      <w:r>
        <w:rPr>
          <w:rFonts w:hint="eastAsia" w:ascii="宋体" w:hAnsi="宋体" w:eastAsia="宋体" w:cs="宋体"/>
          <w:sz w:val="36"/>
          <w:szCs w:val="36"/>
        </w:rPr>
        <w:instrText xml:space="preserve"> TOC \o "1-2" \h \z \u </w:instrText>
      </w:r>
      <w:r>
        <w:rPr>
          <w:rFonts w:hint="eastAsia" w:ascii="宋体" w:hAnsi="宋体" w:eastAsia="宋体" w:cs="宋体"/>
          <w:sz w:val="36"/>
          <w:szCs w:val="36"/>
        </w:rPr>
        <w:fldChar w:fldCharType="separate"/>
      </w:r>
    </w:p>
    <w:p>
      <w:pPr>
        <w:pStyle w:val="12"/>
        <w:tabs>
          <w:tab w:val="right" w:leader="dot" w:pos="8834"/>
        </w:tabs>
        <w:spacing w:line="480" w:lineRule="auto"/>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instrText xml:space="preserve">HYPERLINK \l "_Toc78811927"</w:instrText>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fldChar w:fldCharType="separate"/>
      </w:r>
      <w:r>
        <w:rPr>
          <w:rStyle w:val="20"/>
          <w:rFonts w:hint="default" w:ascii="Times New Roman" w:hAnsi="Times New Roman" w:eastAsia="宋体" w:cs="Times New Roman"/>
          <w:snapToGrid w:val="0"/>
          <w:sz w:val="24"/>
        </w:rPr>
        <w:t>一、建设项目基本情况</w:t>
      </w:r>
      <w:r>
        <w:rPr>
          <w:rFonts w:hint="default" w:ascii="Times New Roman" w:hAnsi="Times New Roman" w:eastAsia="宋体" w:cs="Times New Roman"/>
          <w:sz w:val="24"/>
        </w:rPr>
        <w:tab/>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PAGEREF _Toc78811927 \h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1</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fldChar w:fldCharType="end"/>
      </w:r>
    </w:p>
    <w:p>
      <w:pPr>
        <w:pStyle w:val="12"/>
        <w:tabs>
          <w:tab w:val="right" w:leader="dot" w:pos="8834"/>
        </w:tabs>
        <w:spacing w:line="480" w:lineRule="auto"/>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instrText xml:space="preserve">HYPERLINK \l "_Toc78811928"</w:instrText>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fldChar w:fldCharType="separate"/>
      </w:r>
      <w:r>
        <w:rPr>
          <w:rStyle w:val="20"/>
          <w:rFonts w:hint="default" w:ascii="Times New Roman" w:hAnsi="Times New Roman" w:eastAsia="宋体" w:cs="Times New Roman"/>
          <w:snapToGrid w:val="0"/>
          <w:sz w:val="24"/>
        </w:rPr>
        <w:t>二、建设项目工程分析</w:t>
      </w:r>
      <w:r>
        <w:rPr>
          <w:rFonts w:hint="default" w:ascii="Times New Roman" w:hAnsi="Times New Roman" w:eastAsia="宋体" w:cs="Times New Roman"/>
          <w:sz w:val="24"/>
        </w:rPr>
        <w:tab/>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PAGEREF _Toc78811928 \h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27</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fldChar w:fldCharType="end"/>
      </w:r>
    </w:p>
    <w:p>
      <w:pPr>
        <w:pStyle w:val="12"/>
        <w:tabs>
          <w:tab w:val="right" w:leader="dot" w:pos="8834"/>
        </w:tabs>
        <w:spacing w:line="480" w:lineRule="auto"/>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instrText xml:space="preserve">HYPERLINK \l "_Toc78811929"</w:instrText>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fldChar w:fldCharType="separate"/>
      </w:r>
      <w:r>
        <w:rPr>
          <w:rStyle w:val="20"/>
          <w:rFonts w:hint="default" w:ascii="Times New Roman" w:hAnsi="Times New Roman" w:eastAsia="宋体" w:cs="Times New Roman"/>
          <w:snapToGrid w:val="0"/>
          <w:sz w:val="24"/>
        </w:rPr>
        <w:t>三、区域环境质量现状、环境保护目标及评价标准</w:t>
      </w:r>
      <w:r>
        <w:rPr>
          <w:rFonts w:hint="default" w:ascii="Times New Roman" w:hAnsi="Times New Roman" w:eastAsia="宋体" w:cs="Times New Roman"/>
          <w:sz w:val="24"/>
        </w:rPr>
        <w:tab/>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PAGEREF _Toc78811929 \h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48</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fldChar w:fldCharType="end"/>
      </w:r>
    </w:p>
    <w:p>
      <w:pPr>
        <w:pStyle w:val="12"/>
        <w:tabs>
          <w:tab w:val="right" w:leader="dot" w:pos="8834"/>
        </w:tabs>
        <w:spacing w:line="480" w:lineRule="auto"/>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instrText xml:space="preserve">HYPERLINK \l "_Toc78811930"</w:instrText>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fldChar w:fldCharType="separate"/>
      </w:r>
      <w:r>
        <w:rPr>
          <w:rStyle w:val="20"/>
          <w:rFonts w:hint="default" w:ascii="Times New Roman" w:hAnsi="Times New Roman" w:eastAsia="宋体" w:cs="Times New Roman"/>
          <w:snapToGrid w:val="0"/>
          <w:sz w:val="24"/>
        </w:rPr>
        <w:t>四、主要环境影响和保护措施</w:t>
      </w:r>
      <w:r>
        <w:rPr>
          <w:rFonts w:hint="default" w:ascii="Times New Roman" w:hAnsi="Times New Roman" w:eastAsia="宋体" w:cs="Times New Roman"/>
          <w:sz w:val="24"/>
        </w:rPr>
        <w:tab/>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PAGEREF _Toc78811930 \h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57</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fldChar w:fldCharType="end"/>
      </w:r>
    </w:p>
    <w:p>
      <w:pPr>
        <w:pStyle w:val="12"/>
        <w:tabs>
          <w:tab w:val="right" w:leader="dot" w:pos="8834"/>
        </w:tabs>
        <w:spacing w:line="480" w:lineRule="auto"/>
        <w:rPr>
          <w:rFonts w:hint="default" w:ascii="Times New Roman" w:hAnsi="Times New Roman" w:eastAsia="宋体" w:cs="Times New Roman"/>
          <w:sz w:val="24"/>
        </w:rPr>
      </w:pPr>
      <w:r>
        <w:rPr>
          <w:rFonts w:hint="default" w:ascii="Times New Roman" w:hAnsi="Times New Roman" w:eastAsia="宋体" w:cs="Times New Roman"/>
          <w:sz w:val="24"/>
        </w:rPr>
        <w:fldChar w:fldCharType="begin"/>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instrText xml:space="preserve">HYPERLINK \l "_Toc78811938"</w:instrText>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fldChar w:fldCharType="separate"/>
      </w:r>
      <w:r>
        <w:rPr>
          <w:rStyle w:val="20"/>
          <w:rFonts w:hint="default" w:ascii="Times New Roman" w:hAnsi="Times New Roman" w:eastAsia="宋体" w:cs="Times New Roman"/>
          <w:snapToGrid w:val="0"/>
          <w:sz w:val="24"/>
        </w:rPr>
        <w:t>五、环境保护措施监督检查清单</w:t>
      </w:r>
      <w:r>
        <w:rPr>
          <w:rFonts w:hint="default" w:ascii="Times New Roman" w:hAnsi="Times New Roman" w:eastAsia="宋体" w:cs="Times New Roman"/>
          <w:sz w:val="24"/>
        </w:rPr>
        <w:tab/>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PAGEREF _Toc78811938 \h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87</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fldChar w:fldCharType="end"/>
      </w:r>
    </w:p>
    <w:p>
      <w:pPr>
        <w:pStyle w:val="12"/>
        <w:tabs>
          <w:tab w:val="right" w:leader="dot" w:pos="8834"/>
        </w:tabs>
        <w:spacing w:line="480" w:lineRule="auto"/>
        <w:rPr>
          <w:rFonts w:hint="eastAsia" w:ascii="宋体" w:hAnsi="宋体" w:eastAsia="宋体" w:cs="宋体"/>
        </w:rPr>
      </w:pPr>
      <w:r>
        <w:rPr>
          <w:rFonts w:hint="default" w:ascii="Times New Roman" w:hAnsi="Times New Roman" w:eastAsia="宋体" w:cs="Times New Roman"/>
          <w:sz w:val="24"/>
        </w:rPr>
        <w:fldChar w:fldCharType="begin"/>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instrText xml:space="preserve">HYPERLINK \l "_Toc78811939"</w:instrText>
      </w:r>
      <w:r>
        <w:rPr>
          <w:rStyle w:val="20"/>
          <w:rFonts w:hint="default" w:ascii="Times New Roman" w:hAnsi="Times New Roman" w:eastAsia="宋体" w:cs="Times New Roman"/>
          <w:sz w:val="24"/>
        </w:rPr>
        <w:instrText xml:space="preserve"> </w:instrText>
      </w:r>
      <w:r>
        <w:rPr>
          <w:rFonts w:hint="default" w:ascii="Times New Roman" w:hAnsi="Times New Roman" w:eastAsia="宋体" w:cs="Times New Roman"/>
          <w:sz w:val="24"/>
        </w:rPr>
        <w:fldChar w:fldCharType="separate"/>
      </w:r>
      <w:r>
        <w:rPr>
          <w:rStyle w:val="20"/>
          <w:rFonts w:hint="default" w:ascii="Times New Roman" w:hAnsi="Times New Roman" w:eastAsia="宋体" w:cs="Times New Roman"/>
          <w:snapToGrid w:val="0"/>
          <w:sz w:val="24"/>
        </w:rPr>
        <w:t>六、结论</w:t>
      </w:r>
      <w:r>
        <w:rPr>
          <w:rFonts w:hint="default" w:ascii="Times New Roman" w:hAnsi="Times New Roman" w:eastAsia="宋体" w:cs="Times New Roman"/>
          <w:sz w:val="24"/>
        </w:rPr>
        <w:tab/>
      </w:r>
      <w:r>
        <w:rPr>
          <w:rFonts w:hint="default" w:ascii="Times New Roman" w:hAnsi="Times New Roman" w:eastAsia="宋体" w:cs="Times New Roman"/>
          <w:sz w:val="24"/>
        </w:rPr>
        <w:fldChar w:fldCharType="begin"/>
      </w:r>
      <w:r>
        <w:rPr>
          <w:rFonts w:hint="default" w:ascii="Times New Roman" w:hAnsi="Times New Roman" w:eastAsia="宋体" w:cs="Times New Roman"/>
          <w:sz w:val="24"/>
        </w:rPr>
        <w:instrText xml:space="preserve"> PAGEREF _Toc78811939 \h </w:instrText>
      </w:r>
      <w:r>
        <w:rPr>
          <w:rFonts w:hint="default" w:ascii="Times New Roman" w:hAnsi="Times New Roman" w:eastAsia="宋体" w:cs="Times New Roman"/>
          <w:sz w:val="24"/>
        </w:rPr>
        <w:fldChar w:fldCharType="separate"/>
      </w:r>
      <w:r>
        <w:rPr>
          <w:rFonts w:hint="default" w:ascii="Times New Roman" w:hAnsi="Times New Roman" w:eastAsia="宋体" w:cs="Times New Roman"/>
          <w:sz w:val="24"/>
        </w:rPr>
        <w:t>89</w:t>
      </w:r>
      <w:r>
        <w:rPr>
          <w:rFonts w:hint="default" w:ascii="Times New Roman" w:hAnsi="Times New Roman" w:eastAsia="宋体" w:cs="Times New Roman"/>
          <w:sz w:val="24"/>
        </w:rPr>
        <w:fldChar w:fldCharType="end"/>
      </w:r>
      <w:r>
        <w:rPr>
          <w:rFonts w:hint="default" w:ascii="Times New Roman" w:hAnsi="Times New Roman" w:eastAsia="宋体" w:cs="Times New Roman"/>
          <w:sz w:val="24"/>
        </w:rPr>
        <w:fldChar w:fldCharType="end"/>
      </w:r>
    </w:p>
    <w:p>
      <w:pPr>
        <w:pStyle w:val="15"/>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right="0" w:rightChars="0" w:firstLine="0" w:firstLineChars="0"/>
        <w:jc w:val="both"/>
        <w:textAlignment w:val="auto"/>
        <w:outlineLvl w:val="9"/>
        <w:rPr>
          <w:rFonts w:hint="default" w:ascii="Times New Roman" w:hAnsi="Times New Roman" w:eastAsia="宋体" w:cs="Times New Roman"/>
          <w:b/>
          <w:bCs w:val="0"/>
          <w:sz w:val="24"/>
          <w:szCs w:val="24"/>
          <w:lang w:eastAsia="zh-CN"/>
        </w:rPr>
      </w:pPr>
      <w:r>
        <w:rPr>
          <w:rFonts w:hint="eastAsia" w:ascii="宋体" w:hAnsi="宋体" w:eastAsia="宋体" w:cs="宋体"/>
          <w:sz w:val="36"/>
          <w:szCs w:val="36"/>
        </w:rPr>
        <w:fldChar w:fldCharType="end"/>
      </w:r>
      <w:r>
        <w:rPr>
          <w:rFonts w:hint="default" w:ascii="Times New Roman" w:hAnsi="Times New Roman" w:eastAsia="宋体" w:cs="Times New Roman"/>
          <w:b/>
          <w:bCs w:val="0"/>
          <w:sz w:val="24"/>
          <w:szCs w:val="24"/>
          <w:lang w:eastAsia="zh-CN"/>
        </w:rPr>
        <w:t>附表：</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eastAsia="仿宋_GB2312"/>
          <w:sz w:val="36"/>
          <w:szCs w:val="36"/>
        </w:rPr>
      </w:pPr>
      <w:r>
        <w:rPr>
          <w:rFonts w:hint="default" w:ascii="Times New Roman" w:hAnsi="Times New Roman" w:eastAsia="宋体" w:cs="Times New Roman"/>
          <w:b w:val="0"/>
          <w:bCs/>
          <w:sz w:val="24"/>
          <w:szCs w:val="24"/>
          <w:lang w:eastAsia="zh-CN"/>
        </w:rPr>
        <w:t>附表1</w:t>
      </w:r>
      <w:r>
        <w:rPr>
          <w:rFonts w:hint="default"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lang w:eastAsia="zh-CN"/>
        </w:rPr>
        <w:t>建设项目污染物排放量汇总表</w:t>
      </w:r>
      <w:r>
        <w:rPr>
          <w:rFonts w:hint="eastAsia" w:ascii="Times New Roman" w:hAnsi="Times New Roman" w:eastAsia="宋体" w:cs="Times New Roman"/>
          <w:b w:val="0"/>
          <w:bCs/>
          <w:sz w:val="24"/>
          <w:szCs w:val="24"/>
          <w:lang w:eastAsia="zh-CN"/>
        </w:rPr>
        <w:t>；</w:t>
      </w:r>
    </w:p>
    <w:p>
      <w:pPr>
        <w:widowControl/>
        <w:spacing w:line="360" w:lineRule="auto"/>
        <w:jc w:val="left"/>
        <w:textAlignment w:val="baseline"/>
        <w:rPr>
          <w:rFonts w:hint="default" w:ascii="Times New Roman" w:hAnsi="Times New Roman" w:eastAsia="宋体" w:cs="Times New Roman"/>
          <w:b/>
          <w:bCs/>
          <w:sz w:val="24"/>
          <w:szCs w:val="24"/>
          <w:highlight w:val="none"/>
          <w:u w:val="none" w:color="auto"/>
          <w:lang w:val="en-US" w:eastAsia="zh-CN"/>
        </w:rPr>
      </w:pPr>
      <w:r>
        <w:rPr>
          <w:rFonts w:hint="default" w:ascii="Times New Roman" w:hAnsi="Times New Roman" w:eastAsia="宋体" w:cs="Times New Roman"/>
          <w:sz w:val="21"/>
        </w:rPr>
        <mc:AlternateContent>
          <mc:Choice Requires="wps">
            <w:drawing>
              <wp:anchor distT="0" distB="0" distL="114300" distR="114300" simplePos="0" relativeHeight="251672576" behindDoc="0" locked="0" layoutInCell="1" allowOverlap="1">
                <wp:simplePos x="0" y="0"/>
                <wp:positionH relativeFrom="column">
                  <wp:posOffset>7606030</wp:posOffset>
                </wp:positionH>
                <wp:positionV relativeFrom="paragraph">
                  <wp:posOffset>2426335</wp:posOffset>
                </wp:positionV>
                <wp:extent cx="1276350" cy="752475"/>
                <wp:effectExtent l="5080" t="4445" r="13970" b="5080"/>
                <wp:wrapNone/>
                <wp:docPr id="56" name="矩形 56"/>
                <wp:cNvGraphicFramePr/>
                <a:graphic xmlns:a="http://schemas.openxmlformats.org/drawingml/2006/main">
                  <a:graphicData uri="http://schemas.microsoft.com/office/word/2010/wordprocessingShape">
                    <wps:wsp>
                      <wps:cNvSpPr/>
                      <wps:spPr>
                        <a:xfrm>
                          <a:off x="8336915" y="5250815"/>
                          <a:ext cx="1276350"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bCs/>
                                <w:lang w:val="en-US" w:eastAsia="zh-CN"/>
                              </w:rPr>
                            </w:pPr>
                            <w:r>
                              <w:rPr>
                                <w:rFonts w:hint="eastAsia"/>
                                <w:b/>
                                <w:bCs/>
                                <w:lang w:val="en-US" w:eastAsia="zh-CN"/>
                              </w:rPr>
                              <w:t>图例</w:t>
                            </w:r>
                          </w:p>
                          <w:p>
                            <w:pPr>
                              <w:jc w:val="both"/>
                              <w:rPr>
                                <w:rFonts w:hint="eastAsia"/>
                                <w:lang w:val="en-US" w:eastAsia="zh-CN"/>
                              </w:rPr>
                            </w:pPr>
                          </w:p>
                          <w:p>
                            <w:pPr>
                              <w:jc w:val="both"/>
                              <w:rPr>
                                <w:rFonts w:hint="eastAsia"/>
                                <w:lang w:val="en-US" w:eastAsia="zh-CN"/>
                              </w:rPr>
                            </w:pPr>
                            <w:r>
                              <w:rPr>
                                <w:rFonts w:hint="eastAsia"/>
                                <w:lang w:val="en-US" w:eastAsia="zh-CN"/>
                              </w:rPr>
                              <w:t>比例：   10km</w:t>
                            </w:r>
                          </w:p>
                        </w:txbxContent>
                      </wps:txbx>
                      <wps:bodyPr upright="1"/>
                    </wps:wsp>
                  </a:graphicData>
                </a:graphic>
              </wp:anchor>
            </w:drawing>
          </mc:Choice>
          <mc:Fallback>
            <w:pict>
              <v:rect id="_x0000_s1026" o:spid="_x0000_s1026" o:spt="1" style="position:absolute;left:0pt;margin-left:598.9pt;margin-top:191.05pt;height:59.25pt;width:100.5pt;z-index:251672576;mso-width-relative:page;mso-height-relative:page;" fillcolor="#FFFFFF" filled="t" stroked="t" coordsize="21600,21600" o:gfxdata="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bp4UDYAAAADQEAAA8AAAAA&#10;AAAAAQAgAAAAIgAAAGRycy9kb3ducmV2LnhtbFBLAQIUABQAAAAIAIdO4kC5/zy8FAIAAEUEAAAO&#10;AAAAAAAAAAEAIAAAACcBAABkcnMvZTJvRG9jLnhtbFBLBQYAAAAABgAGAFkBAACtBQAAAAA=&#10;">
                <v:fill on="t" focussize="0,0"/>
                <v:stroke color="#000000" joinstyle="miter"/>
                <v:imagedata o:title=""/>
                <o:lock v:ext="edit" aspectratio="f"/>
                <v:textbox>
                  <w:txbxContent>
                    <w:p>
                      <w:pPr>
                        <w:jc w:val="center"/>
                        <w:rPr>
                          <w:rFonts w:hint="eastAsia"/>
                          <w:b/>
                          <w:bCs/>
                          <w:lang w:val="en-US" w:eastAsia="zh-CN"/>
                        </w:rPr>
                      </w:pPr>
                      <w:r>
                        <w:rPr>
                          <w:rFonts w:hint="eastAsia"/>
                          <w:b/>
                          <w:bCs/>
                          <w:lang w:val="en-US" w:eastAsia="zh-CN"/>
                        </w:rPr>
                        <w:t>图例</w:t>
                      </w:r>
                    </w:p>
                    <w:p>
                      <w:pPr>
                        <w:jc w:val="both"/>
                        <w:rPr>
                          <w:rFonts w:hint="eastAsia"/>
                          <w:lang w:val="en-US" w:eastAsia="zh-CN"/>
                        </w:rPr>
                      </w:pPr>
                    </w:p>
                    <w:p>
                      <w:pPr>
                        <w:jc w:val="both"/>
                        <w:rPr>
                          <w:rFonts w:hint="eastAsia"/>
                          <w:lang w:val="en-US" w:eastAsia="zh-CN"/>
                        </w:rPr>
                      </w:pPr>
                      <w:r>
                        <w:rPr>
                          <w:rFonts w:hint="eastAsia"/>
                          <w:lang w:val="en-US" w:eastAsia="zh-CN"/>
                        </w:rPr>
                        <w:t>比例：   10km</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3600" behindDoc="0" locked="0" layoutInCell="1" allowOverlap="1">
                <wp:simplePos x="0" y="0"/>
                <wp:positionH relativeFrom="column">
                  <wp:posOffset>7758430</wp:posOffset>
                </wp:positionH>
                <wp:positionV relativeFrom="paragraph">
                  <wp:posOffset>1390015</wp:posOffset>
                </wp:positionV>
                <wp:extent cx="1276350" cy="752475"/>
                <wp:effectExtent l="5080" t="4445" r="13970" b="5080"/>
                <wp:wrapNone/>
                <wp:docPr id="55" name="矩形 55"/>
                <wp:cNvGraphicFramePr/>
                <a:graphic xmlns:a="http://schemas.openxmlformats.org/drawingml/2006/main">
                  <a:graphicData uri="http://schemas.microsoft.com/office/word/2010/wordprocessingShape">
                    <wps:wsp>
                      <wps:cNvSpPr/>
                      <wps:spPr>
                        <a:xfrm>
                          <a:off x="8336915" y="5250815"/>
                          <a:ext cx="1276350"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bCs/>
                                <w:lang w:val="en-US" w:eastAsia="zh-CN"/>
                              </w:rPr>
                            </w:pPr>
                            <w:r>
                              <w:rPr>
                                <w:rFonts w:hint="eastAsia"/>
                                <w:b/>
                                <w:bCs/>
                                <w:lang w:val="en-US" w:eastAsia="zh-CN"/>
                              </w:rPr>
                              <w:t>图例</w:t>
                            </w:r>
                          </w:p>
                          <w:p>
                            <w:pPr>
                              <w:jc w:val="both"/>
                              <w:rPr>
                                <w:rFonts w:hint="eastAsia"/>
                                <w:lang w:val="en-US" w:eastAsia="zh-CN"/>
                              </w:rPr>
                            </w:pPr>
                          </w:p>
                          <w:p>
                            <w:pPr>
                              <w:jc w:val="both"/>
                              <w:rPr>
                                <w:rFonts w:hint="eastAsia"/>
                                <w:lang w:val="en-US" w:eastAsia="zh-CN"/>
                              </w:rPr>
                            </w:pPr>
                            <w:r>
                              <w:rPr>
                                <w:rFonts w:hint="eastAsia"/>
                                <w:lang w:val="en-US" w:eastAsia="zh-CN"/>
                              </w:rPr>
                              <w:t>比例：   10km</w:t>
                            </w:r>
                          </w:p>
                        </w:txbxContent>
                      </wps:txbx>
                      <wps:bodyPr upright="1"/>
                    </wps:wsp>
                  </a:graphicData>
                </a:graphic>
              </wp:anchor>
            </w:drawing>
          </mc:Choice>
          <mc:Fallback>
            <w:pict>
              <v:rect id="_x0000_s1026" o:spid="_x0000_s1026" o:spt="1" style="position:absolute;left:0pt;margin-left:610.9pt;margin-top:109.45pt;height:59.25pt;width:100.5pt;z-index:251673600;mso-width-relative:page;mso-height-relative:page;" fillcolor="#FFFFFF" filled="t" stroked="t" coordsize="21600,21600" o:gfxdata="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UiPd/ZAAAADQEAAA8AAAAA&#10;AAAAAQAgAAAAIgAAAGRycy9kb3ducmV2LnhtbFBLAQIUABQAAAAIAIdO4kDd9a88EwIAAEUEAAAO&#10;AAAAAAAAAAEAIAAAACgBAABkcnMvZTJvRG9jLnhtbFBLBQYAAAAABgAGAFkBAACtBQAAAAA=&#10;">
                <v:fill on="t" focussize="0,0"/>
                <v:stroke color="#000000" joinstyle="miter"/>
                <v:imagedata o:title=""/>
                <o:lock v:ext="edit" aspectratio="f"/>
                <v:textbox>
                  <w:txbxContent>
                    <w:p>
                      <w:pPr>
                        <w:jc w:val="center"/>
                        <w:rPr>
                          <w:rFonts w:hint="eastAsia"/>
                          <w:b/>
                          <w:bCs/>
                          <w:lang w:val="en-US" w:eastAsia="zh-CN"/>
                        </w:rPr>
                      </w:pPr>
                      <w:r>
                        <w:rPr>
                          <w:rFonts w:hint="eastAsia"/>
                          <w:b/>
                          <w:bCs/>
                          <w:lang w:val="en-US" w:eastAsia="zh-CN"/>
                        </w:rPr>
                        <w:t>图例</w:t>
                      </w:r>
                    </w:p>
                    <w:p>
                      <w:pPr>
                        <w:jc w:val="both"/>
                        <w:rPr>
                          <w:rFonts w:hint="eastAsia"/>
                          <w:lang w:val="en-US" w:eastAsia="zh-CN"/>
                        </w:rPr>
                      </w:pPr>
                    </w:p>
                    <w:p>
                      <w:pPr>
                        <w:jc w:val="both"/>
                        <w:rPr>
                          <w:rFonts w:hint="eastAsia"/>
                          <w:lang w:val="en-US" w:eastAsia="zh-CN"/>
                        </w:rPr>
                      </w:pPr>
                      <w:r>
                        <w:rPr>
                          <w:rFonts w:hint="eastAsia"/>
                          <w:lang w:val="en-US" w:eastAsia="zh-CN"/>
                        </w:rPr>
                        <w:t>比例：   10km</w:t>
                      </w:r>
                    </w:p>
                  </w:txbxContent>
                </v:textbox>
              </v:rect>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71552" behindDoc="0" locked="0" layoutInCell="1" allowOverlap="1">
                <wp:simplePos x="0" y="0"/>
                <wp:positionH relativeFrom="column">
                  <wp:posOffset>7453630</wp:posOffset>
                </wp:positionH>
                <wp:positionV relativeFrom="paragraph">
                  <wp:posOffset>-1292225</wp:posOffset>
                </wp:positionV>
                <wp:extent cx="1276350" cy="752475"/>
                <wp:effectExtent l="5080" t="4445" r="13970" b="5080"/>
                <wp:wrapNone/>
                <wp:docPr id="54" name="矩形 54"/>
                <wp:cNvGraphicFramePr/>
                <a:graphic xmlns:a="http://schemas.openxmlformats.org/drawingml/2006/main">
                  <a:graphicData uri="http://schemas.microsoft.com/office/word/2010/wordprocessingShape">
                    <wps:wsp>
                      <wps:cNvSpPr/>
                      <wps:spPr>
                        <a:xfrm>
                          <a:off x="8336915" y="5250815"/>
                          <a:ext cx="1276350" cy="7524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b/>
                                <w:bCs/>
                                <w:lang w:val="en-US" w:eastAsia="zh-CN"/>
                              </w:rPr>
                            </w:pPr>
                            <w:r>
                              <w:rPr>
                                <w:rFonts w:hint="eastAsia"/>
                                <w:b/>
                                <w:bCs/>
                                <w:lang w:val="en-US" w:eastAsia="zh-CN"/>
                              </w:rPr>
                              <w:t>图例</w:t>
                            </w:r>
                          </w:p>
                          <w:p>
                            <w:pPr>
                              <w:jc w:val="both"/>
                              <w:rPr>
                                <w:rFonts w:hint="eastAsia"/>
                                <w:lang w:val="en-US" w:eastAsia="zh-CN"/>
                              </w:rPr>
                            </w:pPr>
                          </w:p>
                          <w:p>
                            <w:pPr>
                              <w:jc w:val="both"/>
                              <w:rPr>
                                <w:rFonts w:hint="eastAsia"/>
                                <w:lang w:val="en-US" w:eastAsia="zh-CN"/>
                              </w:rPr>
                            </w:pPr>
                            <w:r>
                              <w:rPr>
                                <w:rFonts w:hint="eastAsia"/>
                                <w:lang w:val="en-US" w:eastAsia="zh-CN"/>
                              </w:rPr>
                              <w:t>比例：   10km</w:t>
                            </w:r>
                          </w:p>
                        </w:txbxContent>
                      </wps:txbx>
                      <wps:bodyPr upright="1"/>
                    </wps:wsp>
                  </a:graphicData>
                </a:graphic>
              </wp:anchor>
            </w:drawing>
          </mc:Choice>
          <mc:Fallback>
            <w:pict>
              <v:rect id="_x0000_s1026" o:spid="_x0000_s1026" o:spt="1" style="position:absolute;left:0pt;margin-left:586.9pt;margin-top:-101.75pt;height:59.25pt;width:100.5pt;z-index:251671552;mso-width-relative:page;mso-height-relative:page;" fillcolor="#FFFFFF" filled="t" stroked="t" coordsize="21600,21600" o:gfxdata="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GjfPaAAAADgEAAA8A&#10;AAAAAAAAAQAgAAAAIgAAAGRycy9kb3ducmV2LnhtbFBLAQIUABQAAAAIAIdO4kABDCFDFQIAAEUE&#10;AAAOAAAAAAAAAAEAIAAAACkBAABkcnMvZTJvRG9jLnhtbFBLBQYAAAAABgAGAFkBAACwBQAAAAA=&#10;">
                <v:fill on="t" focussize="0,0"/>
                <v:stroke color="#000000" joinstyle="miter"/>
                <v:imagedata o:title=""/>
                <o:lock v:ext="edit" aspectratio="f"/>
                <v:textbox>
                  <w:txbxContent>
                    <w:p>
                      <w:pPr>
                        <w:jc w:val="center"/>
                        <w:rPr>
                          <w:rFonts w:hint="eastAsia"/>
                          <w:b/>
                          <w:bCs/>
                          <w:lang w:val="en-US" w:eastAsia="zh-CN"/>
                        </w:rPr>
                      </w:pPr>
                      <w:r>
                        <w:rPr>
                          <w:rFonts w:hint="eastAsia"/>
                          <w:b/>
                          <w:bCs/>
                          <w:lang w:val="en-US" w:eastAsia="zh-CN"/>
                        </w:rPr>
                        <w:t>图例</w:t>
                      </w:r>
                    </w:p>
                    <w:p>
                      <w:pPr>
                        <w:jc w:val="both"/>
                        <w:rPr>
                          <w:rFonts w:hint="eastAsia"/>
                          <w:lang w:val="en-US" w:eastAsia="zh-CN"/>
                        </w:rPr>
                      </w:pPr>
                    </w:p>
                    <w:p>
                      <w:pPr>
                        <w:jc w:val="both"/>
                        <w:rPr>
                          <w:rFonts w:hint="eastAsia"/>
                          <w:lang w:val="en-US" w:eastAsia="zh-CN"/>
                        </w:rPr>
                      </w:pPr>
                      <w:r>
                        <w:rPr>
                          <w:rFonts w:hint="eastAsia"/>
                          <w:lang w:val="en-US" w:eastAsia="zh-CN"/>
                        </w:rPr>
                        <w:t>比例：   10km</w:t>
                      </w:r>
                    </w:p>
                  </w:txbxContent>
                </v:textbox>
              </v:rect>
            </w:pict>
          </mc:Fallback>
        </mc:AlternateContent>
      </w:r>
      <w:r>
        <w:rPr>
          <w:rFonts w:hint="default" w:ascii="Times New Roman" w:hAnsi="Times New Roman" w:eastAsia="宋体" w:cs="Times New Roman"/>
          <w:b/>
          <w:bCs/>
          <w:sz w:val="24"/>
          <w:szCs w:val="24"/>
          <w:highlight w:val="none"/>
          <w:u w:val="none" w:color="auto"/>
          <w:lang w:val="en-US" w:eastAsia="zh-CN"/>
        </w:rPr>
        <w:t>附图</w:t>
      </w:r>
      <w:r>
        <w:rPr>
          <w:rFonts w:hint="eastAsia" w:ascii="Times New Roman" w:hAnsi="Times New Roman" w:eastAsia="宋体" w:cs="Times New Roman"/>
          <w:b/>
          <w:bCs/>
          <w:sz w:val="24"/>
          <w:szCs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center"/>
        <w:outlineLvl w:val="9"/>
        <w:rPr>
          <w:rFonts w:hint="default" w:ascii="Times New Roman" w:hAnsi="Times New Roman" w:eastAsia="宋体" w:cs="Times New Roman"/>
          <w:b w:val="0"/>
          <w:bCs w:val="0"/>
          <w:sz w:val="24"/>
          <w:szCs w:val="24"/>
          <w:highlight w:val="none"/>
          <w:u w:val="none" w:color="auto"/>
          <w:lang w:val="en-US" w:eastAsia="zh-CN"/>
        </w:rPr>
      </w:pPr>
      <w:r>
        <w:rPr>
          <w:rFonts w:hint="default" w:ascii="Times New Roman" w:hAnsi="Times New Roman" w:eastAsia="宋体" w:cs="Times New Roman"/>
          <w:b w:val="0"/>
          <w:bCs w:val="0"/>
          <w:sz w:val="24"/>
          <w:szCs w:val="24"/>
          <w:highlight w:val="none"/>
          <w:u w:val="none" w:color="auto"/>
          <w:lang w:val="en-US" w:eastAsia="zh-CN"/>
        </w:rPr>
        <w:t>附图1  地理位置图；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附图2  项目平面</w:t>
      </w:r>
      <w:r>
        <w:rPr>
          <w:rFonts w:hint="eastAsia" w:ascii="Times New Roman" w:hAnsi="Times New Roman" w:eastAsia="宋体" w:cs="Times New Roman"/>
          <w:b w:val="0"/>
          <w:bCs w:val="0"/>
          <w:sz w:val="24"/>
          <w:szCs w:val="24"/>
          <w:lang w:val="en-US" w:eastAsia="zh-CN"/>
        </w:rPr>
        <w:t>布置</w:t>
      </w:r>
      <w:r>
        <w:rPr>
          <w:rFonts w:hint="default" w:ascii="Times New Roman" w:hAnsi="Times New Roman" w:eastAsia="宋体" w:cs="Times New Roman"/>
          <w:b w:val="0"/>
          <w:bCs w:val="0"/>
          <w:sz w:val="24"/>
          <w:szCs w:val="24"/>
          <w:lang w:val="en-US" w:eastAsia="zh-CN"/>
        </w:rPr>
        <w:t>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附图3  本项目环境敏感目标图；</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lang w:val="en-US" w:eastAsia="zh-CN"/>
        </w:rPr>
      </w:pPr>
      <w:r>
        <w:rPr>
          <w:rFonts w:hint="eastAsia" w:ascii="Times New Roman" w:hAnsi="Times New Roman" w:eastAsia="宋体" w:cs="Times New Roman"/>
          <w:b w:val="0"/>
          <w:bCs w:val="0"/>
          <w:sz w:val="24"/>
          <w:szCs w:val="24"/>
          <w:lang w:val="en-US" w:eastAsia="zh-CN"/>
        </w:rPr>
        <w:t>附图4  项目区域水系图；</w:t>
      </w:r>
    </w:p>
    <w:p>
      <w:pPr>
        <w:keepNext w:val="0"/>
        <w:keepLines w:val="0"/>
        <w:pageBreakBefore w:val="0"/>
        <w:kinsoku/>
        <w:wordWrap/>
        <w:overflowPunct/>
        <w:topLinePunct w:val="0"/>
        <w:autoSpaceDE/>
        <w:autoSpaceDN/>
        <w:bidi w:val="0"/>
        <w:adjustRightInd/>
        <w:spacing w:line="360" w:lineRule="auto"/>
        <w:ind w:right="0" w:firstLine="480" w:firstLineChars="200"/>
        <w:jc w:val="both"/>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drawing>
          <wp:anchor distT="0" distB="0" distL="114300" distR="114300" simplePos="0" relativeHeight="251674624" behindDoc="0" locked="0" layoutInCell="1" allowOverlap="1">
            <wp:simplePos x="0" y="0"/>
            <wp:positionH relativeFrom="column">
              <wp:posOffset>8554085</wp:posOffset>
            </wp:positionH>
            <wp:positionV relativeFrom="paragraph">
              <wp:posOffset>382905</wp:posOffset>
            </wp:positionV>
            <wp:extent cx="590550" cy="861060"/>
            <wp:effectExtent l="0" t="0" r="0" b="15240"/>
            <wp:wrapNone/>
            <wp:docPr id="53" name="图片 11" descr="长沙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1" descr="长沙风玫瑰图"/>
                    <pic:cNvPicPr>
                      <a:picLocks noChangeAspect="1"/>
                    </pic:cNvPicPr>
                  </pic:nvPicPr>
                  <pic:blipFill>
                    <a:blip r:embed="rId17"/>
                    <a:stretch>
                      <a:fillRect/>
                    </a:stretch>
                  </pic:blipFill>
                  <pic:spPr>
                    <a:xfrm>
                      <a:off x="0" y="0"/>
                      <a:ext cx="590550" cy="861060"/>
                    </a:xfrm>
                    <a:prstGeom prst="rect">
                      <a:avLst/>
                    </a:prstGeom>
                    <a:noFill/>
                    <a:ln>
                      <a:noFill/>
                    </a:ln>
                  </pic:spPr>
                </pic:pic>
              </a:graphicData>
            </a:graphic>
          </wp:anchor>
        </w:drawing>
      </w:r>
      <w:r>
        <w:rPr>
          <w:rFonts w:hint="default" w:ascii="Times New Roman" w:hAnsi="Times New Roman" w:eastAsia="宋体" w:cs="Times New Roman"/>
          <w:b w:val="0"/>
          <w:bCs w:val="0"/>
          <w:sz w:val="24"/>
          <w:szCs w:val="24"/>
          <w:lang w:val="en-US" w:eastAsia="zh-CN"/>
        </w:rPr>
        <w:t>附图</w:t>
      </w:r>
      <w:r>
        <w:rPr>
          <w:rFonts w:hint="eastAsia" w:ascii="Times New Roman" w:hAnsi="Times New Roman" w:eastAsia="宋体" w:cs="Times New Roman"/>
          <w:b w:val="0"/>
          <w:bCs w:val="0"/>
          <w:sz w:val="24"/>
          <w:szCs w:val="24"/>
          <w:lang w:val="en-US" w:eastAsia="zh-CN"/>
        </w:rPr>
        <w:t>5</w:t>
      </w:r>
      <w:r>
        <w:rPr>
          <w:rFonts w:hint="default" w:ascii="Times New Roman" w:hAnsi="Times New Roman" w:eastAsia="宋体" w:cs="Times New Roman"/>
          <w:b w:val="0"/>
          <w:bCs w:val="0"/>
          <w:sz w:val="24"/>
          <w:szCs w:val="24"/>
          <w:lang w:val="en-US" w:eastAsia="zh-CN"/>
        </w:rPr>
        <w:t xml:space="preserve">  靖州工业集中区甘太工业园控制性详细规划；</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rPr>
          <w:rFonts w:hint="eastAsia"/>
          <w:b w:val="0"/>
          <w:bCs w:val="0"/>
          <w:sz w:val="24"/>
          <w:szCs w:val="24"/>
          <w:lang w:val="en-US" w:eastAsia="zh-CN"/>
        </w:rPr>
      </w:pPr>
      <w:r>
        <w:rPr>
          <w:rFonts w:hint="eastAsia"/>
          <w:b w:val="0"/>
          <w:bCs w:val="0"/>
          <w:sz w:val="24"/>
          <w:szCs w:val="24"/>
          <w:lang w:eastAsia="zh-CN"/>
        </w:rPr>
        <w:t>附图</w:t>
      </w:r>
      <w:r>
        <w:rPr>
          <w:rFonts w:hint="eastAsia"/>
          <w:b w:val="0"/>
          <w:bCs w:val="0"/>
          <w:sz w:val="24"/>
          <w:szCs w:val="24"/>
          <w:lang w:val="en-US" w:eastAsia="zh-CN"/>
        </w:rPr>
        <w:t>6  环境质量监测布点图；</w:t>
      </w:r>
    </w:p>
    <w:p>
      <w:pPr>
        <w:pStyle w:val="4"/>
        <w:keepNext w:val="0"/>
        <w:keepLines w:val="0"/>
        <w:pageBreakBefore w:val="0"/>
        <w:kinsoku/>
        <w:wordWrap/>
        <w:overflowPunct/>
        <w:topLinePunct w:val="0"/>
        <w:autoSpaceDE/>
        <w:autoSpaceDN/>
        <w:bidi w:val="0"/>
        <w:adjustRightInd/>
        <w:spacing w:before="0" w:after="0" w:line="360" w:lineRule="auto"/>
        <w:ind w:right="0" w:firstLine="480" w:firstLineChars="200"/>
        <w:rPr>
          <w:rFonts w:eastAsia="仿宋_GB2312"/>
          <w:sz w:val="36"/>
          <w:szCs w:val="36"/>
        </w:rPr>
      </w:pPr>
      <w:r>
        <w:rPr>
          <w:rFonts w:hint="eastAsia"/>
          <w:b w:val="0"/>
          <w:bCs w:val="0"/>
          <w:sz w:val="24"/>
          <w:szCs w:val="24"/>
          <w:lang w:eastAsia="zh-CN"/>
        </w:rPr>
        <w:t>附图</w:t>
      </w:r>
      <w:r>
        <w:rPr>
          <w:rFonts w:hint="eastAsia"/>
          <w:b w:val="0"/>
          <w:bCs w:val="0"/>
          <w:sz w:val="24"/>
          <w:szCs w:val="24"/>
          <w:lang w:val="en-US" w:eastAsia="zh-CN"/>
        </w:rPr>
        <w:t xml:space="preserve">7  </w:t>
      </w:r>
      <w:r>
        <w:rPr>
          <w:rFonts w:hint="eastAsia"/>
          <w:b w:val="0"/>
          <w:bCs w:val="0"/>
          <w:sz w:val="24"/>
          <w:szCs w:val="24"/>
        </w:rPr>
        <w:t>项目现场照片</w:t>
      </w:r>
      <w:r>
        <w:rPr>
          <w:rFonts w:hint="eastAsia"/>
          <w:b w:val="0"/>
          <w:bCs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附件</w:t>
      </w:r>
      <w:r>
        <w:rPr>
          <w:rFonts w:hint="eastAsia" w:ascii="Times New Roman" w:hAnsi="Times New Roman" w:eastAsia="宋体" w:cs="Times New Roman"/>
          <w:b/>
          <w:bCs/>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highlight w:val="none"/>
          <w:u w:val="none" w:color="auto"/>
          <w:lang w:val="en-US" w:eastAsia="zh-CN"/>
        </w:rPr>
      </w:pPr>
      <w:r>
        <w:rPr>
          <w:rFonts w:hint="default" w:ascii="Times New Roman" w:hAnsi="Times New Roman" w:eastAsia="宋体" w:cs="Times New Roman"/>
          <w:b w:val="0"/>
          <w:bCs w:val="0"/>
          <w:sz w:val="24"/>
          <w:szCs w:val="24"/>
          <w:highlight w:val="none"/>
          <w:u w:val="none" w:color="auto"/>
          <w:lang w:val="en-US" w:eastAsia="zh-CN"/>
        </w:rPr>
        <w:t xml:space="preserve">附件1  </w:t>
      </w:r>
      <w:r>
        <w:rPr>
          <w:rFonts w:hint="eastAsia" w:ascii="Times New Roman" w:hAnsi="Times New Roman" w:eastAsia="宋体" w:cs="Times New Roman"/>
          <w:b w:val="0"/>
          <w:bCs w:val="0"/>
          <w:sz w:val="24"/>
          <w:szCs w:val="24"/>
          <w:highlight w:val="none"/>
          <w:u w:val="none" w:color="auto"/>
          <w:lang w:val="en-US" w:eastAsia="zh-CN"/>
        </w:rPr>
        <w:t>环评</w:t>
      </w:r>
      <w:r>
        <w:rPr>
          <w:rFonts w:hint="default" w:ascii="Times New Roman" w:hAnsi="Times New Roman" w:eastAsia="宋体" w:cs="Times New Roman"/>
          <w:b w:val="0"/>
          <w:bCs w:val="0"/>
          <w:sz w:val="24"/>
          <w:szCs w:val="24"/>
          <w:highlight w:val="none"/>
          <w:u w:val="none" w:color="auto"/>
          <w:lang w:val="en-US" w:eastAsia="zh-CN"/>
        </w:rPr>
        <w:t>委托</w:t>
      </w:r>
      <w:r>
        <w:rPr>
          <w:rFonts w:hint="eastAsia" w:ascii="Times New Roman" w:hAnsi="Times New Roman" w:eastAsia="宋体" w:cs="Times New Roman"/>
          <w:b w:val="0"/>
          <w:bCs w:val="0"/>
          <w:sz w:val="24"/>
          <w:szCs w:val="24"/>
          <w:highlight w:val="none"/>
          <w:u w:val="none" w:color="auto"/>
          <w:lang w:val="en-US" w:eastAsia="zh-CN"/>
        </w:rPr>
        <w:t>书</w:t>
      </w:r>
      <w:r>
        <w:rPr>
          <w:rFonts w:hint="default" w:ascii="Times New Roman" w:hAnsi="Times New Roman" w:eastAsia="宋体" w:cs="Times New Roman"/>
          <w:b w:val="0"/>
          <w:bCs w:val="0"/>
          <w:sz w:val="24"/>
          <w:szCs w:val="24"/>
          <w:highlight w:val="none"/>
          <w:u w:val="none" w:color="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highlight w:val="none"/>
          <w:u w:val="none" w:color="auto"/>
          <w:lang w:val="en-US" w:eastAsia="zh-CN"/>
        </w:rPr>
        <w:t>附件2  营业执照；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sz w:val="24"/>
          <w:szCs w:val="24"/>
          <w:highlight w:val="none"/>
          <w:u w:val="none" w:color="auto"/>
          <w:lang w:val="en-US" w:eastAsia="zh-CN"/>
        </w:rPr>
      </w:pPr>
      <w:r>
        <w:rPr>
          <w:rFonts w:hint="default" w:ascii="Times New Roman" w:hAnsi="Times New Roman" w:eastAsia="宋体" w:cs="Times New Roman"/>
          <w:b w:val="0"/>
          <w:bCs w:val="0"/>
          <w:sz w:val="24"/>
          <w:szCs w:val="24"/>
          <w:highlight w:val="none"/>
          <w:u w:val="none" w:color="auto"/>
          <w:lang w:val="en-US" w:eastAsia="zh-CN"/>
        </w:rPr>
        <w:t xml:space="preserve">附件3  </w:t>
      </w:r>
      <w:r>
        <w:rPr>
          <w:rFonts w:hint="eastAsia" w:ascii="Times New Roman" w:hAnsi="Times New Roman" w:eastAsia="宋体" w:cs="Times New Roman"/>
          <w:b w:val="0"/>
          <w:bCs w:val="0"/>
          <w:sz w:val="24"/>
          <w:szCs w:val="24"/>
          <w:highlight w:val="none"/>
          <w:u w:val="none" w:color="auto"/>
          <w:lang w:val="en-US" w:eastAsia="zh-CN"/>
        </w:rPr>
        <w:t>入园协议</w:t>
      </w:r>
      <w:r>
        <w:rPr>
          <w:rFonts w:hint="default" w:ascii="Times New Roman" w:hAnsi="Times New Roman" w:eastAsia="宋体" w:cs="Times New Roman"/>
          <w:b w:val="0"/>
          <w:bCs w:val="0"/>
          <w:sz w:val="24"/>
          <w:szCs w:val="24"/>
          <w:highlight w:val="none"/>
          <w:u w:val="none" w:color="auto"/>
          <w:lang w:val="en-US" w:eastAsia="zh-CN"/>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sz w:val="24"/>
          <w:szCs w:val="24"/>
          <w:lang w:val="en-US" w:eastAsia="zh-CN"/>
        </w:rPr>
      </w:pPr>
      <w:r>
        <w:rPr>
          <w:rFonts w:hint="default"/>
          <w:sz w:val="24"/>
          <w:szCs w:val="24"/>
          <w:lang w:val="en-US" w:eastAsia="zh-CN"/>
        </w:rPr>
        <w:t>附件4 土地租赁合同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sz w:val="24"/>
          <w:szCs w:val="24"/>
          <w:highlight w:val="none"/>
          <w:u w:val="none" w:color="auto"/>
          <w:lang w:val="en-US" w:eastAsia="zh-CN"/>
        </w:rPr>
      </w:pPr>
      <w:r>
        <w:rPr>
          <w:rFonts w:hint="default" w:ascii="Times New Roman" w:hAnsi="Times New Roman" w:eastAsia="宋体" w:cs="Times New Roman"/>
          <w:b w:val="0"/>
          <w:bCs w:val="0"/>
          <w:sz w:val="24"/>
          <w:szCs w:val="24"/>
          <w:highlight w:val="none"/>
          <w:u w:val="none" w:color="auto"/>
          <w:lang w:val="en-US" w:eastAsia="zh-CN"/>
        </w:rPr>
        <w:t xml:space="preserve">附件4  </w:t>
      </w:r>
      <w:r>
        <w:rPr>
          <w:rFonts w:hint="eastAsia" w:ascii="Times New Roman" w:hAnsi="Times New Roman" w:eastAsia="宋体" w:cs="Times New Roman"/>
          <w:b w:val="0"/>
          <w:bCs w:val="0"/>
          <w:sz w:val="24"/>
          <w:szCs w:val="24"/>
          <w:highlight w:val="none"/>
          <w:u w:val="none" w:color="auto"/>
          <w:lang w:val="en-US" w:eastAsia="zh-CN"/>
        </w:rPr>
        <w:t>检测报告及质量保证单；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val="0"/>
          <w:sz w:val="24"/>
          <w:szCs w:val="24"/>
          <w:highlight w:val="none"/>
          <w:u w:val="none" w:color="auto"/>
          <w:lang w:val="en-US" w:eastAsia="zh-CN"/>
        </w:rPr>
      </w:pPr>
      <w:r>
        <w:rPr>
          <w:rFonts w:hint="eastAsia" w:ascii="Times New Roman" w:hAnsi="Times New Roman" w:eastAsia="宋体" w:cs="Times New Roman"/>
          <w:b w:val="0"/>
          <w:bCs w:val="0"/>
          <w:sz w:val="24"/>
          <w:szCs w:val="24"/>
          <w:highlight w:val="none"/>
          <w:u w:val="none" w:color="auto"/>
          <w:lang w:val="en-US" w:eastAsia="zh-CN"/>
        </w:rPr>
        <w:t>附件5  靖州县甘太工业园环评批复；</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lang w:val="en-US" w:eastAsia="zh-CN"/>
        </w:rPr>
      </w:pPr>
      <w:r>
        <w:rPr>
          <w:rFonts w:hint="default"/>
          <w:sz w:val="24"/>
          <w:szCs w:val="24"/>
          <w:lang w:val="en-US" w:eastAsia="zh-CN"/>
        </w:rPr>
        <w:t xml:space="preserve">附件6 </w:t>
      </w:r>
      <w:r>
        <w:rPr>
          <w:rFonts w:hint="eastAsia"/>
          <w:sz w:val="24"/>
          <w:szCs w:val="24"/>
          <w:lang w:val="en-US" w:eastAsia="zh-CN"/>
        </w:rPr>
        <w:t xml:space="preserve"> </w:t>
      </w:r>
      <w:r>
        <w:rPr>
          <w:rFonts w:hint="default"/>
          <w:sz w:val="24"/>
          <w:szCs w:val="24"/>
          <w:lang w:val="en-US" w:eastAsia="zh-CN"/>
        </w:rPr>
        <w:t>靖州县甘太工业园种子产业园西侧地块——用地规划图</w:t>
      </w:r>
      <w:r>
        <w:rPr>
          <w:rFonts w:hint="eastAsia"/>
          <w:sz w:val="24"/>
          <w:szCs w:val="24"/>
          <w:lang w:val="en-US" w:eastAsia="zh-CN"/>
        </w:rPr>
        <w:t>；</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sz w:val="24"/>
          <w:szCs w:val="24"/>
          <w:lang w:val="en-US" w:eastAsia="zh-CN"/>
        </w:rPr>
      </w:pPr>
      <w:r>
        <w:rPr>
          <w:rFonts w:hint="eastAsia"/>
          <w:sz w:val="24"/>
          <w:szCs w:val="24"/>
          <w:lang w:val="en-US" w:eastAsia="zh-CN"/>
        </w:rPr>
        <w:t>附件8 专家个人意见表；</w:t>
      </w:r>
    </w:p>
    <w:p>
      <w:pPr>
        <w:pStyle w:val="2"/>
        <w:keepNext w:val="0"/>
        <w:keepLines w:val="0"/>
        <w:pageBreakBefore w:val="0"/>
        <w:kinsoku/>
        <w:wordWrap/>
        <w:overflowPunct/>
        <w:topLinePunct w:val="0"/>
        <w:autoSpaceDE/>
        <w:autoSpaceDN/>
        <w:bidi w:val="0"/>
        <w:adjustRightInd/>
        <w:spacing w:after="0" w:line="360" w:lineRule="auto"/>
        <w:ind w:firstLine="480" w:firstLineChars="200"/>
        <w:textAlignment w:val="auto"/>
        <w:rPr>
          <w:rFonts w:hint="default"/>
          <w:sz w:val="24"/>
          <w:szCs w:val="24"/>
          <w:lang w:val="en-US" w:eastAsia="zh-CN"/>
        </w:rPr>
      </w:pPr>
      <w:r>
        <w:rPr>
          <w:rFonts w:hint="eastAsia"/>
          <w:sz w:val="24"/>
          <w:szCs w:val="24"/>
          <w:lang w:val="en-US" w:eastAsia="zh-CN"/>
        </w:rPr>
        <w:t>附件9 专家评审意见及专家签到表。</w:t>
      </w:r>
    </w:p>
    <w:p>
      <w:pPr>
        <w:pStyle w:val="13"/>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ascii="Times New Roman" w:hAnsi="黑体" w:eastAsia="黑体"/>
          <w:snapToGrid w:val="0"/>
          <w:sz w:val="30"/>
          <w:szCs w:val="30"/>
        </w:rPr>
        <w:sectPr>
          <w:footerReference r:id="rId9" w:type="default"/>
          <w:pgSz w:w="11906" w:h="16838"/>
          <w:pgMar w:top="1418" w:right="1531" w:bottom="1418"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bookmarkStart w:id="2" w:name="_Toc78811927"/>
    </w:p>
    <w:p>
      <w:pPr>
        <w:pStyle w:val="13"/>
        <w:keepNext w:val="0"/>
        <w:keepLines w:val="0"/>
        <w:pageBreakBefore w:val="0"/>
        <w:widowControl/>
        <w:kinsoku/>
        <w:wordWrap/>
        <w:overflowPunct/>
        <w:topLinePunct w:val="0"/>
        <w:autoSpaceDE/>
        <w:autoSpaceDN/>
        <w:bidi w:val="0"/>
        <w:adjustRightInd/>
        <w:snapToGrid/>
        <w:spacing w:after="157" w:afterLines="50" w:afterAutospacing="0"/>
        <w:jc w:val="center"/>
        <w:textAlignment w:val="auto"/>
        <w:outlineLvl w:val="0"/>
        <w:rPr>
          <w:rFonts w:ascii="Times New Roman" w:hAnsi="Times New Roman" w:eastAsia="黑体"/>
          <w:snapToGrid w:val="0"/>
          <w:sz w:val="30"/>
          <w:szCs w:val="30"/>
        </w:rPr>
      </w:pPr>
      <w:r>
        <w:rPr>
          <w:rFonts w:ascii="Times New Roman" w:hAnsi="黑体" w:eastAsia="黑体"/>
          <w:snapToGrid w:val="0"/>
          <w:sz w:val="30"/>
          <w:szCs w:val="30"/>
        </w:rPr>
        <w:t>一、建设项目基本情况</w:t>
      </w:r>
      <w:bookmarkEnd w:id="2"/>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4"/>
        <w:gridCol w:w="2305"/>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建设项目名称</w:t>
            </w:r>
          </w:p>
        </w:tc>
        <w:tc>
          <w:tcPr>
            <w:tcW w:w="7156" w:type="dxa"/>
            <w:gridSpan w:val="3"/>
            <w:noWrap w:val="0"/>
            <w:vAlign w:val="center"/>
          </w:tcPr>
          <w:p>
            <w:pPr>
              <w:adjustRightInd w:val="0"/>
              <w:snapToGrid w:val="0"/>
              <w:jc w:val="center"/>
              <w:rPr>
                <w:rFonts w:hint="eastAsia" w:eastAsia="宋体"/>
                <w:szCs w:val="21"/>
                <w:lang w:eastAsia="zh-CN"/>
              </w:rPr>
            </w:pPr>
            <w:r>
              <w:rPr>
                <w:rFonts w:hint="eastAsia" w:hAnsi="宋体"/>
                <w:szCs w:val="21"/>
                <w:lang w:eastAsia="zh-CN"/>
              </w:rPr>
              <w:t>靖州金益再生资源循环利用项目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项目代码</w:t>
            </w:r>
          </w:p>
        </w:tc>
        <w:tc>
          <w:tcPr>
            <w:tcW w:w="7156" w:type="dxa"/>
            <w:gridSpan w:val="3"/>
            <w:noWrap w:val="0"/>
            <w:vAlign w:val="center"/>
          </w:tcPr>
          <w:p>
            <w:pPr>
              <w:adjustRightInd w:val="0"/>
              <w:snapToGrid w:val="0"/>
              <w:jc w:val="center"/>
              <w:rPr>
                <w:rFonts w:hint="default" w:eastAsia="宋体"/>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建设单位联系人</w:t>
            </w:r>
          </w:p>
        </w:tc>
        <w:tc>
          <w:tcPr>
            <w:tcW w:w="2305" w:type="dxa"/>
            <w:noWrap w:val="0"/>
            <w:vAlign w:val="center"/>
          </w:tcPr>
          <w:p>
            <w:pPr>
              <w:adjustRightInd w:val="0"/>
              <w:snapToGrid w:val="0"/>
              <w:jc w:val="center"/>
              <w:rPr>
                <w:szCs w:val="21"/>
              </w:rPr>
            </w:pPr>
            <w:r>
              <w:rPr>
                <w:rFonts w:hint="eastAsia"/>
                <w:szCs w:val="21"/>
              </w:rPr>
              <w:t>李安</w:t>
            </w:r>
          </w:p>
        </w:tc>
        <w:tc>
          <w:tcPr>
            <w:tcW w:w="2212" w:type="dxa"/>
            <w:noWrap w:val="0"/>
            <w:vAlign w:val="center"/>
          </w:tcPr>
          <w:p>
            <w:pPr>
              <w:adjustRightInd w:val="0"/>
              <w:snapToGrid w:val="0"/>
              <w:jc w:val="center"/>
              <w:rPr>
                <w:szCs w:val="21"/>
              </w:rPr>
            </w:pPr>
            <w:r>
              <w:rPr>
                <w:rFonts w:hAnsi="宋体"/>
                <w:szCs w:val="21"/>
              </w:rPr>
              <w:t>联系方式</w:t>
            </w:r>
          </w:p>
        </w:tc>
        <w:tc>
          <w:tcPr>
            <w:tcW w:w="2639" w:type="dxa"/>
            <w:noWrap w:val="0"/>
            <w:vAlign w:val="center"/>
          </w:tcPr>
          <w:p>
            <w:pPr>
              <w:adjustRightInd w:val="0"/>
              <w:snapToGrid w:val="0"/>
              <w:jc w:val="center"/>
              <w:rPr>
                <w:szCs w:val="21"/>
              </w:rPr>
            </w:pPr>
            <w:r>
              <w:rPr>
                <w:rFonts w:hint="eastAsia"/>
                <w:szCs w:val="21"/>
              </w:rPr>
              <w:t>13174206380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建设地点</w:t>
            </w:r>
          </w:p>
        </w:tc>
        <w:tc>
          <w:tcPr>
            <w:tcW w:w="7156" w:type="dxa"/>
            <w:gridSpan w:val="3"/>
            <w:noWrap w:val="0"/>
            <w:vAlign w:val="center"/>
          </w:tcPr>
          <w:p>
            <w:pPr>
              <w:adjustRightInd w:val="0"/>
              <w:snapToGrid w:val="0"/>
              <w:jc w:val="center"/>
              <w:rPr>
                <w:rFonts w:hint="eastAsia" w:eastAsia="宋体"/>
                <w:szCs w:val="21"/>
                <w:lang w:val="en-US" w:eastAsia="zh-CN"/>
              </w:rPr>
            </w:pPr>
            <w:r>
              <w:rPr>
                <w:rFonts w:hint="default" w:eastAsia="宋体"/>
                <w:szCs w:val="21"/>
                <w:lang w:val="en-US" w:eastAsia="zh-CN"/>
              </w:rPr>
              <w:t>怀化市靖州苗族侗族自治县工业集中区甘太综合加工园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地理坐标</w:t>
            </w:r>
          </w:p>
        </w:tc>
        <w:tc>
          <w:tcPr>
            <w:tcW w:w="7156" w:type="dxa"/>
            <w:gridSpan w:val="3"/>
            <w:noWrap w:val="0"/>
            <w:vAlign w:val="center"/>
          </w:tcPr>
          <w:p>
            <w:pPr>
              <w:jc w:val="center"/>
              <w:rPr>
                <w:szCs w:val="21"/>
              </w:rPr>
            </w:pPr>
            <w:r>
              <w:rPr>
                <w:rFonts w:hAnsi="宋体"/>
                <w:szCs w:val="21"/>
              </w:rPr>
              <w:t>（</w:t>
            </w:r>
            <w:r>
              <w:rPr>
                <w:szCs w:val="21"/>
                <w:u w:val="single"/>
              </w:rPr>
              <w:t xml:space="preserve"> 1</w:t>
            </w:r>
            <w:r>
              <w:rPr>
                <w:rFonts w:hint="eastAsia"/>
                <w:szCs w:val="21"/>
                <w:u w:val="single"/>
                <w:lang w:val="en-US" w:eastAsia="zh-CN"/>
              </w:rPr>
              <w:t>09</w:t>
            </w:r>
            <w:r>
              <w:rPr>
                <w:szCs w:val="21"/>
                <w:u w:val="single"/>
              </w:rPr>
              <w:t xml:space="preserve"> </w:t>
            </w:r>
            <w:r>
              <w:rPr>
                <w:rFonts w:hAnsi="宋体"/>
                <w:szCs w:val="21"/>
              </w:rPr>
              <w:t>度</w:t>
            </w:r>
            <w:r>
              <w:rPr>
                <w:szCs w:val="21"/>
                <w:u w:val="single"/>
              </w:rPr>
              <w:t xml:space="preserve"> </w:t>
            </w:r>
            <w:r>
              <w:rPr>
                <w:rFonts w:hint="eastAsia"/>
                <w:szCs w:val="21"/>
                <w:u w:val="single"/>
                <w:lang w:val="en-US" w:eastAsia="zh-CN"/>
              </w:rPr>
              <w:t>42</w:t>
            </w:r>
            <w:r>
              <w:rPr>
                <w:szCs w:val="21"/>
                <w:u w:val="single"/>
              </w:rPr>
              <w:t xml:space="preserve"> </w:t>
            </w:r>
            <w:r>
              <w:rPr>
                <w:rFonts w:hAnsi="宋体"/>
                <w:szCs w:val="21"/>
              </w:rPr>
              <w:t>分</w:t>
            </w:r>
            <w:r>
              <w:rPr>
                <w:szCs w:val="21"/>
                <w:u w:val="single"/>
              </w:rPr>
              <w:t xml:space="preserve"> </w:t>
            </w:r>
            <w:r>
              <w:rPr>
                <w:rFonts w:hint="eastAsia"/>
                <w:szCs w:val="21"/>
                <w:u w:val="single"/>
                <w:lang w:val="en-US" w:eastAsia="zh-CN"/>
              </w:rPr>
              <w:t>49.55</w:t>
            </w:r>
            <w:r>
              <w:rPr>
                <w:szCs w:val="21"/>
                <w:u w:val="single"/>
              </w:rPr>
              <w:t xml:space="preserve"> </w:t>
            </w:r>
            <w:r>
              <w:rPr>
                <w:rFonts w:hAnsi="宋体"/>
                <w:szCs w:val="21"/>
              </w:rPr>
              <w:t>秒，</w:t>
            </w:r>
            <w:r>
              <w:rPr>
                <w:szCs w:val="21"/>
                <w:u w:val="single"/>
              </w:rPr>
              <w:t xml:space="preserve"> 2</w:t>
            </w:r>
            <w:r>
              <w:rPr>
                <w:rFonts w:hint="eastAsia"/>
                <w:szCs w:val="21"/>
                <w:u w:val="single"/>
                <w:lang w:val="en-US" w:eastAsia="zh-CN"/>
              </w:rPr>
              <w:t>6</w:t>
            </w:r>
            <w:r>
              <w:rPr>
                <w:szCs w:val="21"/>
                <w:u w:val="single"/>
              </w:rPr>
              <w:t xml:space="preserve"> </w:t>
            </w:r>
            <w:r>
              <w:rPr>
                <w:rFonts w:hAnsi="宋体"/>
                <w:szCs w:val="21"/>
              </w:rPr>
              <w:t>度</w:t>
            </w:r>
            <w:r>
              <w:rPr>
                <w:szCs w:val="21"/>
                <w:u w:val="single"/>
              </w:rPr>
              <w:t xml:space="preserve"> </w:t>
            </w:r>
            <w:r>
              <w:rPr>
                <w:rFonts w:hint="eastAsia"/>
                <w:szCs w:val="21"/>
                <w:u w:val="single"/>
                <w:lang w:val="en-US" w:eastAsia="zh-CN"/>
              </w:rPr>
              <w:t>42</w:t>
            </w:r>
            <w:r>
              <w:rPr>
                <w:szCs w:val="21"/>
                <w:u w:val="single"/>
              </w:rPr>
              <w:t xml:space="preserve"> </w:t>
            </w:r>
            <w:r>
              <w:rPr>
                <w:rFonts w:hAnsi="宋体"/>
                <w:szCs w:val="21"/>
              </w:rPr>
              <w:t>分</w:t>
            </w:r>
            <w:r>
              <w:rPr>
                <w:szCs w:val="21"/>
                <w:u w:val="single"/>
              </w:rPr>
              <w:t xml:space="preserve"> </w:t>
            </w:r>
            <w:r>
              <w:rPr>
                <w:rFonts w:hint="eastAsia"/>
                <w:szCs w:val="21"/>
                <w:u w:val="single"/>
                <w:lang w:val="en-US" w:eastAsia="zh-CN"/>
              </w:rPr>
              <w:t>5.64</w:t>
            </w:r>
            <w:r>
              <w:rPr>
                <w:szCs w:val="21"/>
                <w:u w:val="single"/>
              </w:rPr>
              <w:t xml:space="preserve"> </w:t>
            </w:r>
            <w:r>
              <w:rPr>
                <w:rFonts w:hAnsi="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国民经济</w:t>
            </w:r>
          </w:p>
          <w:p>
            <w:pPr>
              <w:adjustRightInd w:val="0"/>
              <w:snapToGrid w:val="0"/>
              <w:jc w:val="center"/>
              <w:rPr>
                <w:szCs w:val="21"/>
              </w:rPr>
            </w:pPr>
            <w:r>
              <w:rPr>
                <w:rFonts w:hAnsi="宋体"/>
                <w:szCs w:val="21"/>
              </w:rPr>
              <w:t>行业类别</w:t>
            </w:r>
          </w:p>
        </w:tc>
        <w:tc>
          <w:tcPr>
            <w:tcW w:w="2305" w:type="dxa"/>
            <w:noWrap w:val="0"/>
            <w:vAlign w:val="center"/>
          </w:tcPr>
          <w:p>
            <w:pPr>
              <w:adjustRightInd w:val="0"/>
              <w:snapToGrid w:val="0"/>
              <w:jc w:val="center"/>
              <w:rPr>
                <w:szCs w:val="21"/>
              </w:rPr>
            </w:pPr>
            <w:r>
              <w:t>C4210金属废料和碎屑加工处理</w:t>
            </w:r>
          </w:p>
        </w:tc>
        <w:tc>
          <w:tcPr>
            <w:tcW w:w="2212" w:type="dxa"/>
            <w:noWrap w:val="0"/>
            <w:vAlign w:val="center"/>
          </w:tcPr>
          <w:p>
            <w:pPr>
              <w:adjustRightInd w:val="0"/>
              <w:snapToGrid w:val="0"/>
              <w:jc w:val="center"/>
              <w:rPr>
                <w:szCs w:val="21"/>
              </w:rPr>
            </w:pPr>
            <w:bookmarkStart w:id="3" w:name="_Hlk49843745"/>
            <w:r>
              <w:rPr>
                <w:rFonts w:hAnsi="宋体"/>
                <w:szCs w:val="21"/>
              </w:rPr>
              <w:t>建设项目</w:t>
            </w:r>
          </w:p>
          <w:p>
            <w:pPr>
              <w:adjustRightInd w:val="0"/>
              <w:snapToGrid w:val="0"/>
              <w:jc w:val="center"/>
              <w:rPr>
                <w:szCs w:val="21"/>
              </w:rPr>
            </w:pPr>
            <w:r>
              <w:rPr>
                <w:rFonts w:hAnsi="宋体"/>
                <w:szCs w:val="21"/>
              </w:rPr>
              <w:t>行业类别</w:t>
            </w:r>
            <w:bookmarkEnd w:id="3"/>
          </w:p>
        </w:tc>
        <w:tc>
          <w:tcPr>
            <w:tcW w:w="2639" w:type="dxa"/>
            <w:noWrap w:val="0"/>
            <w:vAlign w:val="center"/>
          </w:tcPr>
          <w:p>
            <w:pPr>
              <w:keepNext w:val="0"/>
              <w:keepLines w:val="0"/>
              <w:widowControl/>
              <w:suppressLineNumbers w:val="0"/>
              <w:jc w:val="left"/>
              <w:rPr>
                <w:rFonts w:hint="default" w:ascii="Times New Roman" w:hAnsi="Times New Roman" w:cs="Times New Roman"/>
                <w:szCs w:val="21"/>
              </w:rPr>
            </w:pPr>
            <w:r>
              <w:rPr>
                <w:rFonts w:hint="eastAsia" w:ascii="宋体" w:hAnsi="宋体" w:cs="宋体"/>
                <w:szCs w:val="21"/>
              </w:rPr>
              <w:t>三十九</w:t>
            </w:r>
            <w:r>
              <w:rPr>
                <w:rFonts w:hint="eastAsia" w:ascii="宋体" w:hAnsi="宋体" w:cs="宋体"/>
                <w:szCs w:val="21"/>
                <w:lang w:eastAsia="zh-CN"/>
              </w:rPr>
              <w:t>、</w:t>
            </w:r>
            <w:r>
              <w:rPr>
                <w:rFonts w:hint="eastAsia" w:ascii="宋体" w:hAnsi="宋体" w:cs="宋体"/>
                <w:szCs w:val="21"/>
              </w:rPr>
              <w:t>废弃资源综合利用业--85</w:t>
            </w:r>
            <w:r>
              <w:rPr>
                <w:rFonts w:hint="default" w:ascii="Times New Roman" w:hAnsi="Times New Roman" w:cs="Times New Roman"/>
                <w:szCs w:val="21"/>
              </w:rPr>
              <w:t>金属废料和碎屑加工</w:t>
            </w:r>
          </w:p>
          <w:p>
            <w:pPr>
              <w:keepNext w:val="0"/>
              <w:keepLines w:val="0"/>
              <w:widowControl/>
              <w:suppressLineNumbers w:val="0"/>
              <w:jc w:val="left"/>
            </w:pPr>
            <w:r>
              <w:rPr>
                <w:rFonts w:hint="default" w:ascii="Times New Roman" w:hAnsi="Times New Roman" w:cs="Times New Roman"/>
                <w:szCs w:val="21"/>
              </w:rPr>
              <w:t>处理421</w:t>
            </w:r>
            <w:r>
              <w:rPr>
                <w:rFonts w:hint="eastAsia" w:ascii="宋体" w:hAnsi="宋体" w:cs="宋体"/>
                <w:szCs w:val="21"/>
              </w:rPr>
              <w:t>“废机动车</w:t>
            </w:r>
            <w:r>
              <w:rPr>
                <w:rFonts w:hint="eastAsia" w:ascii="宋体" w:hAnsi="宋体" w:cs="宋体"/>
                <w:szCs w:val="21"/>
                <w:lang w:eastAsia="zh-CN"/>
              </w:rPr>
              <w:t>、</w:t>
            </w:r>
            <w:r>
              <w:rPr>
                <w:rFonts w:hint="eastAsia" w:ascii="宋体" w:hAnsi="宋体" w:eastAsia="宋体" w:cs="宋体"/>
                <w:color w:val="000000"/>
                <w:kern w:val="0"/>
                <w:sz w:val="20"/>
                <w:szCs w:val="20"/>
                <w:lang w:val="en-US" w:eastAsia="zh-CN" w:bidi="ar"/>
              </w:rPr>
              <w:t xml:space="preserve">废钢、 </w:t>
            </w:r>
          </w:p>
          <w:p>
            <w:pPr>
              <w:keepNext w:val="0"/>
              <w:keepLines w:val="0"/>
              <w:widowControl/>
              <w:suppressLineNumbers w:val="0"/>
              <w:jc w:val="left"/>
              <w:rPr>
                <w:szCs w:val="21"/>
              </w:rPr>
            </w:pPr>
            <w:r>
              <w:rPr>
                <w:rFonts w:hint="eastAsia" w:ascii="宋体" w:hAnsi="宋体" w:eastAsia="宋体" w:cs="宋体"/>
                <w:color w:val="000000"/>
                <w:kern w:val="0"/>
                <w:sz w:val="20"/>
                <w:szCs w:val="20"/>
                <w:lang w:val="en-US" w:eastAsia="zh-CN" w:bidi="ar"/>
              </w:rPr>
              <w:t>废铁</w:t>
            </w:r>
            <w:r>
              <w:rPr>
                <w:rFonts w:hint="eastAsia" w:ascii="宋体" w:hAnsi="宋体" w:cs="宋体"/>
                <w:szCs w:val="21"/>
              </w:rPr>
              <w:t>加工处理”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建设性质</w:t>
            </w:r>
          </w:p>
        </w:tc>
        <w:tc>
          <w:tcPr>
            <w:tcW w:w="2305" w:type="dxa"/>
            <w:noWrap w:val="0"/>
            <w:vAlign w:val="center"/>
          </w:tcPr>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新建（迁建）</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Cs w:val="21"/>
              </w:rPr>
            </w:pPr>
            <w:r>
              <w:rPr>
                <w:rFonts w:hint="eastAsia" w:ascii="Times New Roman" w:hAnsi="Times New Roman" w:eastAsia="宋体" w:cs="Times New Roman"/>
                <w:szCs w:val="21"/>
                <w:lang w:val="en-US" w:eastAsia="zh-CN"/>
              </w:rPr>
              <w:t>□</w:t>
            </w:r>
            <w:r>
              <w:rPr>
                <w:rFonts w:hint="default" w:ascii="Times New Roman" w:hAnsi="Times New Roman" w:cs="Times New Roman"/>
                <w:szCs w:val="21"/>
              </w:rPr>
              <w:t>改建</w:t>
            </w:r>
          </w:p>
          <w:p>
            <w:pPr>
              <w:keepNext w:val="0"/>
              <w:keepLines w:val="0"/>
              <w:pageBreakBefore w:val="0"/>
              <w:widowControl w:val="0"/>
              <w:kinsoku/>
              <w:wordWrap/>
              <w:overflowPunct/>
              <w:topLinePunct w:val="0"/>
              <w:autoSpaceDE/>
              <w:autoSpaceDN/>
              <w:bidi w:val="0"/>
              <w:adjustRightInd/>
              <w:snapToGrid/>
              <w:jc w:val="left"/>
              <w:textAlignment w:val="auto"/>
              <w:rPr>
                <w:rFonts w:hint="default" w:ascii="Times New Roman" w:hAnsi="Times New Roman" w:cs="Times New Roman"/>
                <w:szCs w:val="21"/>
              </w:rPr>
            </w:pPr>
            <w:r>
              <w:rPr>
                <w:rFonts w:hint="eastAsia" w:ascii="Times New Roman" w:hAnsi="Times New Roman" w:cs="Times New Roman"/>
                <w:szCs w:val="21"/>
                <w:lang w:eastAsia="zh-CN"/>
              </w:rPr>
              <w:t>□</w:t>
            </w:r>
            <w:r>
              <w:rPr>
                <w:rFonts w:hint="default" w:ascii="Times New Roman" w:hAnsi="Times New Roman" w:cs="Times New Roman"/>
                <w:szCs w:val="21"/>
              </w:rPr>
              <w:t>扩建</w:t>
            </w:r>
          </w:p>
          <w:p>
            <w:pPr>
              <w:jc w:val="left"/>
              <w:rPr>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技术改造</w:t>
            </w:r>
          </w:p>
        </w:tc>
        <w:tc>
          <w:tcPr>
            <w:tcW w:w="2212" w:type="dxa"/>
            <w:noWrap w:val="0"/>
            <w:vAlign w:val="center"/>
          </w:tcPr>
          <w:p>
            <w:pPr>
              <w:adjustRightInd w:val="0"/>
              <w:snapToGrid w:val="0"/>
              <w:jc w:val="center"/>
              <w:rPr>
                <w:szCs w:val="21"/>
              </w:rPr>
            </w:pPr>
            <w:r>
              <w:rPr>
                <w:rFonts w:hAnsi="宋体"/>
                <w:szCs w:val="21"/>
              </w:rPr>
              <w:t>建设项目</w:t>
            </w:r>
          </w:p>
          <w:p>
            <w:pPr>
              <w:adjustRightInd w:val="0"/>
              <w:snapToGrid w:val="0"/>
              <w:jc w:val="center"/>
              <w:rPr>
                <w:szCs w:val="21"/>
              </w:rPr>
            </w:pPr>
            <w:r>
              <w:rPr>
                <w:rFonts w:hAnsi="宋体"/>
                <w:szCs w:val="21"/>
              </w:rPr>
              <w:t>申报情形</w:t>
            </w:r>
          </w:p>
        </w:tc>
        <w:tc>
          <w:tcPr>
            <w:tcW w:w="2639" w:type="dxa"/>
            <w:noWrap w:val="0"/>
            <w:vAlign w:val="center"/>
          </w:tcPr>
          <w:p>
            <w:pPr>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rPr>
              <w:t xml:space="preserve">首次申报项目             </w:t>
            </w:r>
          </w:p>
          <w:p>
            <w:pPr>
              <w:jc w:val="left"/>
              <w:rPr>
                <w:rFonts w:hint="default" w:ascii="Times New Roman" w:hAnsi="Times New Roman" w:cs="Times New Roman"/>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不予批准后再次申报项目</w:t>
            </w:r>
          </w:p>
          <w:p>
            <w:pPr>
              <w:jc w:val="left"/>
              <w:rPr>
                <w:rFonts w:hint="default" w:ascii="Times New Roman" w:hAnsi="Times New Roman" w:cs="Times New Roman"/>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 xml:space="preserve">超五年重新审核项目     </w:t>
            </w:r>
          </w:p>
          <w:p>
            <w:pPr>
              <w:jc w:val="left"/>
              <w:rPr>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项目审批（核准</w:t>
            </w:r>
            <w:r>
              <w:rPr>
                <w:szCs w:val="21"/>
              </w:rPr>
              <w:t>/</w:t>
            </w:r>
          </w:p>
          <w:p>
            <w:pPr>
              <w:adjustRightInd w:val="0"/>
              <w:snapToGrid w:val="0"/>
              <w:jc w:val="center"/>
              <w:rPr>
                <w:szCs w:val="21"/>
              </w:rPr>
            </w:pPr>
            <w:r>
              <w:rPr>
                <w:rFonts w:hAnsi="宋体"/>
                <w:szCs w:val="21"/>
              </w:rPr>
              <w:t>备案）部门（选填）</w:t>
            </w:r>
          </w:p>
        </w:tc>
        <w:tc>
          <w:tcPr>
            <w:tcW w:w="2305" w:type="dxa"/>
            <w:noWrap w:val="0"/>
            <w:vAlign w:val="center"/>
          </w:tcPr>
          <w:p>
            <w:pPr>
              <w:adjustRightInd w:val="0"/>
              <w:snapToGrid w:val="0"/>
              <w:jc w:val="center"/>
              <w:rPr>
                <w:rFonts w:hint="eastAsia" w:eastAsia="宋体"/>
                <w:szCs w:val="21"/>
                <w:lang w:val="en-US" w:eastAsia="zh-CN"/>
              </w:rPr>
            </w:pPr>
          </w:p>
        </w:tc>
        <w:tc>
          <w:tcPr>
            <w:tcW w:w="2212" w:type="dxa"/>
            <w:noWrap w:val="0"/>
            <w:vAlign w:val="center"/>
          </w:tcPr>
          <w:p>
            <w:pPr>
              <w:adjustRightInd w:val="0"/>
              <w:snapToGrid w:val="0"/>
              <w:jc w:val="center"/>
              <w:rPr>
                <w:szCs w:val="21"/>
              </w:rPr>
            </w:pPr>
            <w:r>
              <w:rPr>
                <w:rFonts w:hAnsi="宋体"/>
                <w:szCs w:val="21"/>
              </w:rPr>
              <w:t>项目审批（核准</w:t>
            </w:r>
            <w:r>
              <w:rPr>
                <w:szCs w:val="21"/>
              </w:rPr>
              <w:t>/</w:t>
            </w:r>
          </w:p>
          <w:p>
            <w:pPr>
              <w:adjustRightInd w:val="0"/>
              <w:snapToGrid w:val="0"/>
              <w:jc w:val="center"/>
              <w:rPr>
                <w:szCs w:val="21"/>
              </w:rPr>
            </w:pPr>
            <w:r>
              <w:rPr>
                <w:rFonts w:hAnsi="宋体"/>
                <w:szCs w:val="21"/>
              </w:rPr>
              <w:t>备案）文号（选填）</w:t>
            </w:r>
          </w:p>
        </w:tc>
        <w:tc>
          <w:tcPr>
            <w:tcW w:w="2639" w:type="dxa"/>
            <w:noWrap w:val="0"/>
            <w:vAlign w:val="center"/>
          </w:tcPr>
          <w:p>
            <w:pPr>
              <w:adjustRightInd w:val="0"/>
              <w:snapToGrid w:val="0"/>
              <w:jc w:val="center"/>
              <w:rPr>
                <w:rFonts w:hint="default" w:eastAsia="宋体"/>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总投资（万元）</w:t>
            </w:r>
          </w:p>
        </w:tc>
        <w:tc>
          <w:tcPr>
            <w:tcW w:w="2305" w:type="dxa"/>
            <w:noWrap w:val="0"/>
            <w:vAlign w:val="center"/>
          </w:tcPr>
          <w:p>
            <w:pPr>
              <w:adjustRightInd w:val="0"/>
              <w:snapToGrid w:val="0"/>
              <w:jc w:val="center"/>
              <w:rPr>
                <w:rFonts w:hint="default" w:eastAsia="宋体"/>
                <w:szCs w:val="21"/>
                <w:lang w:val="en-US" w:eastAsia="zh-CN"/>
              </w:rPr>
            </w:pPr>
            <w:r>
              <w:rPr>
                <w:rFonts w:hint="eastAsia"/>
                <w:szCs w:val="21"/>
                <w:lang w:val="en-US" w:eastAsia="zh-CN"/>
              </w:rPr>
              <w:t>6000</w:t>
            </w:r>
          </w:p>
        </w:tc>
        <w:tc>
          <w:tcPr>
            <w:tcW w:w="2212" w:type="dxa"/>
            <w:noWrap w:val="0"/>
            <w:tcMar>
              <w:top w:w="16" w:type="dxa"/>
              <w:left w:w="16" w:type="dxa"/>
              <w:right w:w="16" w:type="dxa"/>
            </w:tcMar>
            <w:vAlign w:val="center"/>
          </w:tcPr>
          <w:p>
            <w:pPr>
              <w:adjustRightInd w:val="0"/>
              <w:snapToGrid w:val="0"/>
              <w:jc w:val="center"/>
              <w:rPr>
                <w:szCs w:val="21"/>
              </w:rPr>
            </w:pPr>
            <w:r>
              <w:rPr>
                <w:rFonts w:hAnsi="宋体"/>
                <w:szCs w:val="21"/>
              </w:rPr>
              <w:t>环保投资（万元）</w:t>
            </w:r>
          </w:p>
        </w:tc>
        <w:tc>
          <w:tcPr>
            <w:tcW w:w="2639" w:type="dxa"/>
            <w:noWrap w:val="0"/>
            <w:vAlign w:val="center"/>
          </w:tcPr>
          <w:p>
            <w:pPr>
              <w:adjustRightInd w:val="0"/>
              <w:snapToGrid w:val="0"/>
              <w:jc w:val="center"/>
              <w:rPr>
                <w:rFonts w:hint="default" w:eastAsia="宋体"/>
                <w:szCs w:val="21"/>
                <w:lang w:val="en-US" w:eastAsia="zh-CN"/>
              </w:rPr>
            </w:pPr>
            <w:r>
              <w:rPr>
                <w:rFonts w:hint="default" w:eastAsia="宋体"/>
                <w:szCs w:val="21"/>
                <w:lang w:val="en-US" w:eastAsia="zh-CN"/>
              </w:rPr>
              <w:t>2109.2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环保投资占比（</w:t>
            </w:r>
            <w:r>
              <w:rPr>
                <w:szCs w:val="21"/>
              </w:rPr>
              <w:t>%</w:t>
            </w:r>
            <w:r>
              <w:rPr>
                <w:rFonts w:hAnsi="宋体"/>
                <w:szCs w:val="21"/>
              </w:rPr>
              <w:t>）</w:t>
            </w:r>
          </w:p>
        </w:tc>
        <w:tc>
          <w:tcPr>
            <w:tcW w:w="2305" w:type="dxa"/>
            <w:noWrap w:val="0"/>
            <w:vAlign w:val="center"/>
          </w:tcPr>
          <w:p>
            <w:pPr>
              <w:adjustRightInd w:val="0"/>
              <w:snapToGrid w:val="0"/>
              <w:jc w:val="center"/>
              <w:rPr>
                <w:rFonts w:hint="default" w:eastAsia="宋体"/>
                <w:szCs w:val="21"/>
                <w:lang w:val="en-US" w:eastAsia="zh-CN"/>
              </w:rPr>
            </w:pPr>
            <w:r>
              <w:rPr>
                <w:rFonts w:hint="eastAsia" w:eastAsia="宋体"/>
                <w:szCs w:val="21"/>
                <w:lang w:val="en-US" w:eastAsia="zh-CN"/>
              </w:rPr>
              <w:t>35.2</w:t>
            </w:r>
          </w:p>
        </w:tc>
        <w:tc>
          <w:tcPr>
            <w:tcW w:w="2212" w:type="dxa"/>
            <w:noWrap w:val="0"/>
            <w:tcMar>
              <w:top w:w="16" w:type="dxa"/>
              <w:left w:w="16" w:type="dxa"/>
              <w:right w:w="16" w:type="dxa"/>
            </w:tcMar>
            <w:vAlign w:val="center"/>
          </w:tcPr>
          <w:p>
            <w:pPr>
              <w:adjustRightInd w:val="0"/>
              <w:snapToGrid w:val="0"/>
              <w:jc w:val="center"/>
              <w:rPr>
                <w:szCs w:val="21"/>
              </w:rPr>
            </w:pPr>
            <w:r>
              <w:rPr>
                <w:rFonts w:hAnsi="宋体"/>
                <w:szCs w:val="21"/>
              </w:rPr>
              <w:t>施工工期</w:t>
            </w:r>
          </w:p>
        </w:tc>
        <w:tc>
          <w:tcPr>
            <w:tcW w:w="2639" w:type="dxa"/>
            <w:noWrap w:val="0"/>
            <w:vAlign w:val="center"/>
          </w:tcPr>
          <w:p>
            <w:pPr>
              <w:adjustRightInd w:val="0"/>
              <w:snapToGrid w:val="0"/>
              <w:jc w:val="center"/>
              <w:rPr>
                <w:rFonts w:hint="default" w:eastAsia="宋体"/>
                <w:szCs w:val="21"/>
                <w:lang w:val="en-US" w:eastAsia="zh-CN"/>
              </w:rPr>
            </w:pPr>
            <w:r>
              <w:rPr>
                <w:rFonts w:hint="eastAsia"/>
                <w:color w:val="auto"/>
                <w:szCs w:val="21"/>
              </w:rPr>
              <w:t>202</w:t>
            </w:r>
            <w:r>
              <w:rPr>
                <w:rFonts w:hint="eastAsia"/>
                <w:color w:val="auto"/>
                <w:szCs w:val="21"/>
                <w:lang w:val="en-US" w:eastAsia="zh-CN"/>
              </w:rPr>
              <w:t>2.10</w:t>
            </w:r>
            <w:r>
              <w:rPr>
                <w:rFonts w:hint="eastAsia"/>
                <w:color w:val="auto"/>
                <w:szCs w:val="21"/>
              </w:rPr>
              <w:t>～202</w:t>
            </w:r>
            <w:r>
              <w:rPr>
                <w:rFonts w:hint="eastAsia"/>
                <w:color w:val="auto"/>
                <w:szCs w:val="21"/>
                <w:lang w:val="en-US" w:eastAsia="zh-CN"/>
              </w:rPr>
              <w:t>4.01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4" w:type="dxa"/>
            <w:noWrap w:val="0"/>
            <w:tcMar>
              <w:top w:w="16" w:type="dxa"/>
              <w:left w:w="16" w:type="dxa"/>
              <w:right w:w="16" w:type="dxa"/>
            </w:tcMar>
            <w:vAlign w:val="center"/>
          </w:tcPr>
          <w:p>
            <w:pPr>
              <w:adjustRightInd w:val="0"/>
              <w:snapToGrid w:val="0"/>
              <w:jc w:val="center"/>
              <w:rPr>
                <w:szCs w:val="21"/>
              </w:rPr>
            </w:pPr>
            <w:r>
              <w:rPr>
                <w:rFonts w:hAnsi="宋体"/>
                <w:szCs w:val="21"/>
              </w:rPr>
              <w:t>是否开工建设</w:t>
            </w:r>
          </w:p>
        </w:tc>
        <w:tc>
          <w:tcPr>
            <w:tcW w:w="2305" w:type="dxa"/>
            <w:noWrap w:val="0"/>
            <w:vAlign w:val="center"/>
          </w:tcPr>
          <w:p>
            <w:pPr>
              <w:adjustRightInd w:val="0"/>
              <w:snapToGrid w:val="0"/>
              <w:rPr>
                <w:rFonts w:hint="default" w:ascii="Times New Roman" w:hAnsi="Times New Roman" w:cs="Times New Roman"/>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否</w:t>
            </w:r>
          </w:p>
          <w:p>
            <w:pPr>
              <w:adjustRightInd w:val="0"/>
              <w:snapToGrid w:val="0"/>
              <w:rPr>
                <w:szCs w:val="21"/>
              </w:rPr>
            </w:pPr>
            <w:r>
              <w:rPr>
                <w:rFonts w:hint="eastAsia" w:ascii="Times New Roman" w:hAnsi="Times New Roman" w:cs="Times New Roman"/>
                <w:szCs w:val="21"/>
                <w:lang w:val="en-US" w:eastAsia="zh-CN"/>
              </w:rPr>
              <w:t>□</w:t>
            </w:r>
            <w:r>
              <w:rPr>
                <w:rFonts w:hint="default" w:ascii="Times New Roman" w:hAnsi="Times New Roman" w:cs="Times New Roman"/>
                <w:szCs w:val="21"/>
              </w:rPr>
              <w:t>是：</w:t>
            </w:r>
            <w:r>
              <w:rPr>
                <w:rFonts w:hint="default" w:ascii="Times New Roman" w:hAnsi="Times New Roman" w:cs="Times New Roman"/>
                <w:szCs w:val="21"/>
                <w:u w:val="single"/>
              </w:rPr>
              <w:t xml:space="preserve"> </w:t>
            </w:r>
            <w:r>
              <w:rPr>
                <w:rFonts w:hint="eastAsia" w:ascii="Times New Roman" w:hAnsi="Times New Roman" w:cs="Times New Roman"/>
                <w:szCs w:val="21"/>
                <w:u w:val="single"/>
                <w:lang w:val="en-US" w:eastAsia="zh-CN"/>
              </w:rPr>
              <w:t xml:space="preserve">     </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u w:val="single"/>
              </w:rPr>
              <w:t xml:space="preserve"> </w:t>
            </w:r>
          </w:p>
        </w:tc>
        <w:tc>
          <w:tcPr>
            <w:tcW w:w="2212" w:type="dxa"/>
            <w:noWrap w:val="0"/>
            <w:tcMar>
              <w:top w:w="16" w:type="dxa"/>
              <w:left w:w="16" w:type="dxa"/>
              <w:right w:w="16" w:type="dxa"/>
            </w:tcMar>
            <w:vAlign w:val="center"/>
          </w:tcPr>
          <w:p>
            <w:pPr>
              <w:adjustRightInd w:val="0"/>
              <w:snapToGrid w:val="0"/>
              <w:jc w:val="center"/>
              <w:rPr>
                <w:szCs w:val="21"/>
              </w:rPr>
            </w:pPr>
            <w:r>
              <w:rPr>
                <w:rFonts w:hAnsi="宋体"/>
                <w:szCs w:val="21"/>
              </w:rPr>
              <w:t>用地（用海）</w:t>
            </w:r>
          </w:p>
          <w:p>
            <w:pPr>
              <w:adjustRightInd w:val="0"/>
              <w:snapToGrid w:val="0"/>
              <w:jc w:val="center"/>
              <w:rPr>
                <w:szCs w:val="21"/>
              </w:rPr>
            </w:pPr>
            <w:r>
              <w:rPr>
                <w:rFonts w:hAnsi="宋体"/>
                <w:szCs w:val="21"/>
              </w:rPr>
              <w:t>面积（</w:t>
            </w:r>
            <w:r>
              <w:rPr>
                <w:szCs w:val="21"/>
              </w:rPr>
              <w:t>m</w:t>
            </w:r>
            <w:r>
              <w:rPr>
                <w:szCs w:val="21"/>
                <w:vertAlign w:val="superscript"/>
              </w:rPr>
              <w:t>2</w:t>
            </w:r>
            <w:r>
              <w:rPr>
                <w:rFonts w:hAnsi="宋体"/>
                <w:szCs w:val="21"/>
              </w:rPr>
              <w:t>）</w:t>
            </w:r>
          </w:p>
        </w:tc>
        <w:tc>
          <w:tcPr>
            <w:tcW w:w="2639" w:type="dxa"/>
            <w:noWrap w:val="0"/>
            <w:vAlign w:val="center"/>
          </w:tcPr>
          <w:p>
            <w:pPr>
              <w:adjustRightInd w:val="0"/>
              <w:snapToGrid w:val="0"/>
              <w:jc w:val="center"/>
              <w:rPr>
                <w:szCs w:val="21"/>
              </w:rPr>
            </w:pPr>
            <w:r>
              <w:rPr>
                <w:rFonts w:hint="eastAsia"/>
                <w:color w:val="auto"/>
                <w:u w:val="none"/>
                <w:lang w:val="en-US" w:eastAsia="zh-CN"/>
              </w:rPr>
              <w:t>42273.44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4" w:type="dxa"/>
            <w:noWrap w:val="0"/>
            <w:vAlign w:val="center"/>
          </w:tcPr>
          <w:p>
            <w:pPr>
              <w:autoSpaceDE w:val="0"/>
              <w:autoSpaceDN w:val="0"/>
              <w:adjustRightInd w:val="0"/>
              <w:snapToGrid w:val="0"/>
              <w:jc w:val="center"/>
              <w:rPr>
                <w:rFonts w:hint="eastAsia" w:hAnsi="宋体"/>
                <w:kern w:val="0"/>
                <w:szCs w:val="21"/>
              </w:rPr>
            </w:pPr>
            <w:r>
              <w:rPr>
                <w:rFonts w:hAnsi="宋体"/>
                <w:kern w:val="0"/>
                <w:szCs w:val="21"/>
              </w:rPr>
              <w:t>专项评价</w:t>
            </w:r>
          </w:p>
          <w:p>
            <w:pPr>
              <w:autoSpaceDE w:val="0"/>
              <w:autoSpaceDN w:val="0"/>
              <w:adjustRightInd w:val="0"/>
              <w:snapToGrid w:val="0"/>
              <w:jc w:val="center"/>
              <w:rPr>
                <w:kern w:val="0"/>
                <w:szCs w:val="21"/>
              </w:rPr>
            </w:pPr>
            <w:r>
              <w:rPr>
                <w:rFonts w:hAnsi="宋体"/>
                <w:kern w:val="0"/>
                <w:szCs w:val="21"/>
              </w:rPr>
              <w:t>设置情况</w:t>
            </w:r>
          </w:p>
        </w:tc>
        <w:tc>
          <w:tcPr>
            <w:tcW w:w="7156" w:type="dxa"/>
            <w:gridSpan w:val="3"/>
            <w:noWrap w:val="0"/>
            <w:vAlign w:val="center"/>
          </w:tcPr>
          <w:p>
            <w:pPr>
              <w:autoSpaceDE w:val="0"/>
              <w:autoSpaceDN w:val="0"/>
              <w:adjustRightInd w:val="0"/>
              <w:snapToGrid w:val="0"/>
              <w:jc w:val="center"/>
              <w:rPr>
                <w:kern w:val="0"/>
                <w:szCs w:val="21"/>
              </w:rPr>
            </w:pPr>
            <w:r>
              <w:rPr>
                <w:rFonts w:hAnsi="宋体"/>
                <w:kern w:val="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714" w:type="dxa"/>
            <w:noWrap w:val="0"/>
            <w:vAlign w:val="center"/>
          </w:tcPr>
          <w:p>
            <w:pPr>
              <w:autoSpaceDE w:val="0"/>
              <w:autoSpaceDN w:val="0"/>
              <w:adjustRightInd w:val="0"/>
              <w:snapToGrid w:val="0"/>
              <w:jc w:val="center"/>
              <w:rPr>
                <w:kern w:val="0"/>
                <w:szCs w:val="21"/>
              </w:rPr>
            </w:pPr>
            <w:r>
              <w:rPr>
                <w:rFonts w:hAnsi="宋体"/>
                <w:szCs w:val="21"/>
              </w:rPr>
              <w:t>规划情况</w:t>
            </w:r>
          </w:p>
        </w:tc>
        <w:tc>
          <w:tcPr>
            <w:tcW w:w="7156" w:type="dxa"/>
            <w:gridSpan w:val="3"/>
            <w:noWrap w:val="0"/>
            <w:vAlign w:val="center"/>
          </w:tcPr>
          <w:p>
            <w:pPr>
              <w:autoSpaceDE w:val="0"/>
              <w:autoSpaceDN w:val="0"/>
              <w:adjustRightInd w:val="0"/>
              <w:snapToGrid w:val="0"/>
              <w:spacing w:line="360" w:lineRule="auto"/>
              <w:ind w:firstLine="480" w:firstLineChars="200"/>
              <w:rPr>
                <w:rFonts w:hint="eastAsia" w:eastAsia="宋体"/>
                <w:kern w:val="0"/>
                <w:szCs w:val="21"/>
                <w:lang w:eastAsia="zh-CN"/>
              </w:rPr>
            </w:pPr>
            <w:r>
              <w:rPr>
                <w:rFonts w:hint="default" w:ascii="Times New Roman" w:hAnsi="Times New Roman" w:cs="Times New Roman"/>
                <w:color w:val="auto"/>
                <w:kern w:val="0"/>
                <w:sz w:val="24"/>
                <w:szCs w:val="24"/>
                <w:highlight w:val="none"/>
                <w:lang w:val="en-US" w:eastAsia="zh-CN"/>
              </w:rPr>
              <w:t>规划文件名称：</w:t>
            </w:r>
            <w:r>
              <w:rPr>
                <w:rFonts w:hint="eastAsia" w:ascii="Times New Roman" w:hAnsi="Times New Roman" w:cs="Times New Roman"/>
                <w:color w:val="auto"/>
                <w:kern w:val="0"/>
                <w:sz w:val="24"/>
                <w:szCs w:val="24"/>
                <w:highlight w:val="none"/>
                <w:lang w:val="en-US" w:eastAsia="zh-CN"/>
              </w:rPr>
              <w:t>靖州苗族侗族自治县工业集中区总体规划</w:t>
            </w:r>
            <w:r>
              <w:rPr>
                <w:rFonts w:hint="eastAsia"/>
                <w:kern w:val="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djustRightInd w:val="0"/>
              <w:snapToGrid w:val="0"/>
              <w:jc w:val="center"/>
              <w:rPr>
                <w:szCs w:val="21"/>
              </w:rPr>
            </w:pPr>
            <w:r>
              <w:rPr>
                <w:rFonts w:hAnsi="宋体"/>
                <w:szCs w:val="21"/>
              </w:rPr>
              <w:t>规划环境影响</w:t>
            </w:r>
          </w:p>
          <w:p>
            <w:pPr>
              <w:adjustRightInd w:val="0"/>
              <w:snapToGrid w:val="0"/>
              <w:jc w:val="center"/>
              <w:rPr>
                <w:kern w:val="0"/>
                <w:szCs w:val="21"/>
              </w:rPr>
            </w:pPr>
            <w:r>
              <w:rPr>
                <w:rFonts w:hAnsi="宋体"/>
                <w:szCs w:val="21"/>
              </w:rPr>
              <w:t>评价情况</w:t>
            </w:r>
          </w:p>
        </w:tc>
        <w:tc>
          <w:tcPr>
            <w:tcW w:w="715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靖州工业集中区前身为靖州苗族侗族自治县甘太工业园，2009年原湖南省环境保护局对</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靖州苗族侗族自治县甘太工业园环境影响报告书</w:t>
            </w:r>
            <w:r>
              <w:rPr>
                <w:rFonts w:hint="default" w:ascii="Times New Roman" w:hAnsi="Times New Roman" w:eastAsia="宋体" w:cs="Times New Roman"/>
                <w:b w:val="0"/>
                <w:bCs w:val="0"/>
                <w:color w:val="auto"/>
                <w:sz w:val="24"/>
                <w:szCs w:val="24"/>
                <w:u w:val="none"/>
                <w:lang w:val="en-US" w:eastAsia="zh-CN"/>
              </w:rPr>
              <w:t>》</w:t>
            </w:r>
            <w:r>
              <w:rPr>
                <w:rFonts w:hint="eastAsia" w:ascii="Times New Roman" w:hAnsi="Times New Roman" w:eastAsia="宋体" w:cs="Times New Roman"/>
                <w:b w:val="0"/>
                <w:bCs w:val="0"/>
                <w:color w:val="auto"/>
                <w:sz w:val="24"/>
                <w:szCs w:val="24"/>
                <w:u w:val="none"/>
                <w:lang w:val="en-US" w:eastAsia="zh-CN"/>
              </w:rPr>
              <w:t>予以了批复（湘环评【2009】86号），产业定位主要发展林产品和矿产品加工业；2012年经省人民政府批准成立靖州工业集中区。根据《中国开发区审核公告名录（2018年版）》，园区现核准面积为306.11公顷，产业定位为农副产品加工、新材料、木材加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eastAsia="宋体" w:cs="Times New Roman"/>
                <w:b w:val="0"/>
                <w:bCs w:val="0"/>
                <w:color w:val="auto"/>
                <w:sz w:val="24"/>
                <w:szCs w:val="24"/>
                <w:u w:val="none"/>
                <w:lang w:val="en-US" w:eastAsia="zh-CN"/>
              </w:rPr>
              <w:t>2020年湖南省生态环境厅对《靖州工业集中区调区规划环境影响报告书》予以了批复（湘环评函〔2020〕7号），为优化工业发展空间布局，靖州工业集中区申请实施调区，调区后靖州工业集中区为茯苓科技产业园和甘太工业园“一区两园”格局，具体调整方案为：拟将甘太工业园原有规划用地调出102.72公顷，调整后该片区用地面积203.39公顷，四至范围为东至包茂高速公路出入口联络线，东南至明阳路以东约200米处，西南至滨江路，西北至金滩路，北至滨河路；拟在靖州县城北部调入茯苓科技产业园，用地面积102.72公顷，四至范围东至永平路，西至经三路，南至纬三路，北至北环路。调区后园区产业定位为农副食品加工，非金属矿物制品加工，木材加工和木、竹、藤、棕、草制品，医药制造以及电子信息产业，其中非金属矿物制品加工仅布局在甘太工业园。本项目位于甘太工业园内。</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eastAsia="宋体"/>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utoSpaceDE w:val="0"/>
              <w:autoSpaceDN w:val="0"/>
              <w:adjustRightInd w:val="0"/>
              <w:snapToGrid w:val="0"/>
              <w:jc w:val="center"/>
              <w:rPr>
                <w:kern w:val="0"/>
                <w:szCs w:val="21"/>
              </w:rPr>
            </w:pPr>
            <w:r>
              <w:rPr>
                <w:rFonts w:hAnsi="宋体"/>
                <w:kern w:val="0"/>
                <w:szCs w:val="21"/>
              </w:rPr>
              <w:t>规划及规划环境</w:t>
            </w:r>
          </w:p>
          <w:p>
            <w:pPr>
              <w:autoSpaceDE w:val="0"/>
              <w:autoSpaceDN w:val="0"/>
              <w:adjustRightInd w:val="0"/>
              <w:snapToGrid w:val="0"/>
              <w:jc w:val="center"/>
              <w:rPr>
                <w:kern w:val="0"/>
                <w:szCs w:val="21"/>
              </w:rPr>
            </w:pPr>
            <w:r>
              <w:rPr>
                <w:rFonts w:hAnsi="宋体"/>
                <w:kern w:val="0"/>
                <w:szCs w:val="21"/>
              </w:rPr>
              <w:t>影响评价符合性分析</w:t>
            </w:r>
          </w:p>
        </w:tc>
        <w:tc>
          <w:tcPr>
            <w:tcW w:w="7156"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auto"/>
                <w:kern w:val="0"/>
                <w:sz w:val="24"/>
                <w:szCs w:val="24"/>
                <w:highlight w:val="none"/>
                <w:u w:val="none"/>
                <w:lang w:val="en-US" w:eastAsia="zh-CN"/>
              </w:rPr>
            </w:pPr>
            <w:r>
              <w:rPr>
                <w:rFonts w:hint="eastAsia" w:ascii="Times New Roman" w:hAnsi="Times New Roman" w:cs="Times New Roman"/>
                <w:b/>
                <w:bCs/>
                <w:color w:val="auto"/>
                <w:kern w:val="0"/>
                <w:sz w:val="24"/>
                <w:szCs w:val="24"/>
                <w:highlight w:val="none"/>
                <w:u w:val="none"/>
                <w:lang w:val="en-US" w:eastAsia="zh-CN"/>
              </w:rPr>
              <w:t>1、</w:t>
            </w:r>
            <w:r>
              <w:rPr>
                <w:rFonts w:hint="default" w:ascii="Times New Roman" w:hAnsi="Times New Roman" w:cs="Times New Roman"/>
                <w:b/>
                <w:bCs/>
                <w:color w:val="auto"/>
                <w:kern w:val="0"/>
                <w:sz w:val="24"/>
                <w:szCs w:val="24"/>
                <w:highlight w:val="none"/>
                <w:u w:val="none"/>
                <w:lang w:val="en-US" w:eastAsia="zh-CN"/>
              </w:rPr>
              <w:t>项目与</w:t>
            </w:r>
            <w:r>
              <w:rPr>
                <w:rFonts w:hint="eastAsia" w:ascii="Times New Roman" w:hAnsi="Times New Roman" w:cs="Times New Roman"/>
                <w:b/>
                <w:bCs/>
                <w:color w:val="auto"/>
                <w:kern w:val="0"/>
                <w:sz w:val="24"/>
                <w:szCs w:val="24"/>
                <w:highlight w:val="none"/>
                <w:u w:val="none"/>
                <w:lang w:val="en-US" w:eastAsia="zh-CN"/>
              </w:rPr>
              <w:t>靖州苗族侗族自治县工业集中区</w:t>
            </w:r>
            <w:r>
              <w:rPr>
                <w:rFonts w:hint="default" w:ascii="Times New Roman" w:hAnsi="Times New Roman" w:cs="Times New Roman"/>
                <w:b/>
                <w:bCs/>
                <w:color w:val="auto"/>
                <w:kern w:val="0"/>
                <w:sz w:val="24"/>
                <w:szCs w:val="24"/>
                <w:highlight w:val="none"/>
                <w:u w:val="none"/>
                <w:lang w:val="en-US" w:eastAsia="zh-CN"/>
              </w:rPr>
              <w:t>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kern w:val="0"/>
                <w:sz w:val="24"/>
                <w:szCs w:val="24"/>
                <w:highlight w:val="none"/>
                <w:u w:val="none"/>
                <w:lang w:val="en-US" w:eastAsia="zh-CN"/>
              </w:rPr>
            </w:pPr>
            <w:r>
              <w:rPr>
                <w:rFonts w:hint="default" w:ascii="Times New Roman" w:hAnsi="Times New Roman" w:cs="Times New Roman"/>
                <w:color w:val="auto"/>
                <w:kern w:val="0"/>
                <w:sz w:val="24"/>
                <w:szCs w:val="24"/>
                <w:highlight w:val="none"/>
                <w:u w:val="none"/>
                <w:lang w:val="en-US" w:eastAsia="zh-CN"/>
              </w:rPr>
              <w:t>根据</w:t>
            </w:r>
            <w:r>
              <w:rPr>
                <w:rFonts w:hint="eastAsia" w:ascii="Times New Roman" w:hAnsi="Times New Roman" w:cs="Times New Roman"/>
                <w:color w:val="auto"/>
                <w:kern w:val="0"/>
                <w:sz w:val="24"/>
                <w:szCs w:val="24"/>
                <w:highlight w:val="none"/>
                <w:u w:val="none"/>
                <w:lang w:val="en-US" w:eastAsia="zh-CN"/>
              </w:rPr>
              <w:t>靖州工业集中区甘太工业园控制性详细规划——土地使用规划图</w:t>
            </w:r>
            <w:r>
              <w:rPr>
                <w:rFonts w:hint="default" w:ascii="Times New Roman" w:hAnsi="Times New Roman" w:cs="Times New Roman"/>
                <w:color w:val="auto"/>
                <w:kern w:val="0"/>
                <w:sz w:val="24"/>
                <w:szCs w:val="24"/>
                <w:highlight w:val="none"/>
                <w:u w:val="none"/>
                <w:lang w:val="en-US" w:eastAsia="zh-CN"/>
              </w:rPr>
              <w:t>（见附图</w:t>
            </w:r>
            <w:r>
              <w:rPr>
                <w:rFonts w:hint="eastAsia" w:ascii="Times New Roman" w:hAnsi="Times New Roman" w:cs="Times New Roman"/>
                <w:color w:val="auto"/>
                <w:kern w:val="0"/>
                <w:sz w:val="24"/>
                <w:szCs w:val="24"/>
                <w:highlight w:val="none"/>
                <w:u w:val="none"/>
                <w:lang w:val="en-US" w:eastAsia="zh-CN"/>
              </w:rPr>
              <w:t>5</w:t>
            </w:r>
            <w:r>
              <w:rPr>
                <w:rFonts w:hint="default" w:ascii="Times New Roman" w:hAnsi="Times New Roman" w:cs="Times New Roman"/>
                <w:color w:val="auto"/>
                <w:kern w:val="0"/>
                <w:sz w:val="24"/>
                <w:szCs w:val="24"/>
                <w:highlight w:val="none"/>
                <w:u w:val="none"/>
                <w:lang w:val="en-US" w:eastAsia="zh-CN"/>
              </w:rPr>
              <w:t>），本项目位于</w:t>
            </w:r>
            <w:r>
              <w:rPr>
                <w:rFonts w:hint="eastAsia" w:ascii="Times New Roman" w:hAnsi="Times New Roman" w:cs="Times New Roman"/>
                <w:color w:val="auto"/>
                <w:kern w:val="0"/>
                <w:sz w:val="24"/>
                <w:szCs w:val="24"/>
                <w:highlight w:val="none"/>
                <w:u w:val="none"/>
                <w:lang w:val="en-US" w:eastAsia="zh-CN"/>
              </w:rPr>
              <w:t>靖州县工业集中区</w:t>
            </w:r>
            <w:r>
              <w:rPr>
                <w:rFonts w:hint="default" w:ascii="Times New Roman" w:hAnsi="Times New Roman" w:cs="Times New Roman"/>
                <w:color w:val="auto"/>
                <w:kern w:val="0"/>
                <w:sz w:val="24"/>
                <w:szCs w:val="24"/>
                <w:highlight w:val="none"/>
                <w:u w:val="none"/>
                <w:lang w:val="en-US" w:eastAsia="zh-CN"/>
              </w:rPr>
              <w:t>，用地性质为</w:t>
            </w:r>
            <w:r>
              <w:rPr>
                <w:rFonts w:hint="eastAsia" w:ascii="Times New Roman" w:hAnsi="Times New Roman" w:cs="Times New Roman"/>
                <w:color w:val="auto"/>
                <w:kern w:val="0"/>
                <w:sz w:val="24"/>
                <w:szCs w:val="24"/>
                <w:highlight w:val="none"/>
                <w:u w:val="none"/>
                <w:lang w:val="en-US" w:eastAsia="zh-CN"/>
              </w:rPr>
              <w:t>二类</w:t>
            </w:r>
            <w:r>
              <w:rPr>
                <w:rFonts w:hint="default" w:ascii="Times New Roman" w:hAnsi="Times New Roman" w:cs="Times New Roman"/>
                <w:color w:val="auto"/>
                <w:kern w:val="0"/>
                <w:sz w:val="24"/>
                <w:szCs w:val="24"/>
                <w:highlight w:val="none"/>
                <w:u w:val="none"/>
                <w:lang w:val="en-US" w:eastAsia="zh-CN"/>
              </w:rPr>
              <w:t>工业用地</w:t>
            </w:r>
            <w:r>
              <w:rPr>
                <w:rFonts w:hint="eastAsia" w:ascii="Times New Roman" w:hAnsi="Times New Roman" w:cs="Times New Roman"/>
                <w:color w:val="auto"/>
                <w:kern w:val="0"/>
                <w:sz w:val="24"/>
                <w:szCs w:val="24"/>
                <w:highlight w:val="none"/>
                <w:u w:val="none"/>
                <w:lang w:val="en-US" w:eastAsia="zh-CN"/>
              </w:rPr>
              <w:t>，</w:t>
            </w:r>
            <w:r>
              <w:rPr>
                <w:rFonts w:hint="eastAsia" w:ascii="Times New Roman" w:hAnsi="Times New Roman" w:eastAsia="宋体" w:cs="Times New Roman"/>
                <w:color w:val="auto"/>
                <w:kern w:val="0"/>
                <w:sz w:val="24"/>
                <w:szCs w:val="24"/>
                <w:highlight w:val="none"/>
                <w:u w:val="none"/>
                <w:lang w:val="en-US" w:eastAsia="zh-CN"/>
              </w:rPr>
              <w:t>本项目为废弃资源综合利用业，虽非产业园主导产业，属于二类工业项目</w:t>
            </w:r>
            <w:r>
              <w:rPr>
                <w:rFonts w:hint="default" w:ascii="Times New Roman" w:hAnsi="Times New Roman" w:eastAsia="宋体" w:cs="Times New Roman"/>
                <w:color w:val="auto"/>
                <w:kern w:val="0"/>
                <w:sz w:val="24"/>
                <w:szCs w:val="24"/>
                <w:highlight w:val="none"/>
                <w:u w:val="none"/>
                <w:lang w:val="en-US" w:eastAsia="zh-CN"/>
              </w:rPr>
              <w:t>，</w:t>
            </w:r>
            <w:r>
              <w:rPr>
                <w:rFonts w:hint="default" w:ascii="Times New Roman" w:hAnsi="Times New Roman" w:cs="Times New Roman"/>
                <w:color w:val="auto"/>
                <w:kern w:val="0"/>
                <w:sz w:val="24"/>
                <w:szCs w:val="24"/>
                <w:highlight w:val="none"/>
                <w:u w:val="none"/>
                <w:lang w:val="en-US" w:eastAsia="zh-CN"/>
              </w:rPr>
              <w:t>因此本项目符合该规划。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u w:val="none"/>
                <w:lang w:val="en-US" w:eastAsia="zh-CN"/>
              </w:rPr>
            </w:pPr>
            <w:r>
              <w:rPr>
                <w:rFonts w:hint="eastAsia" w:ascii="Times New Roman" w:hAnsi="Times New Roman" w:cs="Times New Roman"/>
                <w:b/>
                <w:bCs/>
                <w:color w:val="auto"/>
                <w:kern w:val="0"/>
                <w:sz w:val="24"/>
                <w:szCs w:val="24"/>
                <w:highlight w:val="none"/>
                <w:u w:val="none"/>
                <w:lang w:val="en-US" w:eastAsia="zh-CN"/>
              </w:rPr>
              <w:t>2、</w:t>
            </w:r>
            <w:r>
              <w:rPr>
                <w:rFonts w:hint="default" w:ascii="Times New Roman" w:hAnsi="Times New Roman" w:cs="Times New Roman"/>
                <w:b/>
                <w:bCs/>
                <w:color w:val="auto"/>
                <w:kern w:val="0"/>
                <w:sz w:val="24"/>
                <w:szCs w:val="24"/>
                <w:highlight w:val="none"/>
                <w:u w:val="none"/>
                <w:lang w:val="en-US" w:eastAsia="zh-CN"/>
              </w:rPr>
              <w:t>项</w:t>
            </w:r>
            <w:r>
              <w:rPr>
                <w:rFonts w:hint="default" w:ascii="Times New Roman" w:hAnsi="Times New Roman" w:eastAsia="宋体" w:cs="Times New Roman"/>
                <w:b/>
                <w:bCs/>
                <w:color w:val="auto"/>
                <w:kern w:val="0"/>
                <w:sz w:val="24"/>
                <w:szCs w:val="24"/>
                <w:highlight w:val="none"/>
                <w:u w:val="none"/>
                <w:lang w:val="en-US" w:eastAsia="zh-CN"/>
              </w:rPr>
              <w:t>目与《靖州苗族侗族自治县甘太工业园环境影响报告书》</w:t>
            </w:r>
            <w:r>
              <w:rPr>
                <w:rFonts w:hint="eastAsia" w:ascii="Times New Roman" w:hAnsi="Times New Roman" w:eastAsia="宋体" w:cs="Times New Roman"/>
                <w:b/>
                <w:bCs/>
                <w:color w:val="auto"/>
                <w:sz w:val="24"/>
                <w:szCs w:val="24"/>
                <w:u w:val="none"/>
                <w:lang w:val="en-US" w:eastAsia="zh-CN"/>
              </w:rPr>
              <w:t>（湘环评【2009】86号）</w:t>
            </w:r>
            <w:r>
              <w:rPr>
                <w:rFonts w:hint="eastAsia" w:ascii="Times New Roman" w:hAnsi="Times New Roman" w:eastAsia="宋体" w:cs="Times New Roman"/>
                <w:b/>
                <w:bCs/>
                <w:color w:val="auto"/>
                <w:kern w:val="0"/>
                <w:sz w:val="24"/>
                <w:szCs w:val="24"/>
                <w:highlight w:val="none"/>
                <w:u w:val="none"/>
                <w:lang w:val="en-US" w:eastAsia="zh-CN"/>
              </w:rPr>
              <w:t>及</w:t>
            </w:r>
            <w:r>
              <w:rPr>
                <w:rFonts w:hint="default" w:ascii="Times New Roman" w:hAnsi="Times New Roman" w:eastAsia="宋体" w:cs="Times New Roman"/>
                <w:b/>
                <w:bCs/>
                <w:color w:val="auto"/>
                <w:sz w:val="24"/>
                <w:szCs w:val="24"/>
                <w:highlight w:val="none"/>
                <w:u w:val="none"/>
                <w:lang w:val="en-US" w:eastAsia="zh-CN"/>
              </w:rPr>
              <w:t>《靖州工业集中区调区规划环境影响报告书》</w:t>
            </w:r>
            <w:r>
              <w:rPr>
                <w:rFonts w:hint="eastAsia" w:ascii="Times New Roman" w:hAnsi="Times New Roman" w:eastAsia="宋体" w:cs="Times New Roman"/>
                <w:b/>
                <w:bCs/>
                <w:color w:val="auto"/>
                <w:sz w:val="24"/>
                <w:szCs w:val="24"/>
                <w:highlight w:val="none"/>
                <w:u w:val="none"/>
                <w:lang w:val="en-US" w:eastAsia="zh-CN"/>
              </w:rPr>
              <w:t>（湘环评函〔2020〕7号）</w:t>
            </w:r>
            <w:r>
              <w:rPr>
                <w:rFonts w:hint="default" w:ascii="Times New Roman" w:hAnsi="Times New Roman" w:eastAsia="宋体" w:cs="Times New Roman"/>
                <w:b/>
                <w:bCs/>
                <w:color w:val="auto"/>
                <w:sz w:val="24"/>
                <w:szCs w:val="24"/>
                <w:highlight w:val="none"/>
                <w:u w:val="none"/>
                <w:lang w:val="en-US" w:eastAsia="zh-CN"/>
              </w:rPr>
              <w:t>相符性分析</w:t>
            </w:r>
            <w:r>
              <w:rPr>
                <w:rFonts w:hint="eastAsia" w:ascii="Times New Roman" w:hAnsi="Times New Roman" w:eastAsia="宋体" w:cs="Times New Roman"/>
                <w:b/>
                <w:bCs/>
                <w:color w:val="auto"/>
                <w:sz w:val="24"/>
                <w:szCs w:val="24"/>
                <w:highlight w:val="none"/>
                <w:u w:val="none"/>
                <w:lang w:val="en-US" w:eastAsia="zh-CN"/>
              </w:rPr>
              <w:t>。</w:t>
            </w:r>
          </w:p>
          <w:p>
            <w:pPr>
              <w:bidi w:val="0"/>
              <w:jc w:val="center"/>
              <w:rPr>
                <w:rFonts w:hint="eastAsia"/>
                <w:b/>
                <w:bCs/>
                <w:lang w:val="en-US" w:eastAsia="zh-CN"/>
              </w:rPr>
            </w:pPr>
            <w:r>
              <w:rPr>
                <w:rFonts w:hint="eastAsia"/>
                <w:b/>
                <w:bCs/>
                <w:lang w:val="en-US" w:eastAsia="zh-CN"/>
              </w:rPr>
              <w:t>表1-1 项目与（湘环评【2009】86号）及（湘环评函〔2020〕7号）相符性分析一览表</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3798"/>
              <w:gridCol w:w="1397"/>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noWrap w:val="0"/>
                  <w:vAlign w:val="center"/>
                </w:tcPr>
                <w:p>
                  <w:pPr>
                    <w:jc w:val="center"/>
                    <w:rPr>
                      <w:rFonts w:hint="default" w:ascii="Times New Roman" w:hAnsi="Times New Roman" w:eastAsia="宋体" w:cs="Times New Roman"/>
                      <w:b/>
                      <w:bCs/>
                      <w:color w:val="auto"/>
                      <w:sz w:val="21"/>
                      <w:szCs w:val="21"/>
                      <w:u w:val="none"/>
                      <w:vertAlign w:val="baseline"/>
                      <w:lang w:eastAsia="zh-CN"/>
                    </w:rPr>
                  </w:pPr>
                  <w:r>
                    <w:rPr>
                      <w:rFonts w:hint="default" w:ascii="Times New Roman" w:hAnsi="Times New Roman" w:eastAsia="宋体" w:cs="Times New Roman"/>
                      <w:b/>
                      <w:bCs/>
                      <w:color w:val="auto"/>
                      <w:sz w:val="21"/>
                      <w:szCs w:val="21"/>
                      <w:u w:val="none"/>
                      <w:vertAlign w:val="baseline"/>
                      <w:lang w:eastAsia="zh-CN"/>
                    </w:rPr>
                    <w:t>环评批复文件</w:t>
                  </w:r>
                </w:p>
              </w:tc>
              <w:tc>
                <w:tcPr>
                  <w:tcW w:w="2764" w:type="pct"/>
                  <w:noWrap w:val="0"/>
                  <w:vAlign w:val="center"/>
                </w:tcPr>
                <w:p>
                  <w:pPr>
                    <w:jc w:val="center"/>
                    <w:rPr>
                      <w:rFonts w:hint="default" w:ascii="Times New Roman" w:hAnsi="Times New Roman" w:eastAsia="宋体" w:cs="Times New Roman"/>
                      <w:b/>
                      <w:bCs/>
                      <w:color w:val="auto"/>
                      <w:sz w:val="21"/>
                      <w:szCs w:val="21"/>
                      <w:u w:val="none"/>
                      <w:vertAlign w:val="baseline"/>
                      <w:lang w:eastAsia="zh-CN"/>
                    </w:rPr>
                  </w:pPr>
                  <w:r>
                    <w:rPr>
                      <w:rFonts w:hint="default" w:ascii="Times New Roman" w:hAnsi="Times New Roman" w:eastAsia="宋体" w:cs="Times New Roman"/>
                      <w:b/>
                      <w:bCs/>
                      <w:color w:val="auto"/>
                      <w:sz w:val="21"/>
                      <w:szCs w:val="21"/>
                      <w:u w:val="none"/>
                      <w:vertAlign w:val="baseline"/>
                      <w:lang w:eastAsia="zh-CN"/>
                    </w:rPr>
                    <w:t>批复内容</w:t>
                  </w:r>
                </w:p>
              </w:tc>
              <w:tc>
                <w:tcPr>
                  <w:tcW w:w="1032" w:type="pct"/>
                  <w:noWrap w:val="0"/>
                  <w:vAlign w:val="center"/>
                </w:tcPr>
                <w:p>
                  <w:pPr>
                    <w:jc w:val="center"/>
                    <w:rPr>
                      <w:rFonts w:hint="default" w:ascii="Times New Roman" w:hAnsi="Times New Roman" w:eastAsia="宋体" w:cs="Times New Roman"/>
                      <w:b/>
                      <w:bCs/>
                      <w:color w:val="auto"/>
                      <w:sz w:val="21"/>
                      <w:szCs w:val="21"/>
                      <w:u w:val="none"/>
                      <w:vertAlign w:val="baseline"/>
                      <w:lang w:eastAsia="zh-CN"/>
                    </w:rPr>
                  </w:pPr>
                  <w:r>
                    <w:rPr>
                      <w:rFonts w:hint="default" w:ascii="Times New Roman" w:hAnsi="Times New Roman" w:eastAsia="宋体" w:cs="Times New Roman"/>
                      <w:b/>
                      <w:bCs/>
                      <w:color w:val="auto"/>
                      <w:sz w:val="21"/>
                      <w:szCs w:val="21"/>
                      <w:u w:val="none"/>
                      <w:vertAlign w:val="baseline"/>
                      <w:lang w:eastAsia="zh-CN"/>
                    </w:rPr>
                    <w:t>本项目情况</w:t>
                  </w:r>
                </w:p>
              </w:tc>
              <w:tc>
                <w:tcPr>
                  <w:tcW w:w="512" w:type="pct"/>
                  <w:noWrap w:val="0"/>
                  <w:vAlign w:val="center"/>
                </w:tcPr>
                <w:p>
                  <w:pPr>
                    <w:jc w:val="center"/>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noWrap w:val="0"/>
                  <w:vAlign w:val="center"/>
                </w:tcPr>
                <w:p>
                  <w:pPr>
                    <w:jc w:val="center"/>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b/>
                      <w:bCs/>
                      <w:color w:val="auto"/>
                      <w:sz w:val="21"/>
                      <w:szCs w:val="21"/>
                      <w:u w:val="none"/>
                      <w:lang w:val="en-US" w:eastAsia="zh-CN"/>
                    </w:rPr>
                    <w:t>（湘环评【2009】86号）</w:t>
                  </w:r>
                </w:p>
              </w:tc>
              <w:tc>
                <w:tcPr>
                  <w:tcW w:w="2764" w:type="pct"/>
                  <w:noWrap w:val="0"/>
                  <w:vAlign w:val="center"/>
                </w:tcPr>
                <w:p>
                  <w:pPr>
                    <w:jc w:val="left"/>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sz w:val="21"/>
                      <w:szCs w:val="21"/>
                      <w:u w:val="none"/>
                      <w:vertAlign w:val="baseline"/>
                    </w:rPr>
                    <w:t>一、工业园规划以支柳铁路为主要发展轴，形成铁东、铁西两个发展片区，总用地面积2.397km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vertAlign w:val="baseline"/>
                      <w:lang w:eastAsia="zh-CN"/>
                    </w:rPr>
                    <w:t>，</w:t>
                  </w:r>
                  <w:r>
                    <w:rPr>
                      <w:rFonts w:hint="default" w:ascii="Times New Roman" w:hAnsi="Times New Roman" w:eastAsia="宋体" w:cs="Times New Roman"/>
                      <w:color w:val="auto"/>
                      <w:sz w:val="21"/>
                      <w:szCs w:val="21"/>
                      <w:u w:val="none"/>
                      <w:vertAlign w:val="baseline"/>
                    </w:rPr>
                    <w:t>工业园定位以发展一、二类工业为主，三类工业为辅，充分利用本县和周边县市资源，主要发展林产品及矿产品加工业。</w:t>
                  </w:r>
                </w:p>
                <w:p>
                  <w:pPr>
                    <w:jc w:val="left"/>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二、严格执行入园企业准入制度，入园项目选址必须符合园区总体发展规划、环保规划及工业园主导产业定位要求。园区鼓励和优先发展低污染、技术含量高、资源节约型的一、二类工业，控制三类工业发展，主要发展林产品和矿产品加工等行业，综合考虑劳动密集型企业与高新技术、低污染企业的有机结合和协调。在入园项目前期和建设期，必须严格执行建设项目环境影响评价和“三同时”制度，其排污浓度、总量必须满足达标排放和总量控制要求，并推行清洁生产工艺</w:t>
                  </w:r>
                  <w:r>
                    <w:rPr>
                      <w:rFonts w:hint="default" w:ascii="Times New Roman" w:hAnsi="Times New Roman" w:eastAsia="宋体" w:cs="Times New Roman"/>
                      <w:color w:val="auto"/>
                      <w:sz w:val="21"/>
                      <w:szCs w:val="21"/>
                      <w:u w:val="none"/>
                      <w:vertAlign w:val="baseline"/>
                      <w:lang w:val="en-US" w:eastAsia="zh-CN"/>
                    </w:rPr>
                    <w:t>；</w:t>
                  </w:r>
                  <w:r>
                    <w:rPr>
                      <w:rFonts w:hint="default" w:ascii="Times New Roman" w:hAnsi="Times New Roman" w:eastAsia="宋体" w:cs="Times New Roman"/>
                      <w:color w:val="auto"/>
                      <w:sz w:val="21"/>
                      <w:szCs w:val="21"/>
                      <w:u w:val="none"/>
                      <w:vertAlign w:val="baseline"/>
                      <w:lang w:eastAsia="zh-CN"/>
                    </w:rPr>
                    <w:t>园区禁止建设国家明令淘汰和禁止发展的能耗物耗高、环境污染严重、不符合产业政策的建设项目，禁止引进高水耗、高能耗、高污染的原料药生产企业；禁止引进高水耗食品生产以及屠宰、养殖等企业；禁止引进与园区产业定位关联性不强、能耗高、水耗大、污染较严重的重化工项目以及不符合园区规划的其它行业项目。</w:t>
                  </w:r>
                </w:p>
              </w:tc>
              <w:tc>
                <w:tcPr>
                  <w:tcW w:w="1032" w:type="pct"/>
                  <w:noWrap w:val="0"/>
                  <w:vAlign w:val="center"/>
                </w:tcPr>
                <w:p>
                  <w:pPr>
                    <w:jc w:val="center"/>
                    <w:rPr>
                      <w:rFonts w:hint="eastAsia"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一、</w:t>
                  </w:r>
                  <w:r>
                    <w:rPr>
                      <w:rFonts w:hint="default" w:ascii="Times New Roman" w:hAnsi="Times New Roman" w:eastAsia="宋体" w:cs="Times New Roman"/>
                      <w:color w:val="auto"/>
                      <w:sz w:val="21"/>
                      <w:szCs w:val="21"/>
                      <w:u w:val="none"/>
                      <w:vertAlign w:val="baseline"/>
                      <w:lang w:val="en-US" w:eastAsia="zh-CN"/>
                    </w:rPr>
                    <w:t>本项目位于</w:t>
                  </w:r>
                  <w:r>
                    <w:rPr>
                      <w:rFonts w:hint="default" w:ascii="Times New Roman" w:hAnsi="Times New Roman" w:eastAsia="宋体" w:cs="Times New Roman"/>
                      <w:color w:val="auto"/>
                      <w:sz w:val="21"/>
                      <w:szCs w:val="21"/>
                      <w:u w:val="none"/>
                      <w:vertAlign w:val="baseline"/>
                      <w:lang w:eastAsia="zh-CN"/>
                    </w:rPr>
                    <w:t>靖州县工业集中区中的</w:t>
                  </w:r>
                  <w:r>
                    <w:rPr>
                      <w:rFonts w:hint="default" w:ascii="Times New Roman" w:hAnsi="Times New Roman" w:eastAsia="宋体" w:cs="Times New Roman"/>
                      <w:color w:val="auto"/>
                      <w:sz w:val="21"/>
                      <w:szCs w:val="21"/>
                      <w:u w:val="none"/>
                      <w:vertAlign w:val="baseline"/>
                      <w:lang w:val="en-US" w:eastAsia="zh-CN"/>
                    </w:rPr>
                    <w:t>甘太工业园，属于铁</w:t>
                  </w:r>
                  <w:r>
                    <w:rPr>
                      <w:rFonts w:hint="eastAsia" w:ascii="Times New Roman" w:hAnsi="Times New Roman" w:eastAsia="宋体" w:cs="Times New Roman"/>
                      <w:color w:val="auto"/>
                      <w:sz w:val="21"/>
                      <w:szCs w:val="21"/>
                      <w:u w:val="none"/>
                      <w:vertAlign w:val="baseline"/>
                      <w:lang w:val="en-US" w:eastAsia="zh-CN"/>
                    </w:rPr>
                    <w:t>西</w:t>
                  </w:r>
                  <w:r>
                    <w:rPr>
                      <w:rFonts w:hint="default" w:ascii="Times New Roman" w:hAnsi="Times New Roman" w:eastAsia="宋体" w:cs="Times New Roman"/>
                      <w:color w:val="auto"/>
                      <w:sz w:val="21"/>
                      <w:szCs w:val="21"/>
                      <w:u w:val="none"/>
                      <w:vertAlign w:val="baseline"/>
                      <w:lang w:val="en-US" w:eastAsia="zh-CN"/>
                    </w:rPr>
                    <w:t>片区，</w:t>
                  </w:r>
                  <w:r>
                    <w:rPr>
                      <w:rFonts w:hint="default" w:ascii="Times New Roman" w:hAnsi="Times New Roman" w:eastAsia="宋体" w:cs="Times New Roman"/>
                      <w:color w:val="auto"/>
                      <w:sz w:val="21"/>
                      <w:szCs w:val="21"/>
                      <w:u w:val="none"/>
                      <w:vertAlign w:val="baseline"/>
                      <w:lang w:eastAsia="zh-CN"/>
                    </w:rPr>
                    <w:t>项目为</w:t>
                  </w:r>
                  <w:r>
                    <w:rPr>
                      <w:rFonts w:hint="default" w:ascii="Times New Roman" w:hAnsi="Times New Roman" w:eastAsia="宋体" w:cs="Times New Roman"/>
                      <w:color w:val="auto"/>
                      <w:sz w:val="21"/>
                      <w:szCs w:val="21"/>
                      <w:u w:val="none"/>
                      <w:vertAlign w:val="baseline"/>
                      <w:lang w:val="en-US" w:eastAsia="zh-CN"/>
                    </w:rPr>
                    <w:t>废弃资源综合利用业</w:t>
                  </w:r>
                  <w:r>
                    <w:rPr>
                      <w:rFonts w:hint="default" w:ascii="Times New Roman" w:hAnsi="Times New Roman" w:eastAsia="宋体" w:cs="Times New Roman"/>
                      <w:color w:val="auto"/>
                      <w:sz w:val="21"/>
                      <w:szCs w:val="21"/>
                      <w:u w:val="none"/>
                      <w:vertAlign w:val="baseline"/>
                      <w:lang w:eastAsia="zh-CN"/>
                    </w:rPr>
                    <w:t>，属于二类工业项目</w:t>
                  </w:r>
                  <w:r>
                    <w:rPr>
                      <w:rFonts w:hint="eastAsia" w:ascii="Times New Roman" w:hAnsi="Times New Roman" w:eastAsia="宋体" w:cs="Times New Roman"/>
                      <w:color w:val="auto"/>
                      <w:sz w:val="21"/>
                      <w:szCs w:val="21"/>
                      <w:u w:val="none"/>
                      <w:vertAlign w:val="baseline"/>
                      <w:lang w:eastAsia="zh-CN"/>
                    </w:rPr>
                    <w:t>。</w:t>
                  </w:r>
                </w:p>
                <w:p>
                  <w:pPr>
                    <w:jc w:val="center"/>
                    <w:rPr>
                      <w:rFonts w:hint="default" w:ascii="Times New Roman" w:hAnsi="Times New Roman" w:eastAsia="宋体" w:cs="Times New Roman"/>
                      <w:color w:val="auto"/>
                      <w:sz w:val="21"/>
                      <w:szCs w:val="21"/>
                      <w:u w:val="none"/>
                      <w:vertAlign w:val="baseline"/>
                      <w:lang w:eastAsia="zh-CN"/>
                    </w:rPr>
                  </w:pPr>
                  <w:r>
                    <w:rPr>
                      <w:rFonts w:hint="default" w:ascii="Times New Roman" w:hAnsi="Times New Roman" w:eastAsia="宋体" w:cs="Times New Roman"/>
                      <w:color w:val="auto"/>
                      <w:sz w:val="21"/>
                      <w:szCs w:val="21"/>
                      <w:u w:val="none"/>
                      <w:vertAlign w:val="baseline"/>
                      <w:lang w:eastAsia="zh-CN"/>
                    </w:rPr>
                    <w:t>二、根据靖州工业园区规划图，项目所在用地为二类工业用地，符合用地规划，且项目不属于园区禁止</w:t>
                  </w:r>
                  <w:r>
                    <w:rPr>
                      <w:rFonts w:hint="eastAsia" w:ascii="Times New Roman" w:hAnsi="Times New Roman" w:eastAsia="宋体" w:cs="Times New Roman"/>
                      <w:color w:val="auto"/>
                      <w:sz w:val="21"/>
                      <w:szCs w:val="21"/>
                      <w:u w:val="none"/>
                      <w:vertAlign w:val="baseline"/>
                      <w:lang w:val="en-US" w:eastAsia="zh-CN"/>
                    </w:rPr>
                    <w:t>类建设项目</w:t>
                  </w:r>
                </w:p>
              </w:tc>
              <w:tc>
                <w:tcPr>
                  <w:tcW w:w="512" w:type="pct"/>
                  <w:noWrap w:val="0"/>
                  <w:vAlign w:val="center"/>
                </w:tcPr>
                <w:p>
                  <w:pPr>
                    <w:jc w:val="center"/>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sz w:val="21"/>
                      <w:szCs w:val="21"/>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 w:type="pct"/>
                  <w:noWrap w:val="0"/>
                  <w:vAlign w:val="center"/>
                </w:tcPr>
                <w:p>
                  <w:pPr>
                    <w:jc w:val="center"/>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b/>
                      <w:bCs/>
                      <w:color w:val="auto"/>
                      <w:sz w:val="21"/>
                      <w:szCs w:val="21"/>
                      <w:u w:val="none"/>
                      <w:lang w:val="en-US" w:eastAsia="zh-CN"/>
                    </w:rPr>
                    <w:t>（湘环评函〔2020〕7号）</w:t>
                  </w:r>
                </w:p>
              </w:tc>
              <w:tc>
                <w:tcPr>
                  <w:tcW w:w="2764" w:type="pct"/>
                  <w:noWrap w:val="0"/>
                  <w:vAlign w:val="center"/>
                </w:tcPr>
                <w:p>
                  <w:pPr>
                    <w:jc w:val="left"/>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sz w:val="21"/>
                      <w:szCs w:val="21"/>
                      <w:u w:val="none"/>
                      <w:lang w:eastAsia="zh-CN"/>
                    </w:rPr>
                    <w:t>一、靖州工业集中区分为茯苓科技产业园和甘太工业园“一区两园”格局，</w:t>
                  </w:r>
                  <w:r>
                    <w:rPr>
                      <w:rFonts w:hint="default" w:ascii="Times New Roman" w:hAnsi="Times New Roman" w:eastAsia="宋体" w:cs="Times New Roman"/>
                      <w:b w:val="0"/>
                      <w:bCs w:val="0"/>
                      <w:color w:val="auto"/>
                      <w:sz w:val="21"/>
                      <w:szCs w:val="21"/>
                      <w:u w:val="none"/>
                      <w:lang w:val="en-US" w:eastAsia="zh-CN"/>
                    </w:rPr>
                    <w:t>园区现核准面积为306.11公顷，其中</w:t>
                  </w:r>
                  <w:r>
                    <w:rPr>
                      <w:rFonts w:hint="default" w:ascii="Times New Roman" w:hAnsi="Times New Roman" w:eastAsia="宋体" w:cs="Times New Roman"/>
                      <w:color w:val="auto"/>
                      <w:sz w:val="21"/>
                      <w:szCs w:val="21"/>
                      <w:u w:val="none"/>
                      <w:lang w:eastAsia="zh-CN"/>
                    </w:rPr>
                    <w:t>甘太工业园片区用地面积203.39公顷，四至范围为东至包茂高速公路出入口联络线，东南至明阳路以东约200米处，西南至滨江路，西北至金滩路，北至滨河路；茯苓科技产业园用地面积102.72公顷，四至范围东至永平路，西至经三路，南至纬三路，北至北环路。园区产业定位为农副食品加工(含杨梅饮料制造)，非金属矿物制品加工(仅耐火材料制品加工)，木材加工和木、竹、藤、棕、草制品，医药制造(不含化学合成类制药)以及电子信息产业(不含线路板制造以及蚀刻工艺)，其中非金属矿物制品加工仅布局在甘太工业园、</w:t>
                  </w:r>
                  <w:r>
                    <w:rPr>
                      <w:rFonts w:hint="default" w:ascii="Times New Roman" w:hAnsi="Times New Roman" w:eastAsia="宋体" w:cs="Times New Roman"/>
                      <w:color w:val="auto"/>
                      <w:kern w:val="0"/>
                      <w:sz w:val="21"/>
                      <w:szCs w:val="21"/>
                      <w:highlight w:val="none"/>
                      <w:u w:val="none"/>
                      <w:lang w:val="en-US" w:eastAsia="zh-CN"/>
                    </w:rPr>
                    <w:t>新材料加工</w:t>
                  </w:r>
                </w:p>
                <w:p>
                  <w:pPr>
                    <w:numPr>
                      <w:ilvl w:val="0"/>
                      <w:numId w:val="2"/>
                    </w:numPr>
                    <w:jc w:val="left"/>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sz w:val="21"/>
                      <w:szCs w:val="21"/>
                      <w:u w:val="none"/>
                    </w:rPr>
                    <w:t>茯苓科技产业园禁止引入三类工业，甘太工业园东部枝柳铁路以东的区域不得新引进三类工业，现有三类工业华鑫莫来石公司、湖南嘉顺华铸造材料有限公司、甘太活性炭厂不得在原址扩产能，并应加强对三家企业的排污监管，确保达标排放，有序引导相关企业向园区内合规地块搬迁，三家企业退出后原所在地块不得引入三类工业</w:t>
                  </w:r>
                  <w:r>
                    <w:rPr>
                      <w:rFonts w:hint="default" w:ascii="Times New Roman" w:hAnsi="Times New Roman" w:eastAsia="宋体" w:cs="Times New Roman"/>
                      <w:color w:val="auto"/>
                      <w:kern w:val="0"/>
                      <w:sz w:val="21"/>
                      <w:szCs w:val="21"/>
                      <w:highlight w:val="none"/>
                      <w:u w:val="none"/>
                      <w:lang w:val="en-US" w:eastAsia="zh-CN"/>
                    </w:rPr>
                    <w:t>。</w:t>
                  </w:r>
                </w:p>
                <w:p>
                  <w:pPr>
                    <w:numPr>
                      <w:ilvl w:val="0"/>
                      <w:numId w:val="0"/>
                    </w:numPr>
                    <w:jc w:val="left"/>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三、落实管控措施，加强园区排污管理。茯苓产业园至县城污水处理厂的污水管网建设、县城污水处理厂扩容提质工程完成之前，新增水污染物排放的项目不得投入生产。强化落实园区企业污染减排和防治措施，对能耗、水耗高，污染防治措施不到</w:t>
                  </w:r>
                </w:p>
                <w:p>
                  <w:pPr>
                    <w:numPr>
                      <w:ilvl w:val="0"/>
                      <w:numId w:val="0"/>
                    </w:numPr>
                    <w:jc w:val="left"/>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位，不满足环境保护管理要求的企业进行全面整改。做好工业固体废物和生活垃圾的分类收集、转运、综合利用和无害化处理，建立完善的固废管理体系。对危险固废应严格按照国家有关规定综合利用或妥善处置，对危险废物产生企业和经营单位，强化日常环境监管。园区须严格落实排污许可制度和污染物排放总量控制，督促现有入园企业完成环境保护竣工验收工作。</w:t>
                  </w:r>
                </w:p>
                <w:p>
                  <w:pPr>
                    <w:numPr>
                      <w:ilvl w:val="0"/>
                      <w:numId w:val="2"/>
                    </w:numPr>
                    <w:ind w:left="0" w:leftChars="0" w:firstLine="0" w:firstLineChars="0"/>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kern w:val="0"/>
                      <w:sz w:val="21"/>
                      <w:szCs w:val="21"/>
                      <w:highlight w:val="none"/>
                      <w:u w:val="none"/>
                      <w:lang w:val="en-US" w:eastAsia="zh-CN"/>
                    </w:rPr>
                    <w:t>落实管控措施，加强园区排污管理。茯苓产业园至县城污水处理厂的污水管网建设、县城污水处理厂扩容提质工程完成之前，新增水污染物排放的项目不得投入生产。强化落实园区企业污染减排和防治措施，对能耗、水耗高，污染防治措施不到位，不满足环境保护管理要求的企业进行全面整改。做好工业固体废物和生活垃圾的分类收集、转运、综合利用和无害化处理，建立完善的固废管理体系。对危险固废应严格按照国家有关规定综合利用或妥善处置，对危险废物产生企业和经营单位，强化日常环境监管。园区须严格落实排污许可制度和污染物排放总量控制，督促现有入园企业完成环境保护竣工验收工作。</w:t>
                  </w:r>
                </w:p>
                <w:p>
                  <w:pPr>
                    <w:numPr>
                      <w:ilvl w:val="0"/>
                      <w:numId w:val="2"/>
                    </w:numPr>
                    <w:ind w:left="0" w:leftChars="0" w:firstLine="0" w:firstLineChars="0"/>
                    <w:jc w:val="center"/>
                    <w:rPr>
                      <w:rFonts w:hint="default" w:ascii="Times New Roman" w:hAnsi="Times New Roman" w:eastAsia="宋体" w:cs="Times New Roman"/>
                      <w:color w:val="auto"/>
                      <w:sz w:val="21"/>
                      <w:szCs w:val="21"/>
                      <w:u w:val="none"/>
                      <w:vertAlign w:val="baseline"/>
                    </w:rPr>
                  </w:pPr>
                  <w:r>
                    <w:rPr>
                      <w:rFonts w:hint="default" w:ascii="Times New Roman" w:hAnsi="Times New Roman" w:eastAsia="宋体" w:cs="Times New Roman"/>
                      <w:color w:val="auto"/>
                      <w:kern w:val="0"/>
                      <w:sz w:val="21"/>
                      <w:szCs w:val="21"/>
                      <w:highlight w:val="none"/>
                      <w:u w:val="none"/>
                      <w:lang w:val="en-US" w:eastAsia="zh-CN"/>
                    </w:rPr>
                    <w:t>饮用水源保护区陆域范围与甘太工业园规划范围重合区域不得开发建设</w:t>
                  </w:r>
                  <w:r>
                    <w:rPr>
                      <w:rFonts w:hint="eastAsia" w:ascii="Times New Roman" w:hAnsi="Times New Roman" w:eastAsia="宋体" w:cs="Times New Roman"/>
                      <w:color w:val="auto"/>
                      <w:kern w:val="0"/>
                      <w:sz w:val="21"/>
                      <w:szCs w:val="21"/>
                      <w:highlight w:val="none"/>
                      <w:u w:val="none"/>
                      <w:lang w:val="en-US" w:eastAsia="zh-CN"/>
                    </w:rPr>
                    <w:t>。</w:t>
                  </w:r>
                </w:p>
              </w:tc>
              <w:tc>
                <w:tcPr>
                  <w:tcW w:w="1032" w:type="pct"/>
                  <w:noWrap w:val="0"/>
                  <w:vAlign w:val="center"/>
                </w:tcPr>
                <w:p>
                  <w:pPr>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u w:val="none"/>
                      <w:vertAlign w:val="baseline"/>
                      <w:lang w:eastAsia="zh-CN"/>
                    </w:rPr>
                    <w:t>一、本项目属于</w:t>
                  </w:r>
                  <w:r>
                    <w:rPr>
                      <w:rFonts w:hint="default" w:ascii="Times New Roman" w:hAnsi="Times New Roman" w:eastAsia="宋体" w:cs="Times New Roman"/>
                      <w:color w:val="auto"/>
                      <w:sz w:val="21"/>
                      <w:szCs w:val="21"/>
                      <w:u w:val="none"/>
                      <w:lang w:eastAsia="zh-CN"/>
                    </w:rPr>
                    <w:t>甘太工业园，</w:t>
                  </w:r>
                  <w:r>
                    <w:rPr>
                      <w:rFonts w:hint="eastAsia" w:ascii="Times New Roman" w:hAnsi="Times New Roman" w:eastAsia="宋体" w:cs="Times New Roman"/>
                      <w:color w:val="auto"/>
                      <w:sz w:val="21"/>
                      <w:szCs w:val="21"/>
                      <w:u w:val="none"/>
                      <w:lang w:val="en-US" w:eastAsia="zh-CN"/>
                    </w:rPr>
                    <w:t>为二类工业用地，与园区用地规划相符。</w:t>
                  </w:r>
                  <w:r>
                    <w:rPr>
                      <w:rFonts w:hint="default" w:ascii="Times New Roman" w:hAnsi="Times New Roman" w:eastAsia="宋体" w:cs="Times New Roman"/>
                      <w:color w:val="auto"/>
                      <w:sz w:val="21"/>
                      <w:szCs w:val="21"/>
                      <w:highlight w:val="none"/>
                      <w:u w:val="none"/>
                      <w:lang w:eastAsia="zh-CN"/>
                    </w:rPr>
                    <w:t>本项目已签订入园协议</w:t>
                  </w:r>
                </w:p>
                <w:p>
                  <w:pPr>
                    <w:jc w:val="center"/>
                    <w:rPr>
                      <w:rFonts w:hint="default" w:ascii="Times New Roman" w:hAnsi="Times New Roman" w:eastAsia="宋体" w:cs="Times New Roman"/>
                      <w:color w:val="auto"/>
                      <w:sz w:val="21"/>
                      <w:szCs w:val="21"/>
                      <w:highlight w:val="none"/>
                      <w:u w:val="none"/>
                      <w:lang w:eastAsia="zh-CN"/>
                    </w:rPr>
                  </w:pPr>
                  <w:r>
                    <w:rPr>
                      <w:rFonts w:hint="default" w:ascii="Times New Roman" w:hAnsi="Times New Roman" w:eastAsia="宋体" w:cs="Times New Roman"/>
                      <w:color w:val="auto"/>
                      <w:sz w:val="21"/>
                      <w:szCs w:val="21"/>
                      <w:highlight w:val="none"/>
                      <w:u w:val="none"/>
                      <w:lang w:eastAsia="zh-CN"/>
                    </w:rPr>
                    <w:t>二、项目不属于</w:t>
                  </w:r>
                  <w:r>
                    <w:rPr>
                      <w:rFonts w:hint="default" w:ascii="Times New Roman" w:hAnsi="Times New Roman" w:eastAsia="宋体" w:cs="Times New Roman"/>
                      <w:color w:val="auto"/>
                      <w:sz w:val="21"/>
                      <w:szCs w:val="21"/>
                      <w:u w:val="none"/>
                    </w:rPr>
                    <w:t>茯苓科技产业园</w:t>
                  </w:r>
                  <w:r>
                    <w:rPr>
                      <w:rFonts w:hint="default" w:ascii="Times New Roman" w:hAnsi="Times New Roman" w:eastAsia="宋体" w:cs="Times New Roman"/>
                      <w:color w:val="auto"/>
                      <w:sz w:val="21"/>
                      <w:szCs w:val="21"/>
                      <w:u w:val="none"/>
                      <w:lang w:eastAsia="zh-CN"/>
                    </w:rPr>
                    <w:t>片区</w:t>
                  </w:r>
                </w:p>
                <w:p>
                  <w:pPr>
                    <w:jc w:val="center"/>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eastAsia="宋体" w:cs="Times New Roman"/>
                      <w:color w:val="auto"/>
                      <w:sz w:val="21"/>
                      <w:szCs w:val="21"/>
                      <w:highlight w:val="none"/>
                      <w:u w:val="none"/>
                      <w:lang w:eastAsia="zh-CN"/>
                    </w:rPr>
                    <w:t>三、项目为新建项目，运营后严格落实</w:t>
                  </w:r>
                  <w:r>
                    <w:rPr>
                      <w:rFonts w:hint="default" w:ascii="Times New Roman" w:hAnsi="Times New Roman" w:eastAsia="宋体" w:cs="Times New Roman"/>
                      <w:color w:val="auto"/>
                      <w:kern w:val="0"/>
                      <w:sz w:val="21"/>
                      <w:szCs w:val="21"/>
                      <w:highlight w:val="none"/>
                      <w:u w:val="none"/>
                      <w:lang w:val="en-US" w:eastAsia="zh-CN"/>
                    </w:rPr>
                    <w:t>排污许可制度和三同时制度；运营后工业固体废物和生活垃圾的分类收集、转运、综合利用和无害化处理，对危险固废应严格按照国家有关规定综合利用或妥善处置，并完成环境保护竣工验收。</w:t>
                  </w:r>
                </w:p>
                <w:p>
                  <w:pPr>
                    <w:jc w:val="center"/>
                    <w:rPr>
                      <w:rFonts w:hint="default" w:ascii="Times New Roman" w:hAnsi="Times New Roman" w:eastAsia="宋体" w:cs="Times New Roman"/>
                      <w:color w:val="auto"/>
                      <w:sz w:val="21"/>
                      <w:szCs w:val="21"/>
                      <w:u w:val="none"/>
                      <w:vertAlign w:val="baseline"/>
                      <w:lang w:eastAsia="zh-CN"/>
                    </w:rPr>
                  </w:pPr>
                  <w:r>
                    <w:rPr>
                      <w:rFonts w:hint="eastAsia" w:ascii="Times New Roman" w:hAnsi="Times New Roman" w:eastAsia="宋体" w:cs="Times New Roman"/>
                      <w:color w:val="auto"/>
                      <w:kern w:val="0"/>
                      <w:sz w:val="21"/>
                      <w:szCs w:val="21"/>
                      <w:highlight w:val="none"/>
                      <w:u w:val="none"/>
                      <w:lang w:val="en-US" w:eastAsia="zh-CN"/>
                    </w:rPr>
                    <w:t>四</w:t>
                  </w:r>
                  <w:r>
                    <w:rPr>
                      <w:rFonts w:hint="default" w:ascii="Times New Roman" w:hAnsi="Times New Roman" w:eastAsia="宋体" w:cs="Times New Roman"/>
                      <w:color w:val="auto"/>
                      <w:kern w:val="0"/>
                      <w:sz w:val="21"/>
                      <w:szCs w:val="21"/>
                      <w:highlight w:val="none"/>
                      <w:u w:val="none"/>
                      <w:lang w:val="en-US" w:eastAsia="zh-CN"/>
                    </w:rPr>
                    <w:t>、本项目位于渠水饮用水源保护区的下游</w:t>
                  </w:r>
                  <w:r>
                    <w:rPr>
                      <w:rFonts w:hint="eastAsia" w:ascii="Times New Roman" w:hAnsi="Times New Roman" w:eastAsia="宋体" w:cs="Times New Roman"/>
                      <w:color w:val="auto"/>
                      <w:kern w:val="0"/>
                      <w:sz w:val="21"/>
                      <w:szCs w:val="21"/>
                      <w:highlight w:val="none"/>
                      <w:u w:val="none"/>
                      <w:lang w:val="en-US" w:eastAsia="zh-CN"/>
                    </w:rPr>
                    <w:t>480</w:t>
                  </w:r>
                  <w:r>
                    <w:rPr>
                      <w:rFonts w:hint="default" w:ascii="Times New Roman" w:hAnsi="Times New Roman" w:eastAsia="宋体" w:cs="Times New Roman"/>
                      <w:color w:val="auto"/>
                      <w:kern w:val="0"/>
                      <w:sz w:val="21"/>
                      <w:szCs w:val="21"/>
                      <w:highlight w:val="none"/>
                      <w:u w:val="none"/>
                      <w:lang w:val="en-US" w:eastAsia="zh-CN"/>
                    </w:rPr>
                    <w:t>米</w:t>
                  </w:r>
                  <w:r>
                    <w:rPr>
                      <w:rFonts w:hint="eastAsia" w:ascii="Times New Roman" w:hAnsi="Times New Roman" w:eastAsia="宋体" w:cs="Times New Roman"/>
                      <w:color w:val="auto"/>
                      <w:kern w:val="0"/>
                      <w:sz w:val="21"/>
                      <w:szCs w:val="21"/>
                      <w:highlight w:val="none"/>
                      <w:u w:val="none"/>
                      <w:lang w:val="en-US" w:eastAsia="zh-CN"/>
                    </w:rPr>
                    <w:t>，项目不在</w:t>
                  </w:r>
                  <w:r>
                    <w:rPr>
                      <w:rFonts w:hint="default" w:ascii="Times New Roman" w:hAnsi="Times New Roman" w:eastAsia="宋体" w:cs="Times New Roman"/>
                      <w:color w:val="auto"/>
                      <w:kern w:val="0"/>
                      <w:sz w:val="21"/>
                      <w:szCs w:val="21"/>
                      <w:highlight w:val="none"/>
                      <w:u w:val="none"/>
                      <w:lang w:val="en-US" w:eastAsia="zh-CN"/>
                    </w:rPr>
                    <w:t>饮用水源保护区</w:t>
                  </w:r>
                  <w:r>
                    <w:rPr>
                      <w:rFonts w:hint="eastAsia" w:ascii="Times New Roman" w:hAnsi="Times New Roman" w:eastAsia="宋体" w:cs="Times New Roman"/>
                      <w:color w:val="auto"/>
                      <w:kern w:val="0"/>
                      <w:sz w:val="21"/>
                      <w:szCs w:val="21"/>
                      <w:highlight w:val="none"/>
                      <w:u w:val="none"/>
                      <w:lang w:val="en-US" w:eastAsia="zh-CN"/>
                    </w:rPr>
                    <w:t>内</w:t>
                  </w:r>
                </w:p>
              </w:tc>
              <w:tc>
                <w:tcPr>
                  <w:tcW w:w="512" w:type="pct"/>
                  <w:noWrap w:val="0"/>
                  <w:vAlign w:val="center"/>
                </w:tcPr>
                <w:p>
                  <w:pPr>
                    <w:jc w:val="center"/>
                    <w:rPr>
                      <w:rFonts w:hint="default" w:ascii="Times New Roman" w:hAnsi="Times New Roman" w:eastAsia="宋体" w:cs="Times New Roman"/>
                      <w:color w:val="auto"/>
                      <w:sz w:val="21"/>
                      <w:szCs w:val="21"/>
                      <w:u w:val="none"/>
                      <w:vertAlign w:val="baseline"/>
                    </w:rPr>
                  </w:pPr>
                  <w:r>
                    <w:rPr>
                      <w:rFonts w:hint="eastAsia" w:ascii="Times New Roman" w:hAnsi="Times New Roman" w:eastAsia="宋体" w:cs="Times New Roman"/>
                      <w:color w:val="auto"/>
                      <w:sz w:val="21"/>
                      <w:szCs w:val="21"/>
                      <w:u w:val="none"/>
                      <w:vertAlign w:val="baseline"/>
                      <w:lang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center"/>
              <w:textAlignment w:val="auto"/>
              <w:rPr>
                <w:rFonts w:hint="eastAsia" w:eastAsia="宋体"/>
                <w:kern w:val="0"/>
                <w:szCs w:val="21"/>
                <w:lang w:eastAsia="zh-CN"/>
              </w:rPr>
            </w:pPr>
            <w:r>
              <w:rPr>
                <w:rFonts w:hint="eastAsia" w:ascii="Times New Roman" w:hAnsi="Times New Roman" w:eastAsia="宋体" w:cs="Times New Roman"/>
                <w:color w:val="auto"/>
                <w:sz w:val="24"/>
                <w:szCs w:val="24"/>
                <w:u w:val="none"/>
                <w:lang w:val="en-US" w:eastAsia="zh-CN"/>
              </w:rPr>
              <w:t>综上所述，本项目</w:t>
            </w:r>
            <w:r>
              <w:rPr>
                <w:rFonts w:hint="eastAsia" w:ascii="Times New Roman" w:hAnsi="Times New Roman" w:cs="Times New Roman"/>
                <w:color w:val="auto"/>
                <w:sz w:val="24"/>
                <w:szCs w:val="24"/>
                <w:highlight w:val="none"/>
                <w:u w:val="none"/>
                <w:lang w:eastAsia="zh-CN"/>
              </w:rPr>
              <w:t>符</w:t>
            </w:r>
            <w:r>
              <w:rPr>
                <w:rFonts w:hint="eastAsia" w:ascii="Times New Roman" w:hAnsi="Times New Roman" w:eastAsia="宋体" w:cs="Times New Roman"/>
                <w:color w:val="auto"/>
                <w:sz w:val="24"/>
                <w:szCs w:val="24"/>
                <w:highlight w:val="none"/>
                <w:u w:val="none"/>
                <w:lang w:eastAsia="zh-CN"/>
              </w:rPr>
              <w:t>合</w:t>
            </w:r>
            <w:r>
              <w:rPr>
                <w:rFonts w:hint="default" w:ascii="Times New Roman" w:hAnsi="Times New Roman" w:eastAsia="宋体" w:cs="Times New Roman"/>
                <w:color w:val="auto"/>
                <w:sz w:val="24"/>
                <w:szCs w:val="24"/>
                <w:highlight w:val="none"/>
                <w:u w:val="none"/>
                <w:lang w:val="en-US" w:eastAsia="zh-CN"/>
              </w:rPr>
              <w:t>《靖州苗族侗族自治县甘太工业园环境影响报告书》</w:t>
            </w:r>
            <w:r>
              <w:rPr>
                <w:rFonts w:hint="eastAsia" w:ascii="Times New Roman" w:hAnsi="Times New Roman" w:eastAsia="宋体" w:cs="Times New Roman"/>
                <w:color w:val="auto"/>
                <w:sz w:val="24"/>
                <w:szCs w:val="24"/>
                <w:highlight w:val="none"/>
                <w:u w:val="none"/>
                <w:lang w:val="en-US" w:eastAsia="zh-CN"/>
              </w:rPr>
              <w:t>（湘环评【2009】86号）及</w:t>
            </w:r>
            <w:r>
              <w:rPr>
                <w:rFonts w:hint="default" w:ascii="Times New Roman" w:hAnsi="Times New Roman" w:eastAsia="宋体" w:cs="Times New Roman"/>
                <w:color w:val="auto"/>
                <w:sz w:val="24"/>
                <w:szCs w:val="24"/>
                <w:highlight w:val="none"/>
                <w:u w:val="none"/>
                <w:lang w:val="en-US" w:eastAsia="zh-CN"/>
              </w:rPr>
              <w:t>《靖州工业集中区调区规划环境影响报告书》</w:t>
            </w:r>
            <w:r>
              <w:rPr>
                <w:rFonts w:hint="eastAsia" w:ascii="Times New Roman" w:hAnsi="Times New Roman" w:eastAsia="宋体" w:cs="Times New Roman"/>
                <w:color w:val="auto"/>
                <w:sz w:val="24"/>
                <w:szCs w:val="24"/>
                <w:highlight w:val="none"/>
                <w:u w:val="none"/>
                <w:lang w:val="en-US" w:eastAsia="zh-CN"/>
              </w:rPr>
              <w:t>（湘环评函〔2020〕7号）相关内容</w:t>
            </w:r>
            <w:r>
              <w:rPr>
                <w:rFonts w:hint="eastAsia" w:ascii="Times New Roman" w:hAnsi="Times New Roman" w:eastAsia="宋体" w:cs="Times New Roman"/>
                <w:color w:val="auto"/>
                <w:sz w:val="24"/>
                <w:szCs w:val="24"/>
                <w:highlight w:val="none"/>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4" w:type="dxa"/>
            <w:noWrap w:val="0"/>
            <w:vAlign w:val="center"/>
          </w:tcPr>
          <w:p>
            <w:pPr>
              <w:autoSpaceDE w:val="0"/>
              <w:autoSpaceDN w:val="0"/>
              <w:adjustRightInd w:val="0"/>
              <w:snapToGrid w:val="0"/>
              <w:jc w:val="center"/>
              <w:rPr>
                <w:kern w:val="0"/>
                <w:szCs w:val="21"/>
              </w:rPr>
            </w:pPr>
            <w:r>
              <w:rPr>
                <w:rFonts w:hAnsi="宋体"/>
                <w:kern w:val="0"/>
                <w:szCs w:val="21"/>
              </w:rPr>
              <w:t>其他符合性分析</w:t>
            </w:r>
          </w:p>
        </w:tc>
        <w:tc>
          <w:tcPr>
            <w:tcW w:w="7156" w:type="dxa"/>
            <w:gridSpan w:val="3"/>
            <w:noWrap w:val="0"/>
            <w:vAlign w:val="center"/>
          </w:tcPr>
          <w:p>
            <w:pPr>
              <w:autoSpaceDE w:val="0"/>
              <w:autoSpaceDN w:val="0"/>
              <w:adjustRightInd w:val="0"/>
              <w:snapToGrid w:val="0"/>
              <w:spacing w:line="360" w:lineRule="auto"/>
              <w:jc w:val="left"/>
              <w:rPr>
                <w:rFonts w:hint="eastAsia"/>
                <w:b/>
                <w:kern w:val="0"/>
                <w:sz w:val="24"/>
                <w:szCs w:val="24"/>
              </w:rPr>
            </w:pPr>
            <w:r>
              <w:rPr>
                <w:rFonts w:hint="eastAsia"/>
                <w:b/>
                <w:kern w:val="0"/>
                <w:sz w:val="24"/>
                <w:szCs w:val="24"/>
                <w:lang w:val="en-US" w:eastAsia="zh-CN"/>
              </w:rPr>
              <w:t>3、</w:t>
            </w:r>
            <w:r>
              <w:rPr>
                <w:rFonts w:hint="eastAsia"/>
                <w:b/>
                <w:kern w:val="0"/>
                <w:sz w:val="24"/>
                <w:szCs w:val="24"/>
              </w:rPr>
              <w:t>产业政策符合性分析</w:t>
            </w:r>
          </w:p>
          <w:p>
            <w:pPr>
              <w:spacing w:line="360" w:lineRule="auto"/>
              <w:ind w:firstLine="480" w:firstLineChars="200"/>
              <w:rPr>
                <w:sz w:val="24"/>
                <w:szCs w:val="24"/>
              </w:rPr>
            </w:pPr>
            <w:r>
              <w:rPr>
                <w:rFonts w:hint="eastAsia"/>
                <w:bCs/>
                <w:sz w:val="24"/>
                <w:szCs w:val="24"/>
              </w:rPr>
              <w:t>根据《产业结构调整指导目录》（2019年本）可知，本项目属于鼓励类建设项目（四十三、环境保护与资源节约综合利用5、区域性废旧汽车、废旧电器电子产品、废旧船舶、废钢铁、废旧木材、废旧橡胶等资源循环利用基地建设），符合国家产业政策要求</w:t>
            </w:r>
            <w:r>
              <w:rPr>
                <w:rFonts w:hint="eastAsia"/>
                <w:sz w:val="24"/>
                <w:szCs w:val="24"/>
              </w:rPr>
              <w:t>。</w:t>
            </w:r>
          </w:p>
          <w:p>
            <w:pPr>
              <w:spacing w:line="360" w:lineRule="auto"/>
              <w:rPr>
                <w:rFonts w:hint="default" w:ascii="Times New Roman" w:hAnsi="Times New Roman" w:cs="Times New Roman"/>
                <w:b/>
                <w:sz w:val="24"/>
                <w:szCs w:val="24"/>
              </w:rPr>
            </w:pPr>
            <w:r>
              <w:rPr>
                <w:rFonts w:hint="eastAsia" w:ascii="Times New Roman" w:hAnsi="Times New Roman" w:cs="Times New Roman"/>
                <w:b/>
                <w:sz w:val="24"/>
                <w:szCs w:val="24"/>
                <w:lang w:val="en-US" w:eastAsia="zh-CN"/>
              </w:rPr>
              <w:t>4</w:t>
            </w:r>
            <w:r>
              <w:rPr>
                <w:rFonts w:hint="default" w:ascii="Times New Roman" w:hAnsi="Times New Roman" w:cs="Times New Roman"/>
                <w:b/>
                <w:sz w:val="24"/>
                <w:szCs w:val="24"/>
                <w:lang w:val="en-US" w:eastAsia="zh-CN"/>
              </w:rPr>
              <w:t>、</w:t>
            </w:r>
            <w:r>
              <w:rPr>
                <w:rFonts w:hint="default" w:ascii="Times New Roman" w:hAnsi="Times New Roman" w:cs="Times New Roman"/>
                <w:b/>
                <w:sz w:val="24"/>
                <w:szCs w:val="24"/>
              </w:rPr>
              <w:t>与《报废机动车回收管理办法》符合性分析</w:t>
            </w:r>
          </w:p>
          <w:p>
            <w:pPr>
              <w:pStyle w:val="21"/>
              <w:ind w:firstLine="420"/>
              <w:rPr>
                <w:rFonts w:ascii="Times New Roman" w:hAnsi="Times New Roman"/>
                <w:bCs w:val="0"/>
                <w:color w:val="auto"/>
                <w:sz w:val="24"/>
                <w:szCs w:val="24"/>
              </w:rPr>
            </w:pPr>
            <w:r>
              <w:rPr>
                <w:rFonts w:ascii="Times New Roman"/>
                <w:bCs w:val="0"/>
                <w:color w:val="auto"/>
                <w:sz w:val="24"/>
                <w:szCs w:val="24"/>
              </w:rPr>
              <w:t>《报废机动车回收管理办法》（国务院令第</w:t>
            </w:r>
            <w:r>
              <w:rPr>
                <w:rFonts w:ascii="Times New Roman" w:hAnsi="Times New Roman"/>
                <w:bCs w:val="0"/>
                <w:color w:val="auto"/>
                <w:sz w:val="24"/>
                <w:szCs w:val="24"/>
              </w:rPr>
              <w:t>715</w:t>
            </w:r>
            <w:r>
              <w:rPr>
                <w:rFonts w:ascii="Times New Roman"/>
                <w:bCs w:val="0"/>
                <w:color w:val="auto"/>
                <w:sz w:val="24"/>
                <w:szCs w:val="24"/>
              </w:rPr>
              <w:t>号）于</w:t>
            </w:r>
            <w:r>
              <w:rPr>
                <w:rFonts w:ascii="Times New Roman" w:hAnsi="Times New Roman"/>
                <w:bCs w:val="0"/>
                <w:color w:val="auto"/>
                <w:sz w:val="24"/>
                <w:szCs w:val="24"/>
              </w:rPr>
              <w:t>2019</w:t>
            </w:r>
            <w:r>
              <w:rPr>
                <w:rFonts w:ascii="Times New Roman"/>
                <w:bCs w:val="0"/>
                <w:color w:val="auto"/>
                <w:sz w:val="24"/>
                <w:szCs w:val="24"/>
              </w:rPr>
              <w:t>年</w:t>
            </w:r>
            <w:r>
              <w:rPr>
                <w:rFonts w:ascii="Times New Roman" w:hAnsi="Times New Roman"/>
                <w:bCs w:val="0"/>
                <w:color w:val="auto"/>
                <w:sz w:val="24"/>
                <w:szCs w:val="24"/>
              </w:rPr>
              <w:t>6</w:t>
            </w:r>
            <w:r>
              <w:rPr>
                <w:rFonts w:ascii="Times New Roman"/>
                <w:bCs w:val="0"/>
                <w:color w:val="auto"/>
                <w:sz w:val="24"/>
                <w:szCs w:val="24"/>
              </w:rPr>
              <w:t>月</w:t>
            </w:r>
            <w:r>
              <w:rPr>
                <w:rFonts w:ascii="Times New Roman" w:hAnsi="Times New Roman"/>
                <w:bCs w:val="0"/>
                <w:color w:val="auto"/>
                <w:sz w:val="24"/>
                <w:szCs w:val="24"/>
              </w:rPr>
              <w:t>1</w:t>
            </w:r>
            <w:r>
              <w:rPr>
                <w:rFonts w:ascii="Times New Roman"/>
                <w:bCs w:val="0"/>
                <w:color w:val="auto"/>
                <w:sz w:val="24"/>
                <w:szCs w:val="24"/>
              </w:rPr>
              <w:t>日起试行，本项目建设内容与该办法相符性情况见下表。</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b/>
                <w:szCs w:val="21"/>
              </w:rPr>
            </w:pPr>
            <w:r>
              <w:rPr>
                <w:rFonts w:hint="eastAsia"/>
                <w:b/>
                <w:szCs w:val="21"/>
              </w:rPr>
              <w:t>表1</w:t>
            </w:r>
            <w:r>
              <w:rPr>
                <w:rFonts w:hint="eastAsia"/>
                <w:b/>
                <w:szCs w:val="21"/>
                <w:lang w:val="en-US" w:eastAsia="zh-CN"/>
              </w:rPr>
              <w:t xml:space="preserve">-2  </w:t>
            </w:r>
            <w:r>
              <w:rPr>
                <w:rFonts w:hint="eastAsia"/>
                <w:b/>
                <w:szCs w:val="21"/>
              </w:rPr>
              <w:t>本项目与《</w:t>
            </w:r>
            <w:r>
              <w:rPr>
                <w:rFonts w:hint="eastAsia"/>
                <w:b/>
                <w:szCs w:val="21"/>
                <w:lang w:eastAsia="zh-CN"/>
              </w:rPr>
              <w:t>报废机动车</w:t>
            </w:r>
            <w:r>
              <w:rPr>
                <w:rFonts w:hint="eastAsia"/>
                <w:b/>
                <w:szCs w:val="21"/>
              </w:rPr>
              <w:t>回收管理办法》符合性分析表（节选）</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2921"/>
              <w:gridCol w:w="2797"/>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b/>
                      <w:bCs/>
                      <w:kern w:val="0"/>
                      <w:szCs w:val="21"/>
                    </w:rPr>
                  </w:pPr>
                  <w:r>
                    <w:rPr>
                      <w:rFonts w:hAnsi="宋体"/>
                      <w:b/>
                      <w:bCs/>
                      <w:kern w:val="0"/>
                      <w:szCs w:val="21"/>
                    </w:rPr>
                    <w:t>序号</w:t>
                  </w:r>
                </w:p>
              </w:tc>
              <w:tc>
                <w:tcPr>
                  <w:tcW w:w="2107" w:type="pct"/>
                  <w:noWrap w:val="0"/>
                  <w:vAlign w:val="center"/>
                </w:tcPr>
                <w:p>
                  <w:pPr>
                    <w:widowControl/>
                    <w:jc w:val="center"/>
                    <w:rPr>
                      <w:b/>
                      <w:bCs/>
                      <w:kern w:val="0"/>
                      <w:szCs w:val="21"/>
                    </w:rPr>
                  </w:pPr>
                  <w:r>
                    <w:rPr>
                      <w:rFonts w:hAnsi="宋体"/>
                      <w:b/>
                      <w:bCs/>
                      <w:kern w:val="0"/>
                      <w:szCs w:val="21"/>
                    </w:rPr>
                    <w:t>《</w:t>
                  </w:r>
                  <w:r>
                    <w:rPr>
                      <w:rFonts w:hint="eastAsia" w:hAnsi="宋体"/>
                      <w:b/>
                      <w:bCs/>
                      <w:kern w:val="0"/>
                      <w:szCs w:val="21"/>
                      <w:lang w:eastAsia="zh-CN"/>
                    </w:rPr>
                    <w:t>报废机动车</w:t>
                  </w:r>
                  <w:r>
                    <w:rPr>
                      <w:rFonts w:hAnsi="宋体"/>
                      <w:b/>
                      <w:bCs/>
                      <w:kern w:val="0"/>
                      <w:szCs w:val="21"/>
                    </w:rPr>
                    <w:t>回收管理办法》规定</w:t>
                  </w:r>
                </w:p>
              </w:tc>
              <w:tc>
                <w:tcPr>
                  <w:tcW w:w="2018" w:type="pct"/>
                  <w:noWrap w:val="0"/>
                  <w:vAlign w:val="center"/>
                </w:tcPr>
                <w:p>
                  <w:pPr>
                    <w:widowControl/>
                    <w:jc w:val="center"/>
                    <w:rPr>
                      <w:b/>
                      <w:bCs/>
                      <w:kern w:val="0"/>
                      <w:szCs w:val="21"/>
                    </w:rPr>
                  </w:pPr>
                  <w:r>
                    <w:rPr>
                      <w:rFonts w:hAnsi="宋体"/>
                      <w:b/>
                      <w:bCs/>
                      <w:kern w:val="0"/>
                      <w:szCs w:val="21"/>
                    </w:rPr>
                    <w:t>本项目建设内容</w:t>
                  </w:r>
                </w:p>
              </w:tc>
              <w:tc>
                <w:tcPr>
                  <w:tcW w:w="512" w:type="pct"/>
                  <w:noWrap w:val="0"/>
                  <w:vAlign w:val="center"/>
                </w:tcPr>
                <w:p>
                  <w:pPr>
                    <w:widowControl/>
                    <w:jc w:val="center"/>
                    <w:rPr>
                      <w:b/>
                      <w:bCs/>
                      <w:kern w:val="0"/>
                      <w:szCs w:val="21"/>
                    </w:rPr>
                  </w:pPr>
                  <w:r>
                    <w:rPr>
                      <w:rFonts w:hAnsi="宋体"/>
                      <w:b/>
                      <w:bCs/>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kern w:val="0"/>
                      <w:szCs w:val="21"/>
                    </w:rPr>
                  </w:pPr>
                  <w:r>
                    <w:rPr>
                      <w:kern w:val="0"/>
                      <w:szCs w:val="21"/>
                    </w:rPr>
                    <w:t>1</w:t>
                  </w:r>
                </w:p>
              </w:tc>
              <w:tc>
                <w:tcPr>
                  <w:tcW w:w="2107" w:type="pct"/>
                  <w:noWrap w:val="0"/>
                  <w:vAlign w:val="center"/>
                </w:tcPr>
                <w:p>
                  <w:pPr>
                    <w:widowControl/>
                    <w:jc w:val="both"/>
                    <w:rPr>
                      <w:kern w:val="0"/>
                      <w:szCs w:val="21"/>
                    </w:rPr>
                  </w:pPr>
                  <w:r>
                    <w:rPr>
                      <w:rFonts w:hAnsi="宋体"/>
                      <w:kern w:val="0"/>
                      <w:szCs w:val="21"/>
                    </w:rPr>
                    <w:t>国家对报废机动车回收企业实行资质认定制度，未经资质认定，任何单位或者个人不得从事报废机动车回收活动</w:t>
                  </w:r>
                </w:p>
              </w:tc>
              <w:tc>
                <w:tcPr>
                  <w:tcW w:w="2018" w:type="pct"/>
                  <w:noWrap w:val="0"/>
                  <w:vAlign w:val="center"/>
                </w:tcPr>
                <w:p>
                  <w:pPr>
                    <w:widowControl/>
                    <w:jc w:val="center"/>
                    <w:rPr>
                      <w:kern w:val="0"/>
                      <w:szCs w:val="21"/>
                    </w:rPr>
                  </w:pPr>
                  <w:r>
                    <w:rPr>
                      <w:rFonts w:hAnsi="宋体"/>
                      <w:kern w:val="0"/>
                      <w:szCs w:val="21"/>
                    </w:rPr>
                    <w:t>企业正在办理前期手续</w:t>
                  </w:r>
                </w:p>
              </w:tc>
              <w:tc>
                <w:tcPr>
                  <w:tcW w:w="512" w:type="pct"/>
                  <w:noWrap w:val="0"/>
                  <w:vAlign w:val="center"/>
                </w:tcPr>
                <w:p>
                  <w:pPr>
                    <w:widowControl/>
                    <w:jc w:val="center"/>
                    <w:rPr>
                      <w:kern w:val="0"/>
                      <w:szCs w:val="21"/>
                    </w:rPr>
                  </w:pPr>
                  <w:r>
                    <w:rPr>
                      <w:rFonts w:hAnsi="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kern w:val="0"/>
                      <w:szCs w:val="21"/>
                    </w:rPr>
                  </w:pPr>
                  <w:r>
                    <w:rPr>
                      <w:kern w:val="0"/>
                      <w:szCs w:val="21"/>
                    </w:rPr>
                    <w:t>2</w:t>
                  </w:r>
                </w:p>
              </w:tc>
              <w:tc>
                <w:tcPr>
                  <w:tcW w:w="2107" w:type="pct"/>
                  <w:noWrap w:val="0"/>
                  <w:vAlign w:val="center"/>
                </w:tcPr>
                <w:p>
                  <w:pPr>
                    <w:autoSpaceDE w:val="0"/>
                    <w:autoSpaceDN w:val="0"/>
                    <w:jc w:val="both"/>
                    <w:rPr>
                      <w:kern w:val="0"/>
                      <w:sz w:val="21"/>
                      <w:szCs w:val="21"/>
                      <w:lang w:val="en-US" w:eastAsia="zh-CN" w:bidi="ar-SA"/>
                    </w:rPr>
                  </w:pPr>
                  <w:r>
                    <w:rPr>
                      <w:kern w:val="0"/>
                      <w:szCs w:val="21"/>
                    </w:rPr>
                    <w:t>报废机动车回收企业对回收的报废机动车，应当向机动车所有人出具《报废机动车回收证明》，收回机动车登记证书、号牌、行驶证，并按照国家有关规定及时向公安机关交通管理部门办理注销登记，将注销证明转交机动车所有人</w:t>
                  </w:r>
                </w:p>
              </w:tc>
              <w:tc>
                <w:tcPr>
                  <w:tcW w:w="2018" w:type="pct"/>
                  <w:noWrap w:val="0"/>
                  <w:vAlign w:val="center"/>
                </w:tcPr>
                <w:p>
                  <w:pPr>
                    <w:autoSpaceDE w:val="0"/>
                    <w:autoSpaceDN w:val="0"/>
                    <w:jc w:val="both"/>
                    <w:rPr>
                      <w:rFonts w:hint="eastAsia"/>
                      <w:kern w:val="0"/>
                      <w:sz w:val="21"/>
                      <w:szCs w:val="21"/>
                      <w:lang w:val="en-US" w:eastAsia="zh-CN" w:bidi="ar-SA"/>
                    </w:rPr>
                  </w:pPr>
                  <w:r>
                    <w:rPr>
                      <w:rFonts w:hint="eastAsia"/>
                      <w:kern w:val="0"/>
                      <w:szCs w:val="21"/>
                    </w:rPr>
                    <w:t>对于进厂的报废机动车出具国务院负责报废机动车回收管理的部门规定的</w:t>
                  </w:r>
                  <w:r>
                    <w:rPr>
                      <w:kern w:val="0"/>
                      <w:szCs w:val="21"/>
                    </w:rPr>
                    <w:t>《报废机动车回收证明》</w:t>
                  </w:r>
                  <w:r>
                    <w:rPr>
                      <w:rFonts w:hint="eastAsia"/>
                      <w:kern w:val="0"/>
                      <w:szCs w:val="21"/>
                    </w:rPr>
                    <w:t>，同时</w:t>
                  </w:r>
                  <w:r>
                    <w:rPr>
                      <w:kern w:val="0"/>
                      <w:szCs w:val="21"/>
                    </w:rPr>
                    <w:t>收回机动车登记证书、号牌、行驶证</w:t>
                  </w:r>
                  <w:r>
                    <w:rPr>
                      <w:rFonts w:hint="eastAsia"/>
                      <w:kern w:val="0"/>
                      <w:szCs w:val="21"/>
                    </w:rPr>
                    <w:t>，并办理注销登记，</w:t>
                  </w:r>
                  <w:r>
                    <w:rPr>
                      <w:kern w:val="0"/>
                      <w:szCs w:val="21"/>
                    </w:rPr>
                    <w:t>将注销证明转交机动车所有人</w:t>
                  </w:r>
                </w:p>
              </w:tc>
              <w:tc>
                <w:tcPr>
                  <w:tcW w:w="512" w:type="pct"/>
                  <w:noWrap w:val="0"/>
                  <w:vAlign w:val="center"/>
                </w:tcPr>
                <w:p>
                  <w:pPr>
                    <w:widowControl/>
                    <w:jc w:val="center"/>
                    <w:rPr>
                      <w:kern w:val="0"/>
                      <w:szCs w:val="21"/>
                    </w:rPr>
                  </w:pPr>
                  <w:r>
                    <w:rPr>
                      <w:rFonts w:hAnsi="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kern w:val="0"/>
                      <w:szCs w:val="21"/>
                    </w:rPr>
                  </w:pPr>
                  <w:r>
                    <w:rPr>
                      <w:kern w:val="0"/>
                      <w:szCs w:val="21"/>
                    </w:rPr>
                    <w:t>3</w:t>
                  </w:r>
                </w:p>
              </w:tc>
              <w:tc>
                <w:tcPr>
                  <w:tcW w:w="2107" w:type="pct"/>
                  <w:noWrap w:val="0"/>
                  <w:vAlign w:val="center"/>
                </w:tcPr>
                <w:p>
                  <w:pPr>
                    <w:autoSpaceDE w:val="0"/>
                    <w:autoSpaceDN w:val="0"/>
                    <w:jc w:val="both"/>
                    <w:rPr>
                      <w:kern w:val="0"/>
                      <w:sz w:val="21"/>
                      <w:szCs w:val="21"/>
                      <w:lang w:val="en-US" w:eastAsia="zh-CN" w:bidi="ar-SA"/>
                    </w:rPr>
                  </w:pPr>
                  <w:r>
                    <w:rPr>
                      <w:rFonts w:hint="eastAsia"/>
                      <w:kern w:val="0"/>
                      <w:szCs w:val="21"/>
                    </w:rPr>
                    <w:t>报废机动车回收企业对回收的报废机动车，应当逐车登记机动车的型号、号牌号码、发动机号码、车辆识别代号等信息；发现回收的报废机动车疑似赃物或者用于盗窃、抢劫等犯罪活动的犯罪工具的，应当及时向公安机关报告。</w:t>
                  </w:r>
                </w:p>
              </w:tc>
              <w:tc>
                <w:tcPr>
                  <w:tcW w:w="2018" w:type="pct"/>
                  <w:noWrap w:val="0"/>
                  <w:vAlign w:val="center"/>
                </w:tcPr>
                <w:p>
                  <w:pPr>
                    <w:autoSpaceDE w:val="0"/>
                    <w:autoSpaceDN w:val="0"/>
                    <w:jc w:val="both"/>
                    <w:rPr>
                      <w:rFonts w:hint="eastAsia"/>
                      <w:kern w:val="0"/>
                      <w:sz w:val="21"/>
                      <w:szCs w:val="21"/>
                      <w:lang w:val="en-US" w:eastAsia="zh-CN" w:bidi="ar-SA"/>
                    </w:rPr>
                  </w:pPr>
                  <w:r>
                    <w:rPr>
                      <w:rFonts w:hint="eastAsia"/>
                      <w:kern w:val="0"/>
                      <w:szCs w:val="21"/>
                    </w:rPr>
                    <w:t>明确进厂报废机动车来源，发现回收的报废机动车疑似赃物或者用于盗窃、抢劫等犯罪活动的犯罪工具的，及时向公安机关报告。</w:t>
                  </w:r>
                </w:p>
              </w:tc>
              <w:tc>
                <w:tcPr>
                  <w:tcW w:w="512" w:type="pct"/>
                  <w:noWrap w:val="0"/>
                  <w:vAlign w:val="center"/>
                </w:tcPr>
                <w:p>
                  <w:pPr>
                    <w:widowControl/>
                    <w:jc w:val="center"/>
                    <w:rPr>
                      <w:kern w:val="0"/>
                      <w:szCs w:val="21"/>
                    </w:rPr>
                  </w:pPr>
                  <w:r>
                    <w:rPr>
                      <w:rFonts w:hAnsi="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kern w:val="0"/>
                      <w:szCs w:val="21"/>
                    </w:rPr>
                  </w:pPr>
                  <w:r>
                    <w:rPr>
                      <w:kern w:val="0"/>
                      <w:szCs w:val="21"/>
                    </w:rPr>
                    <w:t>4</w:t>
                  </w:r>
                </w:p>
              </w:tc>
              <w:tc>
                <w:tcPr>
                  <w:tcW w:w="2107" w:type="pct"/>
                  <w:noWrap w:val="0"/>
                  <w:vAlign w:val="center"/>
                </w:tcPr>
                <w:p>
                  <w:pPr>
                    <w:widowControl/>
                    <w:jc w:val="both"/>
                    <w:rPr>
                      <w:spacing w:val="-2"/>
                      <w:kern w:val="0"/>
                      <w:szCs w:val="21"/>
                    </w:rPr>
                  </w:pPr>
                  <w:r>
                    <w:rPr>
                      <w:rFonts w:hAnsi="宋体"/>
                      <w:spacing w:val="-2"/>
                      <w:kern w:val="0"/>
                      <w:szCs w:val="21"/>
                    </w:rPr>
                    <w:t>拆解的报废机动车</w:t>
                  </w:r>
                  <w:r>
                    <w:rPr>
                      <w:spacing w:val="-2"/>
                      <w:kern w:val="0"/>
                      <w:szCs w:val="21"/>
                    </w:rPr>
                    <w:t>“</w:t>
                  </w:r>
                  <w:r>
                    <w:rPr>
                      <w:rFonts w:hAnsi="宋体"/>
                      <w:spacing w:val="-2"/>
                      <w:kern w:val="0"/>
                      <w:szCs w:val="21"/>
                    </w:rPr>
                    <w:t>五大总成</w:t>
                  </w:r>
                  <w:r>
                    <w:rPr>
                      <w:spacing w:val="-2"/>
                      <w:kern w:val="0"/>
                      <w:szCs w:val="21"/>
                    </w:rPr>
                    <w:t>”</w:t>
                  </w:r>
                  <w:r>
                    <w:rPr>
                      <w:rFonts w:hAnsi="宋体"/>
                      <w:spacing w:val="-2"/>
                      <w:kern w:val="0"/>
                      <w:szCs w:val="21"/>
                    </w:rPr>
                    <w:t>具备再制造条件的</w:t>
                  </w:r>
                  <w:r>
                    <w:rPr>
                      <w:rFonts w:hint="eastAsia" w:hAnsi="宋体"/>
                      <w:spacing w:val="-2"/>
                      <w:kern w:val="0"/>
                      <w:szCs w:val="21"/>
                      <w:lang w:eastAsia="zh-CN"/>
                    </w:rPr>
                    <w:t>，</w:t>
                  </w:r>
                  <w:r>
                    <w:rPr>
                      <w:rFonts w:hAnsi="宋体"/>
                      <w:spacing w:val="-2"/>
                      <w:kern w:val="0"/>
                      <w:szCs w:val="21"/>
                    </w:rPr>
                    <w:t>可以按照国家有关规定出售给具有再制造能力的企业经过再制造予以循环利用；不具备再制造条件的，应当作为废金属，交售给钢铁企业作为冶炼原料。</w:t>
                  </w:r>
                </w:p>
              </w:tc>
              <w:tc>
                <w:tcPr>
                  <w:tcW w:w="2018" w:type="pct"/>
                  <w:noWrap w:val="0"/>
                  <w:vAlign w:val="center"/>
                </w:tcPr>
                <w:p>
                  <w:pPr>
                    <w:widowControl/>
                    <w:jc w:val="both"/>
                    <w:rPr>
                      <w:kern w:val="0"/>
                      <w:szCs w:val="21"/>
                    </w:rPr>
                  </w:pPr>
                  <w:r>
                    <w:rPr>
                      <w:rFonts w:hAnsi="宋体"/>
                      <w:kern w:val="0"/>
                      <w:szCs w:val="21"/>
                    </w:rPr>
                    <w:t>具备再制造条件的</w:t>
                  </w:r>
                  <w:r>
                    <w:rPr>
                      <w:kern w:val="0"/>
                      <w:szCs w:val="21"/>
                    </w:rPr>
                    <w:t>“</w:t>
                  </w:r>
                  <w:r>
                    <w:rPr>
                      <w:rFonts w:hAnsi="宋体"/>
                      <w:kern w:val="0"/>
                      <w:szCs w:val="21"/>
                    </w:rPr>
                    <w:t>五大总成</w:t>
                  </w:r>
                  <w:r>
                    <w:rPr>
                      <w:kern w:val="0"/>
                      <w:szCs w:val="21"/>
                    </w:rPr>
                    <w:t>”</w:t>
                  </w:r>
                  <w:r>
                    <w:rPr>
                      <w:rFonts w:hAnsi="宋体"/>
                      <w:kern w:val="0"/>
                      <w:szCs w:val="21"/>
                    </w:rPr>
                    <w:t>，</w:t>
                  </w:r>
                  <w:r>
                    <w:rPr>
                      <w:rFonts w:hAnsi="宋体"/>
                      <w:spacing w:val="-2"/>
                      <w:kern w:val="0"/>
                      <w:szCs w:val="21"/>
                    </w:rPr>
                    <w:t>按照国家有关规定出售给具有再制造能力的企业经过再制造予以循环利用</w:t>
                  </w:r>
                  <w:r>
                    <w:rPr>
                      <w:rFonts w:hAnsi="宋体"/>
                      <w:kern w:val="0"/>
                      <w:szCs w:val="21"/>
                    </w:rPr>
                    <w:t>。不具备再制造条件的</w:t>
                  </w:r>
                  <w:r>
                    <w:rPr>
                      <w:kern w:val="0"/>
                      <w:szCs w:val="21"/>
                    </w:rPr>
                    <w:t>“</w:t>
                  </w:r>
                  <w:r>
                    <w:rPr>
                      <w:rFonts w:hAnsi="宋体"/>
                      <w:kern w:val="0"/>
                      <w:szCs w:val="21"/>
                    </w:rPr>
                    <w:t>五大总成</w:t>
                  </w:r>
                  <w:r>
                    <w:rPr>
                      <w:kern w:val="0"/>
                      <w:szCs w:val="21"/>
                    </w:rPr>
                    <w:t>”</w:t>
                  </w:r>
                  <w:r>
                    <w:rPr>
                      <w:rFonts w:hAnsi="宋体"/>
                      <w:kern w:val="0"/>
                      <w:szCs w:val="21"/>
                    </w:rPr>
                    <w:t>，暂存至一般工业固废暂存库，</w:t>
                  </w:r>
                  <w:r>
                    <w:rPr>
                      <w:rFonts w:hAnsi="宋体"/>
                      <w:spacing w:val="-2"/>
                      <w:kern w:val="0"/>
                      <w:szCs w:val="21"/>
                    </w:rPr>
                    <w:t>作为废金属</w:t>
                  </w:r>
                  <w:r>
                    <w:rPr>
                      <w:rFonts w:hint="eastAsia" w:hAnsi="宋体"/>
                      <w:spacing w:val="-2"/>
                      <w:kern w:val="0"/>
                      <w:szCs w:val="21"/>
                      <w:lang w:eastAsia="zh-CN"/>
                    </w:rPr>
                    <w:t>外售</w:t>
                  </w:r>
                  <w:r>
                    <w:rPr>
                      <w:rFonts w:hAnsi="宋体"/>
                      <w:kern w:val="0"/>
                      <w:szCs w:val="21"/>
                    </w:rPr>
                    <w:t>。</w:t>
                  </w:r>
                </w:p>
              </w:tc>
              <w:tc>
                <w:tcPr>
                  <w:tcW w:w="512" w:type="pct"/>
                  <w:noWrap w:val="0"/>
                  <w:vAlign w:val="center"/>
                </w:tcPr>
                <w:p>
                  <w:pPr>
                    <w:widowControl/>
                    <w:jc w:val="center"/>
                    <w:rPr>
                      <w:kern w:val="0"/>
                      <w:szCs w:val="21"/>
                    </w:rPr>
                  </w:pPr>
                  <w:r>
                    <w:rPr>
                      <w:rFonts w:hAnsi="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kern w:val="0"/>
                      <w:szCs w:val="21"/>
                    </w:rPr>
                  </w:pPr>
                  <w:r>
                    <w:rPr>
                      <w:kern w:val="0"/>
                      <w:szCs w:val="21"/>
                    </w:rPr>
                    <w:t>5</w:t>
                  </w:r>
                </w:p>
              </w:tc>
              <w:tc>
                <w:tcPr>
                  <w:tcW w:w="2107" w:type="pct"/>
                  <w:noWrap w:val="0"/>
                  <w:vAlign w:val="center"/>
                </w:tcPr>
                <w:p>
                  <w:pPr>
                    <w:widowControl/>
                    <w:jc w:val="both"/>
                    <w:rPr>
                      <w:kern w:val="0"/>
                      <w:szCs w:val="21"/>
                    </w:rPr>
                  </w:pPr>
                  <w:r>
                    <w:rPr>
                      <w:rFonts w:hAnsi="宋体"/>
                      <w:kern w:val="0"/>
                      <w:szCs w:val="21"/>
                    </w:rPr>
                    <w:t>拆解的报废机动车</w:t>
                  </w:r>
                  <w:r>
                    <w:rPr>
                      <w:kern w:val="0"/>
                      <w:szCs w:val="21"/>
                    </w:rPr>
                    <w:t>“</w:t>
                  </w:r>
                  <w:r>
                    <w:rPr>
                      <w:rFonts w:hAnsi="宋体"/>
                      <w:kern w:val="0"/>
                      <w:szCs w:val="21"/>
                    </w:rPr>
                    <w:t>五大总成</w:t>
                  </w:r>
                  <w:r>
                    <w:rPr>
                      <w:kern w:val="0"/>
                      <w:szCs w:val="21"/>
                    </w:rPr>
                    <w:t>”</w:t>
                  </w:r>
                  <w:r>
                    <w:rPr>
                      <w:rFonts w:hAnsi="宋体"/>
                      <w:kern w:val="0"/>
                      <w:szCs w:val="21"/>
                    </w:rPr>
                    <w:t>以外的零部件符合保障人身和财产安全等强制性国家标准，能够继续使用的，可以出售，但应当标明</w:t>
                  </w:r>
                  <w:r>
                    <w:rPr>
                      <w:kern w:val="0"/>
                      <w:szCs w:val="21"/>
                    </w:rPr>
                    <w:t>“</w:t>
                  </w:r>
                  <w:r>
                    <w:rPr>
                      <w:rFonts w:hAnsi="宋体"/>
                      <w:kern w:val="0"/>
                      <w:szCs w:val="21"/>
                    </w:rPr>
                    <w:t>报废机动车回用件</w:t>
                  </w:r>
                  <w:r>
                    <w:rPr>
                      <w:kern w:val="0"/>
                      <w:szCs w:val="21"/>
                    </w:rPr>
                    <w:t>”</w:t>
                  </w:r>
                  <w:r>
                    <w:rPr>
                      <w:rFonts w:hAnsi="宋体"/>
                      <w:kern w:val="0"/>
                      <w:szCs w:val="21"/>
                    </w:rPr>
                    <w:t>。</w:t>
                  </w:r>
                </w:p>
              </w:tc>
              <w:tc>
                <w:tcPr>
                  <w:tcW w:w="2018" w:type="pct"/>
                  <w:noWrap w:val="0"/>
                  <w:vAlign w:val="center"/>
                </w:tcPr>
                <w:p>
                  <w:pPr>
                    <w:widowControl/>
                    <w:jc w:val="both"/>
                    <w:rPr>
                      <w:rFonts w:hint="eastAsia" w:eastAsia="宋体"/>
                      <w:kern w:val="0"/>
                      <w:szCs w:val="21"/>
                      <w:lang w:eastAsia="zh-CN"/>
                    </w:rPr>
                  </w:pPr>
                  <w:r>
                    <w:rPr>
                      <w:kern w:val="0"/>
                      <w:szCs w:val="21"/>
                    </w:rPr>
                    <w:t>“</w:t>
                  </w:r>
                  <w:r>
                    <w:rPr>
                      <w:rFonts w:hAnsi="宋体"/>
                      <w:kern w:val="0"/>
                      <w:szCs w:val="21"/>
                    </w:rPr>
                    <w:t>五大总成”以外的零部件符合</w:t>
                  </w:r>
                  <w:r>
                    <w:rPr>
                      <w:rFonts w:hint="eastAsia" w:hAnsi="宋体"/>
                      <w:kern w:val="0"/>
                      <w:szCs w:val="21"/>
                    </w:rPr>
                    <w:t>《报废机动车回收拆解企业技术规范》</w:t>
                  </w:r>
                  <w:r>
                    <w:rPr>
                      <w:rFonts w:hint="eastAsia" w:hAnsi="宋体"/>
                      <w:kern w:val="0"/>
                      <w:szCs w:val="21"/>
                      <w:lang w:eastAsia="zh-CN"/>
                    </w:rPr>
                    <w:t>、</w:t>
                  </w:r>
                  <w:r>
                    <w:rPr>
                      <w:rFonts w:hint="eastAsia" w:hAnsi="宋体"/>
                      <w:kern w:val="0"/>
                      <w:szCs w:val="21"/>
                      <w:lang w:val="en-US" w:eastAsia="zh-CN"/>
                    </w:rPr>
                    <w:t>《报废机动车拆解企业污染控制技术规范》</w:t>
                  </w:r>
                  <w:r>
                    <w:rPr>
                      <w:rFonts w:hAnsi="宋体"/>
                      <w:kern w:val="0"/>
                      <w:szCs w:val="21"/>
                    </w:rPr>
                    <w:t>等强制性国家标准，能够继续使用的，如：钢铁、有色金属、塑料、玻璃、橡胶、电线、陶瓷、泡沫、纤维、座椅，标明</w:t>
                  </w:r>
                  <w:r>
                    <w:rPr>
                      <w:kern w:val="0"/>
                      <w:szCs w:val="21"/>
                    </w:rPr>
                    <w:t>“</w:t>
                  </w:r>
                  <w:r>
                    <w:rPr>
                      <w:rFonts w:hAnsi="宋体"/>
                      <w:kern w:val="0"/>
                      <w:szCs w:val="21"/>
                    </w:rPr>
                    <w:t>报废机动车回用件</w:t>
                  </w:r>
                  <w:r>
                    <w:rPr>
                      <w:kern w:val="0"/>
                      <w:szCs w:val="21"/>
                    </w:rPr>
                    <w:t>”</w:t>
                  </w:r>
                  <w:r>
                    <w:rPr>
                      <w:rFonts w:hAnsi="宋体"/>
                      <w:kern w:val="0"/>
                      <w:szCs w:val="21"/>
                    </w:rPr>
                    <w:t>可出售</w:t>
                  </w:r>
                  <w:r>
                    <w:rPr>
                      <w:rFonts w:hint="eastAsia" w:hAnsi="宋体"/>
                      <w:kern w:val="0"/>
                      <w:szCs w:val="21"/>
                      <w:lang w:eastAsia="zh-CN"/>
                    </w:rPr>
                    <w:t>。</w:t>
                  </w:r>
                </w:p>
              </w:tc>
              <w:tc>
                <w:tcPr>
                  <w:tcW w:w="512" w:type="pct"/>
                  <w:noWrap w:val="0"/>
                  <w:vAlign w:val="center"/>
                </w:tcPr>
                <w:p>
                  <w:pPr>
                    <w:widowControl/>
                    <w:jc w:val="center"/>
                    <w:rPr>
                      <w:kern w:val="0"/>
                      <w:szCs w:val="21"/>
                    </w:rPr>
                  </w:pPr>
                  <w:r>
                    <w:rPr>
                      <w:rFonts w:hAnsi="宋体"/>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rFonts w:hint="eastAsia" w:eastAsia="宋体"/>
                      <w:kern w:val="0"/>
                      <w:szCs w:val="21"/>
                      <w:lang w:val="en-US" w:eastAsia="zh-CN"/>
                    </w:rPr>
                  </w:pPr>
                  <w:r>
                    <w:rPr>
                      <w:rFonts w:hint="eastAsia"/>
                      <w:kern w:val="0"/>
                      <w:szCs w:val="21"/>
                      <w:lang w:val="en-US" w:eastAsia="zh-CN"/>
                    </w:rPr>
                    <w:t>6</w:t>
                  </w:r>
                </w:p>
              </w:tc>
              <w:tc>
                <w:tcPr>
                  <w:tcW w:w="2107" w:type="pct"/>
                  <w:noWrap w:val="0"/>
                  <w:vAlign w:val="center"/>
                </w:tcPr>
                <w:p>
                  <w:pPr>
                    <w:autoSpaceDE w:val="0"/>
                    <w:autoSpaceDN w:val="0"/>
                    <w:jc w:val="both"/>
                    <w:rPr>
                      <w:kern w:val="0"/>
                      <w:sz w:val="21"/>
                      <w:szCs w:val="21"/>
                      <w:lang w:val="en-US" w:eastAsia="zh-CN" w:bidi="ar-SA"/>
                    </w:rPr>
                  </w:pPr>
                  <w:r>
                    <w:rPr>
                      <w:szCs w:val="21"/>
                    </w:rPr>
                    <w:t>报废机动车回收企业应当如实记录本企业回收的报废机动车“五大总成”等主要部件的数量、型号、流向等信息，并上传至报废机动车回收信息系统。</w:t>
                  </w:r>
                </w:p>
              </w:tc>
              <w:tc>
                <w:tcPr>
                  <w:tcW w:w="2018" w:type="pct"/>
                  <w:noWrap w:val="0"/>
                  <w:vAlign w:val="center"/>
                </w:tcPr>
                <w:p>
                  <w:pPr>
                    <w:autoSpaceDE w:val="0"/>
                    <w:autoSpaceDN w:val="0"/>
                    <w:jc w:val="both"/>
                    <w:rPr>
                      <w:rFonts w:hint="eastAsia"/>
                      <w:kern w:val="0"/>
                      <w:sz w:val="21"/>
                      <w:szCs w:val="21"/>
                      <w:lang w:val="en-US" w:eastAsia="zh-CN" w:bidi="ar-SA"/>
                    </w:rPr>
                  </w:pPr>
                  <w:r>
                    <w:rPr>
                      <w:rFonts w:hint="eastAsia"/>
                      <w:kern w:val="0"/>
                      <w:szCs w:val="21"/>
                    </w:rPr>
                    <w:t>公司做好</w:t>
                  </w:r>
                  <w:r>
                    <w:rPr>
                      <w:szCs w:val="21"/>
                    </w:rPr>
                    <w:t>报废机动车</w:t>
                  </w:r>
                  <w:r>
                    <w:rPr>
                      <w:rFonts w:hint="eastAsia"/>
                      <w:szCs w:val="21"/>
                    </w:rPr>
                    <w:t>“</w:t>
                  </w:r>
                  <w:r>
                    <w:rPr>
                      <w:szCs w:val="21"/>
                    </w:rPr>
                    <w:t>五大总成</w:t>
                  </w:r>
                  <w:r>
                    <w:rPr>
                      <w:rFonts w:hint="eastAsia"/>
                      <w:szCs w:val="21"/>
                    </w:rPr>
                    <w:t>”</w:t>
                  </w:r>
                  <w:r>
                    <w:rPr>
                      <w:szCs w:val="21"/>
                    </w:rPr>
                    <w:t>等主要部件的数量、型号、流向等信息，并上传至报废机动车回收信息系统。</w:t>
                  </w:r>
                </w:p>
              </w:tc>
              <w:tc>
                <w:tcPr>
                  <w:tcW w:w="512" w:type="pct"/>
                  <w:noWrap w:val="0"/>
                  <w:vAlign w:val="center"/>
                </w:tcPr>
                <w:p>
                  <w:pPr>
                    <w:autoSpaceDE w:val="0"/>
                    <w:autoSpaceDN w:val="0"/>
                    <w:jc w:val="center"/>
                    <w:rPr>
                      <w:kern w:val="0"/>
                      <w:sz w:val="21"/>
                      <w:szCs w:val="21"/>
                      <w:lang w:val="en-US" w:eastAsia="zh-CN" w:bidi="ar-SA"/>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2" w:type="pct"/>
                  <w:noWrap w:val="0"/>
                  <w:vAlign w:val="center"/>
                </w:tcPr>
                <w:p>
                  <w:pPr>
                    <w:widowControl/>
                    <w:jc w:val="center"/>
                    <w:rPr>
                      <w:rFonts w:hint="eastAsia" w:eastAsia="宋体"/>
                      <w:kern w:val="0"/>
                      <w:szCs w:val="21"/>
                      <w:lang w:val="en-US" w:eastAsia="zh-CN"/>
                    </w:rPr>
                  </w:pPr>
                  <w:r>
                    <w:rPr>
                      <w:rFonts w:hint="eastAsia"/>
                      <w:kern w:val="0"/>
                      <w:szCs w:val="21"/>
                      <w:lang w:val="en-US" w:eastAsia="zh-CN"/>
                    </w:rPr>
                    <w:t>7</w:t>
                  </w:r>
                </w:p>
              </w:tc>
              <w:tc>
                <w:tcPr>
                  <w:tcW w:w="2107" w:type="pct"/>
                  <w:noWrap w:val="0"/>
                  <w:vAlign w:val="center"/>
                </w:tcPr>
                <w:p>
                  <w:pPr>
                    <w:autoSpaceDE w:val="0"/>
                    <w:autoSpaceDN w:val="0"/>
                    <w:jc w:val="both"/>
                    <w:rPr>
                      <w:kern w:val="0"/>
                      <w:sz w:val="21"/>
                      <w:szCs w:val="21"/>
                      <w:lang w:val="en-US" w:eastAsia="zh-CN" w:bidi="ar-SA"/>
                    </w:rPr>
                  </w:pPr>
                  <w:r>
                    <w:rPr>
                      <w:szCs w:val="21"/>
                    </w:rPr>
                    <w:t>拆解报废机动车，应当遵守环境保护法律、法规和强制性标准，采取有效措施保护环境，不得造成环境污染。</w:t>
                  </w:r>
                </w:p>
              </w:tc>
              <w:tc>
                <w:tcPr>
                  <w:tcW w:w="2018" w:type="pct"/>
                  <w:noWrap w:val="0"/>
                  <w:vAlign w:val="center"/>
                </w:tcPr>
                <w:p>
                  <w:pPr>
                    <w:autoSpaceDE w:val="0"/>
                    <w:autoSpaceDN w:val="0"/>
                    <w:jc w:val="both"/>
                    <w:rPr>
                      <w:rFonts w:hint="eastAsia"/>
                      <w:kern w:val="0"/>
                      <w:sz w:val="21"/>
                      <w:szCs w:val="21"/>
                      <w:lang w:val="en-US" w:eastAsia="zh-CN" w:bidi="ar-SA"/>
                    </w:rPr>
                  </w:pPr>
                  <w:r>
                    <w:rPr>
                      <w:rFonts w:hint="eastAsia"/>
                      <w:color w:val="000000"/>
                      <w:kern w:val="0"/>
                      <w:szCs w:val="21"/>
                      <w:highlight w:val="none"/>
                      <w:u w:val="none"/>
                      <w:lang w:val="en-US" w:eastAsia="zh-CN"/>
                    </w:rPr>
                    <w:t>项目</w:t>
                  </w:r>
                  <w:r>
                    <w:rPr>
                      <w:rFonts w:hint="eastAsia"/>
                      <w:sz w:val="21"/>
                      <w:szCs w:val="21"/>
                      <w:lang w:val="en-US" w:eastAsia="zh-CN"/>
                    </w:rPr>
                    <w:t>废油液挥发废气</w:t>
                  </w:r>
                  <w:r>
                    <w:rPr>
                      <w:rFonts w:hint="eastAsia"/>
                      <w:color w:val="000000"/>
                      <w:kern w:val="0"/>
                      <w:szCs w:val="21"/>
                      <w:highlight w:val="none"/>
                      <w:u w:val="none"/>
                      <w:lang w:val="en-US" w:eastAsia="zh-CN"/>
                    </w:rPr>
                    <w:t>经集气罩+活性炭吸附+15m高排气筒排放；</w:t>
                  </w:r>
                  <w:r>
                    <w:rPr>
                      <w:rFonts w:hint="eastAsia"/>
                      <w:sz w:val="21"/>
                      <w:szCs w:val="21"/>
                      <w:lang w:val="en-US" w:eastAsia="zh-CN"/>
                    </w:rPr>
                    <w:t>暂存废油液的危险废物暂存间产生的非甲烷总烃经引风管道收集+活性炭吸附装置处理后与废油液挥发废气一并经15m高排气筒排放；</w:t>
                  </w:r>
                  <w:r>
                    <w:rPr>
                      <w:rFonts w:hint="eastAsia"/>
                      <w:szCs w:val="21"/>
                    </w:rPr>
                    <w:t>制冷剂回收废气</w:t>
                  </w:r>
                  <w:r>
                    <w:rPr>
                      <w:rFonts w:hint="eastAsia"/>
                      <w:szCs w:val="21"/>
                      <w:lang w:eastAsia="zh-CN"/>
                    </w:rPr>
                    <w:t>经</w:t>
                  </w:r>
                  <w:r>
                    <w:rPr>
                      <w:rFonts w:hint="eastAsia"/>
                      <w:szCs w:val="21"/>
                    </w:rPr>
                    <w:t>专门的制冷剂回收装置</w:t>
                  </w:r>
                  <w:r>
                    <w:rPr>
                      <w:rFonts w:hint="eastAsia"/>
                      <w:szCs w:val="21"/>
                      <w:lang w:eastAsia="zh-CN"/>
                    </w:rPr>
                    <w:t>；</w:t>
                  </w:r>
                  <w:r>
                    <w:rPr>
                      <w:rFonts w:hint="default" w:ascii="Times New Roman" w:hAnsi="Times New Roman" w:cs="Times New Roman"/>
                      <w:b w:val="0"/>
                      <w:bCs w:val="0"/>
                      <w:sz w:val="21"/>
                      <w:szCs w:val="21"/>
                      <w:lang w:val="en-US" w:eastAsia="zh-CN"/>
                    </w:rPr>
                    <w:t>安全气囊废气经爆破自带收尘系统过滤</w:t>
                  </w:r>
                  <w:r>
                    <w:rPr>
                      <w:rFonts w:hint="eastAsia" w:ascii="Times New Roman" w:hAnsi="Times New Roman" w:cs="Times New Roman"/>
                      <w:b w:val="0"/>
                      <w:bCs w:val="0"/>
                      <w:sz w:val="21"/>
                      <w:szCs w:val="21"/>
                      <w:lang w:val="en-US" w:eastAsia="zh-CN"/>
                    </w:rPr>
                    <w:t>、拆解粉尘通过及时清扫车间地面粉尘、加强车间通风</w:t>
                  </w:r>
                  <w:r>
                    <w:rPr>
                      <w:rFonts w:hint="eastAsia"/>
                      <w:szCs w:val="21"/>
                      <w:lang w:eastAsia="zh-CN"/>
                    </w:rPr>
                    <w:t>。</w:t>
                  </w:r>
                  <w:r>
                    <w:rPr>
                      <w:rFonts w:hint="eastAsia"/>
                      <w:color w:val="000000"/>
                      <w:kern w:val="0"/>
                      <w:szCs w:val="21"/>
                      <w:highlight w:val="none"/>
                      <w:u w:val="none"/>
                      <w:lang w:eastAsia="zh-CN"/>
                    </w:rPr>
                    <w:t>项目雨污分流、</w:t>
                  </w:r>
                  <w:r>
                    <w:rPr>
                      <w:rFonts w:hint="eastAsia"/>
                      <w:color w:val="000000"/>
                      <w:kern w:val="0"/>
                      <w:szCs w:val="21"/>
                      <w:highlight w:val="none"/>
                      <w:u w:val="none"/>
                      <w:lang w:val="en-US" w:eastAsia="zh-CN"/>
                    </w:rPr>
                    <w:t>初期雨水+</w:t>
                  </w:r>
                  <w:r>
                    <w:rPr>
                      <w:rFonts w:hint="eastAsia"/>
                      <w:bCs/>
                      <w:szCs w:val="21"/>
                      <w:u w:val="none"/>
                    </w:rPr>
                    <w:t>拆解</w:t>
                  </w:r>
                  <w:r>
                    <w:rPr>
                      <w:rFonts w:hint="eastAsia"/>
                      <w:bCs/>
                      <w:szCs w:val="21"/>
                      <w:u w:val="none"/>
                      <w:lang w:eastAsia="zh-CN"/>
                    </w:rPr>
                    <w:t>区</w:t>
                  </w:r>
                  <w:r>
                    <w:rPr>
                      <w:rFonts w:hint="eastAsia"/>
                      <w:bCs/>
                      <w:szCs w:val="21"/>
                      <w:u w:val="none"/>
                    </w:rPr>
                    <w:t>地面</w:t>
                  </w:r>
                  <w:r>
                    <w:rPr>
                      <w:rFonts w:hint="eastAsia"/>
                      <w:bCs/>
                      <w:szCs w:val="21"/>
                      <w:u w:val="none"/>
                      <w:lang w:val="en-US" w:eastAsia="zh-CN"/>
                    </w:rPr>
                    <w:t>清洁</w:t>
                  </w:r>
                  <w:r>
                    <w:rPr>
                      <w:rFonts w:hint="eastAsia"/>
                      <w:bCs/>
                      <w:szCs w:val="21"/>
                      <w:u w:val="none"/>
                    </w:rPr>
                    <w:t>废水</w:t>
                  </w:r>
                  <w:r>
                    <w:rPr>
                      <w:rFonts w:hint="eastAsia"/>
                      <w:color w:val="000000"/>
                      <w:kern w:val="0"/>
                      <w:szCs w:val="21"/>
                      <w:highlight w:val="none"/>
                      <w:u w:val="none"/>
                      <w:lang w:eastAsia="zh-CN"/>
                    </w:rPr>
                    <w:t>经厂区污水处理设施（隔油池</w:t>
                  </w:r>
                  <w:r>
                    <w:rPr>
                      <w:rFonts w:hint="eastAsia"/>
                      <w:color w:val="000000"/>
                      <w:kern w:val="0"/>
                      <w:szCs w:val="21"/>
                      <w:highlight w:val="none"/>
                      <w:u w:val="none"/>
                      <w:lang w:val="en-US" w:eastAsia="zh-CN"/>
                    </w:rPr>
                    <w:t>+</w:t>
                  </w:r>
                  <w:r>
                    <w:rPr>
                      <w:rFonts w:hint="eastAsia" w:ascii="Calibri" w:hAnsi="Calibri" w:eastAsia="宋体" w:cs="Times New Roman"/>
                      <w:sz w:val="21"/>
                      <w:szCs w:val="21"/>
                      <w:lang w:val="en-US" w:eastAsia="zh-CN"/>
                    </w:rPr>
                    <w:t>气浮机</w:t>
                  </w:r>
                  <w:r>
                    <w:rPr>
                      <w:rFonts w:hint="eastAsia"/>
                      <w:color w:val="000000"/>
                      <w:kern w:val="0"/>
                      <w:szCs w:val="21"/>
                      <w:highlight w:val="none"/>
                      <w:u w:val="none"/>
                      <w:lang w:eastAsia="zh-CN"/>
                    </w:rPr>
                    <w:t>）处理后、生活污水</w:t>
                  </w:r>
                  <w:r>
                    <w:rPr>
                      <w:rFonts w:hint="default"/>
                      <w:u w:val="none"/>
                      <w:lang w:eastAsia="zh-CN"/>
                    </w:rPr>
                    <w:t>经化粪池处理后进入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default"/>
                      <w:u w:val="none"/>
                      <w:lang w:eastAsia="zh-CN"/>
                    </w:rPr>
                    <w:t>处理达标后外排入渠水</w:t>
                  </w:r>
                  <w:r>
                    <w:rPr>
                      <w:rFonts w:hint="eastAsia"/>
                      <w:color w:val="000000"/>
                      <w:kern w:val="0"/>
                      <w:szCs w:val="21"/>
                      <w:highlight w:val="none"/>
                      <w:u w:val="none"/>
                      <w:lang w:eastAsia="zh-CN"/>
                    </w:rPr>
                    <w:t>，</w:t>
                  </w:r>
                  <w:r>
                    <w:rPr>
                      <w:rFonts w:hint="eastAsia"/>
                      <w:kern w:val="0"/>
                      <w:szCs w:val="21"/>
                      <w:u w:val="none"/>
                    </w:rPr>
                    <w:t>危险废物分类储存在危废库内，定期交资质单位处理，落实污染防治措施后，不会造成环境污染。</w:t>
                  </w:r>
                </w:p>
              </w:tc>
              <w:tc>
                <w:tcPr>
                  <w:tcW w:w="512" w:type="pct"/>
                  <w:noWrap w:val="0"/>
                  <w:vAlign w:val="center"/>
                </w:tcPr>
                <w:p>
                  <w:pPr>
                    <w:autoSpaceDE w:val="0"/>
                    <w:autoSpaceDN w:val="0"/>
                    <w:jc w:val="center"/>
                    <w:rPr>
                      <w:kern w:val="0"/>
                      <w:sz w:val="21"/>
                      <w:szCs w:val="21"/>
                      <w:lang w:val="en-US" w:eastAsia="zh-CN" w:bidi="ar-SA"/>
                    </w:rPr>
                  </w:pPr>
                  <w:r>
                    <w:rPr>
                      <w:kern w:val="0"/>
                      <w:szCs w:val="21"/>
                    </w:rPr>
                    <w:t>符合</w:t>
                  </w:r>
                </w:p>
              </w:tc>
            </w:tr>
          </w:tbl>
          <w:p>
            <w:pPr>
              <w:pStyle w:val="21"/>
              <w:bidi w:val="0"/>
              <w:rPr>
                <w:sz w:val="24"/>
                <w:szCs w:val="24"/>
              </w:rPr>
            </w:pPr>
            <w:r>
              <w:rPr>
                <w:sz w:val="24"/>
                <w:szCs w:val="24"/>
              </w:rPr>
              <w:t>由表</w:t>
            </w: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可以看出，本项</w:t>
            </w:r>
            <w:r>
              <w:rPr>
                <w:rFonts w:hint="default" w:ascii="Times New Roman" w:hAnsi="Times New Roman" w:cs="Times New Roman"/>
                <w:sz w:val="24"/>
                <w:szCs w:val="24"/>
                <w:lang w:eastAsia="zh-CN"/>
              </w:rPr>
              <w:t>目</w:t>
            </w:r>
            <w:r>
              <w:rPr>
                <w:rFonts w:hint="default" w:ascii="Times New Roman" w:hAnsi="Times New Roman" w:cs="Times New Roman"/>
                <w:sz w:val="24"/>
                <w:szCs w:val="24"/>
              </w:rPr>
              <w:t>建设符合《报废机动车回收管理办法（国务院令第715号）》</w:t>
            </w:r>
            <w:r>
              <w:rPr>
                <w:sz w:val="24"/>
                <w:szCs w:val="24"/>
              </w:rPr>
              <w:t>的要求。</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rPr>
                <w:b/>
                <w:sz w:val="24"/>
                <w:szCs w:val="24"/>
              </w:rPr>
            </w:pPr>
            <w:r>
              <w:rPr>
                <w:rFonts w:hint="eastAsia"/>
                <w:b/>
                <w:sz w:val="24"/>
                <w:szCs w:val="24"/>
                <w:lang w:val="en-US" w:eastAsia="zh-CN"/>
              </w:rPr>
              <w:t>5、</w:t>
            </w:r>
            <w:r>
              <w:rPr>
                <w:b/>
                <w:sz w:val="24"/>
                <w:szCs w:val="24"/>
              </w:rPr>
              <w:t>与《</w:t>
            </w:r>
            <w:r>
              <w:rPr>
                <w:rFonts w:hint="eastAsia"/>
                <w:b/>
                <w:sz w:val="24"/>
                <w:szCs w:val="24"/>
              </w:rPr>
              <w:t>报废机动车回收管理办法实施细则</w:t>
            </w:r>
            <w:r>
              <w:rPr>
                <w:rFonts w:hint="eastAsia"/>
                <w:b/>
                <w:sz w:val="24"/>
                <w:szCs w:val="24"/>
                <w:lang w:eastAsia="zh-CN"/>
              </w:rPr>
              <w:t>》</w:t>
            </w:r>
            <w:r>
              <w:rPr>
                <w:b/>
                <w:sz w:val="24"/>
                <w:szCs w:val="24"/>
              </w:rPr>
              <w:t>相符性分析</w:t>
            </w:r>
          </w:p>
          <w:p>
            <w:pPr>
              <w:pStyle w:val="21"/>
              <w:ind w:firstLine="420"/>
              <w:rPr>
                <w:rFonts w:ascii="Times New Roman" w:eastAsia="宋体" w:cs="Times New Roman"/>
                <w:bCs w:val="0"/>
                <w:color w:val="auto"/>
                <w:sz w:val="24"/>
                <w:szCs w:val="24"/>
              </w:rPr>
            </w:pPr>
            <w:r>
              <w:rPr>
                <w:rFonts w:ascii="Times New Roman" w:eastAsia="宋体" w:cs="Times New Roman"/>
                <w:bCs w:val="0"/>
                <w:color w:val="auto"/>
                <w:sz w:val="24"/>
                <w:szCs w:val="24"/>
              </w:rPr>
              <w:t>为了规范报废机动车回收活动，保护环境，促进循环经济发展，保障道路交通安全。《</w:t>
            </w:r>
            <w:r>
              <w:rPr>
                <w:rFonts w:hint="eastAsia" w:ascii="Times New Roman" w:eastAsia="宋体" w:cs="Times New Roman"/>
                <w:bCs w:val="0"/>
                <w:color w:val="auto"/>
                <w:sz w:val="24"/>
                <w:szCs w:val="24"/>
              </w:rPr>
              <w:t>报废机动车回收管理办法实施细则（商务部令2020年第2号）</w:t>
            </w:r>
            <w:r>
              <w:rPr>
                <w:rFonts w:ascii="Times New Roman" w:eastAsia="宋体" w:cs="Times New Roman"/>
                <w:bCs w:val="0"/>
                <w:color w:val="auto"/>
                <w:sz w:val="24"/>
                <w:szCs w:val="24"/>
              </w:rPr>
              <w:t>》对企业的要求，结合项目实际情况，相符性分析详见下表。</w:t>
            </w:r>
          </w:p>
          <w:p>
            <w:pPr>
              <w:numPr>
                <w:ilvl w:val="0"/>
                <w:numId w:val="0"/>
              </w:numPr>
              <w:autoSpaceDE w:val="0"/>
              <w:autoSpaceDN w:val="0"/>
              <w:spacing w:line="360" w:lineRule="auto"/>
              <w:jc w:val="center"/>
              <w:rPr>
                <w:b/>
                <w:szCs w:val="21"/>
              </w:rPr>
            </w:pPr>
            <w:r>
              <w:rPr>
                <w:b/>
                <w:szCs w:val="21"/>
              </w:rPr>
              <w:t>表1-</w:t>
            </w:r>
            <w:r>
              <w:rPr>
                <w:rFonts w:hint="eastAsia"/>
                <w:b/>
                <w:szCs w:val="21"/>
                <w:lang w:val="en-US" w:eastAsia="zh-CN"/>
              </w:rPr>
              <w:t>3</w:t>
            </w:r>
            <w:r>
              <w:rPr>
                <w:b/>
                <w:szCs w:val="21"/>
              </w:rPr>
              <w:t xml:space="preserve"> 本项目与《</w:t>
            </w:r>
            <w:r>
              <w:rPr>
                <w:rFonts w:hint="eastAsia"/>
                <w:b/>
                <w:szCs w:val="21"/>
              </w:rPr>
              <w:t>报废机动车回收管理办法实施细则</w:t>
            </w:r>
            <w:r>
              <w:rPr>
                <w:rFonts w:hint="eastAsia"/>
                <w:b/>
                <w:szCs w:val="21"/>
                <w:lang w:eastAsia="zh-CN"/>
              </w:rPr>
              <w:t>》</w:t>
            </w:r>
            <w:r>
              <w:rPr>
                <w:b/>
                <w:szCs w:val="21"/>
              </w:rPr>
              <w:t>相符性分析</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6"/>
              <w:gridCol w:w="3188"/>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jc w:val="center"/>
                    <w:rPr>
                      <w:b/>
                      <w:bCs/>
                      <w:kern w:val="0"/>
                      <w:szCs w:val="21"/>
                    </w:rPr>
                  </w:pPr>
                  <w:r>
                    <w:rPr>
                      <w:b/>
                      <w:bCs/>
                      <w:kern w:val="0"/>
                      <w:szCs w:val="21"/>
                    </w:rPr>
                    <w:t>规范要求</w:t>
                  </w:r>
                </w:p>
              </w:tc>
              <w:tc>
                <w:tcPr>
                  <w:tcW w:w="5090" w:type="dxa"/>
                  <w:noWrap w:val="0"/>
                  <w:vAlign w:val="center"/>
                </w:tcPr>
                <w:p>
                  <w:pPr>
                    <w:autoSpaceDE w:val="0"/>
                    <w:autoSpaceDN w:val="0"/>
                    <w:jc w:val="center"/>
                    <w:rPr>
                      <w:b/>
                      <w:bCs/>
                      <w:kern w:val="0"/>
                      <w:szCs w:val="21"/>
                    </w:rPr>
                  </w:pPr>
                  <w:r>
                    <w:rPr>
                      <w:b/>
                      <w:bCs/>
                      <w:kern w:val="0"/>
                      <w:szCs w:val="21"/>
                    </w:rPr>
                    <w:t>本项目情况</w:t>
                  </w:r>
                </w:p>
              </w:tc>
              <w:tc>
                <w:tcPr>
                  <w:tcW w:w="805" w:type="dxa"/>
                  <w:noWrap w:val="0"/>
                  <w:vAlign w:val="center"/>
                </w:tcPr>
                <w:p>
                  <w:pPr>
                    <w:autoSpaceDE w:val="0"/>
                    <w:autoSpaceDN w:val="0"/>
                    <w:ind w:left="-105" w:leftChars="-50" w:right="-105" w:rightChars="-50"/>
                    <w:jc w:val="center"/>
                    <w:rPr>
                      <w:b/>
                      <w:bCs/>
                      <w:kern w:val="0"/>
                      <w:szCs w:val="21"/>
                    </w:rPr>
                  </w:pPr>
                  <w:r>
                    <w:rPr>
                      <w:b/>
                      <w:bCs/>
                      <w:kern w:val="0"/>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kern w:val="0"/>
                      <w:szCs w:val="21"/>
                    </w:rPr>
                  </w:pPr>
                  <w:r>
                    <w:rPr>
                      <w:kern w:val="0"/>
                      <w:szCs w:val="21"/>
                    </w:rPr>
                    <w:t>国家对回收拆解企业实行资质认定制度。未经资质认定，任何单位或者个人不得从事报废机动车回收拆解活动。</w:t>
                  </w:r>
                </w:p>
              </w:tc>
              <w:tc>
                <w:tcPr>
                  <w:tcW w:w="5090" w:type="dxa"/>
                  <w:noWrap w:val="0"/>
                  <w:vAlign w:val="center"/>
                </w:tcPr>
                <w:p>
                  <w:pPr>
                    <w:autoSpaceDE w:val="0"/>
                    <w:autoSpaceDN w:val="0"/>
                    <w:rPr>
                      <w:rFonts w:hint="eastAsia" w:eastAsia="微软雅黑"/>
                      <w:kern w:val="0"/>
                      <w:szCs w:val="21"/>
                    </w:rPr>
                  </w:pPr>
                  <w:r>
                    <w:rPr>
                      <w:rFonts w:hint="eastAsia"/>
                      <w:kern w:val="0"/>
                      <w:szCs w:val="21"/>
                    </w:rPr>
                    <w:t>公司将按照取得报废机动车回收拆解资质认定的要求，取得资质，本次环境影响评价文件的审批文件为资质审定的书面材料之一。</w:t>
                  </w:r>
                </w:p>
              </w:tc>
              <w:tc>
                <w:tcPr>
                  <w:tcW w:w="805" w:type="dxa"/>
                  <w:noWrap w:val="0"/>
                  <w:vAlign w:val="center"/>
                </w:tcPr>
                <w:p>
                  <w:pPr>
                    <w:autoSpaceDE w:val="0"/>
                    <w:autoSpaceDN w:val="0"/>
                    <w:jc w:val="center"/>
                    <w:rPr>
                      <w:rFonts w:hint="eastAsia" w:eastAsia="宋体"/>
                      <w:kern w:val="0"/>
                      <w:szCs w:val="21"/>
                      <w:lang w:eastAsia="zh-CN"/>
                    </w:rPr>
                  </w:pPr>
                  <w:r>
                    <w:rPr>
                      <w:rFonts w:hint="eastAsia"/>
                      <w:kern w:val="0"/>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7" w:type="dxa"/>
                  <w:gridSpan w:val="3"/>
                  <w:noWrap w:val="0"/>
                  <w:vAlign w:val="center"/>
                </w:tcPr>
                <w:p>
                  <w:pPr>
                    <w:autoSpaceDE w:val="0"/>
                    <w:autoSpaceDN w:val="0"/>
                    <w:jc w:val="center"/>
                    <w:rPr>
                      <w:rFonts w:hint="eastAsia"/>
                      <w:kern w:val="0"/>
                      <w:szCs w:val="21"/>
                    </w:rPr>
                  </w:pPr>
                  <w:r>
                    <w:rPr>
                      <w:b/>
                      <w:bCs/>
                      <w:kern w:val="0"/>
                      <w:szCs w:val="21"/>
                    </w:rPr>
                    <w:t>回收拆解行为规范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kern w:val="0"/>
                      <w:szCs w:val="21"/>
                    </w:rPr>
                  </w:pPr>
                  <w:r>
                    <w:rPr>
                      <w:rFonts w:hint="eastAsia"/>
                      <w:kern w:val="0"/>
                      <w:szCs w:val="21"/>
                    </w:rPr>
                    <w:t>回收拆解企业在回收报废机动车时，应当核验机动车所有人有效身份证件，逐车登记机动车型号、号牌号码、车辆识别代号、发动机号等信息，并收回下列证牌：</w:t>
                  </w:r>
                </w:p>
                <w:p>
                  <w:pPr>
                    <w:autoSpaceDE w:val="0"/>
                    <w:autoSpaceDN w:val="0"/>
                    <w:rPr>
                      <w:rFonts w:hint="eastAsia"/>
                      <w:kern w:val="0"/>
                      <w:szCs w:val="21"/>
                    </w:rPr>
                  </w:pPr>
                  <w:r>
                    <w:rPr>
                      <w:rFonts w:hint="eastAsia"/>
                      <w:kern w:val="0"/>
                      <w:szCs w:val="21"/>
                    </w:rPr>
                    <w:t>（一）机动车登记证书原件；</w:t>
                  </w:r>
                </w:p>
                <w:p>
                  <w:pPr>
                    <w:autoSpaceDE w:val="0"/>
                    <w:autoSpaceDN w:val="0"/>
                    <w:rPr>
                      <w:rFonts w:hint="eastAsia"/>
                      <w:kern w:val="0"/>
                      <w:szCs w:val="21"/>
                    </w:rPr>
                  </w:pPr>
                  <w:r>
                    <w:rPr>
                      <w:rFonts w:hint="eastAsia"/>
                      <w:kern w:val="0"/>
                      <w:szCs w:val="21"/>
                    </w:rPr>
                    <w:t>（二）机动车行驶证原件；</w:t>
                  </w:r>
                </w:p>
                <w:p>
                  <w:pPr>
                    <w:autoSpaceDE w:val="0"/>
                    <w:autoSpaceDN w:val="0"/>
                    <w:rPr>
                      <w:rFonts w:hint="eastAsia"/>
                      <w:kern w:val="0"/>
                      <w:szCs w:val="21"/>
                    </w:rPr>
                  </w:pPr>
                  <w:r>
                    <w:rPr>
                      <w:rFonts w:hint="eastAsia"/>
                      <w:kern w:val="0"/>
                      <w:szCs w:val="21"/>
                    </w:rPr>
                    <w:t>（三）机动车号牌。</w:t>
                  </w:r>
                </w:p>
                <w:p>
                  <w:pPr>
                    <w:autoSpaceDE w:val="0"/>
                    <w:autoSpaceDN w:val="0"/>
                    <w:rPr>
                      <w:rFonts w:hint="eastAsia"/>
                      <w:kern w:val="0"/>
                      <w:szCs w:val="21"/>
                    </w:rPr>
                  </w:pPr>
                  <w:r>
                    <w:rPr>
                      <w:rFonts w:hint="eastAsia"/>
                      <w:kern w:val="0"/>
                      <w:szCs w:val="21"/>
                    </w:rPr>
                    <w:t>回收拆解企业应当核对报废机动车的车辆型号、号牌号码、车辆识别代号、发动机号等实车信息是否与机动车登记证书、机动车行驶证记载的信息一致。</w:t>
                  </w:r>
                </w:p>
                <w:p>
                  <w:pPr>
                    <w:autoSpaceDE w:val="0"/>
                    <w:autoSpaceDN w:val="0"/>
                    <w:rPr>
                      <w:rFonts w:hint="eastAsia"/>
                      <w:kern w:val="0"/>
                      <w:szCs w:val="21"/>
                    </w:rPr>
                  </w:pPr>
                  <w:r>
                    <w:rPr>
                      <w:rFonts w:hint="eastAsia"/>
                      <w:kern w:val="0"/>
                      <w:szCs w:val="21"/>
                    </w:rPr>
                    <w:t>无法提供本条第一款所列三项证牌中任意一项的，应当由机动车所有人出具书面情况说明，并对其真实性负责。</w:t>
                  </w:r>
                </w:p>
                <w:p>
                  <w:pPr>
                    <w:autoSpaceDE w:val="0"/>
                    <w:autoSpaceDN w:val="0"/>
                    <w:rPr>
                      <w:kern w:val="0"/>
                      <w:szCs w:val="21"/>
                    </w:rPr>
                  </w:pPr>
                  <w:r>
                    <w:rPr>
                      <w:rFonts w:hint="eastAsia"/>
                      <w:kern w:val="0"/>
                      <w:szCs w:val="21"/>
                    </w:rPr>
                    <w:t>机动车所有人为自然人且委托他人代办的，还需提供受委托人有效证件及授权委托书；机动车所有人为机关、企业、事业单位、社会团体等的，需提供加盖单位公章的营业执照复印件、统一社会信用代码证书复印件或者社会团体法人登记证书复印件以及单位授权委托书、经办人身份证件。</w:t>
                  </w:r>
                </w:p>
              </w:tc>
              <w:tc>
                <w:tcPr>
                  <w:tcW w:w="5090" w:type="dxa"/>
                  <w:noWrap w:val="0"/>
                  <w:vAlign w:val="center"/>
                </w:tcPr>
                <w:p>
                  <w:pPr>
                    <w:autoSpaceDE w:val="0"/>
                    <w:autoSpaceDN w:val="0"/>
                    <w:rPr>
                      <w:rFonts w:hint="eastAsia"/>
                      <w:kern w:val="0"/>
                      <w:szCs w:val="21"/>
                    </w:rPr>
                  </w:pPr>
                  <w:r>
                    <w:rPr>
                      <w:rFonts w:hint="eastAsia"/>
                      <w:szCs w:val="21"/>
                    </w:rPr>
                    <w:t>公司做好报废机动车进厂登记管理，逐车登记机动车型号、号牌号码、车辆识别代号、发动机号等信息，</w:t>
                  </w:r>
                  <w:r>
                    <w:rPr>
                      <w:rFonts w:hint="eastAsia"/>
                      <w:kern w:val="0"/>
                      <w:szCs w:val="21"/>
                    </w:rPr>
                    <w:t>并核实是否与机动车登记证书、机动车行驶证记载的信息一致。</w:t>
                  </w:r>
                </w:p>
                <w:p>
                  <w:pPr>
                    <w:autoSpaceDE w:val="0"/>
                    <w:autoSpaceDN w:val="0"/>
                    <w:rPr>
                      <w:rFonts w:hint="eastAsia"/>
                      <w:kern w:val="0"/>
                      <w:szCs w:val="21"/>
                    </w:rPr>
                  </w:pPr>
                  <w:r>
                    <w:rPr>
                      <w:rFonts w:hint="eastAsia"/>
                      <w:kern w:val="0"/>
                      <w:szCs w:val="21"/>
                    </w:rPr>
                    <w:t>对于无法提供三项证牌中任意一项的，要求机动车所有人出具书面情况说明，并对其真实性负责。</w:t>
                  </w:r>
                </w:p>
                <w:p>
                  <w:pPr>
                    <w:autoSpaceDE w:val="0"/>
                    <w:autoSpaceDN w:val="0"/>
                    <w:rPr>
                      <w:rFonts w:hint="eastAsia"/>
                      <w:szCs w:val="21"/>
                    </w:rPr>
                  </w:pPr>
                  <w:r>
                    <w:rPr>
                      <w:rFonts w:hint="eastAsia"/>
                      <w:kern w:val="0"/>
                      <w:szCs w:val="21"/>
                    </w:rPr>
                    <w:t>对于机动车所有人为自然人且委托他人代办的，要求提供受委托人有效证件及授权委托书；机动车所有人为机关、企业、事业单位、社会团体等的，要求提供加盖单位公章的营业执照复印件、统一社会信用代码证书复印件或者社会团体法人登记证书复印件以及单位授权委托书、经办人身份证件。</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rFonts w:hint="eastAsia"/>
                      <w:kern w:val="0"/>
                      <w:szCs w:val="21"/>
                    </w:rPr>
                  </w:pPr>
                  <w:r>
                    <w:rPr>
                      <w:rFonts w:hint="eastAsia"/>
                      <w:kern w:val="0"/>
                      <w:szCs w:val="21"/>
                    </w:rPr>
                    <w:t>回收拆解企业在回收报废机动车后，应当通过“全国汽车流通信息管理应用服务”系统如实录入机动车信息，打印《报废机动车回收证明》，上传机动车拆解前照片，机动车拆解后，上传拆解后照片。上传的照片应当包括机动车拆解前整体外观、拆解后状况以及车辆识别代号等特征。对按照规定应当在公安机关监督下解体的报废机动车，回收拆解企业应当在机动车拆解后，打印《报废机动车回收证明》。</w:t>
                  </w:r>
                </w:p>
                <w:p>
                  <w:pPr>
                    <w:autoSpaceDE w:val="0"/>
                    <w:autoSpaceDN w:val="0"/>
                    <w:rPr>
                      <w:kern w:val="0"/>
                      <w:szCs w:val="21"/>
                    </w:rPr>
                  </w:pPr>
                  <w:r>
                    <w:rPr>
                      <w:rFonts w:hint="eastAsia"/>
                      <w:kern w:val="0"/>
                      <w:szCs w:val="21"/>
                    </w:rPr>
                    <w:t>回收拆解企业应当按照国家有关规定及时向公安机关交通管理部门申请机动车注销登记，将注销证明及《报废机动车回收证明》交给机动车所有人。</w:t>
                  </w:r>
                </w:p>
              </w:tc>
              <w:tc>
                <w:tcPr>
                  <w:tcW w:w="5090" w:type="dxa"/>
                  <w:noWrap w:val="0"/>
                  <w:vAlign w:val="center"/>
                </w:tcPr>
                <w:p>
                  <w:pPr>
                    <w:autoSpaceDE w:val="0"/>
                    <w:autoSpaceDN w:val="0"/>
                    <w:rPr>
                      <w:rFonts w:hint="eastAsia"/>
                      <w:kern w:val="0"/>
                      <w:szCs w:val="21"/>
                    </w:rPr>
                  </w:pPr>
                  <w:r>
                    <w:rPr>
                      <w:rFonts w:hint="eastAsia"/>
                      <w:kern w:val="0"/>
                      <w:szCs w:val="21"/>
                    </w:rPr>
                    <w:t>报废机动车按要求进厂后，公司即通过“全国汽车流通信息管理应用服务”系统如实录入机动车信息，打印《报废机动车回收证明》，上传机动车拆解前照片，机动车拆解后，上传拆解后照片。</w:t>
                  </w:r>
                </w:p>
                <w:p>
                  <w:pPr>
                    <w:autoSpaceDE w:val="0"/>
                    <w:autoSpaceDN w:val="0"/>
                    <w:rPr>
                      <w:rFonts w:hint="eastAsia"/>
                      <w:szCs w:val="21"/>
                    </w:rPr>
                  </w:pPr>
                  <w:r>
                    <w:rPr>
                      <w:rFonts w:hint="eastAsia"/>
                      <w:kern w:val="0"/>
                      <w:szCs w:val="21"/>
                    </w:rPr>
                    <w:t>厂区大型客车、货车等营运车辆的拆解场所，设置监控视频并与公安系统联网。同时，将注销证明及《报废机动车回收证明》交给机动车所有人。</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pStyle w:val="4"/>
                    <w:snapToGrid/>
                    <w:spacing w:before="0" w:after="0"/>
                    <w:ind w:right="0"/>
                    <w:rPr>
                      <w:sz w:val="21"/>
                      <w:szCs w:val="21"/>
                      <w:lang w:val="en-US" w:eastAsia="zh-CN"/>
                    </w:rPr>
                  </w:pPr>
                  <w:r>
                    <w:rPr>
                      <w:rFonts w:hint="eastAsia"/>
                      <w:sz w:val="21"/>
                      <w:szCs w:val="21"/>
                      <w:lang w:val="en-US" w:eastAsia="zh-CN"/>
                    </w:rPr>
                    <w:t>报废机动车“五大总成”和尾气后处理装置，以及新能源汽车动力蓄电池不齐全的，机动车所有人应当书面说明情况，并对其真实性负责。机动车车架（或者车身）或者发动机缺失的应当认定为车辆缺失，回收拆解企业不得出具《报废机动车回收证明》。</w:t>
                  </w:r>
                </w:p>
              </w:tc>
              <w:tc>
                <w:tcPr>
                  <w:tcW w:w="5090" w:type="dxa"/>
                  <w:noWrap w:val="0"/>
                  <w:vAlign w:val="center"/>
                </w:tcPr>
                <w:p>
                  <w:pPr>
                    <w:autoSpaceDE w:val="0"/>
                    <w:autoSpaceDN w:val="0"/>
                    <w:rPr>
                      <w:rFonts w:hint="eastAsia"/>
                      <w:kern w:val="0"/>
                      <w:szCs w:val="21"/>
                    </w:rPr>
                  </w:pPr>
                  <w:r>
                    <w:rPr>
                      <w:rFonts w:hint="eastAsia"/>
                      <w:kern w:val="0"/>
                      <w:szCs w:val="21"/>
                    </w:rPr>
                    <w:t>对于报废机动车“五大总成”和尾气后处理装置，要求机动车所有人应当书面说明情况，并对其真实性负责。</w:t>
                  </w:r>
                </w:p>
                <w:p>
                  <w:pPr>
                    <w:autoSpaceDE w:val="0"/>
                    <w:autoSpaceDN w:val="0"/>
                    <w:rPr>
                      <w:rFonts w:hint="eastAsia"/>
                      <w:kern w:val="0"/>
                      <w:szCs w:val="21"/>
                    </w:rPr>
                  </w:pPr>
                  <w:r>
                    <w:rPr>
                      <w:rFonts w:hint="eastAsia"/>
                      <w:kern w:val="0"/>
                      <w:szCs w:val="21"/>
                    </w:rPr>
                    <w:t>对于机动车车架（或者车身）或者发动机缺失的应当认定为车辆缺失，公司</w:t>
                  </w:r>
                  <w:r>
                    <w:rPr>
                      <w:rFonts w:hint="eastAsia"/>
                      <w:sz w:val="21"/>
                      <w:szCs w:val="21"/>
                      <w:lang w:val="en-US" w:eastAsia="zh-CN"/>
                    </w:rPr>
                    <w:t>不出具《报废机动车回收证明》</w:t>
                  </w:r>
                  <w:r>
                    <w:rPr>
                      <w:rFonts w:hint="eastAsia"/>
                      <w:kern w:val="0"/>
                      <w:szCs w:val="21"/>
                    </w:rPr>
                    <w:t>。</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机动车存在抵押、质押情形的，回收拆解企业不得出具《报废机动车回收证明》。</w:t>
                  </w:r>
                </w:p>
                <w:p>
                  <w:pPr>
                    <w:pStyle w:val="4"/>
                    <w:snapToGrid/>
                    <w:spacing w:before="0" w:after="0"/>
                    <w:ind w:right="0"/>
                    <w:rPr>
                      <w:sz w:val="21"/>
                      <w:szCs w:val="21"/>
                      <w:lang w:val="en-US" w:eastAsia="zh-CN"/>
                    </w:rPr>
                  </w:pPr>
                  <w:r>
                    <w:rPr>
                      <w:rFonts w:hint="eastAsia"/>
                      <w:sz w:val="21"/>
                      <w:szCs w:val="21"/>
                      <w:lang w:val="en-US" w:eastAsia="zh-CN"/>
                    </w:rPr>
                    <w:t>发现回收的报废机动车疑似为赃物或者用于盗窃、抢劫等犯罪活动工具的，以及涉嫌伪造变造号牌、车辆识别代号、发动机号的，回收拆解企业应当向公安机关报告。已经打印的《报废机动车回收证明》应当予以作废。</w:t>
                  </w:r>
                </w:p>
              </w:tc>
              <w:tc>
                <w:tcPr>
                  <w:tcW w:w="5090" w:type="dxa"/>
                  <w:noWrap w:val="0"/>
                  <w:vAlign w:val="center"/>
                </w:tcPr>
                <w:p>
                  <w:pPr>
                    <w:autoSpaceDE w:val="0"/>
                    <w:autoSpaceDN w:val="0"/>
                    <w:rPr>
                      <w:rFonts w:hint="eastAsia"/>
                      <w:kern w:val="0"/>
                      <w:szCs w:val="21"/>
                    </w:rPr>
                  </w:pPr>
                  <w:r>
                    <w:rPr>
                      <w:rFonts w:hint="eastAsia"/>
                      <w:kern w:val="0"/>
                      <w:szCs w:val="21"/>
                    </w:rPr>
                    <w:t>明确进厂报废机动车来源，发现回收的报废机动车疑似赃物或者用于盗窃、抢劫等犯罪活动的犯罪工具的，及时向公安机关报告。公司将不进行回收拆解处理。</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autoSpaceDE w:val="0"/>
                    <w:autoSpaceDN w:val="0"/>
                    <w:rPr>
                      <w:kern w:val="0"/>
                      <w:szCs w:val="21"/>
                    </w:rPr>
                  </w:pPr>
                  <w:r>
                    <w:rPr>
                      <w:rFonts w:hint="eastAsia"/>
                      <w:kern w:val="0"/>
                      <w:szCs w:val="21"/>
                    </w:rPr>
                    <w:t>回收拆解企业必须在其资质认定的拆解经营场地内对回收的报废机动车予以拆解，禁止以任何方式交易报废机动车整车、拼装车。回收的报废大型客、货车等营运车辆和校车，应当在公安机关现场或者视频监督下解体。回收拆解企业应当积极配合报废机动车监督解体工作。</w:t>
                  </w:r>
                </w:p>
              </w:tc>
              <w:tc>
                <w:tcPr>
                  <w:tcW w:w="5090" w:type="dxa"/>
                  <w:noWrap w:val="0"/>
                  <w:vAlign w:val="center"/>
                </w:tcPr>
                <w:p>
                  <w:pPr>
                    <w:autoSpaceDE w:val="0"/>
                    <w:autoSpaceDN w:val="0"/>
                    <w:rPr>
                      <w:rFonts w:hint="eastAsia"/>
                      <w:kern w:val="0"/>
                      <w:szCs w:val="21"/>
                    </w:rPr>
                  </w:pPr>
                  <w:r>
                    <w:rPr>
                      <w:rFonts w:hint="eastAsia"/>
                      <w:kern w:val="0"/>
                      <w:szCs w:val="21"/>
                    </w:rPr>
                    <w:t>公司将在资质认定的场地内进行回收、拆解报废机动车，所有回收的报废机动车均进行拆解处理，可回收利用的部件，标明“</w:t>
                  </w:r>
                  <w:r>
                    <w:rPr>
                      <w:kern w:val="0"/>
                      <w:szCs w:val="21"/>
                    </w:rPr>
                    <w:t>报废机动车回用件</w:t>
                  </w:r>
                  <w:r>
                    <w:rPr>
                      <w:rFonts w:hint="eastAsia"/>
                      <w:kern w:val="0"/>
                      <w:szCs w:val="21"/>
                    </w:rPr>
                    <w:t>”后出售。</w:t>
                  </w:r>
                </w:p>
                <w:p>
                  <w:pPr>
                    <w:autoSpaceDE w:val="0"/>
                    <w:autoSpaceDN w:val="0"/>
                    <w:rPr>
                      <w:rFonts w:hint="eastAsia"/>
                      <w:kern w:val="0"/>
                      <w:szCs w:val="21"/>
                    </w:rPr>
                  </w:pPr>
                  <w:r>
                    <w:rPr>
                      <w:rFonts w:hint="eastAsia"/>
                      <w:kern w:val="0"/>
                      <w:szCs w:val="21"/>
                    </w:rPr>
                    <w:t>厂区大型大型客车、货车等营运车辆的拆解场所，设置监控视频并与公安系统联网。</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 回收拆解企业拆解报废机动车应当符合国家标准《报废机动车回收拆解企业技术规范》（GB22128）相关要求，并建立生产经营全覆盖的电子监控系统，录像保存至少1年。</w:t>
                  </w:r>
                </w:p>
              </w:tc>
              <w:tc>
                <w:tcPr>
                  <w:tcW w:w="5090" w:type="dxa"/>
                  <w:noWrap w:val="0"/>
                  <w:vAlign w:val="center"/>
                </w:tcPr>
                <w:p>
                  <w:pPr>
                    <w:autoSpaceDE w:val="0"/>
                    <w:autoSpaceDN w:val="0"/>
                    <w:rPr>
                      <w:rFonts w:hint="eastAsia"/>
                      <w:kern w:val="0"/>
                      <w:szCs w:val="21"/>
                    </w:rPr>
                  </w:pPr>
                  <w:r>
                    <w:rPr>
                      <w:rFonts w:hint="eastAsia"/>
                      <w:kern w:val="0"/>
                      <w:szCs w:val="21"/>
                    </w:rPr>
                    <w:t>根据</w:t>
                  </w:r>
                  <w:r>
                    <w:rPr>
                      <w:kern w:val="0"/>
                      <w:szCs w:val="21"/>
                    </w:rPr>
                    <w:t>《</w:t>
                  </w:r>
                  <w:r>
                    <w:rPr>
                      <w:rFonts w:hint="eastAsia"/>
                      <w:kern w:val="0"/>
                      <w:szCs w:val="21"/>
                      <w:lang w:eastAsia="zh-CN"/>
                    </w:rPr>
                    <w:t>报废机动车</w:t>
                  </w:r>
                  <w:r>
                    <w:rPr>
                      <w:kern w:val="0"/>
                      <w:szCs w:val="21"/>
                    </w:rPr>
                    <w:t>回收拆解企业技术规范》（GB22128-2019）相符性分析</w:t>
                  </w:r>
                  <w:r>
                    <w:rPr>
                      <w:rFonts w:hint="eastAsia"/>
                      <w:kern w:val="0"/>
                      <w:szCs w:val="21"/>
                    </w:rPr>
                    <w:t>可知，项目建设符合</w:t>
                  </w:r>
                  <w:r>
                    <w:rPr>
                      <w:kern w:val="0"/>
                      <w:szCs w:val="21"/>
                    </w:rPr>
                    <w:t>《</w:t>
                  </w:r>
                  <w:r>
                    <w:rPr>
                      <w:rFonts w:hint="eastAsia"/>
                      <w:kern w:val="0"/>
                      <w:szCs w:val="21"/>
                      <w:lang w:eastAsia="zh-CN"/>
                    </w:rPr>
                    <w:t>报废机动车</w:t>
                  </w:r>
                  <w:r>
                    <w:rPr>
                      <w:kern w:val="0"/>
                      <w:szCs w:val="21"/>
                    </w:rPr>
                    <w:t>回收拆解企业技术规范》（GB22128-2019）</w:t>
                  </w:r>
                  <w:r>
                    <w:rPr>
                      <w:rFonts w:hint="eastAsia"/>
                      <w:kern w:val="0"/>
                      <w:szCs w:val="21"/>
                    </w:rPr>
                    <w:t>中的相关要求。</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回收拆解企业应当遵守环境保护法律、法规和强制性标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5090" w:type="dxa"/>
                  <w:noWrap w:val="0"/>
                  <w:vAlign w:val="center"/>
                </w:tcPr>
                <w:p>
                  <w:pPr>
                    <w:autoSpaceDE w:val="0"/>
                    <w:autoSpaceDN w:val="0"/>
                    <w:rPr>
                      <w:rFonts w:hint="eastAsia"/>
                      <w:kern w:val="0"/>
                      <w:szCs w:val="21"/>
                    </w:rPr>
                  </w:pPr>
                  <w:r>
                    <w:rPr>
                      <w:rFonts w:hint="eastAsia"/>
                      <w:color w:val="000000"/>
                      <w:kern w:val="0"/>
                      <w:szCs w:val="21"/>
                      <w:highlight w:val="none"/>
                      <w:u w:val="none"/>
                      <w:lang w:val="en-US" w:eastAsia="zh-CN"/>
                    </w:rPr>
                    <w:t>项目</w:t>
                  </w:r>
                  <w:r>
                    <w:rPr>
                      <w:rFonts w:hint="eastAsia"/>
                      <w:sz w:val="21"/>
                      <w:szCs w:val="21"/>
                      <w:lang w:val="en-US" w:eastAsia="zh-CN"/>
                    </w:rPr>
                    <w:t>废油液挥发废气</w:t>
                  </w:r>
                  <w:r>
                    <w:rPr>
                      <w:rFonts w:hint="eastAsia"/>
                      <w:color w:val="000000"/>
                      <w:kern w:val="0"/>
                      <w:szCs w:val="21"/>
                      <w:highlight w:val="none"/>
                      <w:u w:val="none"/>
                      <w:lang w:val="en-US" w:eastAsia="zh-CN"/>
                    </w:rPr>
                    <w:t>经集气罩+活性炭吸附+15m高排气筒排放；</w:t>
                  </w:r>
                  <w:r>
                    <w:rPr>
                      <w:rFonts w:hint="eastAsia"/>
                      <w:sz w:val="21"/>
                      <w:szCs w:val="21"/>
                      <w:lang w:val="en-US" w:eastAsia="zh-CN"/>
                    </w:rPr>
                    <w:t>暂存废油液的危险废物暂存间产生的非甲烷总烃经引风管道收集+活性炭吸附装置处理后与废油液挥发废气一并经15m高排气筒排放；</w:t>
                  </w:r>
                  <w:r>
                    <w:rPr>
                      <w:rFonts w:hint="eastAsia"/>
                      <w:szCs w:val="21"/>
                    </w:rPr>
                    <w:t>制冷剂回收废气</w:t>
                  </w:r>
                  <w:r>
                    <w:rPr>
                      <w:rFonts w:hint="eastAsia"/>
                      <w:szCs w:val="21"/>
                      <w:lang w:eastAsia="zh-CN"/>
                    </w:rPr>
                    <w:t>经</w:t>
                  </w:r>
                  <w:r>
                    <w:rPr>
                      <w:rFonts w:hint="eastAsia"/>
                      <w:szCs w:val="21"/>
                    </w:rPr>
                    <w:t>专门的制冷剂回收装置</w:t>
                  </w:r>
                  <w:r>
                    <w:rPr>
                      <w:rFonts w:hint="eastAsia"/>
                      <w:szCs w:val="21"/>
                      <w:lang w:eastAsia="zh-CN"/>
                    </w:rPr>
                    <w:t>；</w:t>
                  </w:r>
                  <w:r>
                    <w:rPr>
                      <w:rFonts w:hint="default" w:ascii="Times New Roman" w:hAnsi="Times New Roman" w:cs="Times New Roman"/>
                      <w:b w:val="0"/>
                      <w:bCs w:val="0"/>
                      <w:sz w:val="21"/>
                      <w:szCs w:val="21"/>
                      <w:lang w:val="en-US" w:eastAsia="zh-CN"/>
                    </w:rPr>
                    <w:t>安全气囊废气经爆破自带收尘系统过滤</w:t>
                  </w:r>
                  <w:r>
                    <w:rPr>
                      <w:rFonts w:hint="eastAsia" w:ascii="Times New Roman" w:hAnsi="Times New Roman" w:cs="Times New Roman"/>
                      <w:b w:val="0"/>
                      <w:bCs w:val="0"/>
                      <w:sz w:val="21"/>
                      <w:szCs w:val="21"/>
                      <w:lang w:val="en-US" w:eastAsia="zh-CN"/>
                    </w:rPr>
                    <w:t>，拆解粉尘通过及时清扫车间地面粉尘、加强车间通风</w:t>
                  </w:r>
                  <w:r>
                    <w:rPr>
                      <w:rFonts w:hint="eastAsia"/>
                      <w:szCs w:val="21"/>
                      <w:lang w:eastAsia="zh-CN"/>
                    </w:rPr>
                    <w:t>。</w:t>
                  </w:r>
                  <w:r>
                    <w:rPr>
                      <w:rFonts w:hint="eastAsia"/>
                      <w:color w:val="000000"/>
                      <w:kern w:val="0"/>
                      <w:szCs w:val="21"/>
                      <w:highlight w:val="none"/>
                      <w:u w:val="none"/>
                      <w:lang w:eastAsia="zh-CN"/>
                    </w:rPr>
                    <w:t>项目雨污分流，</w:t>
                  </w:r>
                  <w:r>
                    <w:rPr>
                      <w:rFonts w:hint="eastAsia"/>
                      <w:color w:val="000000"/>
                      <w:kern w:val="0"/>
                      <w:szCs w:val="21"/>
                      <w:highlight w:val="none"/>
                      <w:u w:val="none"/>
                      <w:lang w:val="en-US" w:eastAsia="zh-CN"/>
                    </w:rPr>
                    <w:t>初期雨水+</w:t>
                  </w:r>
                  <w:r>
                    <w:rPr>
                      <w:rFonts w:hint="eastAsia"/>
                      <w:bCs/>
                      <w:szCs w:val="21"/>
                      <w:u w:val="none"/>
                    </w:rPr>
                    <w:t>拆解</w:t>
                  </w:r>
                  <w:r>
                    <w:rPr>
                      <w:rFonts w:hint="eastAsia"/>
                      <w:bCs/>
                      <w:szCs w:val="21"/>
                      <w:u w:val="none"/>
                      <w:lang w:eastAsia="zh-CN"/>
                    </w:rPr>
                    <w:t>区</w:t>
                  </w:r>
                  <w:r>
                    <w:rPr>
                      <w:rFonts w:hint="eastAsia"/>
                      <w:bCs/>
                      <w:szCs w:val="21"/>
                      <w:u w:val="none"/>
                    </w:rPr>
                    <w:t>地面</w:t>
                  </w:r>
                  <w:r>
                    <w:rPr>
                      <w:rFonts w:hint="eastAsia"/>
                      <w:bCs/>
                      <w:szCs w:val="21"/>
                      <w:u w:val="none"/>
                      <w:lang w:val="en-US" w:eastAsia="zh-CN"/>
                    </w:rPr>
                    <w:t>清洁</w:t>
                  </w:r>
                  <w:r>
                    <w:rPr>
                      <w:rFonts w:hint="eastAsia"/>
                      <w:bCs/>
                      <w:szCs w:val="21"/>
                      <w:u w:val="none"/>
                    </w:rPr>
                    <w:t>废水</w:t>
                  </w:r>
                  <w:r>
                    <w:rPr>
                      <w:rFonts w:hint="eastAsia"/>
                      <w:color w:val="000000"/>
                      <w:kern w:val="0"/>
                      <w:szCs w:val="21"/>
                      <w:highlight w:val="none"/>
                      <w:u w:val="none"/>
                      <w:lang w:eastAsia="zh-CN"/>
                    </w:rPr>
                    <w:t>经厂区污水处理设施（隔油池</w:t>
                  </w:r>
                  <w:r>
                    <w:rPr>
                      <w:rFonts w:hint="eastAsia"/>
                      <w:color w:val="000000"/>
                      <w:kern w:val="0"/>
                      <w:szCs w:val="21"/>
                      <w:highlight w:val="none"/>
                      <w:u w:val="none"/>
                      <w:lang w:val="en-US" w:eastAsia="zh-CN"/>
                    </w:rPr>
                    <w:t>+</w:t>
                  </w:r>
                  <w:r>
                    <w:rPr>
                      <w:rFonts w:hint="eastAsia" w:ascii="Calibri" w:hAnsi="Calibri" w:eastAsia="宋体" w:cs="Times New Roman"/>
                      <w:sz w:val="21"/>
                      <w:szCs w:val="21"/>
                      <w:lang w:val="en-US" w:eastAsia="zh-CN"/>
                    </w:rPr>
                    <w:t>气浮机</w:t>
                  </w:r>
                  <w:r>
                    <w:rPr>
                      <w:rFonts w:hint="eastAsia"/>
                      <w:color w:val="000000"/>
                      <w:kern w:val="0"/>
                      <w:szCs w:val="21"/>
                      <w:highlight w:val="none"/>
                      <w:u w:val="none"/>
                      <w:lang w:eastAsia="zh-CN"/>
                    </w:rPr>
                    <w:t>）处理后、生活污水</w:t>
                  </w:r>
                  <w:r>
                    <w:rPr>
                      <w:rFonts w:hint="default"/>
                      <w:u w:val="none"/>
                      <w:lang w:eastAsia="zh-CN"/>
                    </w:rPr>
                    <w:t>经化粪池处理后进入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default"/>
                      <w:u w:val="none"/>
                      <w:lang w:eastAsia="zh-CN"/>
                    </w:rPr>
                    <w:t>处理达标后外排入渠水</w:t>
                  </w:r>
                  <w:r>
                    <w:rPr>
                      <w:rFonts w:hint="eastAsia"/>
                      <w:kern w:val="0"/>
                      <w:szCs w:val="21"/>
                      <w:highlight w:val="none"/>
                    </w:rPr>
                    <w:t>，</w:t>
                  </w:r>
                  <w:r>
                    <w:rPr>
                      <w:rFonts w:hint="eastAsia"/>
                      <w:kern w:val="0"/>
                      <w:szCs w:val="21"/>
                    </w:rPr>
                    <w:t>危险废物分类储存在危废库内，定期交资质单位处理，落实污染防治措施后，不会造成环境污染。</w:t>
                  </w:r>
                </w:p>
                <w:p>
                  <w:pPr>
                    <w:autoSpaceDE w:val="0"/>
                    <w:autoSpaceDN w:val="0"/>
                    <w:rPr>
                      <w:rFonts w:hint="eastAsia"/>
                      <w:kern w:val="0"/>
                      <w:szCs w:val="21"/>
                    </w:rPr>
                  </w:pPr>
                  <w:r>
                    <w:rPr>
                      <w:rFonts w:hint="eastAsia"/>
                      <w:kern w:val="0"/>
                      <w:szCs w:val="21"/>
                    </w:rPr>
                    <w:t>待项目建成后，公司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805" w:type="dxa"/>
                  <w:noWrap w:val="0"/>
                  <w:vAlign w:val="center"/>
                </w:tcPr>
                <w:p>
                  <w:pPr>
                    <w:autoSpaceDE w:val="0"/>
                    <w:autoSpaceDN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77" w:type="dxa"/>
                  <w:gridSpan w:val="3"/>
                  <w:noWrap w:val="0"/>
                  <w:vAlign w:val="center"/>
                </w:tcPr>
                <w:p>
                  <w:pPr>
                    <w:pStyle w:val="4"/>
                    <w:snapToGrid/>
                    <w:spacing w:before="0" w:after="0"/>
                    <w:ind w:right="0"/>
                    <w:jc w:val="center"/>
                    <w:rPr>
                      <w:sz w:val="21"/>
                      <w:szCs w:val="21"/>
                      <w:lang w:val="en-US" w:eastAsia="zh-CN"/>
                    </w:rPr>
                  </w:pPr>
                  <w:r>
                    <w:rPr>
                      <w:rFonts w:hint="eastAsia"/>
                      <w:b/>
                      <w:bCs/>
                      <w:sz w:val="21"/>
                      <w:szCs w:val="21"/>
                      <w:lang w:val="en-US" w:eastAsia="zh-CN"/>
                    </w:rPr>
                    <w:t>回收利用行为规范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回收拆解企业应当建立报废机动车零部件销售台账，如实记录报废机动车“五大总成”数量、型号、流向等信息，并录入“全国汽车流通信息管理应用服务”系统。</w:t>
                  </w:r>
                </w:p>
                <w:p>
                  <w:pPr>
                    <w:pStyle w:val="4"/>
                    <w:snapToGrid/>
                    <w:spacing w:before="0" w:after="0"/>
                    <w:ind w:right="0"/>
                    <w:rPr>
                      <w:rFonts w:hint="eastAsia"/>
                      <w:sz w:val="21"/>
                      <w:szCs w:val="21"/>
                      <w:lang w:val="en-US" w:eastAsia="zh-CN"/>
                    </w:rPr>
                  </w:pPr>
                  <w:r>
                    <w:rPr>
                      <w:rFonts w:hint="eastAsia"/>
                      <w:sz w:val="21"/>
                      <w:szCs w:val="21"/>
                      <w:lang w:val="en-US" w:eastAsia="zh-CN"/>
                    </w:rPr>
                    <w:t>回收拆解企业应当对出售用于再制造的报废机动车“五大总成”按照商务部制定的标识规则编码，其中车架应当录入原车辆识别代号信息。</w:t>
                  </w:r>
                </w:p>
              </w:tc>
              <w:tc>
                <w:tcPr>
                  <w:tcW w:w="5090"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公司将建立台账，记录报废机动车“五大总成”数量、型号、流向等信息，并录入“全国汽车流通信息管理应用服务”系统。</w:t>
                  </w:r>
                </w:p>
                <w:p>
                  <w:pPr>
                    <w:pStyle w:val="4"/>
                    <w:snapToGrid/>
                    <w:spacing w:before="0" w:after="0"/>
                    <w:ind w:right="0"/>
                    <w:rPr>
                      <w:rFonts w:hint="eastAsia"/>
                      <w:sz w:val="21"/>
                      <w:szCs w:val="21"/>
                      <w:lang w:val="en-US" w:eastAsia="zh-CN"/>
                    </w:rPr>
                  </w:pPr>
                  <w:r>
                    <w:rPr>
                      <w:rFonts w:hint="eastAsia"/>
                      <w:sz w:val="21"/>
                      <w:szCs w:val="21"/>
                      <w:lang w:val="en-US" w:eastAsia="zh-CN"/>
                    </w:rPr>
                    <w:t>对于可再利用的“五大总成”，按照商务部制定的标识规则编码，其中车架应当录入原车辆识别代号信息。</w:t>
                  </w:r>
                </w:p>
              </w:tc>
              <w:tc>
                <w:tcPr>
                  <w:tcW w:w="805" w:type="dxa"/>
                  <w:noWrap w:val="0"/>
                  <w:vAlign w:val="center"/>
                </w:tcPr>
                <w:p>
                  <w:pPr>
                    <w:pStyle w:val="4"/>
                    <w:snapToGrid/>
                    <w:spacing w:before="0" w:after="0"/>
                    <w:ind w:right="0"/>
                    <w:jc w:val="center"/>
                    <w:rPr>
                      <w:sz w:val="21"/>
                      <w:szCs w:val="21"/>
                      <w:lang w:val="en-US" w:eastAsia="zh-CN"/>
                    </w:rPr>
                  </w:pPr>
                  <w:r>
                    <w:rPr>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回收拆解企业应当按照国家对新能源汽车动力蓄电池回收利用管理有关要求，对报废新能源汽车的废旧动力蓄电池或者其他类型储能装置进行拆卸、收集、贮存、运输及回收利用，加强全过程安全管理。</w:t>
                  </w:r>
                </w:p>
                <w:p>
                  <w:pPr>
                    <w:pStyle w:val="4"/>
                    <w:snapToGrid/>
                    <w:spacing w:before="0" w:after="0"/>
                    <w:ind w:right="0"/>
                    <w:rPr>
                      <w:rFonts w:hint="eastAsia"/>
                      <w:sz w:val="21"/>
                      <w:szCs w:val="21"/>
                      <w:lang w:val="en-US" w:eastAsia="zh-CN"/>
                    </w:rPr>
                  </w:pPr>
                  <w:r>
                    <w:rPr>
                      <w:rFonts w:hint="eastAsia"/>
                      <w:sz w:val="21"/>
                      <w:szCs w:val="21"/>
                      <w:lang w:val="en-US" w:eastAsia="zh-CN"/>
                    </w:rPr>
                    <w:t>回收拆解企业应当将报废新能源汽车车辆识别代号及动力蓄电池编码、数量、型号、流向等信息，录入“新能源汽车国家监测与动力蓄电池回收利用溯源综合管理平台”系统。</w:t>
                  </w:r>
                </w:p>
              </w:tc>
              <w:tc>
                <w:tcPr>
                  <w:tcW w:w="5090"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公司按照国家对新能源汽车动力蓄电池回收利用管理有关要求，对报废新能源汽车的废旧动力蓄电池或者其他类型储能装置进行拆卸、收集、贮存、运输及回收利用，加强全过程安全管理。</w:t>
                  </w:r>
                </w:p>
                <w:p>
                  <w:pPr>
                    <w:pStyle w:val="4"/>
                    <w:snapToGrid/>
                    <w:spacing w:before="0" w:after="0"/>
                    <w:ind w:right="0"/>
                    <w:rPr>
                      <w:rFonts w:hint="eastAsia"/>
                      <w:sz w:val="21"/>
                      <w:szCs w:val="21"/>
                      <w:lang w:val="en-US" w:eastAsia="zh-CN"/>
                    </w:rPr>
                  </w:pPr>
                  <w:r>
                    <w:rPr>
                      <w:rFonts w:hint="eastAsia"/>
                      <w:sz w:val="21"/>
                      <w:szCs w:val="21"/>
                      <w:lang w:val="en-US" w:eastAsia="zh-CN"/>
                    </w:rPr>
                    <w:t>企业将报废新能源汽车车辆识别代号及动力蓄电池编码、数量、型号、流向等信息，录入“新能源汽车国家监测与动力蓄电池回收利用溯源综合管理平台”系统。</w:t>
                  </w:r>
                </w:p>
              </w:tc>
              <w:tc>
                <w:tcPr>
                  <w:tcW w:w="805" w:type="dxa"/>
                  <w:noWrap w:val="0"/>
                  <w:vAlign w:val="center"/>
                </w:tcPr>
                <w:p>
                  <w:pPr>
                    <w:pStyle w:val="4"/>
                    <w:snapToGrid/>
                    <w:spacing w:before="0" w:after="0"/>
                    <w:ind w:right="0"/>
                    <w:jc w:val="center"/>
                    <w:rPr>
                      <w:rFonts w:hint="eastAsia"/>
                      <w:sz w:val="21"/>
                      <w:szCs w:val="21"/>
                      <w:lang w:val="en-US" w:eastAsia="zh-CN"/>
                    </w:rPr>
                  </w:pPr>
                  <w:r>
                    <w:rPr>
                      <w:rFonts w:hint="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回收拆解企业拆解的报废机动车“五大总成”具备再制造条件的，可以按照国家有关规定出售给具有再制造能力的企业经过再制造予以循环利用；不具备再制造条件的，应当作为废金属，交售给冶炼或者破碎企业。</w:t>
                  </w:r>
                </w:p>
              </w:tc>
              <w:tc>
                <w:tcPr>
                  <w:tcW w:w="5090" w:type="dxa"/>
                  <w:noWrap w:val="0"/>
                  <w:vAlign w:val="center"/>
                </w:tcPr>
                <w:p>
                  <w:pPr>
                    <w:autoSpaceDE w:val="0"/>
                    <w:autoSpaceDN w:val="0"/>
                    <w:rPr>
                      <w:rFonts w:hint="eastAsia"/>
                      <w:kern w:val="0"/>
                      <w:szCs w:val="21"/>
                    </w:rPr>
                  </w:pPr>
                  <w:r>
                    <w:rPr>
                      <w:rFonts w:hint="eastAsia"/>
                      <w:kern w:val="0"/>
                      <w:szCs w:val="21"/>
                    </w:rPr>
                    <w:t>项目拆解的</w:t>
                  </w:r>
                  <w:r>
                    <w:rPr>
                      <w:kern w:val="0"/>
                      <w:szCs w:val="21"/>
                    </w:rPr>
                    <w:t>“五大总成”具备再制造条件的</w:t>
                  </w:r>
                  <w:r>
                    <w:rPr>
                      <w:rFonts w:hint="eastAsia"/>
                      <w:kern w:val="0"/>
                      <w:szCs w:val="21"/>
                    </w:rPr>
                    <w:t>，</w:t>
                  </w:r>
                  <w:r>
                    <w:rPr>
                      <w:kern w:val="0"/>
                      <w:szCs w:val="21"/>
                    </w:rPr>
                    <w:t>按照国家有关规定出售给具有再制造能力的企业经过再制造予以循环利用</w:t>
                  </w:r>
                  <w:r>
                    <w:rPr>
                      <w:rFonts w:hint="eastAsia"/>
                      <w:kern w:val="0"/>
                      <w:szCs w:val="21"/>
                    </w:rPr>
                    <w:t>，</w:t>
                  </w:r>
                  <w:r>
                    <w:rPr>
                      <w:kern w:val="0"/>
                      <w:szCs w:val="21"/>
                    </w:rPr>
                    <w:t>不具备再制造条件的，作为废金属，交售给钢铁企业作为冶炼原料。</w:t>
                  </w:r>
                </w:p>
              </w:tc>
              <w:tc>
                <w:tcPr>
                  <w:tcW w:w="805" w:type="dxa"/>
                  <w:noWrap w:val="0"/>
                  <w:vAlign w:val="center"/>
                </w:tcPr>
                <w:p>
                  <w:pPr>
                    <w:pStyle w:val="4"/>
                    <w:snapToGrid/>
                    <w:spacing w:before="0" w:after="0"/>
                    <w:ind w:right="0"/>
                    <w:jc w:val="center"/>
                    <w:rPr>
                      <w:sz w:val="21"/>
                      <w:szCs w:val="21"/>
                      <w:lang w:val="en-US" w:eastAsia="zh-CN"/>
                    </w:rPr>
                  </w:pPr>
                  <w:r>
                    <w:rPr>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2" w:type="dxa"/>
                  <w:noWrap w:val="0"/>
                  <w:vAlign w:val="center"/>
                </w:tcPr>
                <w:p>
                  <w:pPr>
                    <w:pStyle w:val="4"/>
                    <w:snapToGrid/>
                    <w:spacing w:before="0" w:after="0"/>
                    <w:ind w:right="0"/>
                    <w:rPr>
                      <w:rFonts w:hint="eastAsia"/>
                      <w:sz w:val="21"/>
                      <w:szCs w:val="21"/>
                      <w:lang w:val="en-US" w:eastAsia="zh-CN"/>
                    </w:rPr>
                  </w:pPr>
                  <w:r>
                    <w:rPr>
                      <w:rFonts w:hint="eastAsia"/>
                      <w:sz w:val="21"/>
                      <w:szCs w:val="21"/>
                      <w:lang w:val="en-US" w:eastAsia="zh-CN"/>
                    </w:rPr>
                    <w:t>回收拆解企业拆解的报废机动车“五大总成”以外的零部件符合保障人身和财产安全等强制性国家标准，能够继续使用的，可以出售，但应当标明“报废机动车回用件”。</w:t>
                  </w:r>
                </w:p>
                <w:p>
                  <w:pPr>
                    <w:pStyle w:val="4"/>
                    <w:snapToGrid/>
                    <w:spacing w:before="0" w:after="0"/>
                    <w:ind w:right="0"/>
                    <w:rPr>
                      <w:rFonts w:hint="eastAsia"/>
                      <w:sz w:val="21"/>
                      <w:szCs w:val="21"/>
                      <w:lang w:val="en-US" w:eastAsia="zh-CN"/>
                    </w:rPr>
                  </w:pPr>
                  <w:r>
                    <w:rPr>
                      <w:rFonts w:hint="eastAsia"/>
                      <w:sz w:val="21"/>
                      <w:szCs w:val="21"/>
                      <w:lang w:val="en-US" w:eastAsia="zh-CN"/>
                    </w:rPr>
                    <w:t>回收拆解企业拆解的尾气后处理装置、危险废物应当如实记录，并交由有处理资质的企业进行拆解处置，不得向其他企业出售和转卖。</w:t>
                  </w:r>
                </w:p>
                <w:p>
                  <w:pPr>
                    <w:pStyle w:val="4"/>
                    <w:snapToGrid/>
                    <w:spacing w:before="0" w:after="0"/>
                    <w:ind w:right="0"/>
                    <w:rPr>
                      <w:rFonts w:hint="eastAsia"/>
                      <w:sz w:val="21"/>
                      <w:szCs w:val="21"/>
                      <w:lang w:val="en-US" w:eastAsia="zh-CN"/>
                    </w:rPr>
                  </w:pPr>
                  <w:r>
                    <w:rPr>
                      <w:rFonts w:hint="eastAsia"/>
                      <w:sz w:val="21"/>
                      <w:szCs w:val="21"/>
                      <w:lang w:val="en-US" w:eastAsia="zh-CN"/>
                    </w:rPr>
                    <w:t>回收拆解企业拆卸的动力蓄电池应当交售给新能源汽车生产企业建立的动力蓄电池回收服务网点，或者符合国家对动力蓄电池梯次利用管理有关要求的梯次利用企业，或者从事废旧动力蓄电池综合利用的企业。</w:t>
                  </w:r>
                </w:p>
              </w:tc>
              <w:tc>
                <w:tcPr>
                  <w:tcW w:w="5090" w:type="dxa"/>
                  <w:noWrap w:val="0"/>
                  <w:vAlign w:val="center"/>
                </w:tcPr>
                <w:p>
                  <w:pPr>
                    <w:autoSpaceDE w:val="0"/>
                    <w:autoSpaceDN w:val="0"/>
                    <w:rPr>
                      <w:rFonts w:hint="eastAsia"/>
                      <w:kern w:val="0"/>
                      <w:szCs w:val="21"/>
                    </w:rPr>
                  </w:pPr>
                  <w:r>
                    <w:rPr>
                      <w:rFonts w:hint="eastAsia"/>
                      <w:kern w:val="0"/>
                      <w:szCs w:val="21"/>
                    </w:rPr>
                    <w:t>“</w:t>
                  </w:r>
                  <w:r>
                    <w:rPr>
                      <w:kern w:val="0"/>
                      <w:szCs w:val="21"/>
                    </w:rPr>
                    <w:t>五大总成</w:t>
                  </w:r>
                  <w:r>
                    <w:rPr>
                      <w:rFonts w:hint="eastAsia"/>
                      <w:kern w:val="0"/>
                      <w:szCs w:val="21"/>
                    </w:rPr>
                    <w:t>”</w:t>
                  </w:r>
                  <w:r>
                    <w:rPr>
                      <w:kern w:val="0"/>
                      <w:szCs w:val="21"/>
                    </w:rPr>
                    <w:t>以外能够继续使用的零部件</w:t>
                  </w:r>
                  <w:r>
                    <w:rPr>
                      <w:rFonts w:hint="eastAsia"/>
                      <w:kern w:val="0"/>
                      <w:szCs w:val="21"/>
                    </w:rPr>
                    <w:t>，标明“</w:t>
                  </w:r>
                  <w:r>
                    <w:rPr>
                      <w:kern w:val="0"/>
                      <w:szCs w:val="21"/>
                    </w:rPr>
                    <w:t>报废机动车回用件</w:t>
                  </w:r>
                  <w:r>
                    <w:rPr>
                      <w:rFonts w:hint="eastAsia"/>
                      <w:kern w:val="0"/>
                      <w:szCs w:val="21"/>
                    </w:rPr>
                    <w:t>”后出售。同时，公司将建立台账，如实记录拆解的尾气后处理装置、危险废物流向、贮存、利用和处置等信息，并通过“全国固体废物管理信息系统”进行填报；制定危险废物管理计划，按照国家有关规定贮存、运输、转移和利用处置危险废物。</w:t>
                  </w:r>
                </w:p>
                <w:p>
                  <w:pPr>
                    <w:autoSpaceDE w:val="0"/>
                    <w:autoSpaceDN w:val="0"/>
                    <w:rPr>
                      <w:rFonts w:hint="eastAsia"/>
                      <w:szCs w:val="21"/>
                    </w:rPr>
                  </w:pPr>
                  <w:r>
                    <w:rPr>
                      <w:rFonts w:hint="eastAsia"/>
                      <w:kern w:val="0"/>
                      <w:szCs w:val="21"/>
                      <w:lang w:eastAsia="zh-CN"/>
                    </w:rPr>
                    <w:t>企业</w:t>
                  </w:r>
                  <w:r>
                    <w:rPr>
                      <w:rFonts w:hint="eastAsia"/>
                      <w:kern w:val="0"/>
                      <w:szCs w:val="21"/>
                    </w:rPr>
                    <w:t>拆卸的动力蓄电池交售给新能源汽车生产企业建立的动力蓄电池回收服务网点，或者符合国家对动力蓄电池梯次利用管理有关要求的梯次利用企业，或者从事废旧动力蓄电池综合利用的企业。</w:t>
                  </w:r>
                </w:p>
              </w:tc>
              <w:tc>
                <w:tcPr>
                  <w:tcW w:w="805" w:type="dxa"/>
                  <w:noWrap w:val="0"/>
                  <w:vAlign w:val="center"/>
                </w:tcPr>
                <w:p>
                  <w:pPr>
                    <w:pStyle w:val="4"/>
                    <w:snapToGrid/>
                    <w:spacing w:before="0" w:after="0"/>
                    <w:ind w:right="0"/>
                    <w:jc w:val="center"/>
                    <w:rPr>
                      <w:sz w:val="21"/>
                      <w:szCs w:val="21"/>
                      <w:lang w:val="en-US" w:eastAsia="zh-CN"/>
                    </w:rPr>
                  </w:pPr>
                  <w:r>
                    <w:rPr>
                      <w:sz w:val="21"/>
                      <w:szCs w:val="21"/>
                      <w:lang w:val="en-US" w:eastAsia="zh-CN"/>
                    </w:rPr>
                    <w:t>符合</w:t>
                  </w:r>
                </w:p>
              </w:tc>
            </w:tr>
          </w:tbl>
          <w:p>
            <w:pPr>
              <w:autoSpaceDE w:val="0"/>
              <w:autoSpaceDN w:val="0"/>
              <w:adjustRightInd w:val="0"/>
              <w:snapToGrid w:val="0"/>
              <w:spacing w:line="360" w:lineRule="auto"/>
              <w:ind w:firstLine="480" w:firstLineChars="200"/>
              <w:jc w:val="left"/>
              <w:rPr>
                <w:rFonts w:hint="eastAsia"/>
                <w:b/>
                <w:sz w:val="24"/>
                <w:szCs w:val="24"/>
              </w:rPr>
            </w:pPr>
            <w:r>
              <w:rPr>
                <w:bCs/>
                <w:sz w:val="24"/>
                <w:szCs w:val="24"/>
              </w:rPr>
              <w:t>由表1-</w:t>
            </w:r>
            <w:r>
              <w:rPr>
                <w:rFonts w:hint="eastAsia"/>
                <w:bCs/>
                <w:sz w:val="24"/>
                <w:szCs w:val="24"/>
                <w:lang w:val="en-US" w:eastAsia="zh-CN"/>
              </w:rPr>
              <w:t>3</w:t>
            </w:r>
            <w:r>
              <w:rPr>
                <w:bCs/>
                <w:sz w:val="24"/>
                <w:szCs w:val="24"/>
              </w:rPr>
              <w:t>可以看出，本项且的建设符合《</w:t>
            </w:r>
            <w:r>
              <w:rPr>
                <w:rFonts w:hint="eastAsia"/>
                <w:bCs/>
                <w:sz w:val="24"/>
                <w:szCs w:val="24"/>
              </w:rPr>
              <w:t>报废机动车回收管理办法实施细则（商务部令2020年第2号）</w:t>
            </w:r>
            <w:r>
              <w:rPr>
                <w:bCs/>
                <w:sz w:val="24"/>
                <w:szCs w:val="24"/>
              </w:rPr>
              <w:t>》的要求。</w:t>
            </w:r>
          </w:p>
          <w:p>
            <w:pPr>
              <w:autoSpaceDE w:val="0"/>
              <w:autoSpaceDN w:val="0"/>
              <w:adjustRightInd w:val="0"/>
              <w:snapToGrid w:val="0"/>
              <w:spacing w:line="360" w:lineRule="auto"/>
              <w:jc w:val="left"/>
              <w:rPr>
                <w:rFonts w:hint="eastAsia"/>
                <w:b/>
                <w:sz w:val="24"/>
                <w:szCs w:val="24"/>
              </w:rPr>
            </w:pPr>
            <w:r>
              <w:rPr>
                <w:rFonts w:hint="eastAsia"/>
                <w:b/>
                <w:sz w:val="24"/>
                <w:szCs w:val="24"/>
                <w:lang w:val="en-US" w:eastAsia="zh-CN"/>
              </w:rPr>
              <w:t>6、</w:t>
            </w:r>
            <w:r>
              <w:rPr>
                <w:b/>
                <w:sz w:val="24"/>
                <w:szCs w:val="24"/>
              </w:rPr>
              <w:t>与《报废机动车回收拆解企业技术规范》符合性分析</w:t>
            </w:r>
          </w:p>
          <w:p>
            <w:pPr>
              <w:autoSpaceDE w:val="0"/>
              <w:autoSpaceDN w:val="0"/>
              <w:adjustRightInd w:val="0"/>
              <w:snapToGrid w:val="0"/>
              <w:spacing w:line="360" w:lineRule="auto"/>
              <w:ind w:firstLine="480" w:firstLineChars="200"/>
              <w:jc w:val="left"/>
              <w:rPr>
                <w:rFonts w:hint="eastAsia"/>
              </w:rPr>
            </w:pPr>
            <w:r>
              <w:rPr>
                <w:color w:val="000000"/>
                <w:sz w:val="24"/>
                <w:szCs w:val="24"/>
              </w:rPr>
              <w:t>本项目与</w:t>
            </w:r>
            <w:r>
              <w:rPr>
                <w:sz w:val="24"/>
                <w:szCs w:val="24"/>
              </w:rPr>
              <w:t>《报废机动车回收拆解企业技术规范》（GB22128-2019）符合性分析详见下表</w:t>
            </w:r>
            <w:r>
              <w:rPr>
                <w:rFonts w:hint="eastAsia"/>
                <w:sz w:val="24"/>
                <w:szCs w:val="24"/>
              </w:rPr>
              <w:t>：</w:t>
            </w:r>
          </w:p>
          <w:p>
            <w:pPr>
              <w:ind w:left="1160" w:hanging="1160" w:hangingChars="550"/>
              <w:jc w:val="center"/>
              <w:rPr>
                <w:b/>
              </w:rPr>
            </w:pPr>
            <w:r>
              <w:rPr>
                <w:b/>
              </w:rPr>
              <w:t>表</w:t>
            </w:r>
            <w:r>
              <w:rPr>
                <w:rFonts w:hint="eastAsia"/>
                <w:b/>
              </w:rPr>
              <w:t>1</w:t>
            </w:r>
            <w:r>
              <w:rPr>
                <w:b/>
              </w:rPr>
              <w:t>-</w:t>
            </w:r>
            <w:r>
              <w:rPr>
                <w:rFonts w:hint="eastAsia"/>
                <w:b/>
                <w:lang w:val="en-US" w:eastAsia="zh-CN"/>
              </w:rPr>
              <w:t>4</w:t>
            </w:r>
            <w:r>
              <w:rPr>
                <w:rFonts w:hint="eastAsia"/>
                <w:b/>
              </w:rPr>
              <w:t xml:space="preserve"> 项目与</w:t>
            </w:r>
            <w:r>
              <w:rPr>
                <w:b/>
              </w:rPr>
              <w:t>《</w:t>
            </w:r>
            <w:r>
              <w:rPr>
                <w:rFonts w:hint="eastAsia"/>
                <w:b/>
              </w:rPr>
              <w:t>报废机动车回收拆解企业技术规范</w:t>
            </w:r>
            <w:r>
              <w:rPr>
                <w:b/>
              </w:rPr>
              <w:t>》符合性分析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86"/>
              <w:gridCol w:w="2890"/>
              <w:gridCol w:w="2702"/>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序号</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项目</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《报废机动车回收拆解企业技术规范》（GB22128-2019）要求</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lang w:val="en-US" w:eastAsia="zh-CN" w:bidi="ar-SA"/>
                    </w:rPr>
                  </w:pPr>
                  <w:r>
                    <w:rPr>
                      <w:rFonts w:hint="default" w:ascii="Times New Roman" w:hAnsi="Times New Roman" w:cs="Times New Roman"/>
                      <w:kern w:val="0"/>
                      <w:sz w:val="21"/>
                      <w:szCs w:val="21"/>
                      <w:u w:val="none"/>
                      <w:vertAlign w:val="baseline"/>
                    </w:rPr>
                    <w:t>本项目情况是否</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lang w:val="en-US" w:eastAsia="zh-CN" w:bidi="ar-SA"/>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1</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产能</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单个企业最低年拆解产能应满足表2要求</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本项目位于</w:t>
                  </w:r>
                  <w:r>
                    <w:rPr>
                      <w:rFonts w:hint="default" w:ascii="Times New Roman" w:hAnsi="Times New Roman" w:cs="Times New Roman"/>
                      <w:szCs w:val="21"/>
                      <w:lang w:eastAsia="zh-CN" w:bidi="en-US"/>
                    </w:rPr>
                    <w:t>靖州苗族侗族自治县工业集中区甘太综合加工园</w:t>
                  </w:r>
                  <w:r>
                    <w:rPr>
                      <w:rFonts w:hint="default" w:ascii="Times New Roman" w:hAnsi="Times New Roman" w:cs="Times New Roman"/>
                      <w:kern w:val="0"/>
                      <w:sz w:val="21"/>
                      <w:szCs w:val="21"/>
                      <w:u w:val="none"/>
                      <w:vertAlign w:val="baseline"/>
                    </w:rPr>
                    <w:t>，</w:t>
                  </w:r>
                  <w:r>
                    <w:rPr>
                      <w:rFonts w:hint="default" w:ascii="Times New Roman" w:hAnsi="Times New Roman" w:cs="Times New Roman"/>
                      <w:kern w:val="0"/>
                      <w:sz w:val="21"/>
                      <w:szCs w:val="21"/>
                      <w:u w:val="none"/>
                      <w:vertAlign w:val="baseline"/>
                      <w:lang w:val="en-US" w:eastAsia="zh-CN"/>
                    </w:rPr>
                    <w:t>根据靖州苗族侗族自治县2021年国民经济和社会发展统计公报显示全县民用汽车保有量为25754辆，属于表1中</w:t>
                  </w:r>
                  <w:r>
                    <w:rPr>
                      <w:rFonts w:hint="default" w:ascii="Times New Roman" w:hAnsi="Times New Roman" w:cs="Times New Roman"/>
                      <w:kern w:val="0"/>
                      <w:sz w:val="21"/>
                      <w:szCs w:val="21"/>
                      <w:u w:val="none"/>
                      <w:vertAlign w:val="baseline"/>
                      <w:lang w:val="en-US" w:eastAsia="zh-CN"/>
                    </w:rPr>
                    <w:fldChar w:fldCharType="begin"/>
                  </w:r>
                  <w:r>
                    <w:rPr>
                      <w:rFonts w:hint="default" w:ascii="Times New Roman" w:hAnsi="Times New Roman" w:cs="Times New Roman"/>
                      <w:kern w:val="0"/>
                      <w:sz w:val="21"/>
                      <w:szCs w:val="21"/>
                      <w:u w:val="none"/>
                      <w:vertAlign w:val="baseline"/>
                      <w:lang w:val="en-US" w:eastAsia="zh-CN"/>
                    </w:rPr>
                    <w:instrText xml:space="preserve"> = 6 \* ROMAN \* MERGEFORMAT </w:instrText>
                  </w:r>
                  <w:r>
                    <w:rPr>
                      <w:rFonts w:hint="default" w:ascii="Times New Roman" w:hAnsi="Times New Roman" w:cs="Times New Roman"/>
                      <w:kern w:val="0"/>
                      <w:sz w:val="21"/>
                      <w:szCs w:val="21"/>
                      <w:u w:val="none"/>
                      <w:vertAlign w:val="baseline"/>
                      <w:lang w:val="en-US" w:eastAsia="zh-CN"/>
                    </w:rPr>
                    <w:fldChar w:fldCharType="separate"/>
                  </w:r>
                  <w:r>
                    <w:rPr>
                      <w:rFonts w:hint="default" w:ascii="Times New Roman" w:hAnsi="Times New Roman" w:cs="Times New Roman"/>
                      <w:kern w:val="0"/>
                      <w:sz w:val="21"/>
                      <w:szCs w:val="21"/>
                      <w:u w:val="none"/>
                      <w:vertAlign w:val="baseline"/>
                    </w:rPr>
                    <w:t>VI</w:t>
                  </w:r>
                  <w:r>
                    <w:rPr>
                      <w:rFonts w:hint="default" w:ascii="Times New Roman" w:hAnsi="Times New Roman" w:cs="Times New Roman"/>
                      <w:kern w:val="0"/>
                      <w:sz w:val="21"/>
                      <w:szCs w:val="21"/>
                      <w:u w:val="none"/>
                      <w:vertAlign w:val="baseline"/>
                      <w:lang w:val="en-US" w:eastAsia="zh-CN"/>
                    </w:rPr>
                    <w:fldChar w:fldCharType="end"/>
                  </w:r>
                  <w:r>
                    <w:rPr>
                      <w:rFonts w:hint="default" w:ascii="Times New Roman" w:hAnsi="Times New Roman" w:cs="Times New Roman"/>
                      <w:kern w:val="0"/>
                      <w:sz w:val="21"/>
                      <w:szCs w:val="21"/>
                      <w:u w:val="none"/>
                      <w:vertAlign w:val="baseline"/>
                      <w:lang w:val="en-US" w:eastAsia="zh-CN"/>
                    </w:rPr>
                    <w:t>档地区，表2中</w:t>
                  </w:r>
                  <w:r>
                    <w:rPr>
                      <w:rFonts w:hint="default" w:ascii="Times New Roman" w:hAnsi="Times New Roman" w:cs="Times New Roman"/>
                      <w:kern w:val="0"/>
                      <w:sz w:val="21"/>
                      <w:szCs w:val="21"/>
                      <w:u w:val="none"/>
                      <w:vertAlign w:val="baseline"/>
                      <w:lang w:val="en-US" w:eastAsia="zh-CN"/>
                    </w:rPr>
                    <w:fldChar w:fldCharType="begin"/>
                  </w:r>
                  <w:r>
                    <w:rPr>
                      <w:rFonts w:hint="default" w:ascii="Times New Roman" w:hAnsi="Times New Roman" w:cs="Times New Roman"/>
                      <w:kern w:val="0"/>
                      <w:sz w:val="21"/>
                      <w:szCs w:val="21"/>
                      <w:u w:val="none"/>
                      <w:vertAlign w:val="baseline"/>
                      <w:lang w:val="en-US" w:eastAsia="zh-CN"/>
                    </w:rPr>
                    <w:instrText xml:space="preserve"> = 6 \* ROMAN \* MERGEFORMAT </w:instrText>
                  </w:r>
                  <w:r>
                    <w:rPr>
                      <w:rFonts w:hint="default" w:ascii="Times New Roman" w:hAnsi="Times New Roman" w:cs="Times New Roman"/>
                      <w:kern w:val="0"/>
                      <w:sz w:val="21"/>
                      <w:szCs w:val="21"/>
                      <w:u w:val="none"/>
                      <w:vertAlign w:val="baseline"/>
                      <w:lang w:val="en-US" w:eastAsia="zh-CN"/>
                    </w:rPr>
                    <w:fldChar w:fldCharType="separate"/>
                  </w:r>
                  <w:r>
                    <w:rPr>
                      <w:rFonts w:hint="default" w:ascii="Times New Roman" w:hAnsi="Times New Roman" w:cs="Times New Roman"/>
                      <w:kern w:val="0"/>
                      <w:sz w:val="21"/>
                      <w:szCs w:val="21"/>
                      <w:u w:val="none"/>
                      <w:vertAlign w:val="baseline"/>
                      <w:lang w:val="en-US" w:eastAsia="zh-CN"/>
                    </w:rPr>
                    <w:t>VI</w:t>
                  </w:r>
                  <w:r>
                    <w:rPr>
                      <w:rFonts w:hint="default" w:ascii="Times New Roman" w:hAnsi="Times New Roman" w:cs="Times New Roman"/>
                      <w:kern w:val="0"/>
                      <w:sz w:val="21"/>
                      <w:szCs w:val="21"/>
                      <w:u w:val="none"/>
                      <w:vertAlign w:val="baseline"/>
                      <w:lang w:val="en-US" w:eastAsia="zh-CN"/>
                    </w:rPr>
                    <w:fldChar w:fldCharType="end"/>
                  </w:r>
                  <w:r>
                    <w:rPr>
                      <w:rFonts w:hint="default" w:ascii="Times New Roman" w:hAnsi="Times New Roman" w:cs="Times New Roman"/>
                      <w:kern w:val="0"/>
                      <w:sz w:val="21"/>
                      <w:szCs w:val="21"/>
                      <w:u w:val="none"/>
                      <w:vertAlign w:val="baseline"/>
                      <w:lang w:val="en-US" w:eastAsia="zh-CN"/>
                    </w:rPr>
                    <w:t>档单个企业最低年拆解产能应不低于5000辆/年</w:t>
                  </w:r>
                  <w:r>
                    <w:rPr>
                      <w:rFonts w:hint="eastAsia" w:ascii="Times New Roman" w:hAnsi="Times New Roman" w:cs="Times New Roman"/>
                      <w:kern w:val="0"/>
                      <w:sz w:val="21"/>
                      <w:szCs w:val="21"/>
                      <w:u w:val="none"/>
                      <w:vertAlign w:val="baseline"/>
                      <w:lang w:val="en-US" w:eastAsia="zh-CN"/>
                    </w:rPr>
                    <w:t>，</w:t>
                  </w:r>
                  <w:r>
                    <w:rPr>
                      <w:rFonts w:hint="eastAsia" w:ascii="Times New Roman" w:hAnsi="Times New Roman" w:cs="Times New Roman"/>
                      <w:color w:val="auto"/>
                      <w:kern w:val="0"/>
                      <w:sz w:val="21"/>
                      <w:szCs w:val="21"/>
                      <w:u w:val="none"/>
                      <w:vertAlign w:val="baseline"/>
                      <w:lang w:eastAsia="zh-CN"/>
                    </w:rPr>
                    <w:t>根据市场发展的前景和国家政策要求，</w:t>
                  </w:r>
                  <w:r>
                    <w:rPr>
                      <w:rFonts w:hint="default" w:ascii="Times New Roman" w:hAnsi="Times New Roman" w:cs="Times New Roman"/>
                      <w:color w:val="auto"/>
                      <w:kern w:val="0"/>
                      <w:sz w:val="21"/>
                      <w:szCs w:val="21"/>
                      <w:u w:val="none"/>
                      <w:vertAlign w:val="baseline"/>
                    </w:rPr>
                    <w:t>本项目建成后可实现年回收拆解</w:t>
                  </w:r>
                  <w:r>
                    <w:rPr>
                      <w:rFonts w:hint="eastAsia" w:ascii="Times New Roman" w:hAnsi="Times New Roman" w:cs="Times New Roman"/>
                      <w:color w:val="auto"/>
                      <w:kern w:val="0"/>
                      <w:sz w:val="21"/>
                      <w:szCs w:val="21"/>
                      <w:u w:val="none"/>
                      <w:vertAlign w:val="baseline"/>
                      <w:lang w:val="en-US" w:eastAsia="zh-CN"/>
                    </w:rPr>
                    <w:t>1</w:t>
                  </w:r>
                  <w:r>
                    <w:rPr>
                      <w:rFonts w:hint="default" w:ascii="Times New Roman" w:hAnsi="Times New Roman" w:cs="Times New Roman"/>
                      <w:color w:val="auto"/>
                      <w:kern w:val="0"/>
                      <w:sz w:val="21"/>
                      <w:szCs w:val="21"/>
                      <w:u w:val="none"/>
                      <w:vertAlign w:val="baseline"/>
                    </w:rPr>
                    <w:t>万辆机动车的能力</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2</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restart"/>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场</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地</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符合所在地城市总体规划或国土空间规划</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本项目位于靖州产业开发区甘太综合加工园，符合城市规划要求</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符合GB50187、HJ348的选址要求，不得建在城市居民区、商业区及其他环境敏感区内，且避开受环境威胁的地带和地区</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lang w:val="en-US" w:eastAsia="zh-CN"/>
                    </w:rPr>
                    <w:t>本项目位于靖州县工业集中区甘太综合加工园规划的二类工业用地范围内，本项目与西南侧旗家庄散户居民约</w:t>
                  </w:r>
                  <w:r>
                    <w:rPr>
                      <w:rFonts w:hint="eastAsia" w:ascii="Times New Roman" w:hAnsi="Times New Roman" w:cs="Times New Roman"/>
                      <w:kern w:val="0"/>
                      <w:sz w:val="21"/>
                      <w:szCs w:val="21"/>
                      <w:u w:val="none"/>
                      <w:vertAlign w:val="baseline"/>
                      <w:lang w:val="en-US" w:eastAsia="zh-CN"/>
                    </w:rPr>
                    <w:t>15-92</w:t>
                  </w:r>
                  <w:r>
                    <w:rPr>
                      <w:rFonts w:hint="default" w:ascii="Times New Roman" w:hAnsi="Times New Roman" w:cs="Times New Roman"/>
                      <w:kern w:val="0"/>
                      <w:sz w:val="21"/>
                      <w:szCs w:val="21"/>
                      <w:u w:val="none"/>
                      <w:vertAlign w:val="baseline"/>
                      <w:lang w:val="en-US" w:eastAsia="zh-CN"/>
                    </w:rPr>
                    <w:t>米</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项目所在地有工业园区或再生利用园区的，应建设在园区内</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项目建设地点位于</w:t>
                  </w:r>
                  <w:r>
                    <w:rPr>
                      <w:rFonts w:hint="default" w:ascii="Times New Roman" w:hAnsi="Times New Roman" w:cs="Times New Roman"/>
                      <w:kern w:val="0"/>
                      <w:sz w:val="21"/>
                      <w:szCs w:val="21"/>
                      <w:u w:val="none"/>
                      <w:vertAlign w:val="baseline"/>
                      <w:lang w:eastAsia="zh-CN"/>
                    </w:rPr>
                    <w:t>靖州苗族侗族自治县工业集中区甘太综合加工园</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表1中V档企业占地面积不低于</w:t>
                  </w:r>
                  <w:r>
                    <w:rPr>
                      <w:rFonts w:hint="default" w:ascii="Times New Roman" w:hAnsi="Times New Roman" w:cs="Times New Roman"/>
                      <w:kern w:val="0"/>
                      <w:sz w:val="21"/>
                      <w:szCs w:val="21"/>
                      <w:u w:val="none"/>
                      <w:vertAlign w:val="baseline"/>
                      <w:lang w:val="en-US" w:eastAsia="zh-CN"/>
                    </w:rPr>
                    <w:t>1</w:t>
                  </w:r>
                  <w:r>
                    <w:rPr>
                      <w:rFonts w:hint="default" w:ascii="Times New Roman" w:hAnsi="Times New Roman" w:cs="Times New Roman"/>
                      <w:kern w:val="0"/>
                      <w:sz w:val="21"/>
                      <w:szCs w:val="21"/>
                      <w:u w:val="none"/>
                      <w:vertAlign w:val="baseline"/>
                    </w:rPr>
                    <w:t>0000m</w:t>
                  </w:r>
                  <w:r>
                    <w:rPr>
                      <w:rFonts w:hint="default" w:ascii="Times New Roman" w:hAnsi="Times New Roman" w:cs="Times New Roman"/>
                      <w:kern w:val="0"/>
                      <w:sz w:val="21"/>
                      <w:szCs w:val="21"/>
                      <w:u w:val="none"/>
                      <w:vertAlign w:val="superscript"/>
                    </w:rPr>
                    <w:t>2</w:t>
                  </w:r>
                  <w:r>
                    <w:rPr>
                      <w:rFonts w:hint="default" w:ascii="Times New Roman" w:hAnsi="Times New Roman" w:cs="Times New Roman"/>
                      <w:kern w:val="0"/>
                      <w:sz w:val="21"/>
                      <w:szCs w:val="21"/>
                      <w:u w:val="none"/>
                      <w:vertAlign w:val="baseline"/>
                    </w:rPr>
                    <w:t>，其中作业场地（包括存储和拆解场地）面积不低于经营面积的60%</w:t>
                  </w:r>
                </w:p>
              </w:tc>
              <w:tc>
                <w:tcPr>
                  <w:tcW w:w="2702" w:type="dxa"/>
                  <w:noWrap w:val="0"/>
                  <w:vAlign w:val="center"/>
                </w:tcPr>
                <w:p>
                  <w:pPr>
                    <w:autoSpaceDE w:val="0"/>
                    <w:autoSpaceDN w:val="0"/>
                    <w:adjustRightInd w:val="0"/>
                    <w:snapToGrid w:val="0"/>
                    <w:spacing w:line="240" w:lineRule="auto"/>
                    <w:jc w:val="both"/>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本项目占地面积</w:t>
                  </w:r>
                  <w:r>
                    <w:rPr>
                      <w:rFonts w:hint="eastAsia" w:ascii="Times New Roman" w:hAnsi="Times New Roman" w:cs="Times New Roman"/>
                      <w:kern w:val="0"/>
                      <w:sz w:val="21"/>
                      <w:szCs w:val="21"/>
                      <w:u w:val="none"/>
                      <w:vertAlign w:val="baseline"/>
                      <w:lang w:val="en-US" w:eastAsia="zh-CN"/>
                    </w:rPr>
                    <w:t>12273.44</w:t>
                  </w:r>
                  <w:r>
                    <w:rPr>
                      <w:rFonts w:hint="default" w:ascii="Times New Roman" w:hAnsi="Times New Roman" w:cs="Times New Roman"/>
                      <w:kern w:val="0"/>
                      <w:sz w:val="21"/>
                      <w:szCs w:val="21"/>
                      <w:u w:val="none"/>
                      <w:vertAlign w:val="baseline"/>
                    </w:rPr>
                    <w:t>，经营面积</w:t>
                  </w:r>
                  <w:r>
                    <w:rPr>
                      <w:rFonts w:hint="eastAsia" w:ascii="Times New Roman" w:hAnsi="Times New Roman" w:cs="Times New Roman"/>
                      <w:kern w:val="0"/>
                      <w:sz w:val="21"/>
                      <w:szCs w:val="21"/>
                      <w:u w:val="none"/>
                      <w:vertAlign w:val="baseline"/>
                      <w:lang w:val="en-US" w:eastAsia="zh-CN"/>
                    </w:rPr>
                    <w:t>11864.91</w:t>
                  </w:r>
                  <w:r>
                    <w:rPr>
                      <w:rFonts w:hint="default" w:ascii="Times New Roman" w:hAnsi="Times New Roman" w:cs="Times New Roman"/>
                      <w:kern w:val="0"/>
                      <w:sz w:val="21"/>
                      <w:szCs w:val="21"/>
                      <w:u w:val="none"/>
                      <w:vertAlign w:val="baseline"/>
                    </w:rPr>
                    <w:t>m</w:t>
                  </w:r>
                  <w:r>
                    <w:rPr>
                      <w:rFonts w:hint="default" w:ascii="Times New Roman" w:hAnsi="Times New Roman" w:cs="Times New Roman"/>
                      <w:kern w:val="0"/>
                      <w:sz w:val="21"/>
                      <w:szCs w:val="21"/>
                      <w:u w:val="none"/>
                      <w:vertAlign w:val="superscript"/>
                    </w:rPr>
                    <w:t>2</w:t>
                  </w:r>
                  <w:r>
                    <w:rPr>
                      <w:rFonts w:hint="default" w:ascii="Times New Roman" w:hAnsi="Times New Roman" w:cs="Times New Roman"/>
                      <w:kern w:val="0"/>
                      <w:sz w:val="21"/>
                      <w:szCs w:val="21"/>
                      <w:u w:val="none"/>
                      <w:vertAlign w:val="baseline"/>
                    </w:rPr>
                    <w:t>，作业场地面积</w:t>
                  </w:r>
                  <w:r>
                    <w:rPr>
                      <w:rFonts w:hint="eastAsia" w:ascii="Times New Roman" w:hAnsi="Times New Roman" w:cs="Times New Roman"/>
                      <w:kern w:val="0"/>
                      <w:sz w:val="21"/>
                      <w:szCs w:val="21"/>
                      <w:u w:val="none"/>
                      <w:vertAlign w:val="baseline"/>
                      <w:lang w:val="en-US" w:eastAsia="zh-CN"/>
                    </w:rPr>
                    <w:t>10687.18</w:t>
                  </w:r>
                  <w:r>
                    <w:rPr>
                      <w:rFonts w:hint="default" w:ascii="Times New Roman" w:hAnsi="Times New Roman" w:cs="Times New Roman"/>
                      <w:kern w:val="0"/>
                      <w:sz w:val="21"/>
                      <w:szCs w:val="21"/>
                      <w:u w:val="none"/>
                      <w:vertAlign w:val="baseline"/>
                    </w:rPr>
                    <w:t>m</w:t>
                  </w:r>
                  <w:r>
                    <w:rPr>
                      <w:rFonts w:hint="default" w:ascii="Times New Roman" w:hAnsi="Times New Roman" w:cs="Times New Roman"/>
                      <w:kern w:val="0"/>
                      <w:sz w:val="21"/>
                      <w:szCs w:val="21"/>
                      <w:u w:val="none"/>
                      <w:vertAlign w:val="superscript"/>
                    </w:rPr>
                    <w:t>2</w:t>
                  </w:r>
                  <w:r>
                    <w:rPr>
                      <w:rFonts w:hint="default" w:ascii="Times New Roman" w:hAnsi="Times New Roman" w:cs="Times New Roman"/>
                      <w:kern w:val="0"/>
                      <w:sz w:val="21"/>
                      <w:szCs w:val="21"/>
                      <w:u w:val="none"/>
                      <w:vertAlign w:val="baseline"/>
                      <w:lang w:eastAsia="zh-CN"/>
                    </w:rPr>
                    <w:t>，</w:t>
                  </w:r>
                  <w:r>
                    <w:rPr>
                      <w:rFonts w:hint="default" w:ascii="Times New Roman" w:hAnsi="Times New Roman" w:cs="Times New Roman"/>
                      <w:kern w:val="0"/>
                      <w:sz w:val="21"/>
                      <w:szCs w:val="21"/>
                      <w:u w:val="none"/>
                      <w:vertAlign w:val="baseline"/>
                    </w:rPr>
                    <w:t>约为经营面积的</w:t>
                  </w:r>
                  <w:r>
                    <w:rPr>
                      <w:rFonts w:hint="eastAsia" w:ascii="Times New Roman" w:hAnsi="Times New Roman" w:cs="Times New Roman"/>
                      <w:kern w:val="0"/>
                      <w:sz w:val="21"/>
                      <w:szCs w:val="21"/>
                      <w:u w:val="none"/>
                      <w:vertAlign w:val="baseline"/>
                      <w:lang w:val="en-US" w:eastAsia="zh-CN"/>
                    </w:rPr>
                    <w:t>90.07</w:t>
                  </w:r>
                  <w:r>
                    <w:rPr>
                      <w:rFonts w:hint="default" w:ascii="Times New Roman" w:hAnsi="Times New Roman" w:cs="Times New Roman"/>
                      <w:kern w:val="0"/>
                      <w:sz w:val="21"/>
                      <w:szCs w:val="21"/>
                      <w:u w:val="none"/>
                      <w:vertAlign w:val="baseline"/>
                    </w:rPr>
                    <w:t>%</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企业场地应具备拆解场地、贮存场地和办公场地。其中拆解场地、贮存场地的地面应硬化并防渗漏，满足GB50037的防油渗地面要求</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本项目车间分为燃油拆解区、新能源拆解区、库房、固废暂存区、危废暂存区、机动车停放区和办公区。其中拆解场地、贮存场地</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的地面应硬化并防渗漏，满足GB50037的防油渗地面要求。</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存储场地的地面硬化并做防渗处理，并设置罩棚；拆解车间全封闭，地面做防渗处理，并设排气设施，加强通风和光照；设有</w:t>
                  </w:r>
                  <w:r>
                    <w:rPr>
                      <w:rFonts w:hint="eastAsia" w:ascii="Times New Roman" w:hAnsi="Times New Roman" w:cs="Times New Roman"/>
                      <w:kern w:val="0"/>
                      <w:sz w:val="21"/>
                      <w:szCs w:val="21"/>
                      <w:u w:val="none"/>
                      <w:vertAlign w:val="baseline"/>
                      <w:lang w:eastAsia="zh-CN"/>
                    </w:rPr>
                    <w:t>废水处理设施（气浮）</w:t>
                  </w:r>
                  <w:r>
                    <w:rPr>
                      <w:rFonts w:hint="default" w:ascii="Times New Roman" w:hAnsi="Times New Roman" w:cs="Times New Roman"/>
                      <w:kern w:val="0"/>
                      <w:sz w:val="21"/>
                      <w:szCs w:val="21"/>
                      <w:u w:val="none"/>
                      <w:vertAlign w:val="baseline"/>
                    </w:rPr>
                    <w:t>，存储场地和拆解车间排放口和</w:t>
                  </w:r>
                  <w:r>
                    <w:rPr>
                      <w:rFonts w:hint="eastAsia" w:ascii="Times New Roman" w:hAnsi="Times New Roman" w:cs="Times New Roman"/>
                      <w:kern w:val="0"/>
                      <w:sz w:val="21"/>
                      <w:szCs w:val="21"/>
                      <w:u w:val="none"/>
                      <w:vertAlign w:val="baseline"/>
                      <w:lang w:eastAsia="zh-CN"/>
                    </w:rPr>
                    <w:t>收集池</w:t>
                  </w:r>
                  <w:r>
                    <w:rPr>
                      <w:rFonts w:hint="default" w:ascii="Times New Roman" w:hAnsi="Times New Roman" w:cs="Times New Roman"/>
                      <w:kern w:val="0"/>
                      <w:sz w:val="21"/>
                      <w:szCs w:val="21"/>
                      <w:u w:val="none"/>
                      <w:vertAlign w:val="baseline"/>
                    </w:rPr>
                    <w:t>采用暗管相连</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拆解场地应为封闭或半封闭构建物，应通风、光线良好，安全环保设施齐全</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本项目拆解区为全封闭车间，并配套齐全的安全环保设施</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both"/>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拆解电动汽车的企业应满足：具备电动汽车贮存场地、动力蓄电池贮存场地和动力蓄电池拆卸专用场地，场地设置高压警示牌等危险识别标志</w:t>
                  </w:r>
                  <w:r>
                    <w:rPr>
                      <w:rFonts w:hint="default" w:ascii="Times New Roman" w:hAnsi="Times New Roman" w:cs="Times New Roman"/>
                      <w:kern w:val="0"/>
                      <w:sz w:val="21"/>
                      <w:szCs w:val="21"/>
                      <w:u w:val="none"/>
                      <w:vertAlign w:val="baseline"/>
                      <w:lang w:val="en-US" w:eastAsia="zh-CN"/>
                    </w:rPr>
                    <w:t>,</w:t>
                  </w:r>
                  <w:r>
                    <w:rPr>
                      <w:rFonts w:hint="default" w:ascii="Times New Roman" w:hAnsi="Times New Roman" w:cs="Times New Roman"/>
                      <w:kern w:val="0"/>
                      <w:sz w:val="21"/>
                      <w:szCs w:val="21"/>
                      <w:u w:val="none"/>
                      <w:vertAlign w:val="baseline"/>
                    </w:rPr>
                    <w:t>配套防腐防渗收集池及专用容器；电动汽车贮存场地应单独管理，并保持通风；动力蓄电池贮存场地应设在易燃易爆等危险品仓库及高压输电线路防护区域以外，并设有火灾自动报警设施；动力蓄电池拆卸场地地面应做绝缘处理</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车间内设置电动汽车贮存场地、动力蓄电池贮存场地和动力蓄电池拆卸专用场地，场地设置高压警示牌等危险识别标志，配套防腐防渗收集池及专用容器；动力蓄电池贮存场地周边无易燃易爆等危险品仓库及高压输电线路；动力蓄电池贮存场地设有火灾自动报警设施；动力蓄电池拆卸场地地面做绝缘处理</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贮存场地应分为报废机动车贮存场地、回用件贮存场地、固废贮存场地。固废场所应具有满足GB18599要求的一般固废暂存区和满足GB18597要求的危险废物贮存设施</w:t>
                  </w:r>
                </w:p>
              </w:tc>
              <w:tc>
                <w:tcPr>
                  <w:tcW w:w="2702" w:type="dxa"/>
                  <w:noWrap w:val="0"/>
                  <w:vAlign w:val="center"/>
                </w:tcPr>
                <w:p>
                  <w:pPr>
                    <w:autoSpaceDE w:val="0"/>
                    <w:autoSpaceDN w:val="0"/>
                    <w:adjustRightInd w:val="0"/>
                    <w:snapToGrid w:val="0"/>
                    <w:spacing w:line="240" w:lineRule="auto"/>
                    <w:jc w:val="left"/>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本项目贮存场地分为报废机动车贮存区、回用件贮存区、固废贮存区，其中一般固废暂存区按照GB18599要求进行建设；危废库按照B18597要求进行建设</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企业应严格执行《工业项目 建设用地控制指标》建设用地标准，且场地建设符合HJ348的企业建设环境保护要求</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本项目符合《工业项目 建设用地控制指标》建设用地标准，且场地建设符合HJ348的企业建设环境保护要求</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3</w:t>
                  </w:r>
                </w:p>
              </w:tc>
              <w:tc>
                <w:tcPr>
                  <w:tcW w:w="48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设施设备</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具备车辆称重设备；具备室内或有防雨顶棚的拆解预处理平台，并配有专用废液收集装置和预期相接的排水沟；具备安全气囊直接引爆装置或者拆除、存储、引爆装置；具备汽车空调制冷剂的收集装置；具备分类存放聚氯联苯或聚氯三联苯的电容器、机油滤清器和蓄电池的容器；具备车架剪断设备、车身剪断和压扁设备，不得仅以氧割设备代替；具备起重运输或专用拖车设备；具备总成拆解平台或精细拆解平台；精细拆解平台及相应的设备工装；解体机或拆解线；大型高效剪断切割设备；集中高效废液回收设备；应建立设备管理制度和设备操作规范；</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本项目设备有电子地磅、油液抽排系统、冷却液抽排系统，各抽排系统报括抽排设备、容器和连接管，设有安全气囊直接引爆装置、氟利昂抽排系统，聚氯联苯</w:t>
                  </w:r>
                  <w:r>
                    <w:rPr>
                      <w:rFonts w:hint="default" w:ascii="Times New Roman" w:hAnsi="Times New Roman" w:cs="Times New Roman"/>
                      <w:kern w:val="0"/>
                      <w:sz w:val="21"/>
                      <w:szCs w:val="21"/>
                      <w:u w:val="none"/>
                      <w:vertAlign w:val="baseline"/>
                      <w:lang w:val="en-US" w:eastAsia="zh-CN"/>
                    </w:rPr>
                    <w:t>的</w:t>
                  </w:r>
                  <w:r>
                    <w:rPr>
                      <w:rFonts w:hint="default" w:ascii="Times New Roman" w:hAnsi="Times New Roman" w:cs="Times New Roman"/>
                      <w:kern w:val="0"/>
                      <w:sz w:val="21"/>
                      <w:szCs w:val="21"/>
                      <w:u w:val="none"/>
                      <w:vertAlign w:val="baseline"/>
                    </w:rPr>
                    <w:t>电容器和蓄电池等用专用容器分类存储，设有手持液压大力剪和金属打包机，设有叉车等其中运输设备，设有预处理拆解平台和总成拆解平台；项目运营后建立设备管理制度和设备操作规范</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电动汽车的企业具备以下设备和材料：绝缘检测设备等安全评估设备；动力蓄电池断电设备；动力蓄电池拆卸设备；防静电废液、空调制冷剂抽排设备；绝缘工作服等防护材料；绝缘气动工具；绝缘辅助工具；动力蓄电池绝缘处理材料；放电设施设备</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配套绝缘检测设备等安全评估设备；动力蓄电池断电设备；动力蓄电池拆卸设备；防静电废液、空调制冷剂抽排设备；绝缘工作服等防护材料；绝缘气动工具；绝缘辅助工具；动力蓄电池绝缘处理材料；放电设施设备</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具备以下环保设备：满足HJ348要求的油水分离器等企业建设环保设备；配有专用废液收集装置和分类存放各种废液的专用密闭容器；机动车空调制冷剂收集装置和分类存放各种制冷剂的密闭容器；分类存放机油滤清器和蓄电池的容器</w:t>
                  </w:r>
                </w:p>
              </w:tc>
              <w:tc>
                <w:tcPr>
                  <w:tcW w:w="2702" w:type="dxa"/>
                  <w:noWrap w:val="0"/>
                  <w:vAlign w:val="center"/>
                </w:tcPr>
                <w:p>
                  <w:pPr>
                    <w:autoSpaceDE w:val="0"/>
                    <w:autoSpaceDN w:val="0"/>
                    <w:adjustRightInd w:val="0"/>
                    <w:snapToGrid w:val="0"/>
                    <w:spacing w:line="240" w:lineRule="auto"/>
                    <w:jc w:val="left"/>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设备有氟利昂回收装置专业冷媒回收设备，用于收集和储存多种制冷剂（R12、R22、R134a等）、油液抽排系统、冷却液抽排系统，各抽排系统报括抽排设备、容器和连接管，聚氯联苯的电容器和蓄电池等用专用容器分类存储</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4</w:t>
                  </w:r>
                </w:p>
              </w:tc>
              <w:tc>
                <w:tcPr>
                  <w:tcW w:w="48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人员</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技术人员应经过岗前培训，其专业技能应能满足规范拆解、环保作业、安全操作（含危险物质收集存储、运输）等相应要求。国家相关法规有持证上岗规定的，相关岗位的操作人员应遵守规定持证上岗</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项目投入运营时专业技术人员全部经过培训，其专业技能应能满足规范拆解、环保作业、安全操作（含危险物质收集存储、运输）等相应要求。国家相关法规有持证上岗规定的，相关岗位的操作人员应遵守规定持证上岗</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both"/>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拆解电动汽车的企业具有动力蓄电池贮存管理人员及2人以上持电工特种作业操作证人员；管理人员具有相关专业知识</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本项目已配置相关专业人员，并具备相关专业知识和操作资质</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5</w:t>
                  </w:r>
                </w:p>
              </w:tc>
              <w:tc>
                <w:tcPr>
                  <w:tcW w:w="48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信息管理</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建立电子信息档案，按照相应方式记录报废机动车回收登记、固废信息；生产经营场所设置全覆盖的电子监控系统，实时记录报废机动车回收和拆解过程，相关信息保存期限不应低于1年；将固废来源、种类等数据，录入“全国固体废物管理信息系统”，或省级生态环境主管部门系统，其中危废处理信息保存期限为三年</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保证投入运营时具备电脑等办公设施；全覆盖的电子监控系统，实时记录报废机动车回收和拆解过程，相关信息保存期限不应低于1年；对各类废液应采用不同的容器分别贮存，各类废液采用容器贮存，每存满一桶就委托有资质的危废处置单位清运处理，杜绝长时间存放现象；危险废物必须装入合适的危废储存容器内并分区放置，不相容危废禁止混放；应由专人负责危险废物贮存设施的运行和管理，做好危废产生及贮存记录，并正确粘贴标签，定期对危废贮存设施进行检查。设立警示标志，只允许专门人员进入危废贮存区；拆解的各种危险废物在厂区的贮存时间不得超过一年，废铅酸蓄电池在厂区的暂存时间不超过60天，交由具有《危险废物经营许可证》并可处置该类废物的单位进行处理处置，严格执行危险废物转移联单制度；及时录入“全国固体废物管理信息系统”，或省级生态环境主管部门系统，其中危废处理信息保存期限为三年</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6</w:t>
                  </w:r>
                </w:p>
              </w:tc>
              <w:tc>
                <w:tcPr>
                  <w:tcW w:w="48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安全</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应实施满足GB/T33000要求的安全管理制度，场地内应设置安全标志，应按照GBZ188的规定对作业人员进行监护；拆除的安全气囊应在危险品仓库及高压输电线路防护区域外引爆，并设置安全警示标示</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实施满足GB/T33000要求的安全管理制度，场地内应设置安全标志，应按照GBZ188的规定对作业人员进行监护；拆除的安全气囊应在危险品仓库及高压输电线路防护区域外引爆，并设置安全警示标示</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7</w:t>
                  </w:r>
                </w:p>
              </w:tc>
              <w:tc>
                <w:tcPr>
                  <w:tcW w:w="48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环保</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拆解过程应满足HJ348规定的清污分流，污水达标排放等环保和污染控制要求</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szCs w:val="21"/>
                      <w:lang w:bidi="en-US"/>
                    </w:rPr>
                    <w:t>项</w:t>
                  </w:r>
                  <w:r>
                    <w:rPr>
                      <w:rFonts w:hint="default" w:ascii="Times New Roman" w:hAnsi="Times New Roman" w:cs="Times New Roman"/>
                      <w:szCs w:val="21"/>
                      <w:lang w:eastAsia="zh-CN" w:bidi="en-US"/>
                    </w:rPr>
                    <w:t>目</w:t>
                  </w:r>
                  <w:r>
                    <w:rPr>
                      <w:rFonts w:hint="default" w:ascii="Times New Roman" w:hAnsi="Times New Roman" w:cs="Times New Roman"/>
                      <w:szCs w:val="21"/>
                      <w:lang w:bidi="en-US"/>
                    </w:rPr>
                    <w:t>雨污分流、</w:t>
                  </w:r>
                  <w:r>
                    <w:rPr>
                      <w:rFonts w:hint="eastAsia"/>
                      <w:color w:val="000000"/>
                      <w:kern w:val="0"/>
                      <w:szCs w:val="21"/>
                      <w:highlight w:val="none"/>
                      <w:u w:val="none"/>
                      <w:lang w:val="en-US" w:eastAsia="zh-CN"/>
                    </w:rPr>
                    <w:t>初期雨水+</w:t>
                  </w:r>
                  <w:r>
                    <w:rPr>
                      <w:rFonts w:hint="eastAsia"/>
                      <w:bCs/>
                      <w:szCs w:val="21"/>
                      <w:u w:val="none"/>
                    </w:rPr>
                    <w:t>拆解</w:t>
                  </w:r>
                  <w:r>
                    <w:rPr>
                      <w:rFonts w:hint="eastAsia"/>
                      <w:bCs/>
                      <w:szCs w:val="21"/>
                      <w:u w:val="none"/>
                      <w:lang w:eastAsia="zh-CN"/>
                    </w:rPr>
                    <w:t>区</w:t>
                  </w:r>
                  <w:r>
                    <w:rPr>
                      <w:rFonts w:hint="eastAsia"/>
                      <w:bCs/>
                      <w:szCs w:val="21"/>
                      <w:u w:val="none"/>
                    </w:rPr>
                    <w:t>地面</w:t>
                  </w:r>
                  <w:r>
                    <w:rPr>
                      <w:rFonts w:hint="eastAsia"/>
                      <w:bCs/>
                      <w:szCs w:val="21"/>
                      <w:u w:val="none"/>
                      <w:lang w:val="en-US" w:eastAsia="zh-CN"/>
                    </w:rPr>
                    <w:t>清洁</w:t>
                  </w:r>
                  <w:r>
                    <w:rPr>
                      <w:rFonts w:hint="eastAsia"/>
                      <w:bCs/>
                      <w:szCs w:val="21"/>
                      <w:u w:val="none"/>
                    </w:rPr>
                    <w:t>废水</w:t>
                  </w:r>
                  <w:r>
                    <w:rPr>
                      <w:rFonts w:hint="eastAsia"/>
                      <w:color w:val="000000"/>
                      <w:kern w:val="0"/>
                      <w:szCs w:val="21"/>
                      <w:highlight w:val="none"/>
                      <w:u w:val="none"/>
                      <w:lang w:eastAsia="zh-CN"/>
                    </w:rPr>
                    <w:t>经厂区污水处理设施（隔油池</w:t>
                  </w:r>
                  <w:r>
                    <w:rPr>
                      <w:rFonts w:hint="eastAsia"/>
                      <w:color w:val="000000"/>
                      <w:kern w:val="0"/>
                      <w:szCs w:val="21"/>
                      <w:highlight w:val="none"/>
                      <w:u w:val="none"/>
                      <w:lang w:val="en-US" w:eastAsia="zh-CN"/>
                    </w:rPr>
                    <w:t>+</w:t>
                  </w:r>
                  <w:r>
                    <w:rPr>
                      <w:rFonts w:hint="eastAsia" w:ascii="Calibri" w:hAnsi="Calibri" w:eastAsia="宋体" w:cs="Times New Roman"/>
                      <w:sz w:val="21"/>
                      <w:szCs w:val="21"/>
                      <w:lang w:val="en-US" w:eastAsia="zh-CN"/>
                    </w:rPr>
                    <w:t>气浮机</w:t>
                  </w:r>
                  <w:r>
                    <w:rPr>
                      <w:rFonts w:hint="eastAsia"/>
                      <w:color w:val="000000"/>
                      <w:kern w:val="0"/>
                      <w:szCs w:val="21"/>
                      <w:highlight w:val="none"/>
                      <w:u w:val="none"/>
                      <w:lang w:eastAsia="zh-CN"/>
                    </w:rPr>
                    <w:t>）处理后</w:t>
                  </w:r>
                  <w:r>
                    <w:rPr>
                      <w:rFonts w:hint="eastAsia" w:ascii="Times New Roman" w:hAnsi="Times New Roman" w:cs="Times New Roman"/>
                      <w:color w:val="000000"/>
                      <w:kern w:val="0"/>
                      <w:szCs w:val="21"/>
                      <w:highlight w:val="none"/>
                      <w:u w:val="none"/>
                      <w:lang w:eastAsia="zh-CN"/>
                    </w:rPr>
                    <w:t>、</w:t>
                  </w:r>
                  <w:r>
                    <w:rPr>
                      <w:rFonts w:hint="default" w:ascii="Times New Roman" w:hAnsi="Times New Roman" w:cs="Times New Roman"/>
                      <w:color w:val="000000"/>
                      <w:kern w:val="0"/>
                      <w:szCs w:val="21"/>
                      <w:highlight w:val="none"/>
                      <w:u w:val="none"/>
                      <w:lang w:eastAsia="zh-CN"/>
                    </w:rPr>
                    <w:t>生活污水</w:t>
                  </w:r>
                  <w:r>
                    <w:rPr>
                      <w:rFonts w:hint="default" w:ascii="Times New Roman" w:hAnsi="Times New Roman" w:cs="Times New Roman"/>
                      <w:u w:val="none"/>
                      <w:lang w:eastAsia="zh-CN"/>
                    </w:rPr>
                    <w:t>经化粪池处理后，进入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default" w:ascii="Times New Roman" w:hAnsi="Times New Roman" w:cs="Times New Roman"/>
                      <w:u w:val="none"/>
                      <w:lang w:eastAsia="zh-CN"/>
                    </w:rPr>
                    <w:t>处理达标后外排入渠水</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应实施满足危险废物管理要求的环境管理制度，对列入危废名录的危险废物严格按照规定管理</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项目制定详细的危险废物管理制度，项目区设置危险废物暂存库，回收的危险废物分别用专用密闭容器存储，暂存于危险废物库房</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应满足GB12348规定的声环境功能区厂界环境噪声排放限值要求</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（1）在设备选型上，首先选用装备先进的低噪音设备，并采取适当的降噪措施</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（2）风机的进出口装消音器，泵类加隔音罩。</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（3）在设备、管道设计中，注意防振、防冲击，减轻振动噪声</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（4）将高噪声设备尽量布置在远离场界界处，通过距离衰减减轻噪声源对场界噪声的影响</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8</w:t>
                  </w:r>
                </w:p>
              </w:tc>
              <w:tc>
                <w:tcPr>
                  <w:tcW w:w="486" w:type="dxa"/>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回收技术</w:t>
                  </w:r>
                </w:p>
              </w:tc>
              <w:tc>
                <w:tcPr>
                  <w:tcW w:w="2890" w:type="dxa"/>
                  <w:noWrap w:val="0"/>
                  <w:vAlign w:val="center"/>
                </w:tcPr>
                <w:p>
                  <w:pPr>
                    <w:autoSpaceDE w:val="0"/>
                    <w:autoSpaceDN w:val="0"/>
                    <w:adjustRightInd w:val="0"/>
                    <w:snapToGrid w:val="0"/>
                    <w:spacing w:line="240" w:lineRule="auto"/>
                    <w:jc w:val="both"/>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收到报废机动车后，检查发动机、散热器等总成部件的密封、破损情况，对于出现泄露的部件，采取适当的方式收集泄露液体</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本项目车辆进场后首先在预处理车间内对车辆进行检查；若有废油液泄漏，立即将油液排空，并用抹布对泄漏的油液进行收集</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9</w:t>
                  </w:r>
                </w:p>
              </w:tc>
              <w:tc>
                <w:tcPr>
                  <w:tcW w:w="48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企业作业程序</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回收拆解企业的作业程序应严格遵循环保和循环利用的原则，接收过收购</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后应按检查和登记、拆解预处理、</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存储、拆解、存储和管理的作业程序</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本项目车辆进场后首先在预处理车间内对车辆进行检查、登记和预处理；预处理后的汽车存于报废机动车贮存区待进入拆解车间拆解；拆解下的各类固废分区存储并妥善管理</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检查</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发动机、散热器、变速器、差速器、油箱等总成部件的密封、破损情况。对于出现泄漏的总成部件，应采用适当的方式收集泄漏的液体或封住泄露出，防止废液渗入地下</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本项目车辆进场后首先在预处理车间内对车辆进行检查，若有废油液泄漏，立即将油液排空，并用抹布对泄漏的油液进行收集</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对</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进行登记注册并拍照，将其主要信息录入电脑数据库并在车身醒目位置贴上显示信息的标签；主要信息包括：</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车主（单位或个人）名称、证件号码、牌照号码、车型、品牌型号、车身颜色、重量、发动机号、车辆识别代号（或车架号）、出厂年份、接收或收购日期</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将主要信息录入电脑数据库并贴在车身醒目位置</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both"/>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将</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的机动车登记证书、号牌、行驶证交公安机关交通管理部门办理注销登记；向</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车主发放《</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回收证明》及有关注销书面材料</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按要求办理注销登记，并向</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车主发放《</w:t>
                  </w: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回收证明》及有关注销书面材料</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拆解预处理：a）在室内或有防雨顶棚的拆解预处理平台上使用专用工具排空存留在车内废液，并使用专用容器分类回收； b）拆除铅酸蓄电池；c）用专门设备回收汽车空调制冷剂；d）拆除油箱和燃料罐；e）拆除机油滤清器；f）直接引爆安全气囊或者拆除安全气囊组件后引爆；g）拆除催化系统</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严格按照a）在室内或有防雨顶棚的拆解预处理平台上使用专用工具排空存留在车内废液，并使用专用容器分类回收；b）拆除铅酸蓄电池；c）用专门设备回收汽车空调制冷剂；d）拆除油箱和燃料罐；e）拆除机油滤清器；f）直接引爆安全气囊或者拆除安全气囊组件后引爆；g）拆除催化系统的顺序对车辆进行预处理，严禁颠倒顺序</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预处理完毕之后，应完成以下拆解；a）拆除玻璃；b）拆除消声器、转向锁总成、停车装置、倒车雷达及电子控制模块；c）拆除车轮并拆下轮胎；d）拆除能有效回收的含金属铜、铝、镁的部件；e）拆除能有效回收的大型塑料件（保险杠、仪表板、液体容器等）；f）拆除橡胶制品部件；g）拆解有关总成和其他零部件，并符合相关法规要求。</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严格按照a）拆除玻璃；b）拆除消声器、转向锁总成、停车装置、倒车雷达及电子控制模块；c）拆除车轮并拆下轮胎；d）拆除能有效回收的含金属铜、铝、镁的部件；e）拆除能有效回收的大型塑料件（保险杠、仪表板、液体容器等）；f）拆除橡胶制品部件；g）拆解有关总成和其他零部件的顺序对车辆进行拆解，严禁颠倒顺序</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动力蓄电池拆卸预处理技术要求：检查车身有无漏液、有无带电；检查动力蓄电池布局和安装位置，确认诊断接口是否完好；对动力蓄电池电压、温度进行监测，评估其安全状态；断开动力蓄电池高压回路；在室内或有防雨顶棚的拆解预处理平台上使用防静电工具排空存留在车内的废液，并使用专用容器分类回收；使用防静电设备回收电动汽车空调制冷剂</w:t>
                  </w:r>
                </w:p>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本项目动力蓄电池拆卸预处理严格按照检查车身有无漏液、有无带电；检查动力蓄电池布局和安装位置， 确认诊断接口是否完好；对动力蓄电池电压、温度进行监测，评估其安全状态；断开动力蓄电池高压回路； 在室内或有防雨顶棚的拆解预处理平台上使用防静电工具排空存留在车内的废液，并使用专用容器分类回收；使用防静电设备回收电动汽车空调制冷剂的顺序，严禁颠倒顺序</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动力蓄电池拆卸技术要求：拆卸动力蓄电池阻挡部件；断开电压线束，拆卸不同安装位置的动力蓄电池；收集采用液冷结构方式散热的动力蓄电池组冷却液；对拆卸下的动力蓄电池线束接头等进行绝缘处理；收集驱动电机总成内残余冷却液后，拆除驱动电机</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动力蓄电池拆卸严格按照拆卸动力蓄电池阻挡部件；断开电压线束，拆卸不同安装位置的动力蓄电池；收集采用液冷结构方式散热的动力蓄电池组冷却液；对拆卸下的动力蓄电池线束接头等进行绝缘处理；收集驱动电机总成内残余冷却液后，拆除驱动电机的顺序对车辆进行拆解， 严禁颠倒顺序</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val="en-US" w:eastAsia="zh-CN"/>
                    </w:rPr>
                  </w:pPr>
                  <w:r>
                    <w:rPr>
                      <w:rFonts w:hint="default" w:ascii="Times New Roman" w:hAnsi="Times New Roman" w:cs="Times New Roman"/>
                      <w:kern w:val="0"/>
                      <w:sz w:val="21"/>
                      <w:szCs w:val="21"/>
                      <w:u w:val="none"/>
                      <w:vertAlign w:val="baseline"/>
                      <w:lang w:val="en-US" w:eastAsia="zh-CN"/>
                    </w:rPr>
                    <w:t>10</w:t>
                  </w:r>
                </w:p>
              </w:tc>
              <w:tc>
                <w:tcPr>
                  <w:tcW w:w="486" w:type="dxa"/>
                  <w:vMerge w:val="restart"/>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1"/>
                      <w:szCs w:val="21"/>
                      <w:u w:val="none"/>
                      <w:vertAlign w:val="baseline"/>
                      <w:lang w:eastAsia="zh-CN"/>
                    </w:rPr>
                  </w:pPr>
                  <w:r>
                    <w:rPr>
                      <w:rFonts w:hint="default" w:ascii="Times New Roman" w:hAnsi="Times New Roman" w:cs="Times New Roman"/>
                      <w:kern w:val="0"/>
                      <w:sz w:val="21"/>
                      <w:szCs w:val="21"/>
                      <w:u w:val="none"/>
                      <w:vertAlign w:val="baseline"/>
                      <w:lang w:eastAsia="zh-CN"/>
                    </w:rPr>
                    <w:t>贮存技术要求</w:t>
                  </w:r>
                </w:p>
              </w:tc>
              <w:tc>
                <w:tcPr>
                  <w:tcW w:w="2890"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eastAsia" w:ascii="Times New Roman" w:hAnsi="Times New Roman" w:cs="Times New Roman"/>
                      <w:kern w:val="0"/>
                      <w:sz w:val="21"/>
                      <w:szCs w:val="21"/>
                      <w:u w:val="none"/>
                      <w:vertAlign w:val="baseline"/>
                      <w:lang w:eastAsia="zh-CN"/>
                    </w:rPr>
                    <w:t>报废机动车</w:t>
                  </w:r>
                  <w:r>
                    <w:rPr>
                      <w:rFonts w:hint="default" w:ascii="Times New Roman" w:hAnsi="Times New Roman" w:cs="Times New Roman"/>
                      <w:kern w:val="0"/>
                      <w:sz w:val="21"/>
                      <w:szCs w:val="21"/>
                      <w:u w:val="none"/>
                      <w:vertAlign w:val="baseline"/>
                    </w:rPr>
                    <w:t>存储应避免侧放、倒放；如需要叠放，应使上下车辆的重心尽量重合，以防掉落，且叠放时外侧高度不超过3m，内侧高度不超过4.5m；对大型车辆应单层平置。如果为框架结构，要考虑其承重安全性，做到结构合理，可靠性好，并且能够合理装卸，而对存储高度没有限制；应与其他废弃物分开存储</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本项目要求报废机动车在进行拆解作业之前不得侧放、倒放，以防油液等泄漏； 报废机动车单独存储于报废机动车贮存区，不与其他废弃物混合存储</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486" w:type="dxa"/>
                  <w:vMerge w:val="continue"/>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p>
              </w:tc>
              <w:tc>
                <w:tcPr>
                  <w:tcW w:w="2890" w:type="dxa"/>
                  <w:noWrap w:val="0"/>
                  <w:vAlign w:val="center"/>
                </w:tcPr>
                <w:p>
                  <w:pPr>
                    <w:autoSpaceDE w:val="0"/>
                    <w:autoSpaceDN w:val="0"/>
                    <w:adjustRightInd w:val="0"/>
                    <w:snapToGrid w:val="0"/>
                    <w:spacing w:line="240" w:lineRule="auto"/>
                    <w:jc w:val="both"/>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固体废物的贮存设施应符合GB18599、GB18597和 HJ2025的要求；一般工业固废贮存设施应按照GB15562.2进行标识，危险废物贮存设施及包装物的标志应符合 GB18597的要求，所有固废避免混合混放；妥善处置固废，不应非法转移、倾倒利用和处置；不同类型的制冷剂应分别回收，使用专门容器单独存放；废弃电器、铅酸蓄电池贮存场地不得有明火；容器和装置要防漏，未引爆安全气囊的贮存装置应防爆，并对其进行日常性检查；对拆解后的所有固废分类贮存和标识；回用件分类贮存和标识，存放于封闭或半封闭的贮存场地中，贮存前应做清洁处理；动力蓄电池多层贮存时应采取框架结构并确保承重安全；存在漏电、破损等安全隐患的蓄电池应采取适当方式处理，并隔离存放</w:t>
                  </w:r>
                </w:p>
              </w:tc>
              <w:tc>
                <w:tcPr>
                  <w:tcW w:w="2702"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本项目一般固废暂存库和危废库按照相关要求进行防渗进行建设，一般工业固废贮存设施按照GB15562.2进行标识，危险废物贮存设施及包装物的标志按照GB18597的要求进行配置，所有固废避免混合混放；妥善处置固废，不应非法转移、倾倒利用和处置；不同类型的制冷剂应分别回收，使用专门容器单独存放；废弃电器、铅酸蓄电池贮存场地不得有明火；容器和装置要防漏，未引爆安全气囊的贮存装置应防爆，并对其进行日常性检查；对拆解后的所有固废分类贮存和标识；回用件分类贮存和标识，存放于封闭或半封闭的贮存场地中，贮存前应做清洁处理；动力蓄电池多层贮存时应采取框架结构并确保承重安全；存在漏电、破损等安全隐患的蓄电池应采取适当方式处理，并隔离存放</w:t>
                  </w:r>
                </w:p>
              </w:tc>
              <w:tc>
                <w:tcPr>
                  <w:tcW w:w="426" w:type="dxa"/>
                  <w:noWrap w:val="0"/>
                  <w:vAlign w:val="center"/>
                </w:tcPr>
                <w:p>
                  <w:pPr>
                    <w:autoSpaceDE w:val="0"/>
                    <w:autoSpaceDN w:val="0"/>
                    <w:adjustRightInd w:val="0"/>
                    <w:snapToGrid w:val="0"/>
                    <w:spacing w:line="240" w:lineRule="auto"/>
                    <w:jc w:val="center"/>
                    <w:rPr>
                      <w:rFonts w:hint="default" w:ascii="Times New Roman" w:hAnsi="Times New Roman" w:cs="Times New Roman"/>
                      <w:kern w:val="0"/>
                      <w:sz w:val="21"/>
                      <w:szCs w:val="21"/>
                      <w:u w:val="none"/>
                      <w:vertAlign w:val="baseline"/>
                    </w:rPr>
                  </w:pPr>
                  <w:r>
                    <w:rPr>
                      <w:rFonts w:hint="default" w:ascii="Times New Roman" w:hAnsi="Times New Roman" w:cs="Times New Roman"/>
                      <w:kern w:val="0"/>
                      <w:sz w:val="21"/>
                      <w:szCs w:val="21"/>
                      <w:u w:val="none"/>
                      <w:vertAlign w:val="baseline"/>
                    </w:rPr>
                    <w:t>符合</w:t>
                  </w:r>
                </w:p>
              </w:tc>
            </w:tr>
          </w:tbl>
          <w:p>
            <w:pPr>
              <w:autoSpaceDE w:val="0"/>
              <w:autoSpaceDN w:val="0"/>
              <w:adjustRightInd w:val="0"/>
              <w:snapToGrid w:val="0"/>
              <w:spacing w:line="360" w:lineRule="auto"/>
              <w:ind w:firstLine="480" w:firstLineChars="200"/>
              <w:jc w:val="left"/>
              <w:rPr>
                <w:rFonts w:hint="eastAsia"/>
                <w:sz w:val="24"/>
                <w:szCs w:val="24"/>
              </w:rPr>
            </w:pPr>
            <w:r>
              <w:rPr>
                <w:rFonts w:hint="eastAsia"/>
                <w:sz w:val="24"/>
                <w:szCs w:val="24"/>
                <w:lang w:bidi="en-US"/>
              </w:rPr>
              <w:t>根据上表，</w:t>
            </w:r>
            <w:r>
              <w:rPr>
                <w:rFonts w:hint="eastAsia"/>
                <w:sz w:val="24"/>
                <w:szCs w:val="24"/>
              </w:rPr>
              <w:t>本项目符合</w:t>
            </w:r>
            <w:r>
              <w:rPr>
                <w:sz w:val="24"/>
                <w:szCs w:val="24"/>
              </w:rPr>
              <w:t>《</w:t>
            </w:r>
            <w:r>
              <w:rPr>
                <w:rFonts w:hint="eastAsia"/>
                <w:sz w:val="24"/>
                <w:szCs w:val="24"/>
              </w:rPr>
              <w:t>报废机动车回收拆解企业技术规范》是相符的。</w:t>
            </w:r>
          </w:p>
          <w:p>
            <w:pPr>
              <w:pStyle w:val="22"/>
              <w:keepNext w:val="0"/>
              <w:keepLines w:val="0"/>
              <w:pageBreakBefore w:val="0"/>
              <w:widowControl w:val="0"/>
              <w:numPr>
                <w:ilvl w:val="0"/>
                <w:numId w:val="3"/>
              </w:numPr>
              <w:kinsoku/>
              <w:wordWrap/>
              <w:overflowPunct/>
              <w:topLinePunct w:val="0"/>
              <w:autoSpaceDE/>
              <w:autoSpaceDN/>
              <w:bidi w:val="0"/>
              <w:adjustRightInd/>
              <w:snapToGrid/>
              <w:spacing w:line="360" w:lineRule="auto"/>
              <w:ind w:left="420" w:leftChars="0" w:firstLineChars="0"/>
              <w:textAlignment w:val="auto"/>
              <w:rPr>
                <w:rFonts w:hint="default" w:ascii="Times New Roman" w:hAnsi="Times New Roman" w:eastAsia="宋体" w:cs="Times New Roman"/>
                <w:b/>
                <w:color w:val="000000"/>
                <w:kern w:val="2"/>
                <w:sz w:val="24"/>
                <w:szCs w:val="24"/>
                <w:u w:val="single" w:color="auto"/>
                <w:lang w:val="en-US" w:eastAsia="zh-CN" w:bidi="ar-SA"/>
              </w:rPr>
            </w:pPr>
            <w:r>
              <w:rPr>
                <w:rFonts w:hint="default" w:ascii="Times New Roman" w:hAnsi="Times New Roman" w:eastAsia="宋体" w:cs="Times New Roman"/>
                <w:b/>
                <w:color w:val="000000"/>
                <w:kern w:val="2"/>
                <w:sz w:val="24"/>
                <w:szCs w:val="24"/>
                <w:u w:val="single" w:color="auto"/>
                <w:lang w:val="en-US" w:eastAsia="zh-CN" w:bidi="ar-SA"/>
              </w:rPr>
              <w:t>与</w:t>
            </w:r>
            <w:r>
              <w:rPr>
                <w:rFonts w:hint="eastAsia" w:ascii="Times New Roman" w:hAnsi="Times New Roman" w:eastAsia="宋体" w:cs="Times New Roman"/>
                <w:b/>
                <w:color w:val="000000"/>
                <w:kern w:val="2"/>
                <w:sz w:val="24"/>
                <w:szCs w:val="24"/>
                <w:u w:val="single" w:color="auto"/>
                <w:lang w:val="en-US" w:eastAsia="zh-CN" w:bidi="ar-SA"/>
              </w:rPr>
              <w:t>《报废机动车拆解企业污染控制技术规范》（HJ348-2022）</w:t>
            </w:r>
            <w:r>
              <w:rPr>
                <w:rFonts w:hint="default" w:ascii="Times New Roman" w:hAnsi="Times New Roman" w:eastAsia="宋体" w:cs="Times New Roman"/>
                <w:b/>
                <w:color w:val="000000"/>
                <w:kern w:val="2"/>
                <w:sz w:val="24"/>
                <w:szCs w:val="24"/>
                <w:u w:val="single" w:color="auto"/>
                <w:lang w:val="en-US" w:eastAsia="zh-CN" w:bidi="ar-SA"/>
              </w:rPr>
              <w:t>相符性分析</w:t>
            </w:r>
          </w:p>
          <w:p>
            <w:pPr>
              <w:pStyle w:val="22"/>
              <w:numPr>
                <w:ilvl w:val="0"/>
                <w:numId w:val="0"/>
              </w:numPr>
              <w:ind w:leftChars="0"/>
              <w:jc w:val="center"/>
              <w:rPr>
                <w:rFonts w:hint="eastAsia" w:ascii="Times New Roman" w:hAnsi="Times New Roman" w:eastAsia="宋体" w:cs="Times New Roman"/>
                <w:color w:val="auto"/>
                <w:u w:val="single" w:color="auto"/>
                <w:lang w:eastAsia="zh-CN"/>
              </w:rPr>
            </w:pPr>
            <w:r>
              <w:rPr>
                <w:rFonts w:hint="default" w:ascii="Times New Roman" w:hAnsi="Times New Roman" w:cs="Times New Roman"/>
                <w:color w:val="auto"/>
                <w:u w:val="single" w:color="auto"/>
                <w:lang w:eastAsia="zh-CN"/>
              </w:rPr>
              <w:t>表</w:t>
            </w:r>
            <w:r>
              <w:rPr>
                <w:rFonts w:hint="default" w:ascii="Times New Roman" w:hAnsi="Times New Roman" w:cs="Times New Roman"/>
                <w:color w:val="auto"/>
                <w:u w:val="single" w:color="auto"/>
                <w:lang w:val="en-US" w:eastAsia="zh-CN"/>
              </w:rPr>
              <w:t>1-</w:t>
            </w:r>
            <w:r>
              <w:rPr>
                <w:rFonts w:hint="eastAsia" w:ascii="Times New Roman" w:hAnsi="Times New Roman" w:cs="Times New Roman"/>
                <w:color w:val="auto"/>
                <w:u w:val="single" w:color="auto"/>
                <w:lang w:val="en-US" w:eastAsia="zh-CN"/>
              </w:rPr>
              <w:t>5</w:t>
            </w:r>
            <w:r>
              <w:rPr>
                <w:rFonts w:hint="default" w:ascii="Times New Roman" w:hAnsi="Times New Roman" w:cs="Times New Roman"/>
                <w:color w:val="auto"/>
                <w:u w:val="single" w:color="auto"/>
                <w:lang w:val="en-US" w:eastAsia="zh-CN"/>
              </w:rPr>
              <w:t xml:space="preserve"> 项目与《报废机动车拆解企业污染控制技术规范》</w:t>
            </w:r>
            <w:r>
              <w:rPr>
                <w:rFonts w:hint="default" w:ascii="Times New Roman" w:hAnsi="Times New Roman" w:cs="Times New Roman"/>
                <w:color w:val="auto"/>
                <w:u w:val="single" w:color="auto"/>
              </w:rPr>
              <w:t>相符性分析</w:t>
            </w:r>
            <w:r>
              <w:rPr>
                <w:rFonts w:hint="eastAsia" w:ascii="Times New Roman" w:hAnsi="Times New Roman" w:cs="Times New Roman"/>
                <w:color w:val="auto"/>
                <w:u w:val="single" w:color="auto"/>
                <w:lang w:eastAsia="zh-CN"/>
              </w:rPr>
              <w:t>（节选）</w:t>
            </w:r>
          </w:p>
          <w:tbl>
            <w:tblPr>
              <w:tblStyle w:val="24"/>
              <w:tblW w:w="4994"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19"/>
              <w:gridCol w:w="3069"/>
              <w:gridCol w:w="2652"/>
              <w:gridCol w:w="7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cs="Times New Roman"/>
                      <w:b/>
                      <w:bCs/>
                      <w:color w:val="auto"/>
                      <w:sz w:val="21"/>
                      <w:szCs w:val="21"/>
                      <w:u w:val="single" w:color="auto"/>
                      <w:lang w:eastAsia="en-US"/>
                    </w:rPr>
                  </w:pPr>
                  <w:r>
                    <w:rPr>
                      <w:rFonts w:hint="default" w:ascii="Times New Roman" w:hAnsi="Times New Roman" w:cs="Times New Roman"/>
                      <w:b/>
                      <w:bCs/>
                      <w:color w:val="auto"/>
                      <w:sz w:val="21"/>
                      <w:szCs w:val="21"/>
                      <w:u w:val="single" w:color="auto"/>
                      <w:lang w:eastAsia="en-US"/>
                    </w:rPr>
                    <w:t>序号</w:t>
                  </w:r>
                </w:p>
              </w:tc>
              <w:tc>
                <w:tcPr>
                  <w:tcW w:w="2223" w:type="pct"/>
                  <w:tcBorders>
                    <w:tl2br w:val="nil"/>
                    <w:tr2bl w:val="nil"/>
                  </w:tcBorders>
                  <w:noWrap w:val="0"/>
                  <w:vAlign w:val="center"/>
                </w:tcPr>
                <w:p>
                  <w:pPr>
                    <w:autoSpaceDE/>
                    <w:autoSpaceDN/>
                    <w:spacing w:line="240" w:lineRule="auto"/>
                    <w:jc w:val="center"/>
                    <w:rPr>
                      <w:rFonts w:hint="default" w:ascii="Times New Roman" w:hAnsi="Times New Roman" w:cs="Times New Roman"/>
                      <w:b/>
                      <w:bCs/>
                      <w:color w:val="auto"/>
                      <w:sz w:val="21"/>
                      <w:szCs w:val="21"/>
                      <w:u w:val="single" w:color="auto"/>
                      <w:lang w:eastAsia="zh-CN"/>
                    </w:rPr>
                  </w:pPr>
                  <w:r>
                    <w:rPr>
                      <w:rFonts w:hint="default" w:ascii="Times New Roman" w:hAnsi="Times New Roman" w:cs="Times New Roman"/>
                      <w:b/>
                      <w:bCs/>
                      <w:color w:val="auto"/>
                      <w:sz w:val="21"/>
                      <w:szCs w:val="21"/>
                      <w:u w:val="single" w:color="auto"/>
                      <w:lang w:val="en-US" w:eastAsia="zh-CN"/>
                    </w:rPr>
                    <w:t>《报废机动车拆解企业污染控制技术规范》</w:t>
                  </w:r>
                </w:p>
              </w:tc>
              <w:tc>
                <w:tcPr>
                  <w:tcW w:w="1921" w:type="pct"/>
                  <w:tcBorders>
                    <w:tl2br w:val="nil"/>
                    <w:tr2bl w:val="nil"/>
                  </w:tcBorders>
                  <w:noWrap w:val="0"/>
                  <w:vAlign w:val="center"/>
                </w:tcPr>
                <w:p>
                  <w:pPr>
                    <w:autoSpaceDE/>
                    <w:autoSpaceDN/>
                    <w:spacing w:line="240" w:lineRule="auto"/>
                    <w:jc w:val="center"/>
                    <w:rPr>
                      <w:rFonts w:hint="default" w:ascii="Times New Roman" w:hAnsi="Times New Roman" w:cs="Times New Roman"/>
                      <w:b/>
                      <w:bCs/>
                      <w:color w:val="auto"/>
                      <w:sz w:val="21"/>
                      <w:szCs w:val="21"/>
                      <w:u w:val="single" w:color="auto"/>
                      <w:lang w:eastAsia="en-US"/>
                    </w:rPr>
                  </w:pPr>
                  <w:r>
                    <w:rPr>
                      <w:rFonts w:hint="default" w:ascii="Times New Roman" w:hAnsi="Times New Roman" w:cs="Times New Roman"/>
                      <w:b/>
                      <w:bCs/>
                      <w:color w:val="auto"/>
                      <w:sz w:val="21"/>
                      <w:szCs w:val="21"/>
                      <w:u w:val="single" w:color="auto"/>
                      <w:lang w:eastAsia="en-US"/>
                    </w:rPr>
                    <w:t>本项目</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b/>
                      <w:bCs/>
                      <w:color w:val="auto"/>
                      <w:sz w:val="21"/>
                      <w:szCs w:val="21"/>
                      <w:u w:val="single" w:color="auto"/>
                      <w:lang w:eastAsia="en-US"/>
                    </w:rPr>
                  </w:pPr>
                  <w:r>
                    <w:rPr>
                      <w:rFonts w:hint="default" w:ascii="Times New Roman" w:hAnsi="Times New Roman" w:cs="Times New Roman"/>
                      <w:b/>
                      <w:bCs/>
                      <w:color w:val="auto"/>
                      <w:sz w:val="21"/>
                      <w:szCs w:val="21"/>
                      <w:u w:val="single" w:color="auto"/>
                      <w:lang w:eastAsia="en-US"/>
                    </w:rPr>
                    <w:t>符合性</w:t>
                  </w:r>
                </w:p>
                <w:p>
                  <w:pPr>
                    <w:autoSpaceDE/>
                    <w:autoSpaceDN/>
                    <w:spacing w:line="240" w:lineRule="auto"/>
                    <w:jc w:val="center"/>
                    <w:rPr>
                      <w:rFonts w:hint="default" w:ascii="Times New Roman" w:hAnsi="Times New Roman" w:cs="Times New Roman"/>
                      <w:b/>
                      <w:bCs/>
                      <w:color w:val="auto"/>
                      <w:sz w:val="21"/>
                      <w:szCs w:val="21"/>
                      <w:u w:val="single" w:color="auto"/>
                      <w:lang w:eastAsia="en-US"/>
                    </w:rPr>
                  </w:pPr>
                  <w:r>
                    <w:rPr>
                      <w:rFonts w:hint="default" w:ascii="Times New Roman" w:hAnsi="Times New Roman" w:cs="Times New Roman"/>
                      <w:b/>
                      <w:bCs/>
                      <w:color w:val="auto"/>
                      <w:sz w:val="21"/>
                      <w:szCs w:val="21"/>
                      <w:u w:val="single" w:color="auto"/>
                      <w:lang w:eastAsia="en-US"/>
                    </w:rPr>
                    <w:t>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6" w:hRule="atLeast"/>
              </w:trPr>
              <w:tc>
                <w:tcPr>
                  <w:tcW w:w="5000" w:type="pct"/>
                  <w:gridSpan w:val="4"/>
                  <w:tcBorders>
                    <w:tl2br w:val="nil"/>
                    <w:tr2bl w:val="nil"/>
                  </w:tcBorders>
                  <w:noWrap w:val="0"/>
                  <w:vAlign w:val="center"/>
                </w:tcPr>
                <w:p>
                  <w:pPr>
                    <w:autoSpaceDE/>
                    <w:autoSpaceDN/>
                    <w:spacing w:line="240" w:lineRule="auto"/>
                    <w:jc w:val="left"/>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一</w:t>
                  </w:r>
                  <w:r>
                    <w:rPr>
                      <w:rFonts w:hint="eastAsia" w:ascii="Times New Roman" w:hAnsi="Times New Roman" w:cs="Times New Roman"/>
                      <w:color w:val="auto"/>
                      <w:sz w:val="21"/>
                      <w:szCs w:val="21"/>
                      <w:u w:val="single" w:color="auto"/>
                      <w:lang w:eastAsia="zh-CN"/>
                    </w:rPr>
                    <w:t>、总体要求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1</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报废机动车的拆解应遵循减量化、资源化和无害化的原则。报废机动车回收拆解企业应优先采用资源回收率高、污染物排放量少的工艺和设备，防范二次污染，实现减污将碳协同增效。</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本项目遵循减量化、资源化和无害化的原则。本项目采样资源回收率高、污染物排放量少的工艺和设备，防范二次污染，实现减污将碳协同增效。</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2</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报废机动车拆解建设项目选址不应位于国务院和国务院有关主管部门及省、自治区、直辖市人民政府划定的生态保护红线区域、永久基本农田和其他需要特别保护的区域内。</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eastAsia="宋体" w:cs="Times New Roman"/>
                      <w:color w:val="auto"/>
                      <w:sz w:val="21"/>
                      <w:szCs w:val="21"/>
                      <w:u w:val="single" w:color="auto"/>
                      <w:lang w:eastAsia="zh-CN"/>
                    </w:rPr>
                  </w:pPr>
                  <w:r>
                    <w:rPr>
                      <w:rFonts w:hint="eastAsia" w:ascii="Times New Roman" w:hAnsi="Times New Roman" w:eastAsia="宋体" w:cs="Times New Roman"/>
                      <w:color w:val="auto"/>
                      <w:sz w:val="21"/>
                      <w:szCs w:val="21"/>
                      <w:u w:val="single" w:color="auto"/>
                      <w:lang w:eastAsia="zh-CN"/>
                    </w:rPr>
                    <w:t>本项目选址不位于</w:t>
                  </w:r>
                  <w:r>
                    <w:rPr>
                      <w:rFonts w:hint="eastAsia" w:ascii="Times New Roman" w:hAnsi="Times New Roman" w:cs="Times New Roman"/>
                      <w:color w:val="auto"/>
                      <w:sz w:val="21"/>
                      <w:szCs w:val="21"/>
                      <w:u w:val="single" w:color="auto"/>
                      <w:lang w:eastAsia="zh-CN"/>
                    </w:rPr>
                    <w:t>于国务院和国务院有关主管部门及省、自治区、直辖市人民政府划定的生态保护红线区域、永久基本农田和其他需要特别保护的区域内，</w:t>
                  </w:r>
                  <w:r>
                    <w:rPr>
                      <w:rFonts w:hint="default" w:ascii="Times New Roman" w:hAnsi="Times New Roman" w:cs="Times New Roman"/>
                      <w:color w:val="auto"/>
                      <w:sz w:val="21"/>
                      <w:szCs w:val="21"/>
                      <w:u w:val="single" w:color="auto"/>
                      <w:lang w:val="en-US" w:eastAsia="zh-CN"/>
                    </w:rPr>
                    <w:t>位于靖州县工业集中区甘太综合加工园规划的二类工业用地范围内</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3</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报废机动车回收拆解企业应具备集中的运营场地，并实行封闭式规范管理。</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本项目具备集中的运营场地，并实行封闭式规范管理。</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04"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4</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eastAsia="zh-CN"/>
                    </w:rPr>
                    <w:t>报废机动回收拆解企业应根据</w:t>
                  </w:r>
                  <w:r>
                    <w:rPr>
                      <w:rFonts w:hint="eastAsia" w:ascii="Times New Roman" w:hAnsi="Times New Roman" w:cs="Times New Roman"/>
                      <w:color w:val="auto"/>
                      <w:sz w:val="21"/>
                      <w:szCs w:val="21"/>
                      <w:u w:val="single" w:color="auto"/>
                      <w:lang w:val="en-US" w:eastAsia="zh-CN"/>
                    </w:rPr>
                    <w:t>HJ1034、HJ1200等规定取得排污许可证，并按照排污许可证管理要求进行规范排污。产生的废气、废水、噪声、固体废物等排放应满足国家和地方的污染物排放标准与排污许可要求，产生的固体废物应按照国家有关环境保护规定和标准要求妥善贮存、利用和处置。</w:t>
                  </w:r>
                </w:p>
              </w:tc>
              <w:tc>
                <w:tcPr>
                  <w:tcW w:w="1921" w:type="pct"/>
                  <w:tcBorders>
                    <w:tl2br w:val="nil"/>
                    <w:tr2bl w:val="nil"/>
                  </w:tcBorders>
                  <w:noWrap w:val="0"/>
                  <w:vAlign w:val="center"/>
                </w:tcPr>
                <w:p>
                  <w:pPr>
                    <w:autoSpaceDE/>
                    <w:autoSpaceDN/>
                    <w:spacing w:line="240" w:lineRule="auto"/>
                    <w:jc w:val="both"/>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公司将按</w:t>
                  </w:r>
                  <w:r>
                    <w:rPr>
                      <w:rFonts w:hint="eastAsia" w:ascii="Times New Roman" w:hAnsi="Times New Roman" w:cs="Times New Roman"/>
                      <w:color w:val="auto"/>
                      <w:sz w:val="21"/>
                      <w:szCs w:val="21"/>
                      <w:u w:val="single" w:color="auto"/>
                      <w:lang w:val="en-US" w:eastAsia="zh-CN"/>
                    </w:rPr>
                    <w:t>HJ1034、HJ1200等规定取得排污许可证，按照排污许可证管理要求规范排污。废气满足</w:t>
                  </w:r>
                  <w:r>
                    <w:rPr>
                      <w:rFonts w:hint="eastAsia"/>
                      <w:sz w:val="21"/>
                      <w:szCs w:val="21"/>
                      <w:u w:val="single" w:color="auto"/>
                      <w:lang w:val="en-US" w:eastAsia="zh-CN"/>
                    </w:rPr>
                    <w:t>《大气污染物综合排放》（GB16297-1996），废水满足</w:t>
                  </w:r>
                  <w:r>
                    <w:rPr>
                      <w:rFonts w:hint="default" w:ascii="Times New Roman" w:hAnsi="Times New Roman" w:eastAsia="宋体" w:cs="Times New Roman"/>
                      <w:bCs/>
                      <w:color w:val="auto"/>
                      <w:sz w:val="21"/>
                      <w:szCs w:val="21"/>
                      <w:u w:val="single" w:color="auto"/>
                    </w:rPr>
                    <w:t>《污水综合排放标准》（GB8976-1996）</w:t>
                  </w:r>
                  <w:r>
                    <w:rPr>
                      <w:rFonts w:hint="eastAsia" w:ascii="Times New Roman" w:hAnsi="Times New Roman" w:eastAsia="宋体" w:cs="Times New Roman"/>
                      <w:bCs/>
                      <w:color w:val="auto"/>
                      <w:sz w:val="21"/>
                      <w:szCs w:val="21"/>
                      <w:u w:val="single" w:color="auto"/>
                      <w:lang w:eastAsia="zh-CN"/>
                    </w:rPr>
                    <w:t>，噪声满足</w:t>
                  </w:r>
                  <w:r>
                    <w:rPr>
                      <w:sz w:val="21"/>
                      <w:szCs w:val="21"/>
                      <w:u w:val="single" w:color="auto"/>
                    </w:rPr>
                    <w:t>《工业企业厂界环境噪声排放标准》（GB12348-2008）</w:t>
                  </w:r>
                  <w:r>
                    <w:rPr>
                      <w:rFonts w:hint="eastAsia"/>
                      <w:sz w:val="21"/>
                      <w:szCs w:val="21"/>
                      <w:u w:val="single" w:color="auto"/>
                      <w:lang w:eastAsia="zh-CN"/>
                    </w:rPr>
                    <w:t>，固体废物按照要求进行暂存及处置。</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04"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5</w:t>
                  </w:r>
                </w:p>
              </w:tc>
              <w:tc>
                <w:tcPr>
                  <w:tcW w:w="2223" w:type="pct"/>
                  <w:tcBorders>
                    <w:tl2br w:val="nil"/>
                    <w:tr2bl w:val="nil"/>
                  </w:tcBorders>
                  <w:noWrap w:val="0"/>
                  <w:vAlign w:val="center"/>
                </w:tcPr>
                <w:p>
                  <w:pPr>
                    <w:autoSpaceDE/>
                    <w:autoSpaceDN/>
                    <w:spacing w:line="240" w:lineRule="auto"/>
                    <w:jc w:val="both"/>
                    <w:rPr>
                      <w:rFonts w:hint="eastAsia"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报废机动车回收拆解企业应依照《报废机动车回收管理办法实施细则》等相关要求向机动车生产企业获取报废机动车拆解指导手册等相关技术信息，依规开展报废机动车拆解工作。</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本项目依照《报废机动车回收管理办法实施细则》等相关要求向机动车生产企业获取报废机动车拆解指导手册等相关技术信息，开展报废机动车拆解工作。</w:t>
                  </w:r>
                </w:p>
              </w:tc>
              <w:tc>
                <w:tcPr>
                  <w:tcW w:w="551"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304"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6</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eastAsia="zh-CN"/>
                    </w:rPr>
                    <w:t>报废机动车回收拆解企业应依据</w:t>
                  </w:r>
                  <w:r>
                    <w:rPr>
                      <w:rFonts w:hint="eastAsia" w:ascii="Times New Roman" w:hAnsi="Times New Roman" w:cs="Times New Roman"/>
                      <w:color w:val="auto"/>
                      <w:sz w:val="21"/>
                      <w:szCs w:val="21"/>
                      <w:u w:val="single" w:color="auto"/>
                      <w:lang w:val="en-US" w:eastAsia="zh-CN"/>
                    </w:rPr>
                    <w:t>GB22128等相关规定开展拆解作业。不应露天拆解报废机动车，拆解产物不应露天堆放，不应对大气、土壤、地表水和地下水造成污染。</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本项目报废机动车拆解按照</w:t>
                  </w:r>
                  <w:r>
                    <w:rPr>
                      <w:rFonts w:hint="eastAsia" w:ascii="Times New Roman" w:hAnsi="Times New Roman" w:cs="Times New Roman"/>
                      <w:color w:val="auto"/>
                      <w:sz w:val="21"/>
                      <w:szCs w:val="21"/>
                      <w:u w:val="single" w:color="auto"/>
                      <w:lang w:val="en-US" w:eastAsia="zh-CN"/>
                    </w:rPr>
                    <w:t>GB22128等相关规定开展拆解作业。露天不拆解报废机动车及露天不堆放拆解产污，本项目在2号车间拆解报废机动车和堆放拆解产物，不对大气、土壤、地表水和地下水造成污染。</w:t>
                  </w:r>
                </w:p>
              </w:tc>
              <w:tc>
                <w:tcPr>
                  <w:tcW w:w="551"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04"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7</w:t>
                  </w:r>
                </w:p>
              </w:tc>
              <w:tc>
                <w:tcPr>
                  <w:tcW w:w="2223" w:type="pct"/>
                  <w:tcBorders>
                    <w:tl2br w:val="nil"/>
                    <w:tr2bl w:val="nil"/>
                  </w:tcBorders>
                  <w:noWrap w:val="0"/>
                  <w:vAlign w:val="center"/>
                </w:tcPr>
                <w:p>
                  <w:pPr>
                    <w:autoSpaceDE/>
                    <w:autoSpaceDN/>
                    <w:spacing w:line="240" w:lineRule="auto"/>
                    <w:jc w:val="both"/>
                    <w:rPr>
                      <w:rFonts w:hint="eastAsia"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报废机动车回收拆解企业应具备与生产规模相匹配的环境保护设施，环境保护设施的设计、施工与运行应遵循“三同时”环境管理制度。</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本项目具备与生产规模相匹配的环境保护设施，环境保护设施的设计、施工与运行遵循“三同时”环境管理制度。</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1" w:hRule="atLeast"/>
              </w:trPr>
              <w:tc>
                <w:tcPr>
                  <w:tcW w:w="304"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8</w:t>
                  </w:r>
                </w:p>
              </w:tc>
              <w:tc>
                <w:tcPr>
                  <w:tcW w:w="2223" w:type="pct"/>
                  <w:tcBorders>
                    <w:tl2br w:val="nil"/>
                    <w:tr2bl w:val="nil"/>
                  </w:tcBorders>
                  <w:noWrap w:val="0"/>
                  <w:vAlign w:val="center"/>
                </w:tcPr>
                <w:p>
                  <w:pPr>
                    <w:autoSpaceDE/>
                    <w:autoSpaceDN/>
                    <w:spacing w:line="240" w:lineRule="auto"/>
                    <w:jc w:val="both"/>
                    <w:rPr>
                      <w:rFonts w:hint="eastAsia"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报废机动车回收拆解及贮存过程除满足环境保护相关要求外，还应符合国家安全生产、职业健康、交通运输、消防等法规标准的相关要求。</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本项目拆解及贮存过程满足环境保护相关的要求，符合国家安全生产、职业健康、交通运输、消防等法规标准的相关要求。</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97" w:hRule="atLeast"/>
              </w:trPr>
              <w:tc>
                <w:tcPr>
                  <w:tcW w:w="5000" w:type="pct"/>
                  <w:gridSpan w:val="4"/>
                  <w:tcBorders>
                    <w:tl2br w:val="nil"/>
                    <w:tr2bl w:val="nil"/>
                  </w:tcBorders>
                  <w:noWrap w:val="0"/>
                  <w:vAlign w:val="center"/>
                </w:tcPr>
                <w:p>
                  <w:pPr>
                    <w:autoSpaceDE/>
                    <w:autoSpaceDN/>
                    <w:spacing w:line="240" w:lineRule="auto"/>
                    <w:jc w:val="both"/>
                    <w:rPr>
                      <w:rFonts w:hint="eastAsia" w:ascii="Times New Roman" w:hAnsi="Times New Roman" w:eastAsia="宋体" w:cs="Times New Roman"/>
                      <w:color w:val="auto"/>
                      <w:sz w:val="21"/>
                      <w:szCs w:val="21"/>
                      <w:u w:val="single" w:color="auto"/>
                      <w:lang w:eastAsia="zh-CN"/>
                    </w:rPr>
                  </w:pPr>
                  <w:r>
                    <w:rPr>
                      <w:rFonts w:hint="default" w:ascii="Times New Roman" w:hAnsi="Times New Roman" w:cs="Times New Roman"/>
                      <w:color w:val="auto"/>
                      <w:sz w:val="21"/>
                      <w:szCs w:val="21"/>
                      <w:u w:val="single" w:color="auto"/>
                      <w:lang w:eastAsia="en-US"/>
                    </w:rPr>
                    <w:t>二</w:t>
                  </w:r>
                  <w:r>
                    <w:rPr>
                      <w:rFonts w:hint="eastAsia" w:ascii="Times New Roman" w:hAnsi="Times New Roman" w:cs="Times New Roman"/>
                      <w:color w:val="auto"/>
                      <w:sz w:val="21"/>
                      <w:szCs w:val="21"/>
                      <w:u w:val="single" w:color="auto"/>
                      <w:lang w:eastAsia="zh-CN"/>
                    </w:rPr>
                    <w:t>、基础设施污染控制要求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304" w:type="pct"/>
                  <w:tcBorders>
                    <w:tl2br w:val="nil"/>
                    <w:tr2bl w:val="nil"/>
                  </w:tcBorders>
                  <w:noWrap w:val="0"/>
                  <w:vAlign w:val="center"/>
                </w:tcPr>
                <w:p>
                  <w:pPr>
                    <w:autoSpaceDE/>
                    <w:autoSpaceDN/>
                    <w:spacing w:line="240" w:lineRule="auto"/>
                    <w:jc w:val="center"/>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val="en-US" w:eastAsia="zh-CN"/>
                    </w:rPr>
                    <w:t>9</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报废机动车回收拆解企业内的道路应采取硬化措施，如出现破损应及时维修。</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本项目厂区内的道路为混凝土硬化路面，如出现破损及时维修。</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10</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val="en-US" w:eastAsia="en-US"/>
                    </w:rPr>
                  </w:pPr>
                  <w:r>
                    <w:rPr>
                      <w:rFonts w:hint="eastAsia" w:ascii="Times New Roman" w:hAnsi="Times New Roman" w:cs="Times New Roman"/>
                      <w:color w:val="auto"/>
                      <w:sz w:val="21"/>
                      <w:szCs w:val="21"/>
                      <w:u w:val="single" w:color="auto"/>
                      <w:lang w:eastAsia="zh-CN"/>
                    </w:rPr>
                    <w:t>报废机动车回收拆解企业应做到雨污分流，在作业区内产生的初期雨水、清洗水和其他非生活水应设置专门的收集设施和污水处理设施。厂区内应按照</w:t>
                  </w:r>
                  <w:r>
                    <w:rPr>
                      <w:rFonts w:hint="eastAsia" w:ascii="Times New Roman" w:hAnsi="Times New Roman" w:cs="Times New Roman"/>
                      <w:color w:val="auto"/>
                      <w:sz w:val="21"/>
                      <w:szCs w:val="21"/>
                      <w:u w:val="single" w:color="auto"/>
                      <w:lang w:val="en-US" w:eastAsia="zh-CN"/>
                    </w:rPr>
                    <w:t>GB/T50483的要求设置初期雨水收集池。</w:t>
                  </w:r>
                </w:p>
              </w:tc>
              <w:tc>
                <w:tcPr>
                  <w:tcW w:w="1921" w:type="pct"/>
                  <w:tcBorders>
                    <w:tl2br w:val="nil"/>
                    <w:tr2bl w:val="nil"/>
                  </w:tcBorders>
                  <w:noWrap w:val="0"/>
                  <w:vAlign w:val="center"/>
                </w:tcPr>
                <w:p>
                  <w:pPr>
                    <w:autoSpaceDE/>
                    <w:autoSpaceDN/>
                    <w:spacing w:line="240" w:lineRule="auto"/>
                    <w:jc w:val="both"/>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本项目雨污分流制，</w:t>
                  </w:r>
                  <w:r>
                    <w:rPr>
                      <w:rFonts w:hint="eastAsia"/>
                      <w:color w:val="000000"/>
                      <w:kern w:val="0"/>
                      <w:szCs w:val="21"/>
                      <w:highlight w:val="none"/>
                      <w:u w:val="single" w:color="auto"/>
                      <w:lang w:val="en-US" w:eastAsia="zh-CN"/>
                    </w:rPr>
                    <w:t>初期雨水+</w:t>
                  </w:r>
                  <w:r>
                    <w:rPr>
                      <w:rFonts w:hint="eastAsia"/>
                      <w:bCs/>
                      <w:szCs w:val="21"/>
                      <w:u w:val="single" w:color="auto"/>
                    </w:rPr>
                    <w:t>拆解</w:t>
                  </w:r>
                  <w:r>
                    <w:rPr>
                      <w:rFonts w:hint="eastAsia"/>
                      <w:bCs/>
                      <w:szCs w:val="21"/>
                      <w:u w:val="single" w:color="auto"/>
                      <w:lang w:eastAsia="zh-CN"/>
                    </w:rPr>
                    <w:t>区</w:t>
                  </w:r>
                  <w:r>
                    <w:rPr>
                      <w:rFonts w:hint="eastAsia"/>
                      <w:bCs/>
                      <w:szCs w:val="21"/>
                      <w:u w:val="single" w:color="auto"/>
                    </w:rPr>
                    <w:t>地面</w:t>
                  </w:r>
                  <w:r>
                    <w:rPr>
                      <w:rFonts w:hint="eastAsia"/>
                      <w:bCs/>
                      <w:szCs w:val="21"/>
                      <w:u w:val="single" w:color="auto"/>
                      <w:lang w:val="en-US" w:eastAsia="zh-CN"/>
                    </w:rPr>
                    <w:t>清洁</w:t>
                  </w:r>
                  <w:r>
                    <w:rPr>
                      <w:rFonts w:hint="eastAsia"/>
                      <w:bCs/>
                      <w:szCs w:val="21"/>
                      <w:u w:val="single" w:color="auto"/>
                    </w:rPr>
                    <w:t>废水</w:t>
                  </w:r>
                  <w:r>
                    <w:rPr>
                      <w:rFonts w:hint="eastAsia"/>
                      <w:color w:val="000000"/>
                      <w:kern w:val="0"/>
                      <w:szCs w:val="21"/>
                      <w:highlight w:val="none"/>
                      <w:u w:val="single" w:color="auto"/>
                      <w:lang w:eastAsia="zh-CN"/>
                    </w:rPr>
                    <w:t>经厂区污水处理设施（隔油池</w:t>
                  </w:r>
                  <w:r>
                    <w:rPr>
                      <w:rFonts w:hint="eastAsia"/>
                      <w:color w:val="000000"/>
                      <w:kern w:val="0"/>
                      <w:szCs w:val="21"/>
                      <w:highlight w:val="none"/>
                      <w:u w:val="single" w:color="auto"/>
                      <w:lang w:val="en-US" w:eastAsia="zh-CN"/>
                    </w:rPr>
                    <w:t>+</w:t>
                  </w:r>
                  <w:r>
                    <w:rPr>
                      <w:rFonts w:hint="eastAsia" w:ascii="Calibri" w:hAnsi="Calibri" w:eastAsia="宋体" w:cs="Times New Roman"/>
                      <w:sz w:val="21"/>
                      <w:szCs w:val="21"/>
                      <w:u w:val="single" w:color="auto"/>
                      <w:lang w:val="en-US" w:eastAsia="zh-CN"/>
                    </w:rPr>
                    <w:t>气浮机</w:t>
                  </w:r>
                  <w:r>
                    <w:rPr>
                      <w:rFonts w:hint="eastAsia"/>
                      <w:color w:val="000000"/>
                      <w:kern w:val="0"/>
                      <w:szCs w:val="21"/>
                      <w:highlight w:val="none"/>
                      <w:u w:val="single" w:color="auto"/>
                      <w:lang w:eastAsia="zh-CN"/>
                    </w:rPr>
                    <w:t>）处理</w:t>
                  </w:r>
                  <w:r>
                    <w:rPr>
                      <w:rFonts w:hint="eastAsia" w:ascii="Times New Roman" w:hAnsi="Times New Roman" w:cs="Times New Roman"/>
                      <w:color w:val="000000"/>
                      <w:kern w:val="0"/>
                      <w:szCs w:val="21"/>
                      <w:highlight w:val="none"/>
                      <w:u w:val="single" w:color="auto"/>
                      <w:lang w:eastAsia="zh-CN"/>
                    </w:rPr>
                    <w:t>。</w:t>
                  </w:r>
                  <w:r>
                    <w:rPr>
                      <w:rFonts w:hint="eastAsia" w:ascii="Times New Roman" w:hAnsi="Times New Roman" w:cs="Times New Roman"/>
                      <w:color w:val="auto"/>
                      <w:sz w:val="21"/>
                      <w:szCs w:val="21"/>
                      <w:u w:val="single" w:color="auto"/>
                      <w:lang w:eastAsia="zh-CN"/>
                    </w:rPr>
                    <w:t>厂区内按照</w:t>
                  </w:r>
                  <w:r>
                    <w:rPr>
                      <w:rFonts w:hint="eastAsia" w:ascii="Times New Roman" w:hAnsi="Times New Roman" w:cs="Times New Roman"/>
                      <w:color w:val="auto"/>
                      <w:sz w:val="21"/>
                      <w:szCs w:val="21"/>
                      <w:u w:val="single" w:color="auto"/>
                      <w:lang w:val="en-US" w:eastAsia="zh-CN"/>
                    </w:rPr>
                    <w:t>GB/T50483的要求设置初期雨水收集池。</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5000" w:type="pct"/>
                  <w:gridSpan w:val="4"/>
                  <w:tcBorders>
                    <w:tl2br w:val="nil"/>
                    <w:tr2bl w:val="nil"/>
                  </w:tcBorders>
                  <w:noWrap w:val="0"/>
                  <w:vAlign w:val="center"/>
                </w:tcPr>
                <w:p>
                  <w:pPr>
                    <w:autoSpaceDE/>
                    <w:autoSpaceDN/>
                    <w:spacing w:line="240" w:lineRule="auto"/>
                    <w:jc w:val="both"/>
                    <w:rPr>
                      <w:rFonts w:hint="eastAsia" w:ascii="Times New Roman" w:hAnsi="Times New Roman" w:eastAsia="宋体"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三、拆解过程污染控制要求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12</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报废电动汽车进场检测时，受损变形以及漏液、漏电、电源供应工作不正常或其他的事故车辆应进行明显标识，及时隔离并优先处理，避免造成环境风险。</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本项目报废电动汽车进场检测时，受损变形以及漏液、漏电、电源供应工作不正常或其他的事故车辆应进行明显标识，并单独隔离优先处理。</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13</w:t>
                  </w:r>
                </w:p>
              </w:tc>
              <w:tc>
                <w:tcPr>
                  <w:tcW w:w="2223"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电动汽车在开展拆解作业前，应采用防静电设备彻底抽排制冷剂，并用专用容器回收储存，避免电解质和有机溶剂泄漏。拆卸下来的动力蓄电池存在漏液、冒烟、漏电、外壳破损等情形的，应及时处理并采用专用容器单独存放，避免动力蓄电池自燃引起的环境风险。</w:t>
                  </w:r>
                </w:p>
              </w:tc>
              <w:tc>
                <w:tcPr>
                  <w:tcW w:w="1921" w:type="pct"/>
                  <w:tcBorders>
                    <w:tl2br w:val="nil"/>
                    <w:tr2bl w:val="nil"/>
                  </w:tcBorders>
                  <w:noWrap w:val="0"/>
                  <w:vAlign w:val="center"/>
                </w:tcPr>
                <w:p>
                  <w:pPr>
                    <w:autoSpaceDE/>
                    <w:autoSpaceDN/>
                    <w:spacing w:line="240" w:lineRule="auto"/>
                    <w:jc w:val="both"/>
                    <w:rPr>
                      <w:rFonts w:hint="eastAsia" w:ascii="Times New Roman" w:hAnsi="Times New Roman" w:eastAsia="宋体" w:cs="Times New Roman"/>
                      <w:color w:val="auto"/>
                      <w:sz w:val="21"/>
                      <w:szCs w:val="21"/>
                      <w:u w:val="single" w:color="auto"/>
                      <w:lang w:eastAsia="zh-CN"/>
                    </w:rPr>
                  </w:pPr>
                  <w:r>
                    <w:rPr>
                      <w:rFonts w:hint="eastAsia"/>
                      <w:szCs w:val="21"/>
                      <w:u w:val="single" w:color="auto"/>
                      <w:lang w:eastAsia="zh-CN"/>
                    </w:rPr>
                    <w:t>本项目</w:t>
                  </w:r>
                  <w:r>
                    <w:rPr>
                      <w:rFonts w:hint="eastAsia" w:ascii="Times New Roman" w:hAnsi="Times New Roman" w:cs="Times New Roman"/>
                      <w:color w:val="auto"/>
                      <w:sz w:val="21"/>
                      <w:szCs w:val="21"/>
                      <w:u w:val="single" w:color="auto"/>
                      <w:lang w:eastAsia="zh-CN"/>
                    </w:rPr>
                    <w:t>采用防静电</w:t>
                  </w:r>
                  <w:r>
                    <w:rPr>
                      <w:rFonts w:hint="eastAsia"/>
                      <w:szCs w:val="21"/>
                      <w:u w:val="single" w:color="auto"/>
                    </w:rPr>
                    <w:t>制冷剂回收装置</w:t>
                  </w:r>
                  <w:r>
                    <w:rPr>
                      <w:rFonts w:hint="eastAsia"/>
                      <w:szCs w:val="21"/>
                      <w:u w:val="single" w:color="auto"/>
                      <w:lang w:eastAsia="zh-CN"/>
                    </w:rPr>
                    <w:t>，用</w:t>
                  </w:r>
                  <w:r>
                    <w:rPr>
                      <w:rFonts w:hint="eastAsia"/>
                      <w:sz w:val="21"/>
                      <w:szCs w:val="21"/>
                      <w:u w:val="single" w:color="auto"/>
                      <w:vertAlign w:val="baseline"/>
                      <w:lang w:val="en-US" w:eastAsia="zh-CN"/>
                    </w:rPr>
                    <w:t>钢瓶</w:t>
                  </w:r>
                  <w:r>
                    <w:rPr>
                      <w:rFonts w:hint="eastAsia" w:ascii="Times New Roman" w:hAnsi="Times New Roman" w:cs="Times New Roman"/>
                      <w:color w:val="auto"/>
                      <w:sz w:val="21"/>
                      <w:szCs w:val="21"/>
                      <w:u w:val="single" w:color="auto"/>
                      <w:lang w:eastAsia="zh-CN"/>
                    </w:rPr>
                    <w:t>回收储存。拆卸下来的动力蓄电池存在漏液、冒烟、漏电、外壳破损等情况，采样</w:t>
                  </w:r>
                  <w:r>
                    <w:rPr>
                      <w:rFonts w:hint="eastAsia"/>
                      <w:sz w:val="21"/>
                      <w:szCs w:val="21"/>
                      <w:u w:val="single" w:color="auto"/>
                      <w:vertAlign w:val="baseline"/>
                      <w:lang w:val="en-US" w:eastAsia="zh-CN"/>
                    </w:rPr>
                    <w:t>耐酸容器单独存放。</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14</w:t>
                  </w:r>
                </w:p>
              </w:tc>
              <w:tc>
                <w:tcPr>
                  <w:tcW w:w="2223" w:type="pct"/>
                  <w:tcBorders>
                    <w:tl2br w:val="nil"/>
                    <w:tr2bl w:val="nil"/>
                  </w:tcBorders>
                  <w:noWrap w:val="0"/>
                  <w:vAlign w:val="center"/>
                </w:tcPr>
                <w:p>
                  <w:pPr>
                    <w:autoSpaceDE/>
                    <w:autoSpaceDN/>
                    <w:spacing w:line="240" w:lineRule="auto"/>
                    <w:jc w:val="both"/>
                    <w:rPr>
                      <w:rFonts w:hint="eastAsia"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动力蓄电池不应与铅蓄电池混合贮存</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本项目动力蓄电池贮存于</w:t>
                  </w:r>
                  <w:r>
                    <w:rPr>
                      <w:rFonts w:hint="eastAsia" w:ascii="Times New Roman" w:hAnsi="Times New Roman" w:cs="Times New Roman"/>
                      <w:color w:val="auto"/>
                      <w:sz w:val="21"/>
                      <w:szCs w:val="21"/>
                      <w:u w:val="single" w:color="auto"/>
                      <w:lang w:val="en-US" w:eastAsia="zh-CN"/>
                    </w:rPr>
                    <w:t>2号车间新能源拆解区，</w:t>
                  </w:r>
                  <w:r>
                    <w:rPr>
                      <w:rFonts w:hint="eastAsia" w:ascii="Times New Roman" w:hAnsi="Times New Roman" w:cs="Times New Roman"/>
                      <w:color w:val="auto"/>
                      <w:sz w:val="21"/>
                      <w:szCs w:val="21"/>
                      <w:u w:val="single" w:color="auto"/>
                      <w:lang w:eastAsia="zh-CN"/>
                    </w:rPr>
                    <w:t>铅蓄电池暂存于危险废物暂存间的电池库房</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15</w:t>
                  </w:r>
                </w:p>
              </w:tc>
              <w:tc>
                <w:tcPr>
                  <w:tcW w:w="2223" w:type="pct"/>
                  <w:tcBorders>
                    <w:tl2br w:val="nil"/>
                    <w:tr2bl w:val="nil"/>
                  </w:tcBorders>
                  <w:noWrap w:val="0"/>
                  <w:vAlign w:val="center"/>
                </w:tcPr>
                <w:p>
                  <w:pPr>
                    <w:autoSpaceDE/>
                    <w:autoSpaceDN/>
                    <w:spacing w:line="240" w:lineRule="auto"/>
                    <w:jc w:val="both"/>
                    <w:rPr>
                      <w:rFonts w:hint="eastAsia"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报废机动车回收拆解企业不应焚烧报废机动车拆解过程中产生的废电线电缆、废轮胎和其他废物。</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eastAsia="zh-CN"/>
                    </w:rPr>
                    <w:t>本项目拆解过程中产生的废电线电缆、废轮胎和其他废物分别交给相应有资质单位进行处置，不焚烧。</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04" w:type="pct"/>
                  <w:tcBorders>
                    <w:tl2br w:val="nil"/>
                    <w:tr2bl w:val="nil"/>
                  </w:tcBorders>
                  <w:noWrap w:val="0"/>
                  <w:vAlign w:val="center"/>
                </w:tcPr>
                <w:p>
                  <w:pPr>
                    <w:autoSpaceDE/>
                    <w:autoSpaceDN/>
                    <w:spacing w:line="240" w:lineRule="auto"/>
                    <w:jc w:val="center"/>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16</w:t>
                  </w:r>
                </w:p>
              </w:tc>
              <w:tc>
                <w:tcPr>
                  <w:tcW w:w="2223" w:type="pct"/>
                  <w:tcBorders>
                    <w:tl2br w:val="nil"/>
                    <w:tr2bl w:val="nil"/>
                  </w:tcBorders>
                  <w:noWrap w:val="0"/>
                  <w:vAlign w:val="center"/>
                </w:tcPr>
                <w:p>
                  <w:pPr>
                    <w:autoSpaceDE/>
                    <w:autoSpaceDN/>
                    <w:spacing w:line="240" w:lineRule="auto"/>
                    <w:jc w:val="both"/>
                    <w:rPr>
                      <w:rFonts w:hint="eastAsia"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报废机动车拆解产生的废旧玻璃、报废机动车破碎残余物、引爆后的安全气囊等应避免危险废物的沾染，未沾染危险废物的应按一般工业固体废物进行管理。</w:t>
                  </w:r>
                </w:p>
              </w:tc>
              <w:tc>
                <w:tcPr>
                  <w:tcW w:w="1921" w:type="pct"/>
                  <w:tcBorders>
                    <w:tl2br w:val="nil"/>
                    <w:tr2bl w:val="nil"/>
                  </w:tcBorders>
                  <w:noWrap w:val="0"/>
                  <w:vAlign w:val="center"/>
                </w:tcPr>
                <w:p>
                  <w:pPr>
                    <w:autoSpaceDE/>
                    <w:autoSpaceDN/>
                    <w:spacing w:line="240" w:lineRule="auto"/>
                    <w:jc w:val="both"/>
                    <w:rPr>
                      <w:rFonts w:hint="default" w:ascii="Times New Roman" w:hAnsi="Times New Roman" w:cs="Times New Roman"/>
                      <w:color w:val="auto"/>
                      <w:sz w:val="21"/>
                      <w:szCs w:val="21"/>
                      <w:u w:val="single" w:color="auto"/>
                      <w:lang w:eastAsia="zh-CN"/>
                    </w:rPr>
                  </w:pPr>
                  <w:r>
                    <w:rPr>
                      <w:rFonts w:hint="eastAsia" w:ascii="Times New Roman" w:hAnsi="Times New Roman" w:cs="Times New Roman"/>
                      <w:color w:val="auto"/>
                      <w:sz w:val="21"/>
                      <w:szCs w:val="21"/>
                      <w:u w:val="single" w:color="auto"/>
                      <w:lang w:eastAsia="zh-CN"/>
                    </w:rPr>
                    <w:t>本项目产生的废旧玻璃、破碎残余物交由环卫部门处置</w:t>
                  </w:r>
                  <w:r>
                    <w:rPr>
                      <w:rFonts w:hint="eastAsia"/>
                      <w:sz w:val="21"/>
                      <w:szCs w:val="21"/>
                      <w:u w:val="single" w:color="auto"/>
                      <w:lang w:val="en-US" w:eastAsia="zh-CN"/>
                    </w:rPr>
                    <w:t>，</w:t>
                  </w:r>
                  <w:r>
                    <w:rPr>
                      <w:rFonts w:hint="eastAsia" w:ascii="Times New Roman" w:hAnsi="Times New Roman" w:cs="Times New Roman"/>
                      <w:color w:val="auto"/>
                      <w:sz w:val="21"/>
                      <w:szCs w:val="21"/>
                      <w:u w:val="single" w:color="auto"/>
                      <w:lang w:eastAsia="zh-CN"/>
                    </w:rPr>
                    <w:t>安全气囊设置专门引爆区，引爆后的安全气囊</w:t>
                  </w:r>
                  <w:r>
                    <w:rPr>
                      <w:rFonts w:hint="eastAsia"/>
                      <w:sz w:val="21"/>
                      <w:szCs w:val="21"/>
                      <w:u w:val="single" w:color="auto"/>
                      <w:lang w:val="en-US" w:eastAsia="zh-CN"/>
                    </w:rPr>
                    <w:t>外售给相关回收单位</w:t>
                  </w:r>
                </w:p>
              </w:tc>
              <w:tc>
                <w:tcPr>
                  <w:tcW w:w="551" w:type="pct"/>
                  <w:tcBorders>
                    <w:tl2br w:val="nil"/>
                    <w:tr2bl w:val="nil"/>
                  </w:tcBorders>
                  <w:noWrap w:val="0"/>
                  <w:vAlign w:val="center"/>
                </w:tcPr>
                <w:p>
                  <w:pPr>
                    <w:autoSpaceDE/>
                    <w:autoSpaceDN/>
                    <w:spacing w:line="240" w:lineRule="auto"/>
                    <w:jc w:val="center"/>
                    <w:rPr>
                      <w:rFonts w:hint="default" w:ascii="Times New Roman" w:hAnsi="Times New Roman" w:cs="Times New Roman"/>
                      <w:color w:val="auto"/>
                      <w:sz w:val="21"/>
                      <w:szCs w:val="21"/>
                      <w:u w:val="single" w:color="auto"/>
                      <w:lang w:eastAsia="en-US"/>
                    </w:rPr>
                  </w:pPr>
                  <w:r>
                    <w:rPr>
                      <w:rFonts w:hint="default" w:ascii="Times New Roman" w:hAnsi="Times New Roman" w:cs="Times New Roman"/>
                      <w:color w:val="auto"/>
                      <w:sz w:val="21"/>
                      <w:szCs w:val="21"/>
                      <w:u w:val="single" w:color="auto"/>
                      <w:lang w:eastAsia="en-US"/>
                    </w:rPr>
                    <w:t>符合</w:t>
                  </w:r>
                </w:p>
              </w:tc>
            </w:tr>
          </w:tbl>
          <w:p>
            <w:pPr>
              <w:autoSpaceDE w:val="0"/>
              <w:autoSpaceDN w:val="0"/>
              <w:adjustRightInd w:val="0"/>
              <w:snapToGrid w:val="0"/>
              <w:spacing w:line="360" w:lineRule="auto"/>
              <w:ind w:firstLine="480" w:firstLineChars="200"/>
              <w:jc w:val="left"/>
              <w:rPr>
                <w:rFonts w:hint="eastAsia"/>
                <w:b/>
                <w:color w:val="000000"/>
                <w:u w:val="single"/>
              </w:rPr>
            </w:pPr>
            <w:r>
              <w:rPr>
                <w:rFonts w:hint="default" w:ascii="Times New Roman" w:hAnsi="Times New Roman" w:cs="Times New Roman"/>
                <w:b w:val="0"/>
                <w:bCs/>
                <w:color w:val="auto"/>
                <w:kern w:val="0"/>
                <w:sz w:val="24"/>
                <w:szCs w:val="24"/>
                <w:u w:val="single"/>
              </w:rPr>
              <w:t>从上表相符性分析可知</w:t>
            </w:r>
            <w:r>
              <w:rPr>
                <w:rFonts w:hint="default" w:ascii="Times New Roman" w:hAnsi="Times New Roman" w:cs="Times New Roman"/>
                <w:b w:val="0"/>
                <w:bCs/>
                <w:color w:val="auto"/>
                <w:kern w:val="0"/>
                <w:sz w:val="24"/>
                <w:szCs w:val="24"/>
                <w:u w:val="single"/>
                <w:lang w:eastAsia="zh-CN"/>
              </w:rPr>
              <w:t>，项目符合</w:t>
            </w:r>
            <w:r>
              <w:rPr>
                <w:rFonts w:hint="default" w:ascii="Times New Roman" w:hAnsi="Times New Roman" w:cs="Times New Roman"/>
                <w:b w:val="0"/>
                <w:bCs/>
                <w:color w:val="auto"/>
                <w:kern w:val="0"/>
                <w:sz w:val="24"/>
                <w:szCs w:val="24"/>
                <w:u w:val="single"/>
                <w:lang w:val="en-US" w:eastAsia="zh-CN"/>
              </w:rPr>
              <w:t>《报废机动车拆解企业污染控制技术规范》（HJ348-2022）</w:t>
            </w:r>
            <w:r>
              <w:rPr>
                <w:rFonts w:hint="default" w:ascii="Times New Roman" w:hAnsi="Times New Roman" w:cs="Times New Roman"/>
                <w:b w:val="0"/>
                <w:bCs/>
                <w:color w:val="auto"/>
                <w:sz w:val="24"/>
                <w:szCs w:val="24"/>
                <w:u w:val="single"/>
                <w:lang w:eastAsia="zh-CN"/>
              </w:rPr>
              <w:t>的要求。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8、</w:t>
            </w:r>
            <w:r>
              <w:rPr>
                <w:rFonts w:hint="default" w:ascii="Times New Roman" w:hAnsi="Times New Roman" w:eastAsia="宋体" w:cs="Times New Roman"/>
                <w:b/>
                <w:bCs/>
                <w:color w:val="auto"/>
                <w:kern w:val="0"/>
                <w:sz w:val="24"/>
                <w:szCs w:val="24"/>
                <w:highlight w:val="none"/>
                <w:u w:val="none"/>
                <w:lang w:val="en-US" w:eastAsia="zh-CN"/>
              </w:rPr>
              <w:t>本项目与“三线一单”相符性分析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lang w:eastAsia="zh-CN"/>
              </w:rPr>
            </w:pPr>
            <w:r>
              <w:rPr>
                <w:rFonts w:hint="default" w:ascii="Times New Roman" w:hAnsi="Times New Roman" w:cs="Times New Roman"/>
                <w:b/>
                <w:bCs/>
                <w:color w:val="auto"/>
                <w:kern w:val="0"/>
                <w:sz w:val="24"/>
                <w:szCs w:val="24"/>
                <w:lang w:eastAsia="zh-CN"/>
              </w:rPr>
              <w:t>（</w:t>
            </w:r>
            <w:r>
              <w:rPr>
                <w:rFonts w:hint="default" w:ascii="Times New Roman" w:hAnsi="Times New Roman" w:cs="Times New Roman"/>
                <w:b/>
                <w:bCs/>
                <w:color w:val="auto"/>
                <w:kern w:val="0"/>
                <w:sz w:val="24"/>
                <w:szCs w:val="24"/>
                <w:lang w:val="en-US" w:eastAsia="zh-CN"/>
              </w:rPr>
              <w:t>1</w:t>
            </w:r>
            <w:r>
              <w:rPr>
                <w:rFonts w:hint="default" w:ascii="Times New Roman" w:hAnsi="Times New Roman" w:cs="Times New Roman"/>
                <w:b/>
                <w:bCs/>
                <w:color w:val="auto"/>
                <w:kern w:val="0"/>
                <w:sz w:val="24"/>
                <w:szCs w:val="24"/>
                <w:lang w:eastAsia="zh-CN"/>
              </w:rPr>
              <w:t>）生态保护红线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本项目位于靖州县工业集中区，属于工业用地，园区规划红线范围不属于</w:t>
            </w:r>
            <w:r>
              <w:rPr>
                <w:rFonts w:hint="eastAsia" w:ascii="Times New Roman" w:hAnsi="Times New Roman" w:eastAsia="宋体" w:cs="Times New Roman"/>
                <w:color w:val="auto"/>
                <w:kern w:val="0"/>
                <w:sz w:val="24"/>
                <w:szCs w:val="24"/>
                <w:highlight w:val="none"/>
                <w:lang w:eastAsia="zh-CN"/>
              </w:rPr>
              <w:t>靖州县</w:t>
            </w:r>
            <w:r>
              <w:rPr>
                <w:rFonts w:hint="default" w:ascii="Times New Roman" w:hAnsi="Times New Roman" w:eastAsia="宋体" w:cs="Times New Roman"/>
                <w:color w:val="auto"/>
                <w:kern w:val="0"/>
                <w:sz w:val="24"/>
                <w:szCs w:val="24"/>
                <w:highlight w:val="none"/>
                <w:lang w:eastAsia="zh-CN"/>
              </w:rPr>
              <w:t>生态红线范围内，不涉及自然保护区、</w:t>
            </w:r>
            <w:r>
              <w:rPr>
                <w:rFonts w:hint="eastAsia" w:ascii="Times New Roman" w:hAnsi="Times New Roman" w:eastAsia="宋体" w:cs="Times New Roman"/>
                <w:color w:val="auto"/>
                <w:kern w:val="0"/>
                <w:sz w:val="24"/>
                <w:szCs w:val="24"/>
                <w:highlight w:val="none"/>
                <w:lang w:eastAsia="zh-CN"/>
              </w:rPr>
              <w:t>饮用水源保护区、</w:t>
            </w:r>
            <w:r>
              <w:rPr>
                <w:rFonts w:hint="default" w:ascii="Times New Roman" w:hAnsi="Times New Roman" w:eastAsia="宋体" w:cs="Times New Roman"/>
                <w:color w:val="auto"/>
                <w:kern w:val="0"/>
                <w:sz w:val="24"/>
                <w:szCs w:val="24"/>
                <w:highlight w:val="none"/>
                <w:lang w:eastAsia="zh-CN"/>
              </w:rPr>
              <w:t>风景名胜区、森林公园、地质公园、生态核心区及重要水生生物的自然产卵场、索饵场、越冬场和洄游通道等生态敏感区。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w:t>
            </w:r>
            <w:r>
              <w:rPr>
                <w:rFonts w:hint="default" w:ascii="Times New Roman" w:hAnsi="Times New Roman" w:cs="Times New Roman"/>
                <w:b/>
                <w:bCs/>
                <w:color w:val="auto"/>
                <w:kern w:val="0"/>
                <w:sz w:val="24"/>
                <w:szCs w:val="24"/>
                <w:lang w:val="en-US" w:eastAsia="zh-CN"/>
              </w:rPr>
              <w:t>2</w:t>
            </w:r>
            <w:r>
              <w:rPr>
                <w:rFonts w:hint="default" w:ascii="Times New Roman" w:hAnsi="Times New Roman" w:cs="Times New Roman"/>
                <w:b/>
                <w:bCs/>
                <w:color w:val="auto"/>
                <w:kern w:val="0"/>
                <w:sz w:val="24"/>
                <w:szCs w:val="24"/>
              </w:rPr>
              <w:t>）环境质量底线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本项目所在地大气环境为环境空气质量功能二类地区，根据《</w:t>
            </w:r>
            <w:r>
              <w:rPr>
                <w:rFonts w:hint="eastAsia" w:ascii="Times New Roman" w:hAnsi="Times New Roman" w:eastAsia="宋体" w:cs="Times New Roman"/>
                <w:color w:val="auto"/>
                <w:kern w:val="0"/>
                <w:sz w:val="24"/>
                <w:szCs w:val="24"/>
                <w:lang w:val="en-US" w:eastAsia="zh-CN"/>
              </w:rPr>
              <w:t>靖州</w:t>
            </w:r>
            <w:r>
              <w:rPr>
                <w:rFonts w:hint="default" w:ascii="Times New Roman" w:hAnsi="Times New Roman" w:eastAsia="宋体" w:cs="Times New Roman"/>
                <w:color w:val="auto"/>
                <w:kern w:val="0"/>
                <w:sz w:val="24"/>
                <w:szCs w:val="24"/>
                <w:lang w:val="en-US" w:eastAsia="zh-CN"/>
              </w:rPr>
              <w:t>县2020年环境质量报告》中监测数据，评价区域内大气环境中SO</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、NO</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、O</w:t>
            </w:r>
            <w:r>
              <w:rPr>
                <w:rFonts w:hint="default" w:ascii="Times New Roman" w:hAnsi="Times New Roman" w:eastAsia="宋体" w:cs="Times New Roman"/>
                <w:color w:val="auto"/>
                <w:kern w:val="0"/>
                <w:sz w:val="24"/>
                <w:szCs w:val="24"/>
                <w:vertAlign w:val="subscript"/>
                <w:lang w:val="en-US" w:eastAsia="zh-CN"/>
              </w:rPr>
              <w:t>3</w:t>
            </w:r>
            <w:r>
              <w:rPr>
                <w:rFonts w:hint="default" w:ascii="Times New Roman" w:hAnsi="Times New Roman" w:eastAsia="宋体" w:cs="Times New Roman"/>
                <w:color w:val="auto"/>
                <w:kern w:val="0"/>
                <w:sz w:val="24"/>
                <w:szCs w:val="24"/>
                <w:lang w:val="en-US" w:eastAsia="zh-CN"/>
              </w:rPr>
              <w:t>、CO、PM</w:t>
            </w:r>
            <w:r>
              <w:rPr>
                <w:rFonts w:hint="default" w:ascii="Times New Roman" w:hAnsi="Times New Roman" w:eastAsia="宋体" w:cs="Times New Roman"/>
                <w:color w:val="auto"/>
                <w:kern w:val="0"/>
                <w:sz w:val="24"/>
                <w:szCs w:val="24"/>
                <w:vertAlign w:val="subscript"/>
                <w:lang w:val="en-US" w:eastAsia="zh-CN"/>
              </w:rPr>
              <w:t>10</w:t>
            </w:r>
            <w:r>
              <w:rPr>
                <w:rFonts w:hint="default" w:ascii="Times New Roman" w:hAnsi="Times New Roman" w:eastAsia="宋体" w:cs="Times New Roman"/>
                <w:color w:val="auto"/>
                <w:kern w:val="0"/>
                <w:sz w:val="24"/>
                <w:szCs w:val="24"/>
                <w:lang w:val="en-US" w:eastAsia="zh-CN"/>
              </w:rPr>
              <w:t>、PM</w:t>
            </w:r>
            <w:r>
              <w:rPr>
                <w:rFonts w:hint="default" w:ascii="Times New Roman" w:hAnsi="Times New Roman" w:eastAsia="宋体" w:cs="Times New Roman"/>
                <w:color w:val="auto"/>
                <w:kern w:val="0"/>
                <w:sz w:val="24"/>
                <w:szCs w:val="24"/>
                <w:vertAlign w:val="subscript"/>
                <w:lang w:val="en-US" w:eastAsia="zh-CN"/>
              </w:rPr>
              <w:t>2.5</w:t>
            </w:r>
            <w:r>
              <w:rPr>
                <w:rFonts w:hint="default" w:ascii="Times New Roman" w:hAnsi="Times New Roman" w:eastAsia="宋体" w:cs="Times New Roman"/>
                <w:color w:val="auto"/>
                <w:kern w:val="0"/>
                <w:sz w:val="24"/>
                <w:szCs w:val="24"/>
                <w:lang w:val="en-US" w:eastAsia="zh-CN"/>
              </w:rPr>
              <w:t>项基本污染物满足《环境空气质量标准》(GB3095-2012)中二级标准要求，根据监测报告，</w:t>
            </w:r>
            <w:r>
              <w:rPr>
                <w:rFonts w:hint="default"/>
                <w:sz w:val="24"/>
                <w:szCs w:val="24"/>
                <w:lang w:val="en-US" w:eastAsia="zh-CN"/>
              </w:rPr>
              <w:t>项目所在地总悬浮颗粒物</w:t>
            </w:r>
            <w:r>
              <w:rPr>
                <w:rFonts w:hint="eastAsia"/>
                <w:sz w:val="24"/>
                <w:szCs w:val="24"/>
                <w:lang w:val="en-US" w:eastAsia="zh-CN"/>
              </w:rPr>
              <w:t>、氟化物监测值</w:t>
            </w:r>
            <w:r>
              <w:rPr>
                <w:rFonts w:hint="default"/>
                <w:sz w:val="24"/>
                <w:szCs w:val="24"/>
                <w:lang w:val="en-US" w:eastAsia="zh-CN"/>
              </w:rPr>
              <w:t>可以达到</w:t>
            </w:r>
            <w:r>
              <w:rPr>
                <w:rFonts w:hint="default"/>
                <w:sz w:val="24"/>
                <w:szCs w:val="24"/>
              </w:rPr>
              <w:t>《环境空气质量标准》（GB3095-2012）中二级标准限值</w:t>
            </w:r>
            <w:r>
              <w:rPr>
                <w:rFonts w:hint="default"/>
                <w:sz w:val="24"/>
                <w:szCs w:val="24"/>
                <w:lang w:eastAsia="zh-CN"/>
              </w:rPr>
              <w:t>，</w:t>
            </w:r>
            <w:r>
              <w:rPr>
                <w:rFonts w:hint="default"/>
                <w:sz w:val="24"/>
                <w:szCs w:val="24"/>
                <w:lang w:val="en-US" w:eastAsia="zh-CN"/>
              </w:rPr>
              <w:t>非甲烷总烃</w:t>
            </w:r>
            <w:r>
              <w:rPr>
                <w:rFonts w:hint="eastAsia"/>
                <w:sz w:val="24"/>
                <w:szCs w:val="24"/>
              </w:rPr>
              <w:t>现状监测值均满足《环境影响评价技术导则 大气环境》（HJ2.2-2018）附录D中限值要求，所在区域空气环境质量良好</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项</w:t>
            </w:r>
            <w:r>
              <w:rPr>
                <w:rFonts w:hint="default" w:ascii="Times New Roman" w:hAnsi="Times New Roman" w:eastAsia="宋体" w:cs="Times New Roman"/>
                <w:color w:val="auto"/>
                <w:kern w:val="0"/>
                <w:sz w:val="24"/>
                <w:szCs w:val="24"/>
                <w:lang w:val="en-US" w:eastAsia="zh-CN"/>
              </w:rPr>
              <w:t>目所在区域地表水监测因子均达到《地表水环境质量标准》（GB3838-2002）中Ⅲ类功能区区域地表水环境质量良好；根据监测报告，</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N1~N4</w:t>
            </w:r>
            <w:r>
              <w:rPr>
                <w:rFonts w:hint="eastAsia" w:ascii="Times New Roman" w:hAnsi="Times New Roman" w:eastAsia="宋体"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外的环境噪声昼间、夜间监测值均未超出《声环境质量标准》（GB3096-2008</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sz w:val="24"/>
                <w:szCs w:val="24"/>
                <w:lang w:val="en-US" w:eastAsia="zh-CN"/>
              </w:rPr>
              <w:t>3类</w:t>
            </w:r>
            <w:r>
              <w:rPr>
                <w:rFonts w:hint="default" w:ascii="Times New Roman" w:hAnsi="Times New Roman" w:eastAsia="宋体" w:cs="Times New Roman"/>
                <w:color w:val="auto"/>
                <w:sz w:val="24"/>
                <w:szCs w:val="24"/>
              </w:rPr>
              <w:t>标准要求</w:t>
            </w:r>
            <w:r>
              <w:rPr>
                <w:rFonts w:hint="default" w:ascii="Times New Roman" w:hAnsi="Times New Roman" w:eastAsia="宋体" w:cs="Times New Roman"/>
                <w:color w:val="auto"/>
                <w:sz w:val="24"/>
                <w:szCs w:val="24"/>
                <w:lang w:eastAsia="zh-CN"/>
              </w:rPr>
              <w:t>，</w:t>
            </w:r>
            <w:r>
              <w:rPr>
                <w:sz w:val="24"/>
                <w:szCs w:val="24"/>
              </w:rPr>
              <w:t>项目</w:t>
            </w:r>
            <w:r>
              <w:rPr>
                <w:rFonts w:hint="eastAsia"/>
                <w:color w:val="auto"/>
                <w:sz w:val="24"/>
                <w:szCs w:val="24"/>
                <w:u w:val="none"/>
              </w:rPr>
              <w:t>西南侧居民</w:t>
            </w:r>
            <w:r>
              <w:rPr>
                <w:sz w:val="24"/>
                <w:szCs w:val="24"/>
              </w:rPr>
              <w:t>监测点位昼、夜噪声监测值</w:t>
            </w:r>
            <w:r>
              <w:rPr>
                <w:rFonts w:hint="eastAsia"/>
                <w:sz w:val="24"/>
                <w:szCs w:val="24"/>
              </w:rPr>
              <w:t>满足</w:t>
            </w:r>
            <w:r>
              <w:rPr>
                <w:sz w:val="24"/>
                <w:szCs w:val="24"/>
              </w:rPr>
              <w:t>《声环境质量标准》（GB3096-2008）</w:t>
            </w:r>
            <w:r>
              <w:rPr>
                <w:rFonts w:hint="eastAsia"/>
                <w:sz w:val="24"/>
                <w:szCs w:val="24"/>
                <w:lang w:val="en-US" w:eastAsia="zh-CN"/>
              </w:rPr>
              <w:t>2</w:t>
            </w:r>
            <w:r>
              <w:rPr>
                <w:sz w:val="24"/>
                <w:szCs w:val="24"/>
              </w:rPr>
              <w:t>类</w:t>
            </w:r>
            <w:r>
              <w:rPr>
                <w:rFonts w:hint="eastAsia"/>
                <w:sz w:val="24"/>
                <w:szCs w:val="24"/>
              </w:rPr>
              <w:t>标准</w:t>
            </w:r>
            <w:r>
              <w:rPr>
                <w:sz w:val="24"/>
                <w:szCs w:val="24"/>
              </w:rPr>
              <w:t>要求</w:t>
            </w:r>
            <w:r>
              <w:rPr>
                <w:rFonts w:hint="default" w:ascii="Times New Roman" w:hAnsi="Times New Roman" w:eastAsia="宋体" w:cs="Times New Roman"/>
                <w:color w:val="auto"/>
                <w:kern w:val="0"/>
                <w:sz w:val="24"/>
                <w:szCs w:val="24"/>
                <w:lang w:val="en-US" w:eastAsia="zh-CN"/>
              </w:rPr>
              <w:t>，说明区域噪声环境质量较好；本项目废气和废水在采取报告中提出的治理措施后，能够达到相应的排放标准，因此对周边环境质量影响较小，本项目噪声和固废均得到合理处置，对周边影响较小。综上，本项目的建设运行不会突破项目所在地的环境质量底线，因此项目符合环境质量底线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w:t>
            </w:r>
            <w:r>
              <w:rPr>
                <w:rFonts w:hint="default"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rPr>
              <w:t>）资源利用上线</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本项目位</w:t>
            </w:r>
            <w:r>
              <w:rPr>
                <w:rFonts w:hint="default" w:ascii="Times New Roman" w:hAnsi="Times New Roman" w:cs="Times New Roman"/>
                <w:color w:val="auto"/>
                <w:sz w:val="24"/>
                <w:szCs w:val="24"/>
                <w:highlight w:val="none"/>
                <w:lang w:val="en-US" w:eastAsia="zh-CN"/>
              </w:rPr>
              <w:t>于</w:t>
            </w:r>
            <w:r>
              <w:rPr>
                <w:rFonts w:hint="eastAsia" w:ascii="Times New Roman" w:hAnsi="Times New Roman" w:cs="Times New Roman"/>
                <w:color w:val="auto"/>
                <w:sz w:val="24"/>
                <w:szCs w:val="24"/>
                <w:highlight w:val="none"/>
                <w:lang w:val="en-US" w:eastAsia="zh-CN"/>
              </w:rPr>
              <w:t>靖州县工业集中区</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本</w:t>
            </w:r>
            <w:r>
              <w:rPr>
                <w:rFonts w:hint="default" w:ascii="Times New Roman" w:hAnsi="Times New Roman" w:cs="Times New Roman"/>
                <w:color w:val="auto"/>
                <w:sz w:val="24"/>
                <w:szCs w:val="24"/>
                <w:lang w:val="en-US" w:eastAsia="zh-CN"/>
              </w:rPr>
              <w:t>项目用水主要为生活用水</w:t>
            </w:r>
            <w:r>
              <w:rPr>
                <w:rFonts w:hint="eastAsia" w:ascii="Times New Roman" w:hAnsi="Times New Roman" w:eastAsia="宋体" w:cs="Times New Roman"/>
                <w:color w:val="auto"/>
                <w:sz w:val="24"/>
                <w:szCs w:val="24"/>
                <w:lang w:val="en-US" w:eastAsia="zh-CN"/>
              </w:rPr>
              <w:t>、喷洒用水、绿化用水等</w:t>
            </w:r>
            <w:r>
              <w:rPr>
                <w:rFonts w:hint="default" w:ascii="Times New Roman" w:hAnsi="Times New Roman" w:cs="Times New Roman"/>
                <w:color w:val="auto"/>
                <w:sz w:val="24"/>
                <w:szCs w:val="24"/>
                <w:lang w:val="en-US" w:eastAsia="zh-CN"/>
              </w:rPr>
              <w:t>，项目用水均取</w:t>
            </w:r>
            <w:r>
              <w:rPr>
                <w:rFonts w:hint="default" w:ascii="Times New Roman" w:hAnsi="Times New Roman" w:eastAsia="宋体" w:cs="Times New Roman"/>
                <w:color w:val="auto"/>
                <w:sz w:val="24"/>
                <w:szCs w:val="24"/>
                <w:lang w:val="en-US" w:eastAsia="zh-CN"/>
              </w:rPr>
              <w:t>自园区供水管网供给</w:t>
            </w:r>
            <w:r>
              <w:rPr>
                <w:rFonts w:hint="default" w:ascii="Times New Roman" w:hAnsi="Times New Roman" w:cs="Times New Roman"/>
                <w:color w:val="auto"/>
                <w:sz w:val="24"/>
                <w:szCs w:val="24"/>
                <w:lang w:val="en-US" w:eastAsia="zh-CN"/>
              </w:rPr>
              <w:t>，区域水系发达，水量充足，不会达到资源利用上线；本项目用电来自当地电网，不会达到供电量使用上线；本项目原材料均为外购，不会超出资源利用上线；</w:t>
            </w:r>
            <w:r>
              <w:rPr>
                <w:rFonts w:hint="default" w:ascii="Times New Roman" w:hAnsi="Times New Roman" w:eastAsia="宋体" w:cs="Times New Roman"/>
                <w:b w:val="0"/>
                <w:i w:val="0"/>
                <w:color w:val="auto"/>
                <w:kern w:val="0"/>
                <w:sz w:val="24"/>
                <w:szCs w:val="24"/>
                <w:lang w:val="en-US" w:eastAsia="zh-CN" w:bidi="ar"/>
              </w:rPr>
              <w:t>项目土地性质为</w:t>
            </w:r>
            <w:r>
              <w:rPr>
                <w:rFonts w:hint="eastAsia" w:ascii="Times New Roman" w:hAnsi="Times New Roman" w:eastAsia="宋体" w:cs="Times New Roman"/>
                <w:b w:val="0"/>
                <w:i w:val="0"/>
                <w:color w:val="auto"/>
                <w:kern w:val="0"/>
                <w:sz w:val="24"/>
                <w:szCs w:val="24"/>
                <w:highlight w:val="none"/>
                <w:lang w:val="en-US" w:eastAsia="zh-CN" w:bidi="ar"/>
              </w:rPr>
              <w:t>靖州</w:t>
            </w:r>
            <w:r>
              <w:rPr>
                <w:rFonts w:hint="default" w:ascii="Times New Roman" w:hAnsi="Times New Roman" w:eastAsia="宋体" w:cs="Times New Roman"/>
                <w:b w:val="0"/>
                <w:i w:val="0"/>
                <w:color w:val="auto"/>
                <w:kern w:val="0"/>
                <w:sz w:val="24"/>
                <w:szCs w:val="24"/>
                <w:highlight w:val="none"/>
                <w:lang w:val="en-US" w:eastAsia="zh-CN" w:bidi="ar"/>
              </w:rPr>
              <w:t>县</w:t>
            </w:r>
            <w:r>
              <w:rPr>
                <w:rFonts w:hint="default" w:ascii="Times New Roman" w:hAnsi="Times New Roman" w:eastAsia="宋体" w:cs="Times New Roman"/>
                <w:b w:val="0"/>
                <w:i w:val="0"/>
                <w:color w:val="auto"/>
                <w:kern w:val="0"/>
                <w:sz w:val="24"/>
                <w:szCs w:val="24"/>
                <w:lang w:val="en-US" w:eastAsia="zh-CN" w:bidi="ar"/>
              </w:rPr>
              <w:t>规划的工业园区</w:t>
            </w:r>
            <w:r>
              <w:rPr>
                <w:rFonts w:hint="eastAsia" w:ascii="Times New Roman" w:hAnsi="Times New Roman" w:eastAsia="宋体" w:cs="Times New Roman"/>
                <w:b w:val="0"/>
                <w:i w:val="0"/>
                <w:color w:val="auto"/>
                <w:kern w:val="0"/>
                <w:sz w:val="24"/>
                <w:szCs w:val="24"/>
                <w:lang w:val="en-US" w:eastAsia="zh-CN" w:bidi="ar"/>
              </w:rPr>
              <w:t>的工业用地</w:t>
            </w:r>
            <w:r>
              <w:rPr>
                <w:rFonts w:hint="default" w:ascii="Times New Roman" w:hAnsi="Times New Roman" w:eastAsia="宋体" w:cs="Times New Roman"/>
                <w:b w:val="0"/>
                <w:i w:val="0"/>
                <w:color w:val="auto"/>
                <w:kern w:val="0"/>
                <w:sz w:val="24"/>
                <w:szCs w:val="24"/>
                <w:lang w:val="en-US" w:eastAsia="zh-CN" w:bidi="ar"/>
              </w:rPr>
              <w:t>，土地利用不会突破区域土地资源上线。由此可见，本项目不属于高消耗、高能耗、高水耗等类型项目，符合资源利用上限标准。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w:t>
            </w:r>
            <w:r>
              <w:rPr>
                <w:rFonts w:hint="default"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rPr>
              <w:t>）环境负面准入清单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sz w:val="24"/>
                <w:szCs w:val="24"/>
              </w:rPr>
              <w:t>本项目</w:t>
            </w:r>
            <w:r>
              <w:rPr>
                <w:rFonts w:hint="eastAsia" w:ascii="Times New Roman" w:hAnsi="Times New Roman" w:eastAsia="宋体" w:cs="Times New Roman"/>
                <w:b w:val="0"/>
                <w:bCs w:val="0"/>
                <w:color w:val="auto"/>
                <w:kern w:val="0"/>
                <w:sz w:val="24"/>
                <w:szCs w:val="24"/>
                <w:highlight w:val="none"/>
                <w:lang w:eastAsia="zh-CN"/>
              </w:rPr>
              <w:t>主要从事</w:t>
            </w:r>
            <w:r>
              <w:rPr>
                <w:rFonts w:hint="eastAsia" w:ascii="Times New Roman" w:hAnsi="Times New Roman" w:eastAsia="宋体" w:cs="Times New Roman"/>
                <w:b w:val="0"/>
                <w:bCs w:val="0"/>
                <w:color w:val="auto"/>
                <w:kern w:val="0"/>
                <w:sz w:val="24"/>
                <w:szCs w:val="24"/>
                <w:highlight w:val="none"/>
                <w:lang w:val="en-US" w:eastAsia="zh-CN"/>
              </w:rPr>
              <w:t>报废机动车拆解、废钢铁加工</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经查询</w:t>
            </w:r>
            <w:r>
              <w:rPr>
                <w:rFonts w:hint="default" w:ascii="Times New Roman" w:hAnsi="Times New Roman" w:cs="Times New Roman"/>
                <w:color w:val="auto"/>
                <w:sz w:val="24"/>
                <w:szCs w:val="24"/>
                <w:lang w:val="en-US" w:eastAsia="zh-CN"/>
              </w:rPr>
              <w:t>《产业结构调整指导目录（2019年本）》，建设项目产品、</w:t>
            </w:r>
            <w:r>
              <w:rPr>
                <w:rFonts w:hint="eastAsia" w:ascii="Times New Roman" w:hAnsi="Times New Roman" w:cs="Times New Roman"/>
                <w:color w:val="auto"/>
                <w:sz w:val="24"/>
                <w:szCs w:val="24"/>
                <w:lang w:val="en-US" w:eastAsia="zh-CN"/>
              </w:rPr>
              <w:t>原料、</w:t>
            </w:r>
            <w:r>
              <w:rPr>
                <w:rFonts w:hint="default" w:ascii="Times New Roman" w:hAnsi="Times New Roman" w:cs="Times New Roman"/>
                <w:color w:val="auto"/>
                <w:sz w:val="24"/>
                <w:szCs w:val="24"/>
                <w:lang w:val="en-US" w:eastAsia="zh-CN"/>
              </w:rPr>
              <w:t>所用设备及工艺均不属于《产业结构调整指导目录》（2019年本）中的限制</w:t>
            </w:r>
            <w:r>
              <w:rPr>
                <w:rFonts w:hint="eastAsia" w:ascii="Times New Roman" w:hAnsi="Times New Roman" w:cs="Times New Roman"/>
                <w:color w:val="auto"/>
                <w:sz w:val="24"/>
                <w:szCs w:val="24"/>
                <w:lang w:val="en-US" w:eastAsia="zh-CN"/>
              </w:rPr>
              <w:t>类</w:t>
            </w:r>
            <w:r>
              <w:rPr>
                <w:rFonts w:hint="default" w:ascii="Times New Roman" w:hAnsi="Times New Roman" w:cs="Times New Roman"/>
                <w:color w:val="auto"/>
                <w:sz w:val="24"/>
                <w:szCs w:val="24"/>
                <w:lang w:val="en-US" w:eastAsia="zh-CN"/>
              </w:rPr>
              <w:t>及淘汰类，为</w:t>
            </w:r>
            <w:r>
              <w:rPr>
                <w:rFonts w:hint="eastAsia" w:ascii="Times New Roman" w:hAnsi="Times New Roman" w:cs="Times New Roman"/>
                <w:color w:val="auto"/>
                <w:sz w:val="24"/>
                <w:szCs w:val="24"/>
                <w:lang w:val="en-US" w:eastAsia="zh-CN"/>
              </w:rPr>
              <w:t>允许</w:t>
            </w:r>
            <w:r>
              <w:rPr>
                <w:rFonts w:hint="default" w:ascii="Times New Roman" w:hAnsi="Times New Roman" w:cs="Times New Roman"/>
                <w:color w:val="auto"/>
                <w:sz w:val="24"/>
                <w:szCs w:val="24"/>
                <w:lang w:val="en-US" w:eastAsia="zh-CN"/>
              </w:rPr>
              <w:t>类，</w:t>
            </w:r>
            <w:r>
              <w:rPr>
                <w:rFonts w:hint="default" w:ascii="Times New Roman" w:hAnsi="Times New Roman" w:cs="Times New Roman"/>
                <w:color w:val="auto"/>
                <w:sz w:val="24"/>
                <w:szCs w:val="24"/>
              </w:rPr>
              <w:t>符合国家产业政策</w:t>
            </w:r>
            <w:r>
              <w:rPr>
                <w:rFonts w:hint="eastAsia" w:ascii="Times New Roman" w:hAnsi="Times New Roman" w:cs="Times New Roman"/>
                <w:color w:val="auto"/>
                <w:kern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0"/>
                <w:sz w:val="24"/>
                <w:szCs w:val="24"/>
                <w:lang w:eastAsia="zh-CN"/>
              </w:rPr>
            </w:pPr>
            <w:r>
              <w:rPr>
                <w:rFonts w:hint="default" w:ascii="Times New Roman" w:hAnsi="Times New Roman" w:cs="Times New Roman"/>
                <w:color w:val="auto"/>
                <w:kern w:val="0"/>
                <w:sz w:val="24"/>
                <w:szCs w:val="24"/>
                <w:lang w:eastAsia="zh-CN"/>
              </w:rPr>
              <w:t>综上所述，本项目符合“三线一单”要求</w:t>
            </w:r>
            <w:r>
              <w:rPr>
                <w:rFonts w:hint="eastAsia" w:ascii="Times New Roman" w:hAnsi="Times New Roman" w:cs="Times New Roman"/>
                <w:color w:val="auto"/>
                <w:kern w:val="0"/>
                <w:sz w:val="24"/>
                <w:szCs w:val="24"/>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eastAsia"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9、</w:t>
            </w:r>
            <w:r>
              <w:rPr>
                <w:rFonts w:hint="default" w:ascii="Times New Roman" w:hAnsi="Times New Roman" w:eastAsia="宋体" w:cs="Times New Roman"/>
                <w:b/>
                <w:bCs/>
                <w:color w:val="auto"/>
                <w:kern w:val="0"/>
                <w:sz w:val="24"/>
                <w:szCs w:val="24"/>
                <w:highlight w:val="none"/>
                <w:u w:val="none"/>
                <w:lang w:val="en-US" w:eastAsia="zh-CN"/>
              </w:rPr>
              <w:t>《湖南省“三线一单”生态环境总体管控要求暨省级以上产业园区生态环境准入清单》中靖州县工业集中区的生态环境准入清单</w:t>
            </w:r>
            <w:r>
              <w:rPr>
                <w:rFonts w:hint="eastAsia" w:ascii="Times New Roman" w:hAnsi="Times New Roman" w:eastAsia="宋体" w:cs="Times New Roman"/>
                <w:b/>
                <w:bCs/>
                <w:color w:val="auto"/>
                <w:kern w:val="0"/>
                <w:sz w:val="24"/>
                <w:szCs w:val="24"/>
                <w:highlight w:val="none"/>
                <w:u w:val="none"/>
                <w:lang w:val="en-US" w:eastAsia="zh-CN"/>
              </w:rPr>
              <w:t>要求，本项目管控要求如下：</w:t>
            </w:r>
          </w:p>
          <w:p>
            <w:pPr>
              <w:bidi w:val="0"/>
              <w:jc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表1</w:t>
            </w:r>
            <w:r>
              <w:rPr>
                <w:rFonts w:hint="default" w:ascii="Times New Roman" w:hAnsi="Times New Roman" w:eastAsia="宋体" w:cs="Times New Roman"/>
                <w:b/>
                <w:bCs/>
                <w:color w:val="auto"/>
                <w:kern w:val="0"/>
                <w:sz w:val="21"/>
                <w:szCs w:val="21"/>
                <w:lang w:val="en-US" w:eastAsia="zh-CN"/>
              </w:rPr>
              <w:t>-</w:t>
            </w:r>
            <w:r>
              <w:rPr>
                <w:rFonts w:hint="eastAsia" w:ascii="Times New Roman" w:hAnsi="Times New Roman" w:eastAsia="宋体" w:cs="Times New Roman"/>
                <w:b/>
                <w:bCs/>
                <w:color w:val="auto"/>
                <w:kern w:val="0"/>
                <w:sz w:val="21"/>
                <w:szCs w:val="21"/>
                <w:lang w:val="en-US" w:eastAsia="zh-CN"/>
              </w:rPr>
              <w:t>6</w:t>
            </w:r>
            <w:r>
              <w:rPr>
                <w:rFonts w:hint="default" w:ascii="Times New Roman" w:hAnsi="Times New Roman" w:eastAsia="宋体" w:cs="Times New Roman"/>
                <w:b/>
                <w:bCs/>
                <w:color w:val="auto"/>
                <w:kern w:val="0"/>
                <w:sz w:val="21"/>
                <w:szCs w:val="21"/>
                <w:lang w:eastAsia="zh-CN"/>
              </w:rPr>
              <w:t xml:space="preserve"> 本项目</w:t>
            </w:r>
            <w:r>
              <w:rPr>
                <w:rFonts w:hint="eastAsia" w:ascii="Times New Roman" w:hAnsi="Times New Roman" w:eastAsia="宋体" w:cs="Times New Roman"/>
                <w:b/>
                <w:bCs/>
                <w:color w:val="auto"/>
                <w:sz w:val="21"/>
                <w:szCs w:val="21"/>
                <w:u w:val="none"/>
                <w:lang w:val="en-US" w:eastAsia="zh-CN"/>
              </w:rPr>
              <w:t>与园区“三线一单”</w:t>
            </w:r>
            <w:r>
              <w:rPr>
                <w:rFonts w:hint="eastAsia" w:ascii="Times New Roman" w:hAnsi="Times New Roman" w:eastAsia="宋体" w:cs="Times New Roman"/>
                <w:b/>
                <w:bCs/>
                <w:color w:val="auto"/>
                <w:kern w:val="0"/>
                <w:sz w:val="21"/>
                <w:szCs w:val="21"/>
                <w:lang w:eastAsia="zh-CN"/>
              </w:rPr>
              <w:t>分析一栏</w:t>
            </w:r>
            <w:r>
              <w:rPr>
                <w:rFonts w:hint="default" w:ascii="Times New Roman" w:hAnsi="Times New Roman" w:eastAsia="宋体" w:cs="Times New Roman"/>
                <w:b/>
                <w:bCs/>
                <w:color w:val="auto"/>
                <w:kern w:val="0"/>
                <w:sz w:val="21"/>
                <w:szCs w:val="21"/>
                <w:lang w:eastAsia="zh-CN"/>
              </w:rPr>
              <w:t>表</w:t>
            </w:r>
          </w:p>
          <w:tbl>
            <w:tblPr>
              <w:tblStyle w:val="16"/>
              <w:tblW w:w="4983"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17"/>
              <w:gridCol w:w="3108"/>
              <w:gridCol w:w="2621"/>
              <w:gridCol w:w="4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767" w:type="pct"/>
                  <w:gridSpan w:val="2"/>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color w:val="auto"/>
                      <w:kern w:val="0"/>
                      <w:sz w:val="21"/>
                      <w:szCs w:val="21"/>
                      <w:highlight w:val="none"/>
                      <w:lang w:eastAsia="zh-CN"/>
                    </w:rPr>
                    <w:t>《湖南省“三线一单”生态环境总体管控要求暨省级以上产业园区生态环境准入清单》中靖州县工业集中区相关要求</w:t>
                  </w:r>
                </w:p>
              </w:tc>
              <w:tc>
                <w:tcPr>
                  <w:tcW w:w="189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本项目采取的措施</w:t>
                  </w:r>
                </w:p>
              </w:tc>
              <w:tc>
                <w:tcPr>
                  <w:tcW w:w="33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19"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空间布局约束</w:t>
                  </w:r>
                </w:p>
              </w:tc>
              <w:tc>
                <w:tcPr>
                  <w:tcW w:w="2247"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（1.1）开发区引进企业应当符合“靖州县产业准入负面清单”的有关规定。</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（1.2）茯苓科技产业园禁止引入三类工业。甘太工业园东部枝柳铁路以东的区域不得新引进三类工业，现有三类工业不得在原址扩产能。</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val="en-US" w:eastAsia="zh-CN"/>
                    </w:rPr>
                    <w:t>（1.3）禁止引进高水耗、高能耗、高污染的原料药生产企业；禁止引进高水耗食品生产以及屠宰、养殖等企业；禁止引进与园区产业定位关联性不强、能耗高、水耗大、污染较严重的重化工项目以及不符合园区规划的其它行业项目。</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val="en-US" w:eastAsia="zh-CN"/>
                    </w:rPr>
                    <w:t>（1.4）饮用水源保护区陆域范围与甘太工业园规划范围重合区域不得开发建设。</w:t>
                  </w:r>
                </w:p>
              </w:tc>
              <w:tc>
                <w:tcPr>
                  <w:tcW w:w="189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Style w:val="27"/>
                      <w:rFonts w:hint="default" w:ascii="Times New Roman" w:hAnsi="Times New Roman" w:eastAsia="宋体" w:cs="Times New Roman"/>
                      <w:color w:val="auto"/>
                      <w:sz w:val="21"/>
                      <w:szCs w:val="21"/>
                      <w:highlight w:val="none"/>
                      <w:lang w:val="en-US" w:eastAsia="zh-CN" w:bidi="ar"/>
                    </w:rPr>
                  </w:pPr>
                  <w:r>
                    <w:rPr>
                      <w:rStyle w:val="27"/>
                      <w:rFonts w:hint="default" w:ascii="Times New Roman" w:hAnsi="Times New Roman" w:eastAsia="宋体" w:cs="Times New Roman"/>
                      <w:color w:val="auto"/>
                      <w:sz w:val="21"/>
                      <w:szCs w:val="21"/>
                      <w:highlight w:val="none"/>
                      <w:lang w:val="en-US" w:eastAsia="zh-CN" w:bidi="ar"/>
                    </w:rPr>
                    <w:t>（1.1）</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b w:val="0"/>
                      <w:bCs w:val="0"/>
                      <w:color w:val="auto"/>
                      <w:kern w:val="0"/>
                      <w:sz w:val="21"/>
                      <w:szCs w:val="21"/>
                      <w:highlight w:val="none"/>
                      <w:lang w:eastAsia="zh-CN"/>
                    </w:rPr>
                    <w:t>主要从事</w:t>
                  </w:r>
                  <w:r>
                    <w:rPr>
                      <w:rFonts w:hint="eastAsia" w:ascii="Times New Roman" w:hAnsi="Times New Roman" w:eastAsia="宋体" w:cs="Times New Roman"/>
                      <w:b w:val="0"/>
                      <w:bCs w:val="0"/>
                      <w:color w:val="auto"/>
                      <w:kern w:val="0"/>
                      <w:sz w:val="21"/>
                      <w:szCs w:val="21"/>
                      <w:highlight w:val="none"/>
                      <w:lang w:val="en-US" w:eastAsia="zh-CN"/>
                    </w:rPr>
                    <w:t>报废机动车</w:t>
                  </w:r>
                  <w:r>
                    <w:rPr>
                      <w:rFonts w:hint="default" w:ascii="Times New Roman" w:hAnsi="Times New Roman" w:eastAsia="宋体" w:cs="Times New Roman"/>
                      <w:b w:val="0"/>
                      <w:bCs w:val="0"/>
                      <w:color w:val="auto"/>
                      <w:kern w:val="0"/>
                      <w:sz w:val="21"/>
                      <w:szCs w:val="21"/>
                      <w:highlight w:val="none"/>
                      <w:lang w:val="en-US" w:eastAsia="zh-CN"/>
                    </w:rPr>
                    <w:t>拆解、</w:t>
                  </w:r>
                  <w:r>
                    <w:rPr>
                      <w:rFonts w:hint="eastAsia" w:ascii="Times New Roman" w:hAnsi="Times New Roman" w:eastAsia="宋体" w:cs="Times New Roman"/>
                      <w:b w:val="0"/>
                      <w:bCs w:val="0"/>
                      <w:color w:val="auto"/>
                      <w:kern w:val="0"/>
                      <w:sz w:val="21"/>
                      <w:szCs w:val="21"/>
                      <w:highlight w:val="none"/>
                      <w:lang w:val="en-US" w:eastAsia="zh-CN"/>
                    </w:rPr>
                    <w:t>废钢铁</w:t>
                  </w:r>
                  <w:r>
                    <w:rPr>
                      <w:rFonts w:hint="default" w:ascii="Times New Roman" w:hAnsi="Times New Roman" w:eastAsia="宋体" w:cs="Times New Roman"/>
                      <w:b w:val="0"/>
                      <w:bCs w:val="0"/>
                      <w:color w:val="auto"/>
                      <w:kern w:val="0"/>
                      <w:sz w:val="21"/>
                      <w:szCs w:val="21"/>
                      <w:highlight w:val="none"/>
                      <w:lang w:val="en-US" w:eastAsia="zh-CN"/>
                    </w:rPr>
                    <w:t>加工</w:t>
                  </w:r>
                  <w:r>
                    <w:rPr>
                      <w:rFonts w:hint="default" w:ascii="Times New Roman" w:hAnsi="Times New Roman" w:eastAsia="宋体" w:cs="Times New Roman"/>
                      <w:b w:val="0"/>
                      <w:bCs w:val="0"/>
                      <w:color w:val="auto"/>
                      <w:kern w:val="0"/>
                      <w:sz w:val="21"/>
                      <w:szCs w:val="21"/>
                      <w:highlight w:val="none"/>
                      <w:lang w:eastAsia="zh-CN"/>
                    </w:rPr>
                    <w:t>生产，</w:t>
                  </w:r>
                  <w:r>
                    <w:rPr>
                      <w:rFonts w:hint="default" w:ascii="Times New Roman" w:hAnsi="Times New Roman" w:eastAsia="宋体" w:cs="Times New Roman"/>
                      <w:color w:val="auto"/>
                      <w:sz w:val="21"/>
                      <w:szCs w:val="21"/>
                      <w:lang w:eastAsia="zh-CN"/>
                    </w:rPr>
                    <w:t>属于废弃资源综合利用业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kern w:val="0"/>
                      <w:sz w:val="21"/>
                      <w:szCs w:val="21"/>
                    </w:rPr>
                    <w:t>不属于</w:t>
                  </w:r>
                  <w:r>
                    <w:rPr>
                      <w:rFonts w:hint="default" w:ascii="Times New Roman" w:hAnsi="Times New Roman" w:eastAsia="宋体" w:cs="Times New Roman"/>
                      <w:bCs/>
                      <w:color w:val="auto"/>
                      <w:sz w:val="21"/>
                      <w:szCs w:val="21"/>
                      <w:highlight w:val="none"/>
                      <w:u w:val="none"/>
                      <w:lang w:val="en-US" w:eastAsia="zh-CN"/>
                    </w:rPr>
                    <w:t>靖州县产业准入负面清单</w:t>
                  </w:r>
                  <w:r>
                    <w:rPr>
                      <w:rFonts w:hint="default" w:ascii="Times New Roman" w:hAnsi="Times New Roman" w:eastAsia="宋体" w:cs="Times New Roman"/>
                      <w:color w:val="auto"/>
                      <w:kern w:val="0"/>
                      <w:sz w:val="21"/>
                      <w:szCs w:val="21"/>
                    </w:rPr>
                    <w:t>中的限制类和禁止类</w:t>
                  </w:r>
                  <w:r>
                    <w:rPr>
                      <w:rFonts w:hint="default" w:ascii="Times New Roman" w:hAnsi="Times New Roman" w:eastAsia="宋体" w:cs="Times New Roman"/>
                      <w:color w:val="auto"/>
                      <w:kern w:val="0"/>
                      <w:sz w:val="21"/>
                      <w:szCs w:val="21"/>
                      <w:lang w:eastAsia="zh-CN"/>
                    </w:rPr>
                    <w:t>，属允许类项目</w:t>
                  </w:r>
                  <w:r>
                    <w:rPr>
                      <w:rStyle w:val="27"/>
                      <w:rFonts w:hint="default" w:ascii="Times New Roman" w:hAnsi="Times New Roman" w:eastAsia="宋体" w:cs="Times New Roman"/>
                      <w:color w:val="auto"/>
                      <w:sz w:val="21"/>
                      <w:szCs w:val="21"/>
                      <w:highlight w:val="none"/>
                      <w:lang w:val="en-US" w:eastAsia="zh-CN" w:bidi="ar"/>
                    </w:rPr>
                    <w:t>。</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lang w:val="en-US" w:eastAsia="zh-CN"/>
                    </w:rPr>
                  </w:pPr>
                  <w:r>
                    <w:rPr>
                      <w:rStyle w:val="27"/>
                      <w:rFonts w:hint="default" w:ascii="Times New Roman" w:hAnsi="Times New Roman" w:eastAsia="宋体" w:cs="Times New Roman"/>
                      <w:color w:val="auto"/>
                      <w:sz w:val="21"/>
                      <w:szCs w:val="21"/>
                      <w:highlight w:val="none"/>
                      <w:lang w:val="en-US" w:eastAsia="zh-CN" w:bidi="ar"/>
                    </w:rPr>
                    <w:t>（1.2）本项目不位于</w:t>
                  </w:r>
                  <w:r>
                    <w:rPr>
                      <w:rFonts w:hint="default" w:ascii="Times New Roman" w:hAnsi="Times New Roman" w:eastAsia="宋体" w:cs="Times New Roman"/>
                      <w:bCs/>
                      <w:color w:val="auto"/>
                      <w:sz w:val="21"/>
                      <w:szCs w:val="21"/>
                      <w:highlight w:val="none"/>
                      <w:u w:val="none"/>
                      <w:lang w:val="en-US" w:eastAsia="zh-CN"/>
                    </w:rPr>
                    <w:t>茯苓科技产业园</w:t>
                  </w:r>
                  <w:r>
                    <w:rPr>
                      <w:rStyle w:val="27"/>
                      <w:rFonts w:hint="default" w:ascii="Times New Roman" w:hAnsi="Times New Roman" w:eastAsia="宋体" w:cs="Times New Roman"/>
                      <w:color w:val="auto"/>
                      <w:sz w:val="21"/>
                      <w:szCs w:val="21"/>
                      <w:highlight w:val="none"/>
                      <w:lang w:val="en-US" w:eastAsia="zh-CN" w:bidi="ar"/>
                    </w:rPr>
                    <w:t>。本项目位于</w:t>
                  </w:r>
                  <w:r>
                    <w:rPr>
                      <w:rFonts w:hint="default" w:ascii="Times New Roman" w:hAnsi="Times New Roman" w:eastAsia="宋体" w:cs="Times New Roman"/>
                      <w:bCs/>
                      <w:color w:val="auto"/>
                      <w:sz w:val="21"/>
                      <w:szCs w:val="21"/>
                      <w:highlight w:val="none"/>
                      <w:u w:val="none"/>
                      <w:lang w:val="en-US" w:eastAsia="zh-CN"/>
                    </w:rPr>
                    <w:t>甘太工业园东部枝柳铁路以西，且本项目</w:t>
                  </w:r>
                  <w:r>
                    <w:rPr>
                      <w:rFonts w:hint="eastAsia" w:ascii="Times New Roman" w:hAnsi="Times New Roman" w:eastAsia="宋体" w:cs="Times New Roman"/>
                      <w:bCs/>
                      <w:color w:val="auto"/>
                      <w:sz w:val="21"/>
                      <w:szCs w:val="21"/>
                      <w:highlight w:val="none"/>
                      <w:u w:val="none"/>
                      <w:lang w:val="en-US" w:eastAsia="zh-CN"/>
                    </w:rPr>
                    <w:t>为二类工业</w:t>
                  </w:r>
                  <w:r>
                    <w:rPr>
                      <w:rFonts w:hint="default" w:ascii="Times New Roman" w:hAnsi="Times New Roman" w:eastAsia="宋体" w:cs="Times New Roman"/>
                      <w:bCs/>
                      <w:color w:val="auto"/>
                      <w:sz w:val="21"/>
                      <w:szCs w:val="21"/>
                      <w:highlight w:val="none"/>
                      <w:u w:val="none"/>
                      <w:lang w:val="en-US" w:eastAsia="zh-CN"/>
                    </w:rPr>
                    <w:t>。</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Style w:val="27"/>
                      <w:rFonts w:hint="default" w:ascii="Times New Roman" w:hAnsi="Times New Roman" w:eastAsia="宋体" w:cs="Times New Roman"/>
                      <w:color w:val="auto"/>
                      <w:sz w:val="21"/>
                      <w:szCs w:val="21"/>
                      <w:highlight w:val="none"/>
                      <w:lang w:val="en-US" w:eastAsia="zh-CN" w:bidi="ar"/>
                    </w:rPr>
                  </w:pPr>
                  <w:r>
                    <w:rPr>
                      <w:rStyle w:val="27"/>
                      <w:rFonts w:hint="default" w:ascii="Times New Roman" w:hAnsi="Times New Roman" w:eastAsia="宋体" w:cs="Times New Roman"/>
                      <w:color w:val="auto"/>
                      <w:sz w:val="21"/>
                      <w:szCs w:val="21"/>
                      <w:highlight w:val="none"/>
                      <w:lang w:val="en-US" w:eastAsia="zh-CN" w:bidi="ar"/>
                    </w:rPr>
                    <w:t>（1.3）本项目均不涉及（1.3）所述行业</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Style w:val="27"/>
                      <w:rFonts w:hint="default" w:ascii="Times New Roman" w:hAnsi="Times New Roman" w:eastAsia="宋体" w:cs="Times New Roman"/>
                      <w:color w:val="auto"/>
                      <w:sz w:val="21"/>
                      <w:szCs w:val="21"/>
                      <w:highlight w:val="none"/>
                      <w:lang w:val="en-US" w:eastAsia="zh-CN" w:bidi="ar"/>
                    </w:rPr>
                  </w:pPr>
                  <w:r>
                    <w:rPr>
                      <w:rStyle w:val="27"/>
                      <w:rFonts w:hint="default" w:ascii="Times New Roman" w:hAnsi="Times New Roman" w:eastAsia="宋体" w:cs="Times New Roman"/>
                      <w:color w:val="auto"/>
                      <w:sz w:val="21"/>
                      <w:szCs w:val="21"/>
                      <w:highlight w:val="none"/>
                      <w:lang w:val="en-US" w:eastAsia="zh-CN" w:bidi="ar"/>
                    </w:rPr>
                    <w:t>（1.4）本项目所在区域不属于</w:t>
                  </w:r>
                  <w:r>
                    <w:rPr>
                      <w:rFonts w:hint="default" w:ascii="Times New Roman" w:hAnsi="Times New Roman" w:eastAsia="宋体" w:cs="Times New Roman"/>
                      <w:bCs/>
                      <w:color w:val="auto"/>
                      <w:sz w:val="21"/>
                      <w:szCs w:val="21"/>
                      <w:highlight w:val="none"/>
                      <w:u w:val="none"/>
                      <w:lang w:val="en-US" w:eastAsia="zh-CN"/>
                    </w:rPr>
                    <w:t>饮用水源保护区陆域范围与甘太工业园规划范围重合区域。</w:t>
                  </w:r>
                </w:p>
              </w:tc>
              <w:tc>
                <w:tcPr>
                  <w:tcW w:w="33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Style w:val="27"/>
                      <w:rFonts w:hint="default" w:ascii="Times New Roman" w:hAnsi="Times New Roman" w:eastAsia="宋体" w:cs="Times New Roman"/>
                      <w:color w:val="auto"/>
                      <w:sz w:val="21"/>
                      <w:szCs w:val="21"/>
                      <w:highlight w:val="none"/>
                      <w:lang w:val="en-US" w:eastAsia="zh-CN" w:bidi="ar"/>
                    </w:rPr>
                  </w:pPr>
                  <w:r>
                    <w:rPr>
                      <w:rStyle w:val="27"/>
                      <w:rFonts w:hint="default" w:ascii="Times New Roman" w:hAnsi="Times New Roman" w:eastAsia="宋体" w:cs="Times New Roman"/>
                      <w:color w:val="auto"/>
                      <w:sz w:val="21"/>
                      <w:szCs w:val="21"/>
                      <w:highlight w:val="none"/>
                      <w:lang w:val="en-US" w:eastAsia="zh-CN" w:bidi="ar"/>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19"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污染物排放管控</w:t>
                  </w:r>
                </w:p>
              </w:tc>
              <w:tc>
                <w:tcPr>
                  <w:tcW w:w="2247"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lang w:val="en-US" w:eastAsia="zh-CN" w:bidi="ar"/>
                    </w:rPr>
                    <w:t>（2.1）废水：</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2.1.1）茯苓科技产业园区内工业废水和生活污水统一排入园区污水管网经县城污水处理厂集中处理达标后排入渠水；茯苓产业园至县城污水处理厂的污水管网建设、县城污水处理厂扩容提质工程完成之前，新增水污染物排放的项目不得投入生产。甘太工业园区内工业废水和生活污水统一排入园区污水管网经甘太污</w:t>
                  </w:r>
                  <w:r>
                    <w:rPr>
                      <w:rFonts w:hint="eastAsia" w:ascii="Times New Roman" w:hAnsi="Times New Roman" w:eastAsia="宋体" w:cs="Times New Roman"/>
                      <w:b w:val="0"/>
                      <w:bCs w:val="0"/>
                      <w:i w:val="0"/>
                      <w:iCs w:val="0"/>
                      <w:color w:val="auto"/>
                      <w:kern w:val="0"/>
                      <w:sz w:val="21"/>
                      <w:szCs w:val="21"/>
                      <w:lang w:val="en-US" w:eastAsia="zh-CN" w:bidi="ar"/>
                    </w:rPr>
                    <w:t xml:space="preserve">  </w:t>
                  </w:r>
                  <w:r>
                    <w:rPr>
                      <w:rFonts w:hint="default" w:ascii="Times New Roman" w:hAnsi="Times New Roman" w:eastAsia="宋体" w:cs="Times New Roman"/>
                      <w:b w:val="0"/>
                      <w:bCs w:val="0"/>
                      <w:i w:val="0"/>
                      <w:iCs w:val="0"/>
                      <w:color w:val="auto"/>
                      <w:kern w:val="0"/>
                      <w:sz w:val="21"/>
                      <w:szCs w:val="21"/>
                      <w:lang w:val="en-US" w:eastAsia="zh-CN" w:bidi="ar"/>
                    </w:rPr>
                    <w:t>水处理厂处理达标后排入渠水。</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（2.1.2）雨水通过雨水管网收集就近排入自然水体，最终排入渠水。</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（2.2）废气：</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2.2.1）控制工艺废气排放，对有工艺废气产出的生产节点，应配置废气收集与处理净化装置，做到达标排放。加强生产工艺研究与技术改进，采取有效措施，减少工艺废气的无组织排放。含恶臭气体的企业应设置一定的防护距离和绿化隔离带。入园企业应加强对废气，特别是有毒及恶臭气体的收集和处理，严格控制挥发性有机物、有毒及恶臭气体的收集、处理措施及执行标准。</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2.2.2）加快推进木材加工、沥青加工等行业企业挥发性有机物（VOCs）综合治理。园区内水泥、有色金属等行业及涉锅炉大气污染物排放应满足《湖南省生态环境厅关于执行污染物特别排放限值（第一批）的公告》中的要求。</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 w:val="0"/>
                      <w:bCs w:val="0"/>
                      <w:i w:val="0"/>
                      <w:iCs w:val="0"/>
                      <w:color w:val="auto"/>
                      <w:kern w:val="0"/>
                      <w:sz w:val="21"/>
                      <w:szCs w:val="21"/>
                      <w:lang w:val="en-US" w:eastAsia="zh-CN" w:bidi="ar"/>
                    </w:rPr>
                    <w:t>（2.3）固废：做好工业固体废物和生活垃圾的分类收集、转运、综合利用和无害化处理，建立完善的固废管理体系。对危险废物产生企业和经营单位，强化日常环境监管</w:t>
                  </w:r>
                  <w:r>
                    <w:rPr>
                      <w:rFonts w:hint="default" w:ascii="Times New Roman" w:hAnsi="Times New Roman" w:eastAsia="宋体" w:cs="Times New Roman"/>
                      <w:bCs/>
                      <w:color w:val="auto"/>
                      <w:sz w:val="21"/>
                      <w:szCs w:val="21"/>
                      <w:highlight w:val="none"/>
                      <w:u w:val="none"/>
                      <w:lang w:eastAsia="zh-CN"/>
                    </w:rPr>
                    <w:t>。</w:t>
                  </w:r>
                </w:p>
              </w:tc>
              <w:tc>
                <w:tcPr>
                  <w:tcW w:w="189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u w:val="none"/>
                    </w:rPr>
                    <w:t>（2.1</w:t>
                  </w:r>
                  <w:r>
                    <w:rPr>
                      <w:rFonts w:hint="default" w:ascii="Times New Roman" w:hAnsi="Times New Roman" w:eastAsia="宋体" w:cs="Times New Roman"/>
                      <w:bCs/>
                      <w:color w:val="auto"/>
                      <w:sz w:val="21"/>
                      <w:szCs w:val="21"/>
                      <w:highlight w:val="none"/>
                      <w:u w:val="none"/>
                      <w:lang w:val="en-US" w:eastAsia="zh-CN"/>
                    </w:rPr>
                    <w:t>.1</w:t>
                  </w:r>
                  <w:r>
                    <w:rPr>
                      <w:rFonts w:hint="default" w:ascii="Times New Roman" w:hAnsi="Times New Roman" w:eastAsia="宋体" w:cs="Times New Roman"/>
                      <w:bCs/>
                      <w:color w:val="auto"/>
                      <w:sz w:val="21"/>
                      <w:szCs w:val="21"/>
                      <w:highlight w:val="none"/>
                      <w:u w:val="none"/>
                    </w:rPr>
                    <w:t>）</w:t>
                  </w:r>
                  <w:r>
                    <w:rPr>
                      <w:rFonts w:hint="default" w:ascii="Times New Roman" w:hAnsi="Times New Roman" w:eastAsia="宋体" w:cs="Times New Roman"/>
                      <w:bCs/>
                      <w:color w:val="auto"/>
                      <w:sz w:val="21"/>
                      <w:szCs w:val="21"/>
                      <w:highlight w:val="none"/>
                      <w:u w:val="none"/>
                      <w:lang w:eastAsia="zh-CN"/>
                    </w:rPr>
                    <w:t>及</w:t>
                  </w:r>
                  <w:r>
                    <w:rPr>
                      <w:rFonts w:hint="default" w:ascii="Times New Roman" w:hAnsi="Times New Roman" w:eastAsia="宋体" w:cs="Times New Roman"/>
                      <w:bCs/>
                      <w:color w:val="auto"/>
                      <w:sz w:val="21"/>
                      <w:szCs w:val="21"/>
                      <w:highlight w:val="none"/>
                      <w:u w:val="none"/>
                      <w:lang w:val="en-US" w:eastAsia="zh-CN"/>
                    </w:rPr>
                    <w:t>（2.1.2）：</w:t>
                  </w:r>
                  <w:r>
                    <w:rPr>
                      <w:rFonts w:hint="default" w:ascii="Times New Roman" w:hAnsi="Times New Roman" w:eastAsia="宋体" w:cs="Times New Roman"/>
                      <w:bCs/>
                      <w:color w:val="auto"/>
                      <w:sz w:val="21"/>
                      <w:szCs w:val="21"/>
                      <w:highlight w:val="none"/>
                      <w:u w:val="none"/>
                      <w:lang w:eastAsia="zh-CN"/>
                    </w:rPr>
                    <w:t>本项目位于靖州县</w:t>
                  </w:r>
                  <w:r>
                    <w:rPr>
                      <w:rFonts w:hint="default" w:ascii="Times New Roman" w:hAnsi="Times New Roman" w:eastAsia="宋体" w:cs="Times New Roman"/>
                      <w:b w:val="0"/>
                      <w:bCs w:val="0"/>
                      <w:i w:val="0"/>
                      <w:iCs w:val="0"/>
                      <w:color w:val="auto"/>
                      <w:kern w:val="0"/>
                      <w:sz w:val="21"/>
                      <w:szCs w:val="21"/>
                      <w:lang w:val="en-US" w:eastAsia="zh-CN" w:bidi="ar"/>
                    </w:rPr>
                    <w:t>甘太工业园区内（</w:t>
                  </w:r>
                  <w:r>
                    <w:rPr>
                      <w:rFonts w:hint="default" w:ascii="Times New Roman" w:hAnsi="Times New Roman" w:eastAsia="宋体" w:cs="Times New Roman"/>
                      <w:color w:val="auto"/>
                      <w:kern w:val="0"/>
                      <w:sz w:val="21"/>
                      <w:szCs w:val="21"/>
                      <w:highlight w:val="none"/>
                      <w:lang w:eastAsia="zh-CN"/>
                    </w:rPr>
                    <w:t>靖州县工业集中区</w:t>
                  </w:r>
                  <w:r>
                    <w:rPr>
                      <w:rFonts w:hint="default" w:ascii="Times New Roman" w:hAnsi="Times New Roman" w:eastAsia="宋体" w:cs="Times New Roman"/>
                      <w:b w:val="0"/>
                      <w:bCs w:val="0"/>
                      <w:i w:val="0"/>
                      <w:iCs w:val="0"/>
                      <w:color w:val="auto"/>
                      <w:kern w:val="0"/>
                      <w:sz w:val="21"/>
                      <w:szCs w:val="21"/>
                      <w:lang w:val="en-US" w:eastAsia="zh-CN" w:bidi="ar"/>
                    </w:rPr>
                    <w:t>），</w:t>
                  </w:r>
                  <w:r>
                    <w:rPr>
                      <w:rFonts w:hint="default" w:ascii="Times New Roman" w:hAnsi="Times New Roman" w:eastAsia="宋体" w:cs="Times New Roman"/>
                      <w:b w:val="0"/>
                      <w:bCs w:val="0"/>
                      <w:i w:val="0"/>
                      <w:iCs w:val="0"/>
                      <w:color w:val="auto"/>
                      <w:kern w:val="0"/>
                      <w:sz w:val="21"/>
                      <w:szCs w:val="21"/>
                      <w:highlight w:val="none"/>
                      <w:lang w:val="en-US" w:eastAsia="zh-CN" w:bidi="ar"/>
                    </w:rPr>
                    <w:t>本项目实施雨污分流，初期雨水+拆解区地面清洁废水经厂区污水处理设施（隔油池+气浮机）处理后、生活污水经化粪池处理后，进入靖州县工业集中区甘太污水处理厂处理达标后外排入渠水</w:t>
                  </w:r>
                  <w:r>
                    <w:rPr>
                      <w:rFonts w:hint="default" w:ascii="Times New Roman" w:hAnsi="Times New Roman" w:eastAsia="宋体" w:cs="Times New Roman"/>
                      <w:color w:val="auto"/>
                      <w:sz w:val="21"/>
                      <w:szCs w:val="21"/>
                      <w:highlight w:val="none"/>
                      <w:lang w:eastAsia="zh-CN"/>
                    </w:rPr>
                    <w:t>；</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（2.2</w:t>
                  </w:r>
                  <w:r>
                    <w:rPr>
                      <w:rFonts w:hint="default" w:ascii="Times New Roman" w:hAnsi="Times New Roman" w:eastAsia="宋体" w:cs="Times New Roman"/>
                      <w:bCs/>
                      <w:color w:val="auto"/>
                      <w:sz w:val="21"/>
                      <w:szCs w:val="21"/>
                      <w:highlight w:val="none"/>
                      <w:u w:val="none"/>
                      <w:lang w:val="en-US" w:eastAsia="zh-CN"/>
                    </w:rPr>
                    <w:t>.1</w:t>
                  </w:r>
                  <w:r>
                    <w:rPr>
                      <w:rFonts w:hint="default" w:ascii="Times New Roman" w:hAnsi="Times New Roman" w:eastAsia="宋体" w:cs="Times New Roman"/>
                      <w:bCs/>
                      <w:color w:val="auto"/>
                      <w:sz w:val="21"/>
                      <w:szCs w:val="21"/>
                      <w:highlight w:val="none"/>
                      <w:u w:val="none"/>
                    </w:rPr>
                    <w:t>）本</w:t>
                  </w:r>
                  <w:r>
                    <w:rPr>
                      <w:rFonts w:hint="default" w:ascii="Times New Roman" w:hAnsi="Times New Roman" w:eastAsia="宋体" w:cs="Times New Roman"/>
                      <w:bCs/>
                      <w:color w:val="auto"/>
                      <w:sz w:val="21"/>
                      <w:szCs w:val="21"/>
                      <w:highlight w:val="none"/>
                      <w:u w:val="none"/>
                      <w:lang w:val="en-US" w:eastAsia="zh-CN"/>
                    </w:rPr>
                    <w:t>项目废油液挥发废气经集气罩+活性炭吸附+15m高排气筒排放；暂存废油液的危险废物暂存间产生的非甲烷总烃经引风管道收集+活性炭吸附装置处理后与废油液挥发废气一并经15m高排气筒排放；</w:t>
                  </w:r>
                  <w:r>
                    <w:rPr>
                      <w:rFonts w:hint="default" w:ascii="Times New Roman" w:hAnsi="Times New Roman" w:eastAsia="宋体" w:cs="Times New Roman"/>
                      <w:bCs/>
                      <w:color w:val="auto"/>
                      <w:sz w:val="21"/>
                      <w:szCs w:val="21"/>
                      <w:highlight w:val="none"/>
                      <w:u w:val="none"/>
                    </w:rPr>
                    <w:t>制冷剂回收废气</w:t>
                  </w:r>
                  <w:r>
                    <w:rPr>
                      <w:rFonts w:hint="default" w:ascii="Times New Roman" w:hAnsi="Times New Roman" w:eastAsia="宋体" w:cs="Times New Roman"/>
                      <w:bCs/>
                      <w:color w:val="auto"/>
                      <w:sz w:val="21"/>
                      <w:szCs w:val="21"/>
                      <w:highlight w:val="none"/>
                      <w:u w:val="none"/>
                      <w:lang w:eastAsia="zh-CN"/>
                    </w:rPr>
                    <w:t>经</w:t>
                  </w:r>
                  <w:r>
                    <w:rPr>
                      <w:rFonts w:hint="default" w:ascii="Times New Roman" w:hAnsi="Times New Roman" w:eastAsia="宋体" w:cs="Times New Roman"/>
                      <w:bCs/>
                      <w:color w:val="auto"/>
                      <w:sz w:val="21"/>
                      <w:szCs w:val="21"/>
                      <w:highlight w:val="none"/>
                      <w:u w:val="none"/>
                    </w:rPr>
                    <w:t>专门的制冷剂回收装置</w:t>
                  </w: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安全气囊废气经爆破自带收尘系统过滤</w:t>
                  </w:r>
                  <w:r>
                    <w:rPr>
                      <w:rFonts w:hint="eastAsia" w:ascii="Times New Roman" w:hAnsi="Times New Roman" w:eastAsia="宋体" w:cs="Times New Roman"/>
                      <w:bCs/>
                      <w:color w:val="auto"/>
                      <w:sz w:val="21"/>
                      <w:szCs w:val="21"/>
                      <w:highlight w:val="none"/>
                      <w:u w:val="none"/>
                      <w:lang w:val="en-US" w:eastAsia="zh-CN"/>
                    </w:rPr>
                    <w:t>，</w:t>
                  </w:r>
                  <w:r>
                    <w:rPr>
                      <w:rFonts w:hint="eastAsia" w:ascii="Times New Roman" w:hAnsi="Times New Roman" w:cs="Times New Roman"/>
                      <w:b w:val="0"/>
                      <w:bCs w:val="0"/>
                      <w:sz w:val="21"/>
                      <w:szCs w:val="21"/>
                      <w:u w:val="none"/>
                      <w:lang w:val="en-US" w:eastAsia="zh-CN"/>
                    </w:rPr>
                    <w:t>拆解粉尘通过</w:t>
                  </w:r>
                  <w:r>
                    <w:rPr>
                      <w:rFonts w:hint="eastAsia"/>
                      <w:sz w:val="21"/>
                      <w:szCs w:val="21"/>
                      <w:u w:val="none"/>
                      <w:lang w:eastAsia="zh-CN"/>
                    </w:rPr>
                    <w:t>及时清扫车间地面粉尘、加强车间通风</w:t>
                  </w:r>
                  <w:r>
                    <w:rPr>
                      <w:rFonts w:hint="eastAsia" w:ascii="Times New Roman" w:hAnsi="Times New Roman" w:eastAsia="宋体" w:cs="Times New Roman"/>
                      <w:bCs/>
                      <w:color w:val="auto"/>
                      <w:sz w:val="21"/>
                      <w:szCs w:val="21"/>
                      <w:highlight w:val="none"/>
                      <w:u w:val="none"/>
                      <w:lang w:eastAsia="zh-CN"/>
                    </w:rPr>
                    <w:t>。</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2.2.2</w:t>
                  </w:r>
                  <w:r>
                    <w:rPr>
                      <w:rFonts w:hint="default" w:ascii="Times New Roman" w:hAnsi="Times New Roman" w:eastAsia="宋体" w:cs="Times New Roman"/>
                      <w:bCs/>
                      <w:color w:val="auto"/>
                      <w:sz w:val="21"/>
                      <w:szCs w:val="21"/>
                      <w:highlight w:val="none"/>
                      <w:u w:val="none"/>
                      <w:lang w:eastAsia="zh-CN"/>
                    </w:rPr>
                    <w:t>）本项目不涉及</w:t>
                  </w:r>
                  <w:r>
                    <w:rPr>
                      <w:rFonts w:hint="default" w:ascii="Times New Roman" w:hAnsi="Times New Roman" w:eastAsia="宋体" w:cs="Times New Roman"/>
                      <w:b w:val="0"/>
                      <w:bCs w:val="0"/>
                      <w:i w:val="0"/>
                      <w:iCs w:val="0"/>
                      <w:color w:val="auto"/>
                      <w:kern w:val="0"/>
                      <w:sz w:val="21"/>
                      <w:szCs w:val="21"/>
                      <w:u w:val="none"/>
                      <w:lang w:val="en-US" w:eastAsia="zh-CN" w:bidi="ar"/>
                    </w:rPr>
                    <w:t>木材加工、沥青加工、水泥、有色金属等行业，</w:t>
                  </w:r>
                  <w:r>
                    <w:rPr>
                      <w:rFonts w:hint="default" w:ascii="Times New Roman" w:hAnsi="Times New Roman" w:eastAsia="宋体" w:cs="Times New Roman"/>
                      <w:bCs/>
                      <w:color w:val="auto"/>
                      <w:sz w:val="21"/>
                      <w:szCs w:val="21"/>
                      <w:highlight w:val="none"/>
                      <w:u w:val="none"/>
                      <w:lang w:eastAsia="zh-CN"/>
                    </w:rPr>
                    <w:t>本项目</w:t>
                  </w:r>
                  <w:r>
                    <w:rPr>
                      <w:rFonts w:hint="eastAsia" w:ascii="Times New Roman" w:hAnsi="Times New Roman" w:eastAsia="宋体" w:cs="Times New Roman"/>
                      <w:bCs/>
                      <w:color w:val="auto"/>
                      <w:sz w:val="21"/>
                      <w:szCs w:val="21"/>
                      <w:highlight w:val="none"/>
                      <w:u w:val="none"/>
                      <w:lang w:eastAsia="zh-CN"/>
                    </w:rPr>
                    <w:t>不使用锅炉，</w:t>
                  </w:r>
                  <w:r>
                    <w:rPr>
                      <w:rFonts w:hint="default" w:ascii="Times New Roman" w:hAnsi="Times New Roman" w:eastAsia="宋体" w:cs="Times New Roman"/>
                      <w:b w:val="0"/>
                      <w:bCs w:val="0"/>
                      <w:i w:val="0"/>
                      <w:iCs w:val="0"/>
                      <w:color w:val="auto"/>
                      <w:kern w:val="0"/>
                      <w:sz w:val="21"/>
                      <w:szCs w:val="21"/>
                      <w:u w:val="none"/>
                      <w:lang w:val="en-US" w:eastAsia="zh-CN" w:bidi="ar"/>
                    </w:rPr>
                    <w:t>不涉及锅炉废气</w:t>
                  </w:r>
                  <w:r>
                    <w:rPr>
                      <w:rFonts w:hint="eastAsia" w:ascii="Times New Roman" w:hAnsi="Times New Roman" w:eastAsia="宋体" w:cs="Times New Roman"/>
                      <w:b w:val="0"/>
                      <w:bCs w:val="0"/>
                      <w:i w:val="0"/>
                      <w:iCs w:val="0"/>
                      <w:color w:val="auto"/>
                      <w:kern w:val="0"/>
                      <w:sz w:val="21"/>
                      <w:szCs w:val="21"/>
                      <w:u w:val="none"/>
                      <w:lang w:val="en-US" w:eastAsia="zh-CN" w:bidi="ar"/>
                    </w:rPr>
                    <w:t>，本项目生产加工过程均使用电能</w:t>
                  </w:r>
                  <w:r>
                    <w:rPr>
                      <w:rFonts w:hint="default" w:ascii="Times New Roman" w:hAnsi="Times New Roman" w:eastAsia="宋体" w:cs="Times New Roman"/>
                      <w:b w:val="0"/>
                      <w:bCs w:val="0"/>
                      <w:i w:val="0"/>
                      <w:iCs w:val="0"/>
                      <w:color w:val="auto"/>
                      <w:kern w:val="0"/>
                      <w:sz w:val="21"/>
                      <w:szCs w:val="21"/>
                      <w:u w:val="none"/>
                      <w:lang w:val="en-US" w:eastAsia="zh-CN" w:bidi="ar"/>
                    </w:rPr>
                    <w:t>。</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2.3</w:t>
                  </w:r>
                  <w:r>
                    <w:rPr>
                      <w:rFonts w:hint="default" w:ascii="Times New Roman" w:hAnsi="Times New Roman" w:eastAsia="宋体" w:cs="Times New Roman"/>
                      <w:bCs/>
                      <w:color w:val="auto"/>
                      <w:sz w:val="21"/>
                      <w:szCs w:val="21"/>
                      <w:highlight w:val="none"/>
                      <w:u w:val="none"/>
                      <w:lang w:eastAsia="zh-CN"/>
                    </w:rPr>
                    <w:t>）本项目生活垃圾设垃圾桶，由环卫部门清运，本项目一般固体废物集中收集后外售，本项目危险废物收集交有资质单位回收处理，项目固废得到综合利用。</w:t>
                  </w:r>
                </w:p>
              </w:tc>
              <w:tc>
                <w:tcPr>
                  <w:tcW w:w="33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19"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环境风险 防控</w:t>
                  </w:r>
                </w:p>
              </w:tc>
              <w:tc>
                <w:tcPr>
                  <w:tcW w:w="2247"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3.1）园区应建立健全环境风险防控体系，加强区内重要风险源管控。加强园区危险化学品储运的环境风险管理，严格落实应急响应联动机制，确保区域环境安全。落实《靖州苗族侗族自治县工业集中区突发环境事件应急预案》的相关要求，严防环境风险事故发生，提高应急处置能力。茯苓科技园应编制集中区突发环境事件应急预案，健全环境风险事故防范措施，严防环境风险事故发生。</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3.2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（3.3）建设用地土壤风险防控：加强对建设用地土壤环境状况调查、风险评估和污染地块治理与修复活动的监管。</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lang w:val="en-US" w:eastAsia="zh-CN" w:bidi="ar"/>
                    </w:rPr>
                    <w:t>（3.4）农用地风险防控：防控企业污染，已建成的相关企业应当按照有关标准、规定采取措施，防止对耕地造成污染</w:t>
                  </w:r>
                  <w:r>
                    <w:rPr>
                      <w:rFonts w:hint="default" w:ascii="Times New Roman" w:hAnsi="Times New Roman" w:eastAsia="宋体" w:cs="Times New Roman"/>
                      <w:bCs/>
                      <w:color w:val="auto"/>
                      <w:sz w:val="21"/>
                      <w:szCs w:val="21"/>
                      <w:highlight w:val="none"/>
                      <w:u w:val="none"/>
                    </w:rPr>
                    <w:t>。</w:t>
                  </w:r>
                </w:p>
              </w:tc>
              <w:tc>
                <w:tcPr>
                  <w:tcW w:w="1896" w:type="pct"/>
                  <w:noWrap w:val="0"/>
                  <w:vAlign w:val="center"/>
                </w:tcPr>
                <w:p>
                  <w:pPr>
                    <w:pStyle w:val="3"/>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3.1</w:t>
                  </w:r>
                  <w:r>
                    <w:rPr>
                      <w:rFonts w:hint="default" w:ascii="Times New Roman" w:hAnsi="Times New Roman" w:eastAsia="宋体" w:cs="Times New Roman"/>
                      <w:bCs/>
                      <w:color w:val="auto"/>
                      <w:sz w:val="21"/>
                      <w:szCs w:val="21"/>
                      <w:highlight w:val="none"/>
                      <w:u w:val="none"/>
                      <w:lang w:eastAsia="zh-CN"/>
                    </w:rPr>
                    <w:t>）本项目严格</w:t>
                  </w:r>
                  <w:r>
                    <w:rPr>
                      <w:rFonts w:hint="default" w:ascii="Times New Roman" w:hAnsi="Times New Roman" w:eastAsia="宋体" w:cs="Times New Roman"/>
                      <w:b w:val="0"/>
                      <w:bCs w:val="0"/>
                      <w:i w:val="0"/>
                      <w:iCs w:val="0"/>
                      <w:color w:val="auto"/>
                      <w:kern w:val="0"/>
                      <w:sz w:val="21"/>
                      <w:szCs w:val="21"/>
                      <w:highlight w:val="none"/>
                      <w:lang w:val="en-US" w:eastAsia="zh-CN" w:bidi="ar"/>
                    </w:rPr>
                    <w:t>落实《湖南</w:t>
                  </w:r>
                  <w:r>
                    <w:rPr>
                      <w:rFonts w:hint="default" w:ascii="Times New Roman" w:hAnsi="Times New Roman" w:eastAsia="宋体" w:cs="Times New Roman"/>
                      <w:color w:val="auto"/>
                      <w:kern w:val="0"/>
                      <w:sz w:val="21"/>
                      <w:szCs w:val="21"/>
                      <w:highlight w:val="none"/>
                      <w:lang w:eastAsia="zh-CN"/>
                    </w:rPr>
                    <w:t>靖州县工业集中区</w:t>
                  </w:r>
                  <w:r>
                    <w:rPr>
                      <w:rFonts w:hint="default" w:ascii="Times New Roman" w:hAnsi="Times New Roman" w:eastAsia="宋体" w:cs="Times New Roman"/>
                      <w:b w:val="0"/>
                      <w:bCs w:val="0"/>
                      <w:i w:val="0"/>
                      <w:iCs w:val="0"/>
                      <w:color w:val="auto"/>
                      <w:kern w:val="0"/>
                      <w:sz w:val="21"/>
                      <w:szCs w:val="21"/>
                      <w:highlight w:val="none"/>
                      <w:lang w:val="en-US" w:eastAsia="zh-CN" w:bidi="ar"/>
                    </w:rPr>
                    <w:t>突发环境事件应急预案》的相关要求，严防环境风险事故发生，提高应急处置能力。</w:t>
                  </w:r>
                </w:p>
                <w:p>
                  <w:pPr>
                    <w:pStyle w:val="3"/>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lang w:val="en-US" w:eastAsia="zh-CN" w:bidi="ar"/>
                    </w:rPr>
                    <w:t>（3.2）今后项目建成运营</w:t>
                  </w:r>
                  <w:r>
                    <w:rPr>
                      <w:rFonts w:hint="eastAsia" w:ascii="Times New Roman" w:hAnsi="Times New Roman" w:eastAsia="宋体" w:cs="Times New Roman"/>
                      <w:b w:val="0"/>
                      <w:bCs w:val="0"/>
                      <w:i w:val="0"/>
                      <w:iCs w:val="0"/>
                      <w:color w:val="auto"/>
                      <w:kern w:val="0"/>
                      <w:sz w:val="21"/>
                      <w:szCs w:val="21"/>
                      <w:highlight w:val="none"/>
                      <w:lang w:val="en-US" w:eastAsia="zh-CN" w:bidi="ar"/>
                    </w:rPr>
                    <w:t>后</w:t>
                  </w:r>
                  <w:r>
                    <w:rPr>
                      <w:rFonts w:hint="default" w:ascii="Times New Roman" w:hAnsi="Times New Roman" w:eastAsia="宋体" w:cs="Times New Roman"/>
                      <w:b w:val="0"/>
                      <w:bCs w:val="0"/>
                      <w:i w:val="0"/>
                      <w:iCs w:val="0"/>
                      <w:color w:val="auto"/>
                      <w:kern w:val="0"/>
                      <w:sz w:val="21"/>
                      <w:szCs w:val="21"/>
                      <w:highlight w:val="none"/>
                      <w:lang w:val="en-US" w:eastAsia="zh-CN" w:bidi="ar"/>
                    </w:rPr>
                    <w:t>将编制应急预案。</w:t>
                  </w:r>
                </w:p>
                <w:p>
                  <w:pPr>
                    <w:pStyle w:val="3"/>
                    <w:rPr>
                      <w:rFonts w:hint="default" w:ascii="Times New Roman" w:hAnsi="Times New Roman" w:eastAsia="宋体" w:cs="Times New Roman"/>
                      <w:b w:val="0"/>
                      <w:bCs w:val="0"/>
                      <w:i w:val="0"/>
                      <w:iCs w:val="0"/>
                      <w:color w:val="auto"/>
                      <w:kern w:val="0"/>
                      <w:sz w:val="21"/>
                      <w:szCs w:val="21"/>
                      <w:highlight w:val="none"/>
                      <w:lang w:val="en-US" w:eastAsia="zh-CN" w:bidi="ar"/>
                    </w:rPr>
                  </w:pPr>
                  <w:r>
                    <w:rPr>
                      <w:rFonts w:hint="default" w:ascii="Times New Roman" w:hAnsi="Times New Roman" w:eastAsia="宋体" w:cs="Times New Roman"/>
                      <w:b w:val="0"/>
                      <w:bCs w:val="0"/>
                      <w:i w:val="0"/>
                      <w:iCs w:val="0"/>
                      <w:color w:val="auto"/>
                      <w:kern w:val="0"/>
                      <w:sz w:val="21"/>
                      <w:szCs w:val="21"/>
                      <w:highlight w:val="none"/>
                      <w:lang w:val="en-US" w:eastAsia="zh-CN" w:bidi="ar"/>
                    </w:rPr>
                    <w:t>（3.3）本项目建成后地面、车间等均进行硬化，设置绿化，对土壤影响较小。</w:t>
                  </w:r>
                </w:p>
                <w:p>
                  <w:pPr>
                    <w:pStyle w:val="3"/>
                    <w:rPr>
                      <w:rFonts w:hint="default"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bidi="ar"/>
                    </w:rPr>
                    <w:t>（3.4）本项目不涉及农用地。</w:t>
                  </w:r>
                </w:p>
              </w:tc>
              <w:tc>
                <w:tcPr>
                  <w:tcW w:w="33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519"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资源开发效率要求</w:t>
                  </w:r>
                </w:p>
              </w:tc>
              <w:tc>
                <w:tcPr>
                  <w:tcW w:w="2247" w:type="pct"/>
                  <w:noWrap w:val="0"/>
                  <w:vAlign w:val="center"/>
                </w:tcPr>
                <w:p>
                  <w:pPr>
                    <w:keepNext w:val="0"/>
                    <w:keepLines w:val="0"/>
                    <w:widowControl/>
                    <w:suppressLineNumbers w:val="0"/>
                    <w:jc w:val="both"/>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（4.1）能源：</w:t>
                  </w:r>
                </w:p>
                <w:p>
                  <w:pPr>
                    <w:keepNext w:val="0"/>
                    <w:keepLines w:val="0"/>
                    <w:widowControl/>
                    <w:suppressLineNumbers w:val="0"/>
                    <w:jc w:val="both"/>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（4.1.1）强化能源消费总量和强度“双控”考核，加快天然气管线工程建设。推行清洁燃料，逐步取缔燃煤炉灶</w:t>
                  </w:r>
                  <w:r>
                    <w:rPr>
                      <w:rFonts w:hint="eastAsia" w:ascii="Times New Roman" w:hAnsi="Times New Roman" w:eastAsia="宋体" w:cs="Times New Roman"/>
                      <w:b w:val="0"/>
                      <w:bCs w:val="0"/>
                      <w:i w:val="0"/>
                      <w:iCs w:val="0"/>
                      <w:color w:val="auto"/>
                      <w:kern w:val="0"/>
                      <w:sz w:val="21"/>
                      <w:szCs w:val="21"/>
                      <w:lang w:val="en-US" w:eastAsia="zh-CN" w:bidi="ar"/>
                    </w:rPr>
                    <w:t>，</w:t>
                  </w:r>
                  <w:r>
                    <w:rPr>
                      <w:rFonts w:hint="default" w:ascii="Times New Roman" w:hAnsi="Times New Roman" w:eastAsia="宋体" w:cs="Times New Roman"/>
                      <w:b w:val="0"/>
                      <w:bCs w:val="0"/>
                      <w:i w:val="0"/>
                      <w:iCs w:val="0"/>
                      <w:color w:val="auto"/>
                      <w:kern w:val="0"/>
                      <w:sz w:val="21"/>
                      <w:szCs w:val="21"/>
                      <w:lang w:val="en-US" w:eastAsia="zh-CN" w:bidi="ar"/>
                    </w:rPr>
                    <w:t>提高用气普及率。2030年，甘太工业园和茯苓科技产业园万元GDP能耗指标控制在0.52吨标准煤。</w:t>
                  </w:r>
                </w:p>
                <w:p>
                  <w:pPr>
                    <w:keepNext w:val="0"/>
                    <w:keepLines w:val="0"/>
                    <w:widowControl/>
                    <w:suppressLineNumbers w:val="0"/>
                    <w:jc w:val="both"/>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（4.1.2）实施能源消耗总量和强度双控行动，逐步建立用能预算管理体系，编制用能预算管理方案。</w:t>
                  </w:r>
                </w:p>
                <w:p>
                  <w:pPr>
                    <w:keepNext w:val="0"/>
                    <w:keepLines w:val="0"/>
                    <w:widowControl/>
                    <w:suppressLineNumbers w:val="0"/>
                    <w:jc w:val="both"/>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（4.1.3）到2020年，单位GDP能耗预测值为0.319吨标准煤/万元，单位工业增加值能耗0.3357吨标准煤/万元。到2025年，单位GDP能耗预测值为0.2679吨标准煤/万元，单位工业增加值能耗0.2801吨标准煤/万元。</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（4.2）水资源：加强水资源管理，切实合理开发利用和节约保护水资源。到2020年，靖州县水资源开发利用总量控制在1.25亿立方米以下，万元工业增加值用水量控制在60立方米/万元以下。</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（4.3）土地资源：</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 w:val="0"/>
                      <w:bCs w:val="0"/>
                      <w:i w:val="0"/>
                      <w:iCs w:val="0"/>
                      <w:color w:val="auto"/>
                      <w:kern w:val="0"/>
                      <w:sz w:val="21"/>
                      <w:szCs w:val="21"/>
                      <w:lang w:val="en-US" w:eastAsia="zh-CN" w:bidi="ar"/>
                    </w:rPr>
                  </w:pPr>
                  <w:r>
                    <w:rPr>
                      <w:rFonts w:hint="default" w:ascii="Times New Roman" w:hAnsi="Times New Roman" w:eastAsia="宋体" w:cs="Times New Roman"/>
                      <w:b w:val="0"/>
                      <w:bCs w:val="0"/>
                      <w:i w:val="0"/>
                      <w:iCs w:val="0"/>
                      <w:color w:val="auto"/>
                      <w:kern w:val="0"/>
                      <w:sz w:val="21"/>
                      <w:szCs w:val="21"/>
                      <w:lang w:val="en-US" w:eastAsia="zh-CN" w:bidi="ar"/>
                    </w:rPr>
                    <w:t>（4.3.1）坚持最严格的节约用地制度，盘活存量建设用地，提升土地产出效益，全面实施节约集约用地战略。</w:t>
                  </w:r>
                </w:p>
                <w:p>
                  <w:pPr>
                    <w:pStyle w:val="25"/>
                    <w:keepNext w:val="0"/>
                    <w:keepLines w:val="0"/>
                    <w:pageBreakBefore w:val="0"/>
                    <w:widowControl w:val="0"/>
                    <w:kinsoku/>
                    <w:wordWrap/>
                    <w:overflowPunct/>
                    <w:topLinePunct w:val="0"/>
                    <w:bidi w:val="0"/>
                    <w:snapToGrid w:val="0"/>
                    <w:spacing w:line="240" w:lineRule="auto"/>
                    <w:ind w:firstLine="0" w:firstLineChars="0"/>
                    <w:jc w:val="both"/>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lang w:val="en-US" w:eastAsia="zh-CN" w:bidi="ar"/>
                    </w:rPr>
                    <w:t>（4.3.2）园区项目引进严格运用用地指标，严格节约集约用地，园区工业项目投资强度执行《湖南省建设用地指标》（2020版）13等区域控制指标要求。</w:t>
                  </w:r>
                </w:p>
              </w:tc>
              <w:tc>
                <w:tcPr>
                  <w:tcW w:w="189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eastAsia"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4.1</w:t>
                  </w:r>
                  <w:r>
                    <w:rPr>
                      <w:rFonts w:hint="default" w:ascii="Times New Roman" w:hAnsi="Times New Roman" w:eastAsia="宋体" w:cs="Times New Roman"/>
                      <w:bCs/>
                      <w:color w:val="auto"/>
                      <w:sz w:val="21"/>
                      <w:szCs w:val="21"/>
                      <w:highlight w:val="none"/>
                      <w:u w:val="none"/>
                      <w:lang w:eastAsia="zh-CN"/>
                    </w:rPr>
                    <w:t>）本项目使用电能，</w:t>
                  </w:r>
                  <w:r>
                    <w:rPr>
                      <w:rFonts w:hint="eastAsia" w:ascii="Times New Roman" w:hAnsi="Times New Roman" w:eastAsia="宋体" w:cs="Times New Roman"/>
                      <w:bCs/>
                      <w:color w:val="auto"/>
                      <w:sz w:val="21"/>
                      <w:szCs w:val="21"/>
                      <w:highlight w:val="none"/>
                      <w:u w:val="none"/>
                      <w:lang w:eastAsia="zh-CN"/>
                    </w:rPr>
                    <w:t>能耗低</w:t>
                  </w:r>
                  <w:r>
                    <w:rPr>
                      <w:rFonts w:hint="default" w:ascii="Times New Roman" w:hAnsi="Times New Roman" w:eastAsia="宋体" w:cs="Times New Roman"/>
                      <w:bCs/>
                      <w:color w:val="auto"/>
                      <w:sz w:val="21"/>
                      <w:szCs w:val="21"/>
                      <w:highlight w:val="none"/>
                      <w:u w:val="none"/>
                    </w:rPr>
                    <w:t>。</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default" w:ascii="Times New Roman" w:hAnsi="Times New Roman" w:eastAsia="宋体" w:cs="Times New Roman"/>
                      <w:bCs/>
                      <w:color w:val="auto"/>
                      <w:sz w:val="21"/>
                      <w:szCs w:val="21"/>
                      <w:highlight w:val="none"/>
                      <w:u w:val="none"/>
                      <w:lang w:eastAsia="zh-CN"/>
                    </w:rPr>
                  </w:pP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4.2</w:t>
                  </w:r>
                  <w:r>
                    <w:rPr>
                      <w:rFonts w:hint="default" w:ascii="Times New Roman" w:hAnsi="Times New Roman" w:eastAsia="宋体" w:cs="Times New Roman"/>
                      <w:bCs/>
                      <w:color w:val="auto"/>
                      <w:sz w:val="21"/>
                      <w:szCs w:val="21"/>
                      <w:highlight w:val="none"/>
                      <w:u w:val="none"/>
                      <w:lang w:eastAsia="zh-CN"/>
                    </w:rPr>
                    <w:t>）本项目</w:t>
                  </w:r>
                  <w:r>
                    <w:rPr>
                      <w:rFonts w:hint="eastAsia" w:ascii="Times New Roman" w:hAnsi="Times New Roman" w:eastAsia="宋体" w:cs="Times New Roman"/>
                      <w:bCs/>
                      <w:color w:val="auto"/>
                      <w:sz w:val="21"/>
                      <w:szCs w:val="21"/>
                      <w:highlight w:val="none"/>
                      <w:u w:val="none"/>
                      <w:lang w:eastAsia="zh-CN"/>
                    </w:rPr>
                    <w:t>不涉及生产用水，本项目</w:t>
                  </w:r>
                  <w:r>
                    <w:rPr>
                      <w:rFonts w:hint="default" w:ascii="Times New Roman" w:hAnsi="Times New Roman" w:eastAsia="宋体" w:cs="Times New Roman"/>
                      <w:bCs/>
                      <w:color w:val="auto"/>
                      <w:sz w:val="21"/>
                      <w:szCs w:val="21"/>
                      <w:highlight w:val="none"/>
                      <w:u w:val="none"/>
                      <w:lang w:eastAsia="zh-CN"/>
                    </w:rPr>
                    <w:t>生活用水量不大。</w:t>
                  </w:r>
                </w:p>
                <w:p>
                  <w:pPr>
                    <w:pStyle w:val="25"/>
                    <w:keepNext w:val="0"/>
                    <w:keepLines w:val="0"/>
                    <w:pageBreakBefore w:val="0"/>
                    <w:widowControl w:val="0"/>
                    <w:kinsoku/>
                    <w:wordWrap/>
                    <w:overflowPunct/>
                    <w:topLinePunct w:val="0"/>
                    <w:bidi w:val="0"/>
                    <w:snapToGrid w:val="0"/>
                    <w:spacing w:line="240" w:lineRule="auto"/>
                    <w:ind w:firstLine="0" w:firstLineChars="0"/>
                    <w:textAlignment w:val="center"/>
                    <w:rPr>
                      <w:rFonts w:hint="eastAsia" w:ascii="Times New Roman" w:hAnsi="Times New Roman" w:eastAsia="宋体" w:cs="Times New Roman"/>
                      <w:bCs/>
                      <w:color w:val="auto"/>
                      <w:sz w:val="21"/>
                      <w:szCs w:val="21"/>
                      <w:highlight w:val="none"/>
                      <w:u w:val="none"/>
                      <w:lang w:val="en-US" w:eastAsia="zh-CN"/>
                    </w:rPr>
                  </w:pPr>
                  <w:r>
                    <w:rPr>
                      <w:rFonts w:hint="default" w:ascii="Times New Roman" w:hAnsi="Times New Roman" w:eastAsia="宋体" w:cs="Times New Roman"/>
                      <w:bCs/>
                      <w:color w:val="auto"/>
                      <w:sz w:val="21"/>
                      <w:szCs w:val="21"/>
                      <w:highlight w:val="none"/>
                      <w:u w:val="none"/>
                      <w:lang w:eastAsia="zh-CN"/>
                    </w:rPr>
                    <w:t>（</w:t>
                  </w:r>
                  <w:r>
                    <w:rPr>
                      <w:rFonts w:hint="default" w:ascii="Times New Roman" w:hAnsi="Times New Roman" w:eastAsia="宋体" w:cs="Times New Roman"/>
                      <w:bCs/>
                      <w:color w:val="auto"/>
                      <w:sz w:val="21"/>
                      <w:szCs w:val="21"/>
                      <w:highlight w:val="none"/>
                      <w:u w:val="none"/>
                      <w:lang w:val="en-US" w:eastAsia="zh-CN"/>
                    </w:rPr>
                    <w:t>4.3</w:t>
                  </w:r>
                  <w:r>
                    <w:rPr>
                      <w:rFonts w:hint="default" w:ascii="Times New Roman" w:hAnsi="Times New Roman" w:eastAsia="宋体" w:cs="Times New Roman"/>
                      <w:bCs/>
                      <w:color w:val="auto"/>
                      <w:sz w:val="21"/>
                      <w:szCs w:val="21"/>
                      <w:highlight w:val="none"/>
                      <w:u w:val="none"/>
                      <w:lang w:eastAsia="zh-CN"/>
                    </w:rPr>
                    <w:t>）本项目</w:t>
                  </w:r>
                  <w:r>
                    <w:rPr>
                      <w:rFonts w:hint="eastAsia" w:ascii="Times New Roman" w:hAnsi="Times New Roman" w:eastAsia="宋体" w:cs="Times New Roman"/>
                      <w:bCs/>
                      <w:color w:val="auto"/>
                      <w:sz w:val="21"/>
                      <w:szCs w:val="21"/>
                      <w:highlight w:val="none"/>
                      <w:u w:val="none"/>
                      <w:lang w:val="en-US" w:eastAsia="zh-CN"/>
                    </w:rPr>
                    <w:t>符合</w:t>
                  </w:r>
                  <w:r>
                    <w:rPr>
                      <w:rFonts w:hint="default" w:ascii="Times New Roman" w:hAnsi="Times New Roman" w:eastAsia="宋体" w:cs="Times New Roman"/>
                      <w:b w:val="0"/>
                      <w:bCs w:val="0"/>
                      <w:i w:val="0"/>
                      <w:iCs w:val="0"/>
                      <w:color w:val="auto"/>
                      <w:kern w:val="0"/>
                      <w:sz w:val="21"/>
                      <w:szCs w:val="21"/>
                      <w:lang w:val="en-US" w:eastAsia="zh-CN" w:bidi="ar"/>
                    </w:rPr>
                    <w:t>《湖南省建设用地指标》（2020版）13等区域控制指标要求</w:t>
                  </w:r>
                  <w:r>
                    <w:rPr>
                      <w:rFonts w:hint="eastAsia" w:ascii="Times New Roman" w:hAnsi="Times New Roman" w:eastAsia="宋体" w:cs="Times New Roman"/>
                      <w:b w:val="0"/>
                      <w:bCs w:val="0"/>
                      <w:i w:val="0"/>
                      <w:iCs w:val="0"/>
                      <w:color w:val="auto"/>
                      <w:kern w:val="0"/>
                      <w:sz w:val="21"/>
                      <w:szCs w:val="21"/>
                      <w:lang w:val="en-US" w:eastAsia="zh-CN" w:bidi="ar"/>
                    </w:rPr>
                    <w:t>。</w:t>
                  </w:r>
                </w:p>
              </w:tc>
              <w:tc>
                <w:tcPr>
                  <w:tcW w:w="336" w:type="pct"/>
                  <w:noWrap w:val="0"/>
                  <w:vAlign w:val="center"/>
                </w:tcPr>
                <w:p>
                  <w:pPr>
                    <w:pStyle w:val="25"/>
                    <w:keepNext w:val="0"/>
                    <w:keepLines w:val="0"/>
                    <w:pageBreakBefore w:val="0"/>
                    <w:widowControl w:val="0"/>
                    <w:kinsoku/>
                    <w:wordWrap/>
                    <w:overflowPunct/>
                    <w:topLinePunct w:val="0"/>
                    <w:bidi w:val="0"/>
                    <w:snapToGrid w:val="0"/>
                    <w:spacing w:line="240" w:lineRule="auto"/>
                    <w:ind w:firstLine="0" w:firstLineChars="0"/>
                    <w:jc w:val="center"/>
                    <w:textAlignment w:val="center"/>
                    <w:rPr>
                      <w:rFonts w:hint="default" w:ascii="Times New Roman" w:hAnsi="Times New Roman" w:eastAsia="宋体" w:cs="Times New Roman"/>
                      <w:bCs/>
                      <w:color w:val="auto"/>
                      <w:sz w:val="21"/>
                      <w:szCs w:val="21"/>
                      <w:highlight w:val="none"/>
                      <w:u w:val="none"/>
                    </w:rPr>
                  </w:pPr>
                  <w:r>
                    <w:rPr>
                      <w:rFonts w:hint="default" w:ascii="Times New Roman" w:hAnsi="Times New Roman" w:eastAsia="宋体" w:cs="Times New Roman"/>
                      <w:bCs/>
                      <w:color w:val="auto"/>
                      <w:sz w:val="21"/>
                      <w:szCs w:val="21"/>
                      <w:highlight w:val="none"/>
                      <w:u w:val="none"/>
                    </w:rPr>
                    <w:t>符合</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u w:val="none"/>
                <w:lang w:eastAsia="zh-CN"/>
              </w:rPr>
            </w:pPr>
            <w:r>
              <w:rPr>
                <w:rFonts w:hint="default" w:ascii="Times New Roman" w:hAnsi="Times New Roman" w:cs="Times New Roman"/>
                <w:color w:val="auto"/>
                <w:sz w:val="24"/>
                <w:szCs w:val="24"/>
                <w:highlight w:val="none"/>
                <w:u w:val="none"/>
              </w:rPr>
              <w:t>综上，本项目的建设与</w:t>
            </w:r>
            <w:r>
              <w:rPr>
                <w:rFonts w:hint="default" w:ascii="Times New Roman" w:hAnsi="Times New Roman" w:eastAsia="宋体" w:cs="Times New Roman"/>
                <w:color w:val="auto"/>
                <w:kern w:val="0"/>
                <w:sz w:val="24"/>
                <w:szCs w:val="24"/>
                <w:lang w:eastAsia="zh-CN"/>
              </w:rPr>
              <w:t>《湖南省“三线一单”生态环境总体管控要求暨省级以上产业园区生态环境准入清单》（2020.</w:t>
            </w:r>
            <w:r>
              <w:rPr>
                <w:rFonts w:hint="default"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lang w:eastAsia="zh-CN"/>
              </w:rPr>
              <w:t>）</w:t>
            </w:r>
            <w:r>
              <w:rPr>
                <w:rFonts w:hint="default" w:ascii="Times New Roman" w:hAnsi="Times New Roman" w:cs="Times New Roman"/>
                <w:color w:val="auto"/>
                <w:sz w:val="24"/>
                <w:szCs w:val="24"/>
                <w:highlight w:val="none"/>
                <w:u w:val="none"/>
              </w:rPr>
              <w:t>相符合</w:t>
            </w:r>
            <w:r>
              <w:rPr>
                <w:rFonts w:hint="default" w:ascii="Times New Roman" w:hAnsi="Times New Roman" w:cs="Times New Roman"/>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10、</w:t>
            </w:r>
            <w:r>
              <w:rPr>
                <w:rFonts w:hint="default" w:ascii="Times New Roman" w:hAnsi="Times New Roman" w:eastAsia="宋体" w:cs="Times New Roman"/>
                <w:b/>
                <w:bCs/>
                <w:color w:val="auto"/>
                <w:sz w:val="24"/>
                <w:szCs w:val="24"/>
                <w:lang w:eastAsia="zh-CN"/>
              </w:rPr>
              <w:t>与《废钢铁加工行业准入条件》</w:t>
            </w:r>
            <w:r>
              <w:rPr>
                <w:rFonts w:hint="eastAsia" w:ascii="Times New Roman" w:hAnsi="Times New Roman" w:cs="Times New Roman"/>
                <w:b/>
                <w:bCs/>
                <w:color w:val="auto"/>
                <w:sz w:val="24"/>
                <w:szCs w:val="24"/>
                <w:lang w:eastAsia="zh-CN"/>
              </w:rPr>
              <w:t>（</w:t>
            </w:r>
            <w:r>
              <w:rPr>
                <w:rFonts w:hint="default" w:ascii="Times New Roman" w:hAnsi="Times New Roman" w:eastAsia="宋体" w:cs="Times New Roman"/>
                <w:b/>
                <w:bCs/>
                <w:color w:val="auto"/>
                <w:sz w:val="24"/>
                <w:szCs w:val="24"/>
                <w:lang w:eastAsia="zh-CN"/>
              </w:rPr>
              <w:t>工业和信息化部公告2016年第74号</w:t>
            </w:r>
            <w:r>
              <w:rPr>
                <w:rFonts w:hint="eastAsia" w:ascii="Times New Roman" w:hAnsi="Times New Roman" w:cs="Times New Roman"/>
                <w:b/>
                <w:bCs/>
                <w:color w:val="auto"/>
                <w:sz w:val="24"/>
                <w:szCs w:val="24"/>
                <w:lang w:eastAsia="zh-CN"/>
              </w:rPr>
              <w:t>）</w:t>
            </w:r>
            <w:r>
              <w:rPr>
                <w:rFonts w:hint="eastAsia" w:ascii="Times New Roman" w:hAnsi="Times New Roman" w:cs="Times New Roman"/>
                <w:b/>
                <w:bCs/>
                <w:color w:val="auto"/>
                <w:sz w:val="24"/>
                <w:szCs w:val="24"/>
                <w:lang w:val="en-US" w:eastAsia="zh-CN"/>
              </w:rPr>
              <w:t>相符性分析</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sz w:val="21"/>
                <w:szCs w:val="21"/>
                <w:lang w:eastAsia="zh-CN"/>
              </w:rPr>
            </w:pPr>
            <w:r>
              <w:rPr>
                <w:rFonts w:hint="default"/>
                <w:b/>
                <w:bCs/>
                <w:sz w:val="21"/>
                <w:szCs w:val="21"/>
                <w:lang w:eastAsia="zh-CN"/>
              </w:rPr>
              <w:t xml:space="preserve">表 </w:t>
            </w:r>
            <w:r>
              <w:rPr>
                <w:rFonts w:hint="eastAsia"/>
                <w:b/>
                <w:bCs/>
                <w:sz w:val="21"/>
                <w:szCs w:val="21"/>
                <w:lang w:val="en-US" w:eastAsia="zh-CN"/>
              </w:rPr>
              <w:t>1</w:t>
            </w:r>
            <w:r>
              <w:rPr>
                <w:rFonts w:hint="default"/>
                <w:b/>
                <w:bCs/>
                <w:sz w:val="21"/>
                <w:szCs w:val="21"/>
                <w:lang w:eastAsia="zh-CN"/>
              </w:rPr>
              <w:t>-</w:t>
            </w:r>
            <w:r>
              <w:rPr>
                <w:rFonts w:hint="eastAsia"/>
                <w:b/>
                <w:bCs/>
                <w:sz w:val="21"/>
                <w:szCs w:val="21"/>
                <w:lang w:val="en-US" w:eastAsia="zh-CN"/>
              </w:rPr>
              <w:t>7</w:t>
            </w:r>
            <w:r>
              <w:rPr>
                <w:rFonts w:hint="default"/>
                <w:b/>
                <w:bCs/>
                <w:sz w:val="21"/>
                <w:szCs w:val="21"/>
                <w:lang w:eastAsia="zh-CN"/>
              </w:rPr>
              <w:t xml:space="preserve"> 与《废钢铁加工行业准入条件(2016) 》相关符合性分析</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3142"/>
              <w:gridCol w:w="3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序号</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废钢铁加工行业准入条件具体规定</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一</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企业的布局和设立要求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废钢铁加工配送企业应符合有关法律法规规定，符合国家产业政策</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土地供应政策及本地区土地利用总体规划、城乡建设规划和主体功能区规划的要求，企业建设应有规范化设计要求。</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本</w:t>
                  </w:r>
                  <w:r>
                    <w:rPr>
                      <w:rFonts w:hint="default" w:ascii="Times New Roman" w:hAnsi="Times New Roman" w:eastAsia="宋体" w:cs="Times New Roman"/>
                      <w:b w:val="0"/>
                      <w:bCs w:val="0"/>
                      <w:color w:val="auto"/>
                      <w:sz w:val="21"/>
                      <w:szCs w:val="21"/>
                      <w:vertAlign w:val="baseline"/>
                      <w:lang w:eastAsia="zh-CN"/>
                    </w:rPr>
                    <w:t>项目符合国家法律法规规定，符合国家产业政策；符合靖州县总体规划。</w:t>
                  </w:r>
                  <w:r>
                    <w:rPr>
                      <w:rFonts w:hint="eastAsia" w:ascii="Times New Roman" w:hAnsi="Times New Roman" w:eastAsia="宋体" w:cs="Times New Roman"/>
                      <w:b w:val="0"/>
                      <w:bCs w:val="0"/>
                      <w:color w:val="auto"/>
                      <w:sz w:val="21"/>
                      <w:szCs w:val="21"/>
                      <w:vertAlign w:val="baseline"/>
                      <w:lang w:eastAsia="zh-CN"/>
                    </w:rPr>
                    <w:t>本</w:t>
                  </w:r>
                  <w:r>
                    <w:rPr>
                      <w:rFonts w:hint="default" w:ascii="Times New Roman" w:hAnsi="Times New Roman" w:eastAsia="宋体" w:cs="Times New Roman"/>
                      <w:b w:val="0"/>
                      <w:bCs w:val="0"/>
                      <w:color w:val="auto"/>
                      <w:sz w:val="21"/>
                      <w:szCs w:val="21"/>
                      <w:vertAlign w:val="baseline"/>
                      <w:lang w:eastAsia="zh-CN"/>
                    </w:rPr>
                    <w:t>项目建设符合工业企业总平面设计规范等要求。</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2</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废钢铁加工配送企业应符合国家土地管理的相关政策和规定，应符合国家和本地区土地供应政策，以及禁止和限制用地项目目录</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工业项目建设用地控制指标等相关土地使用标准的规定。</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根据</w:t>
                  </w:r>
                  <w:r>
                    <w:rPr>
                      <w:rFonts w:hint="eastAsia" w:ascii="Times New Roman" w:hAnsi="Times New Roman" w:cs="Times New Roman"/>
                      <w:b w:val="0"/>
                      <w:bCs w:val="0"/>
                      <w:color w:val="auto"/>
                      <w:sz w:val="21"/>
                      <w:szCs w:val="21"/>
                      <w:vertAlign w:val="baseline"/>
                      <w:lang w:val="en-US" w:eastAsia="zh-CN"/>
                    </w:rPr>
                    <w:t>靖州产业开发区签订“入园协议”（附件3）可知</w:t>
                  </w:r>
                  <w:r>
                    <w:rPr>
                      <w:rFonts w:hint="default" w:ascii="Times New Roman" w:hAnsi="Times New Roman" w:eastAsia="宋体" w:cs="Times New Roman"/>
                      <w:b w:val="0"/>
                      <w:bCs w:val="0"/>
                      <w:color w:val="auto"/>
                      <w:sz w:val="21"/>
                      <w:szCs w:val="21"/>
                      <w:vertAlign w:val="baseline"/>
                      <w:lang w:eastAsia="zh-CN"/>
                    </w:rPr>
                    <w:t>，</w:t>
                  </w:r>
                  <w:r>
                    <w:rPr>
                      <w:rFonts w:hint="eastAsia" w:ascii="Times New Roman" w:hAnsi="Times New Roman" w:eastAsia="宋体" w:cs="Times New Roman"/>
                      <w:b w:val="0"/>
                      <w:bCs w:val="0"/>
                      <w:color w:val="auto"/>
                      <w:sz w:val="21"/>
                      <w:szCs w:val="21"/>
                      <w:vertAlign w:val="baseline"/>
                      <w:lang w:eastAsia="zh-CN"/>
                    </w:rPr>
                    <w:t>本</w:t>
                  </w:r>
                  <w:r>
                    <w:rPr>
                      <w:rFonts w:hint="default" w:ascii="Times New Roman" w:hAnsi="Times New Roman" w:eastAsia="宋体" w:cs="Times New Roman"/>
                      <w:b w:val="0"/>
                      <w:bCs w:val="0"/>
                      <w:color w:val="auto"/>
                      <w:sz w:val="21"/>
                      <w:szCs w:val="21"/>
                      <w:vertAlign w:val="baseline"/>
                      <w:lang w:eastAsia="zh-CN"/>
                    </w:rPr>
                    <w:t>项目用地符合</w:t>
                  </w:r>
                  <w:r>
                    <w:rPr>
                      <w:rFonts w:hint="eastAsia" w:ascii="Times New Roman" w:hAnsi="Times New Roman" w:cs="Times New Roman"/>
                      <w:b w:val="0"/>
                      <w:bCs w:val="0"/>
                      <w:color w:val="auto"/>
                      <w:sz w:val="21"/>
                      <w:szCs w:val="21"/>
                      <w:vertAlign w:val="baseline"/>
                      <w:lang w:val="en-US" w:eastAsia="zh-CN"/>
                    </w:rPr>
                    <w:t>靖州县甘太工业园</w:t>
                  </w:r>
                  <w:r>
                    <w:rPr>
                      <w:rFonts w:hint="default" w:ascii="Times New Roman" w:hAnsi="Times New Roman" w:eastAsia="宋体" w:cs="Times New Roman"/>
                      <w:b w:val="0"/>
                      <w:bCs w:val="0"/>
                      <w:color w:val="auto"/>
                      <w:sz w:val="21"/>
                      <w:szCs w:val="21"/>
                      <w:vertAlign w:val="baseline"/>
                      <w:lang w:eastAsia="zh-CN"/>
                    </w:rPr>
                    <w:t>规划和</w:t>
                  </w:r>
                  <w:r>
                    <w:rPr>
                      <w:rFonts w:hint="eastAsia" w:ascii="Times New Roman" w:hAnsi="Times New Roman" w:cs="Times New Roman"/>
                      <w:b w:val="0"/>
                      <w:bCs w:val="0"/>
                      <w:color w:val="auto"/>
                      <w:sz w:val="21"/>
                      <w:szCs w:val="21"/>
                      <w:vertAlign w:val="baseline"/>
                      <w:lang w:val="en-US" w:eastAsia="zh-CN"/>
                    </w:rPr>
                    <w:t>靖州县</w:t>
                  </w:r>
                  <w:r>
                    <w:rPr>
                      <w:rFonts w:hint="default" w:ascii="Times New Roman" w:hAnsi="Times New Roman" w:eastAsia="宋体" w:cs="Times New Roman"/>
                      <w:b w:val="0"/>
                      <w:bCs w:val="0"/>
                      <w:color w:val="auto"/>
                      <w:sz w:val="21"/>
                      <w:szCs w:val="21"/>
                      <w:vertAlign w:val="baseline"/>
                      <w:lang w:eastAsia="zh-CN"/>
                    </w:rPr>
                    <w:t>土地利用总体规划。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建设废钢铁加工配送项目时，应根据环境影响评价结论，确定厂址及其与周围人群和敏感区域的距离。新建废钢铁加工配送项目原则上应布局在符合相应功能定位的产业园 区。在国家法律、法规、规章和规划确定或 县级及以上人民政府规定的自然保护区、风景名胜区、饮用水源保护区、基本农田保护 区和其他需要特别保护的区域内，不得新建废钢铁加工配送企业。已在上述区域投产运营的废钢铁加工配送企业要根据该区域规划要求，在一定期限内，通过依法搬迁、转产等方式逐步退出。</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本</w:t>
                  </w:r>
                  <w:r>
                    <w:rPr>
                      <w:rFonts w:hint="default" w:ascii="Times New Roman" w:hAnsi="Times New Roman" w:eastAsia="宋体" w:cs="Times New Roman"/>
                      <w:b w:val="0"/>
                      <w:bCs w:val="0"/>
                      <w:color w:val="auto"/>
                      <w:sz w:val="21"/>
                      <w:szCs w:val="21"/>
                      <w:vertAlign w:val="baseline"/>
                      <w:lang w:eastAsia="zh-CN"/>
                    </w:rPr>
                    <w:t>项目</w:t>
                  </w:r>
                  <w:r>
                    <w:rPr>
                      <w:rFonts w:hint="eastAsia" w:ascii="Times New Roman" w:hAnsi="Times New Roman" w:eastAsia="宋体" w:cs="Times New Roman"/>
                      <w:b w:val="0"/>
                      <w:bCs w:val="0"/>
                      <w:color w:val="auto"/>
                      <w:sz w:val="21"/>
                      <w:szCs w:val="21"/>
                      <w:vertAlign w:val="baseline"/>
                      <w:lang w:val="en-US" w:eastAsia="zh-CN"/>
                    </w:rPr>
                    <w:t>位于</w:t>
                  </w:r>
                  <w:r>
                    <w:rPr>
                      <w:rFonts w:hint="default" w:ascii="Times New Roman" w:hAnsi="Times New Roman" w:eastAsia="宋体" w:cs="Times New Roman"/>
                      <w:b w:val="0"/>
                      <w:bCs w:val="0"/>
                      <w:color w:val="auto"/>
                      <w:sz w:val="21"/>
                      <w:szCs w:val="21"/>
                      <w:vertAlign w:val="baseline"/>
                      <w:lang w:eastAsia="zh-CN"/>
                    </w:rPr>
                    <w:t>靖州产业开发区甘太综合加工园，不在自然保护区、风景名胜区基本农田保护区和其他需要特别保护的区域。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bidi w:val="0"/>
                    <w:jc w:val="center"/>
                    <w:rPr>
                      <w:rFonts w:hint="default" w:ascii="Times New Roman" w:hAnsi="Times New Roman" w:eastAsia="宋体" w:cs="Times New Roman"/>
                      <w:b w:val="0"/>
                      <w:bCs w:val="0"/>
                      <w:color w:val="auto"/>
                      <w:sz w:val="21"/>
                      <w:szCs w:val="21"/>
                      <w:vertAlign w:val="baseline"/>
                      <w:lang w:val="en-US" w:eastAsia="zh-CN"/>
                    </w:rPr>
                  </w:pPr>
                  <w:r>
                    <w:rPr>
                      <w:rFonts w:hint="eastAsia"/>
                      <w:b w:val="0"/>
                      <w:bCs w:val="0"/>
                      <w:color w:val="auto"/>
                      <w:sz w:val="21"/>
                      <w:szCs w:val="21"/>
                      <w:lang w:val="en-US" w:eastAsia="zh-CN"/>
                    </w:rPr>
                    <w:t>二</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规模、工艺和装备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新建普碳废钢铁加工配送企业年废钢铁加工能力必须在15万吨以上；改造、扩建普碳废钢铁加工配送企业年废钢铁加工能力应达到10万吨以上；废旧不锈钢及其它废旧特种钢加工配送企业年加工能力应达到 3万吨以上。</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eastAsia="zh-CN"/>
                    </w:rPr>
                    <w:t>本项目为新建废钢加工配送生产线，年加工配送15万吨废钢铁，</w:t>
                  </w:r>
                  <w:r>
                    <w:rPr>
                      <w:rFonts w:hint="eastAsia" w:ascii="Times New Roman" w:hAnsi="Times New Roman" w:cs="Times New Roman"/>
                      <w:b w:val="0"/>
                      <w:bCs w:val="0"/>
                      <w:color w:val="auto"/>
                      <w:sz w:val="21"/>
                      <w:szCs w:val="21"/>
                      <w:vertAlign w:val="baseline"/>
                      <w:lang w:val="en-US" w:eastAsia="zh-CN"/>
                    </w:rPr>
                    <w:t>符合准入条件。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cs="Times New Roman"/>
                      <w:b w:val="0"/>
                      <w:bCs w:val="0"/>
                      <w:color w:val="auto"/>
                      <w:sz w:val="21"/>
                      <w:szCs w:val="21"/>
                      <w:vertAlign w:val="baseline"/>
                      <w:lang w:val="en-US" w:eastAsia="zh-CN"/>
                    </w:rPr>
                    <w:t>2</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eastAsia="zh-CN"/>
                    </w:rPr>
                    <w:t>新建普碳废钢铁加工配送企业要求厂区面积不小于3万平米，作业场地硬化面积不小于1.5万平米；改造、扩建普碳废钢铁加工配送企业要求厂区面积不小于2万平米，作业场地硬化面积不小于1万平米； 废旧不锈钢及其它废旧特种钢加工配送企业厂区面积不小于1万平米，作业场地硬化面积不小于5千平米。土地使用手续合法（若土地为租用，合同期限不少于15年）。</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kern w:val="2"/>
                      <w:sz w:val="21"/>
                      <w:szCs w:val="24"/>
                      <w:lang w:val="en-US" w:eastAsia="zh-CN" w:bidi="ar-SA"/>
                    </w:rPr>
                  </w:pPr>
                  <w:r>
                    <w:rPr>
                      <w:rFonts w:hint="eastAsia"/>
                      <w:lang w:eastAsia="zh-CN"/>
                    </w:rPr>
                    <w:t>本</w:t>
                  </w:r>
                  <w:r>
                    <w:rPr>
                      <w:rFonts w:hint="default"/>
                      <w:lang w:eastAsia="zh-CN"/>
                    </w:rPr>
                    <w:t>项目为新建废钢加工项目，厂区占地面积</w:t>
                  </w:r>
                  <w:r>
                    <w:rPr>
                      <w:rFonts w:hint="eastAsia"/>
                      <w:lang w:val="en-US" w:eastAsia="zh-CN"/>
                    </w:rPr>
                    <w:t>30000</w:t>
                  </w:r>
                  <w:r>
                    <w:rPr>
                      <w:rFonts w:hint="default"/>
                      <w:lang w:eastAsia="zh-CN"/>
                    </w:rPr>
                    <w:t>平米，且作业场区硬化面积为16326.66平方米（室外硬化及厂房地面硬化）。</w:t>
                  </w:r>
                  <w:r>
                    <w:rPr>
                      <w:rFonts w:hint="eastAsia"/>
                      <w:lang w:eastAsia="zh-CN"/>
                    </w:rPr>
                    <w:t>本</w:t>
                  </w:r>
                  <w:r>
                    <w:rPr>
                      <w:rFonts w:hint="default"/>
                      <w:lang w:eastAsia="zh-CN"/>
                    </w:rPr>
                    <w:t>项目与</w:t>
                  </w:r>
                  <w:r>
                    <w:rPr>
                      <w:rFonts w:hint="eastAsia"/>
                      <w:lang w:val="en-US" w:eastAsia="zh-CN"/>
                    </w:rPr>
                    <w:t>靖州产业开发区</w:t>
                  </w:r>
                  <w:r>
                    <w:rPr>
                      <w:rFonts w:hint="default"/>
                      <w:lang w:eastAsia="zh-CN"/>
                    </w:rPr>
                    <w:t>签订了合同，土地使用手续合法</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配有打包设备、剪切设备或破碎设备以及配套装卸设备和车辆等，必须配备辐射监测仪器、电子磅和非钢铁类夹杂物分类设备等。废旧不锈钢及其他废旧特种钢加工配送企业应配备成分检测设备。</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u w:val="none"/>
                      <w:vertAlign w:val="baseline"/>
                      <w:lang w:eastAsia="zh-CN"/>
                    </w:rPr>
                    <w:t>本</w:t>
                  </w:r>
                  <w:r>
                    <w:rPr>
                      <w:rFonts w:hint="default" w:ascii="Times New Roman" w:hAnsi="Times New Roman" w:eastAsia="宋体" w:cs="Times New Roman"/>
                      <w:b w:val="0"/>
                      <w:bCs w:val="0"/>
                      <w:color w:val="auto"/>
                      <w:sz w:val="21"/>
                      <w:szCs w:val="21"/>
                      <w:u w:val="none"/>
                      <w:vertAlign w:val="baseline"/>
                      <w:lang w:eastAsia="zh-CN"/>
                    </w:rPr>
                    <w:t>项目配备</w:t>
                  </w:r>
                  <w:r>
                    <w:rPr>
                      <w:rFonts w:hint="eastAsia"/>
                      <w:vertAlign w:val="baseline"/>
                    </w:rPr>
                    <w:t>金属打包机</w:t>
                  </w:r>
                  <w:r>
                    <w:rPr>
                      <w:rFonts w:hint="default" w:ascii="Times New Roman" w:hAnsi="Times New Roman" w:eastAsia="宋体" w:cs="Times New Roman"/>
                      <w:b w:val="0"/>
                      <w:bCs w:val="0"/>
                      <w:color w:val="auto"/>
                      <w:sz w:val="21"/>
                      <w:szCs w:val="21"/>
                      <w:u w:val="none"/>
                      <w:vertAlign w:val="baseline"/>
                      <w:lang w:eastAsia="zh-CN"/>
                    </w:rPr>
                    <w:t>、</w:t>
                  </w:r>
                  <w:r>
                    <w:rPr>
                      <w:rFonts w:hint="eastAsia"/>
                      <w:vertAlign w:val="baseline"/>
                    </w:rPr>
                    <w:t>门式剪切机</w:t>
                  </w:r>
                  <w:r>
                    <w:rPr>
                      <w:rFonts w:hint="default" w:ascii="Times New Roman" w:hAnsi="Times New Roman" w:eastAsia="宋体" w:cs="Times New Roman"/>
                      <w:b w:val="0"/>
                      <w:bCs w:val="0"/>
                      <w:color w:val="auto"/>
                      <w:sz w:val="21"/>
                      <w:szCs w:val="21"/>
                      <w:u w:val="none"/>
                      <w:vertAlign w:val="baseline"/>
                      <w:lang w:eastAsia="zh-CN"/>
                    </w:rPr>
                    <w:t>、</w:t>
                  </w:r>
                  <w:r>
                    <w:rPr>
                      <w:rFonts w:hint="eastAsia"/>
                      <w:vertAlign w:val="baseline"/>
                    </w:rPr>
                    <w:t>装载机</w:t>
                  </w:r>
                  <w:r>
                    <w:rPr>
                      <w:rFonts w:hint="default" w:ascii="Times New Roman" w:hAnsi="Times New Roman" w:eastAsia="宋体" w:cs="Times New Roman"/>
                      <w:b w:val="0"/>
                      <w:bCs w:val="0"/>
                      <w:color w:val="auto"/>
                      <w:sz w:val="21"/>
                      <w:szCs w:val="21"/>
                      <w:u w:val="none"/>
                      <w:vertAlign w:val="baseline"/>
                      <w:lang w:eastAsia="zh-CN"/>
                    </w:rPr>
                    <w:t>、</w:t>
                  </w:r>
                  <w:r>
                    <w:rPr>
                      <w:rFonts w:hint="eastAsia"/>
                      <w:vertAlign w:val="baseline"/>
                    </w:rPr>
                    <w:t>放射性检测仪</w:t>
                  </w:r>
                  <w:r>
                    <w:rPr>
                      <w:rFonts w:hint="default" w:ascii="Times New Roman" w:hAnsi="Times New Roman" w:eastAsia="宋体" w:cs="Times New Roman"/>
                      <w:b w:val="0"/>
                      <w:bCs w:val="0"/>
                      <w:color w:val="auto"/>
                      <w:sz w:val="21"/>
                      <w:szCs w:val="21"/>
                      <w:u w:val="none"/>
                      <w:vertAlign w:val="baseline"/>
                      <w:lang w:eastAsia="zh-CN"/>
                    </w:rPr>
                    <w:t>、</w:t>
                  </w:r>
                  <w:r>
                    <w:rPr>
                      <w:rFonts w:hint="eastAsia" w:ascii="Times New Roman" w:hAnsi="Times New Roman" w:eastAsia="宋体" w:cs="Times New Roman"/>
                      <w:b w:val="0"/>
                      <w:bCs w:val="0"/>
                      <w:color w:val="auto"/>
                      <w:sz w:val="21"/>
                      <w:szCs w:val="21"/>
                      <w:u w:val="none"/>
                      <w:vertAlign w:val="baseline"/>
                      <w:lang w:val="en-US" w:eastAsia="zh-CN"/>
                    </w:rPr>
                    <w:t>地</w:t>
                  </w:r>
                  <w:r>
                    <w:rPr>
                      <w:rFonts w:hint="default" w:ascii="Times New Roman" w:hAnsi="Times New Roman" w:eastAsia="宋体" w:cs="Times New Roman"/>
                      <w:b w:val="0"/>
                      <w:bCs w:val="0"/>
                      <w:color w:val="auto"/>
                      <w:sz w:val="21"/>
                      <w:szCs w:val="21"/>
                      <w:u w:val="none"/>
                      <w:vertAlign w:val="baseline"/>
                      <w:lang w:eastAsia="zh-CN"/>
                    </w:rPr>
                    <w:t>磅、</w:t>
                  </w:r>
                  <w:r>
                    <w:rPr>
                      <w:rFonts w:hint="eastAsia"/>
                      <w:vertAlign w:val="baseline"/>
                    </w:rPr>
                    <w:t>超重电磁铁</w:t>
                  </w:r>
                  <w:r>
                    <w:rPr>
                      <w:rFonts w:hint="default" w:ascii="Times New Roman" w:hAnsi="Times New Roman" w:eastAsia="宋体" w:cs="Times New Roman"/>
                      <w:b w:val="0"/>
                      <w:bCs w:val="0"/>
                      <w:color w:val="auto"/>
                      <w:sz w:val="21"/>
                      <w:szCs w:val="21"/>
                      <w:u w:val="none"/>
                      <w:vertAlign w:val="baseline"/>
                      <w:lang w:eastAsia="zh-CN"/>
                    </w:rPr>
                    <w:t>以及配套装卸设备和车辆等。</w:t>
                  </w:r>
                  <w:r>
                    <w:rPr>
                      <w:rFonts w:hint="eastAsia" w:ascii="Times New Roman" w:hAnsi="Times New Roman" w:eastAsia="宋体" w:cs="Times New Roman"/>
                      <w:b/>
                      <w:bCs/>
                      <w:color w:val="auto"/>
                      <w:sz w:val="21"/>
                      <w:szCs w:val="21"/>
                      <w:u w:val="none"/>
                      <w:vertAlign w:val="baseline"/>
                      <w:lang w:eastAsia="zh-CN"/>
                    </w:rPr>
                    <w:t>本</w:t>
                  </w:r>
                  <w:r>
                    <w:rPr>
                      <w:rFonts w:hint="default" w:ascii="Times New Roman" w:hAnsi="Times New Roman" w:eastAsia="宋体" w:cs="Times New Roman"/>
                      <w:b/>
                      <w:bCs/>
                      <w:color w:val="auto"/>
                      <w:sz w:val="21"/>
                      <w:szCs w:val="21"/>
                      <w:u w:val="none"/>
                      <w:vertAlign w:val="baseline"/>
                      <w:lang w:eastAsia="zh-CN"/>
                    </w:rPr>
                    <w:t>项目不涉及废旧不锈钢及其他废旧特种钢加工。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选择生产效率高、加工工艺先进、能耗低、环保达标和资源综合利用率高的加工生产系统。必须配套有粉尘收集、污水处理和噪音控制等环境保护设施，加工工艺和设备应满足国家产业政策、禁止和限制用地项目目录的有关要求。</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生产过程中不产生废水，</w:t>
                  </w:r>
                  <w:r>
                    <w:rPr>
                      <w:rFonts w:hint="eastAsia" w:ascii="Times New Roman" w:hAnsi="Times New Roman" w:cs="Times New Roman"/>
                      <w:b w:val="0"/>
                      <w:bCs w:val="0"/>
                      <w:color w:val="auto"/>
                      <w:sz w:val="21"/>
                      <w:szCs w:val="21"/>
                      <w:vertAlign w:val="baseline"/>
                      <w:lang w:eastAsia="zh-CN"/>
                    </w:rPr>
                    <w:t>项目产生的</w:t>
                  </w:r>
                  <w:r>
                    <w:rPr>
                      <w:rFonts w:hint="eastAsia" w:ascii="Times New Roman" w:hAnsi="Times New Roman" w:eastAsia="宋体" w:cs="Times New Roman"/>
                      <w:b w:val="0"/>
                      <w:bCs w:val="0"/>
                      <w:color w:val="auto"/>
                      <w:sz w:val="21"/>
                      <w:szCs w:val="21"/>
                      <w:vertAlign w:val="baseline"/>
                      <w:lang w:val="en-US" w:eastAsia="zh-CN"/>
                    </w:rPr>
                    <w:t>金属粉尘经</w:t>
                  </w:r>
                  <w:r>
                    <w:rPr>
                      <w:rFonts w:hint="default" w:eastAsia="宋体"/>
                      <w:sz w:val="21"/>
                      <w:szCs w:val="21"/>
                      <w:u w:val="none"/>
                      <w:lang w:val="en-US" w:eastAsia="zh-CN"/>
                    </w:rPr>
                    <w:t>集尘罩+布袋除尘器+15m高排气筒</w:t>
                  </w:r>
                  <w:r>
                    <w:rPr>
                      <w:rFonts w:hint="eastAsia" w:eastAsia="宋体"/>
                      <w:sz w:val="21"/>
                      <w:szCs w:val="21"/>
                      <w:u w:val="none"/>
                      <w:lang w:val="en-US" w:eastAsia="zh-CN"/>
                    </w:rPr>
                    <w:t>排放</w:t>
                  </w:r>
                  <w:r>
                    <w:rPr>
                      <w:rFonts w:hint="default" w:ascii="Times New Roman" w:hAnsi="Times New Roman" w:eastAsia="宋体" w:cs="Times New Roman"/>
                      <w:b w:val="0"/>
                      <w:bCs w:val="0"/>
                      <w:color w:val="auto"/>
                      <w:sz w:val="21"/>
                      <w:szCs w:val="21"/>
                      <w:vertAlign w:val="baseline"/>
                      <w:lang w:eastAsia="zh-CN"/>
                    </w:rPr>
                    <w:t>；生活污水</w:t>
                  </w:r>
                  <w:r>
                    <w:rPr>
                      <w:rFonts w:hint="eastAsia" w:ascii="Times New Roman" w:hAnsi="Times New Roman" w:eastAsia="宋体" w:cs="Times New Roman"/>
                      <w:b w:val="0"/>
                      <w:bCs w:val="0"/>
                      <w:color w:val="auto"/>
                      <w:sz w:val="21"/>
                      <w:szCs w:val="21"/>
                      <w:vertAlign w:val="baseline"/>
                      <w:lang w:val="en-US" w:eastAsia="zh-CN"/>
                    </w:rPr>
                    <w:t>经</w:t>
                  </w:r>
                  <w:r>
                    <w:rPr>
                      <w:rFonts w:hint="default" w:ascii="Times New Roman" w:hAnsi="Times New Roman" w:eastAsia="宋体" w:cs="Times New Roman"/>
                      <w:b w:val="0"/>
                      <w:bCs w:val="0"/>
                      <w:color w:val="auto"/>
                      <w:sz w:val="21"/>
                      <w:szCs w:val="21"/>
                      <w:vertAlign w:val="baseline"/>
                      <w:lang w:eastAsia="zh-CN"/>
                    </w:rPr>
                    <w:t>化粪池处理；噪声通过</w:t>
                  </w:r>
                  <w:r>
                    <w:rPr>
                      <w:rFonts w:hint="eastAsia" w:ascii="Times New Roman" w:hAnsi="Times New Roman" w:eastAsia="宋体" w:cs="Times New Roman"/>
                      <w:b w:val="0"/>
                      <w:bCs w:val="0"/>
                      <w:color w:val="auto"/>
                      <w:sz w:val="21"/>
                      <w:szCs w:val="21"/>
                      <w:vertAlign w:val="baseline"/>
                      <w:lang w:val="en-US" w:eastAsia="zh-CN"/>
                    </w:rPr>
                    <w:t>采取</w:t>
                  </w:r>
                  <w:r>
                    <w:rPr>
                      <w:rFonts w:hint="default" w:ascii="Times New Roman" w:hAnsi="Times New Roman" w:eastAsia="宋体" w:cs="Times New Roman"/>
                      <w:b w:val="0"/>
                      <w:bCs w:val="0"/>
                      <w:color w:val="auto"/>
                      <w:sz w:val="21"/>
                      <w:szCs w:val="21"/>
                      <w:vertAlign w:val="baseline"/>
                      <w:lang w:eastAsia="zh-CN"/>
                    </w:rPr>
                    <w:t>低噪声设备</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减振、隔声、距离衰减及绿化等措施降低噪声污染。加工工艺和设备满足国家产业政策、禁止和限制用地项目目录的有关要求。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鼓励企业积极开发使用节能、环保、高效的新技术、新工艺、新装备，逐步淘汰鳄鱼剪式剪切机。</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本</w:t>
                  </w:r>
                  <w:r>
                    <w:rPr>
                      <w:rFonts w:hint="default" w:ascii="Times New Roman" w:hAnsi="Times New Roman" w:eastAsia="宋体" w:cs="Times New Roman"/>
                      <w:b w:val="0"/>
                      <w:bCs w:val="0"/>
                      <w:color w:val="auto"/>
                      <w:sz w:val="21"/>
                      <w:szCs w:val="21"/>
                      <w:vertAlign w:val="baseline"/>
                      <w:lang w:eastAsia="zh-CN"/>
                    </w:rPr>
                    <w:t>项目生产采用废钢连续</w:t>
                  </w:r>
                  <w:r>
                    <w:rPr>
                      <w:rFonts w:hint="eastAsia" w:ascii="Times New Roman" w:hAnsi="Times New Roman" w:eastAsia="宋体" w:cs="Times New Roman"/>
                      <w:b w:val="0"/>
                      <w:bCs w:val="0"/>
                      <w:color w:val="auto"/>
                      <w:sz w:val="21"/>
                      <w:szCs w:val="21"/>
                      <w:vertAlign w:val="baseline"/>
                      <w:lang w:val="en-US" w:eastAsia="zh-CN"/>
                    </w:rPr>
                    <w:t>剪切</w:t>
                  </w:r>
                  <w:r>
                    <w:rPr>
                      <w:rFonts w:hint="default" w:ascii="Times New Roman" w:hAnsi="Times New Roman" w:eastAsia="宋体" w:cs="Times New Roman"/>
                      <w:b w:val="0"/>
                      <w:bCs w:val="0"/>
                      <w:color w:val="auto"/>
                      <w:sz w:val="21"/>
                      <w:szCs w:val="21"/>
                      <w:vertAlign w:val="baseline"/>
                      <w:lang w:eastAsia="zh-CN"/>
                    </w:rPr>
                    <w:t>生产线，为节能、环保、高效的全自动技术，未使用鳄鱼剪式剪切机等落后淘汰设备。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三</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产品质量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废钢铁加工配送企业应配备专职质量管理人员，建立质量管理制度</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应通过ISO质量管理体系认证。</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企业建设完成后配备专职质量管理人员，建立质量管理制度，并按要求开展ISO质量管理体系认证工作。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废钢铁加工产品达到废钢铁国家标准和行业标准。不得销售给生产建筑用钢的工频炉、中频炉企业，以及使用30吨及以下电炉（高合金电炉除外）等落后生产设备的企业。</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bCs/>
                      <w:color w:val="auto"/>
                      <w:sz w:val="21"/>
                      <w:szCs w:val="21"/>
                      <w:u w:val="none"/>
                      <w:vertAlign w:val="baseline"/>
                      <w:lang w:eastAsia="zh-CN"/>
                    </w:rPr>
                    <w:t>本</w:t>
                  </w:r>
                  <w:r>
                    <w:rPr>
                      <w:rFonts w:hint="default" w:ascii="Times New Roman" w:hAnsi="Times New Roman" w:eastAsia="宋体" w:cs="Times New Roman"/>
                      <w:b/>
                      <w:bCs/>
                      <w:color w:val="auto"/>
                      <w:sz w:val="21"/>
                      <w:szCs w:val="21"/>
                      <w:u w:val="none"/>
                      <w:vertAlign w:val="baseline"/>
                      <w:lang w:eastAsia="zh-CN"/>
                    </w:rPr>
                    <w:t>项目仅回收废钢，不涉及废钢的熔炼加工。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四</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能源消耗和资源综合利用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142" w:type="dxa"/>
                  <w:noWrap w:val="0"/>
                  <w:vAlign w:val="center"/>
                </w:tcPr>
                <w:p>
                  <w:pPr>
                    <w:bidi w:val="0"/>
                    <w:jc w:val="center"/>
                    <w:rPr>
                      <w:rFonts w:hint="default"/>
                      <w:b w:val="0"/>
                      <w:bCs w:val="0"/>
                      <w:color w:val="auto"/>
                      <w:sz w:val="21"/>
                      <w:szCs w:val="21"/>
                      <w:lang w:eastAsia="zh-CN"/>
                    </w:rPr>
                  </w:pPr>
                  <w:r>
                    <w:rPr>
                      <w:rFonts w:hint="default"/>
                      <w:b w:val="0"/>
                      <w:bCs w:val="0"/>
                      <w:color w:val="auto"/>
                      <w:sz w:val="21"/>
                      <w:szCs w:val="21"/>
                      <w:lang w:eastAsia="zh-CN"/>
                    </w:rPr>
                    <w:t>对加工废钢铁过程中产生的各种夹杂物，如有色金属、塑料、橡胶</w:t>
                  </w:r>
                  <w:r>
                    <w:rPr>
                      <w:rFonts w:hint="eastAsia"/>
                      <w:b w:val="0"/>
                      <w:bCs w:val="0"/>
                      <w:color w:val="auto"/>
                      <w:sz w:val="21"/>
                      <w:szCs w:val="21"/>
                      <w:lang w:eastAsia="zh-CN"/>
                    </w:rPr>
                    <w:t>、</w:t>
                  </w:r>
                  <w:r>
                    <w:rPr>
                      <w:rFonts w:hint="default"/>
                      <w:b w:val="0"/>
                      <w:bCs w:val="0"/>
                      <w:color w:val="auto"/>
                      <w:sz w:val="21"/>
                      <w:szCs w:val="21"/>
                      <w:lang w:eastAsia="zh-CN"/>
                    </w:rPr>
                    <w:t>木块、纤维、渣土、机油、汽油</w:t>
                  </w:r>
                  <w:r>
                    <w:rPr>
                      <w:rFonts w:hint="eastAsia"/>
                      <w:b w:val="0"/>
                      <w:bCs w:val="0"/>
                      <w:color w:val="auto"/>
                      <w:sz w:val="21"/>
                      <w:szCs w:val="21"/>
                      <w:lang w:eastAsia="zh-CN"/>
                    </w:rPr>
                    <w:t>、</w:t>
                  </w:r>
                  <w:r>
                    <w:rPr>
                      <w:rFonts w:hint="default"/>
                      <w:b w:val="0"/>
                      <w:bCs w:val="0"/>
                      <w:color w:val="auto"/>
                      <w:sz w:val="21"/>
                      <w:szCs w:val="21"/>
                      <w:lang w:eastAsia="zh-CN"/>
                    </w:rPr>
                    <w:t>氟利昂、电池等，应有相应的回收、处理措施和合法流向，避免二次污染。</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u w:val="none"/>
                      <w:vertAlign w:val="baseline"/>
                      <w:lang w:eastAsia="zh-CN"/>
                    </w:rPr>
                    <w:t>本</w:t>
                  </w:r>
                  <w:r>
                    <w:rPr>
                      <w:rFonts w:hint="default" w:ascii="Times New Roman" w:hAnsi="Times New Roman" w:eastAsia="宋体" w:cs="Times New Roman"/>
                      <w:b w:val="0"/>
                      <w:bCs w:val="0"/>
                      <w:color w:val="auto"/>
                      <w:sz w:val="21"/>
                      <w:szCs w:val="21"/>
                      <w:u w:val="none"/>
                      <w:vertAlign w:val="baseline"/>
                      <w:lang w:eastAsia="zh-CN"/>
                    </w:rPr>
                    <w:t>项目所收购的</w:t>
                  </w:r>
                  <w:r>
                    <w:rPr>
                      <w:rFonts w:hint="eastAsia" w:ascii="Times New Roman" w:hAnsi="Times New Roman" w:eastAsia="宋体" w:cs="Times New Roman"/>
                      <w:b w:val="0"/>
                      <w:bCs w:val="0"/>
                      <w:color w:val="auto"/>
                      <w:sz w:val="21"/>
                      <w:szCs w:val="21"/>
                      <w:u w:val="none"/>
                      <w:vertAlign w:val="baseline"/>
                      <w:lang w:val="en-US" w:eastAsia="zh-CN"/>
                    </w:rPr>
                    <w:t>废钢</w:t>
                  </w:r>
                  <w:r>
                    <w:rPr>
                      <w:rFonts w:hint="default" w:ascii="Times New Roman" w:hAnsi="Times New Roman" w:eastAsia="宋体" w:cs="Times New Roman"/>
                      <w:b w:val="0"/>
                      <w:bCs w:val="0"/>
                      <w:color w:val="auto"/>
                      <w:sz w:val="21"/>
                      <w:szCs w:val="21"/>
                      <w:u w:val="none"/>
                      <w:vertAlign w:val="baseline"/>
                      <w:lang w:eastAsia="zh-CN"/>
                    </w:rPr>
                    <w:t>为</w:t>
                  </w:r>
                  <w:r>
                    <w:rPr>
                      <w:rFonts w:hint="eastAsia" w:ascii="Times New Roman" w:hAnsi="Times New Roman" w:eastAsia="宋体" w:cs="Times New Roman"/>
                      <w:b w:val="0"/>
                      <w:bCs w:val="0"/>
                      <w:color w:val="auto"/>
                      <w:sz w:val="21"/>
                      <w:szCs w:val="21"/>
                      <w:u w:val="none"/>
                      <w:vertAlign w:val="baseline"/>
                      <w:lang w:val="en-US" w:eastAsia="zh-CN"/>
                    </w:rPr>
                    <w:t>拟建机动车</w:t>
                  </w:r>
                  <w:r>
                    <w:rPr>
                      <w:rFonts w:hint="eastAsia" w:ascii="Times New Roman" w:hAnsi="Times New Roman" w:eastAsia="宋体" w:cs="Times New Roman"/>
                      <w:b w:val="0"/>
                      <w:bCs w:val="0"/>
                      <w:color w:val="auto"/>
                      <w:sz w:val="21"/>
                      <w:szCs w:val="21"/>
                      <w:u w:val="none"/>
                      <w:vertAlign w:val="baseline"/>
                      <w:lang w:eastAsia="zh-CN"/>
                    </w:rPr>
                    <w:t>拆解项目中所拆解出的废钢、和</w:t>
                  </w:r>
                  <w:r>
                    <w:rPr>
                      <w:rFonts w:hint="default" w:ascii="Times New Roman" w:hAnsi="Times New Roman" w:eastAsia="宋体" w:cs="Times New Roman"/>
                      <w:b w:val="0"/>
                      <w:bCs w:val="0"/>
                      <w:color w:val="auto"/>
                      <w:sz w:val="21"/>
                      <w:szCs w:val="21"/>
                      <w:u w:val="none"/>
                      <w:vertAlign w:val="baseline"/>
                      <w:lang w:eastAsia="zh-CN"/>
                    </w:rPr>
                    <w:t>周边机加工企业产生的废钢边角料和建筑垃圾中产生的废钢筋等折旧钢材，并对原料严格把关，严禁废钢中混入有色金属、橡胶、机油、汽油、氟利昂、电池等物质，塑料、木块、纤维、渣土等物质经磁选分离后</w:t>
                  </w:r>
                  <w:r>
                    <w:rPr>
                      <w:rFonts w:hint="eastAsia" w:ascii="Times New Roman" w:hAnsi="Times New Roman" w:cs="Times New Roman"/>
                      <w:b w:val="0"/>
                      <w:bCs w:val="0"/>
                      <w:color w:val="auto"/>
                      <w:sz w:val="21"/>
                      <w:szCs w:val="21"/>
                      <w:u w:val="none"/>
                      <w:vertAlign w:val="baseline"/>
                      <w:lang w:eastAsia="zh-CN"/>
                    </w:rPr>
                    <w:t>，</w:t>
                  </w:r>
                  <w:r>
                    <w:rPr>
                      <w:rFonts w:hint="eastAsia" w:ascii="Times New Roman" w:hAnsi="Times New Roman" w:cs="Times New Roman"/>
                      <w:b w:val="0"/>
                      <w:bCs w:val="0"/>
                      <w:color w:val="auto"/>
                      <w:sz w:val="21"/>
                      <w:szCs w:val="21"/>
                      <w:u w:val="none"/>
                      <w:vertAlign w:val="baseline"/>
                      <w:lang w:val="en-US" w:eastAsia="zh-CN"/>
                    </w:rPr>
                    <w:t>与生活垃圾一并交由环卫部门，由环卫部门统一</w:t>
                  </w:r>
                  <w:r>
                    <w:rPr>
                      <w:rFonts w:hint="default" w:ascii="Times New Roman" w:hAnsi="Times New Roman" w:eastAsia="宋体" w:cs="Times New Roman"/>
                      <w:b w:val="0"/>
                      <w:bCs w:val="0"/>
                      <w:color w:val="auto"/>
                      <w:sz w:val="21"/>
                      <w:szCs w:val="21"/>
                      <w:u w:val="none"/>
                      <w:vertAlign w:val="baseline"/>
                      <w:lang w:eastAsia="zh-CN"/>
                    </w:rPr>
                    <w:t>送往填埋场填埋。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五</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cs="Times New Roman"/>
                      <w:b w:val="0"/>
                      <w:bCs w:val="0"/>
                      <w:color w:val="auto"/>
                      <w:sz w:val="21"/>
                      <w:szCs w:val="21"/>
                      <w:vertAlign w:val="baseline"/>
                      <w:lang w:val="en-US" w:eastAsia="zh-CN"/>
                    </w:rPr>
                    <w:t>环境保护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废钢铁加工配送企业应按照《建设项目环境保护管理条例》，严格执行环境影响评价制度、环境保护</w:t>
                  </w:r>
                  <w:r>
                    <w:rPr>
                      <w:rFonts w:hint="eastAsia" w:ascii="宋体" w:hAnsi="宋体" w:eastAsia="宋体" w:cs="宋体"/>
                      <w:b w:val="0"/>
                      <w:bCs w:val="0"/>
                      <w:color w:val="auto"/>
                      <w:sz w:val="21"/>
                      <w:szCs w:val="21"/>
                      <w:vertAlign w:val="baseline"/>
                      <w:lang w:eastAsia="zh-CN"/>
                    </w:rPr>
                    <w:t>“三同时”</w:t>
                  </w:r>
                  <w:r>
                    <w:rPr>
                      <w:rFonts w:hint="default" w:ascii="Times New Roman" w:hAnsi="Times New Roman" w:eastAsia="宋体" w:cs="Times New Roman"/>
                      <w:b w:val="0"/>
                      <w:bCs w:val="0"/>
                      <w:color w:val="auto"/>
                      <w:sz w:val="21"/>
                      <w:szCs w:val="21"/>
                      <w:vertAlign w:val="baseline"/>
                      <w:lang w:eastAsia="zh-CN"/>
                    </w:rPr>
                    <w:t>制度和排污许可制度等环境保护要求。应按照规定申领排污许可证，经有管辖权的环境保护行政主管部门审核同意、领取排污许可证后，方可排污。</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本项目严格执行环境影响评价制度，按照环境保护主管部门的相关规定报批环境影响评价文件。按照环境保护“三同时”的要求建设配套的环境保护设施并依法申请项目竣工环境保护验收，经</w:t>
                  </w:r>
                  <w:r>
                    <w:rPr>
                      <w:rFonts w:hint="eastAsia" w:ascii="Times New Roman" w:hAnsi="Times New Roman" w:eastAsia="宋体" w:cs="Times New Roman"/>
                      <w:b w:val="0"/>
                      <w:bCs w:val="0"/>
                      <w:color w:val="auto"/>
                      <w:sz w:val="21"/>
                      <w:szCs w:val="21"/>
                      <w:vertAlign w:val="baseline"/>
                      <w:lang w:val="en-US" w:eastAsia="zh-CN"/>
                    </w:rPr>
                    <w:t>生态环境</w:t>
                  </w:r>
                  <w:r>
                    <w:rPr>
                      <w:rFonts w:hint="default" w:ascii="Times New Roman" w:hAnsi="Times New Roman" w:eastAsia="宋体" w:cs="Times New Roman"/>
                      <w:b w:val="0"/>
                      <w:bCs w:val="0"/>
                      <w:color w:val="auto"/>
                      <w:sz w:val="21"/>
                      <w:szCs w:val="21"/>
                      <w:vertAlign w:val="baseline"/>
                      <w:lang w:eastAsia="zh-CN"/>
                    </w:rPr>
                    <w:t>部门验收合格后，方投入生产。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按照环境保护主管部门和相关制度规定依法履行环境保护义务，应通过ISO环境管理体系认证。</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eastAsia" w:ascii="Times New Roman" w:hAnsi="Times New Roman" w:eastAsia="宋体" w:cs="Times New Roman"/>
                      <w:b w:val="0"/>
                      <w:bCs w:val="0"/>
                      <w:color w:val="auto"/>
                      <w:sz w:val="21"/>
                      <w:szCs w:val="21"/>
                      <w:vertAlign w:val="baseline"/>
                      <w:lang w:eastAsia="zh-CN"/>
                    </w:rPr>
                    <w:t>本</w:t>
                  </w:r>
                  <w:r>
                    <w:rPr>
                      <w:rFonts w:hint="default" w:ascii="Times New Roman" w:hAnsi="Times New Roman" w:eastAsia="宋体" w:cs="Times New Roman"/>
                      <w:b w:val="0"/>
                      <w:bCs w:val="0"/>
                      <w:color w:val="auto"/>
                      <w:sz w:val="21"/>
                      <w:szCs w:val="21"/>
                      <w:vertAlign w:val="baseline"/>
                      <w:lang w:eastAsia="zh-CN"/>
                    </w:rPr>
                    <w:t xml:space="preserve">项目按照环境保护主管部门和相关制度规定依法履行环境保护义务，并按时按要求开展ISO环境管理体系认证工作。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有雨水、生产废水、生活废水的收集和循环利用系统，废水经无害化处理后达标排放，或者排入城市污水集中处理系统处理；应有废油回收储存设备和相关处理措施。废钢铁加工配送企业应有突发环境事件或污染事件应急设施和处理预案，消防设施应达到国家相关要求。</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项目无生产废水产生，</w:t>
                  </w:r>
                  <w:r>
                    <w:rPr>
                      <w:rFonts w:hint="eastAsia" w:ascii="Times New Roman" w:hAnsi="Times New Roman" w:eastAsia="宋体" w:cs="Times New Roman"/>
                      <w:b w:val="0"/>
                      <w:bCs w:val="0"/>
                      <w:color w:val="auto"/>
                      <w:sz w:val="21"/>
                      <w:szCs w:val="21"/>
                      <w:vertAlign w:val="baseline"/>
                      <w:lang w:val="en-US" w:eastAsia="zh-CN"/>
                    </w:rPr>
                    <w:t>食堂</w:t>
                  </w:r>
                  <w:r>
                    <w:rPr>
                      <w:rFonts w:hint="default" w:ascii="Times New Roman" w:hAnsi="Times New Roman" w:eastAsia="宋体" w:cs="Times New Roman"/>
                      <w:b w:val="0"/>
                      <w:bCs w:val="0"/>
                      <w:color w:val="auto"/>
                      <w:sz w:val="21"/>
                      <w:szCs w:val="21"/>
                      <w:vertAlign w:val="baseline"/>
                      <w:lang w:eastAsia="zh-CN"/>
                    </w:rPr>
                    <w:t>废水和生活污水经隔油池和化粪池处理后排至</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default" w:ascii="Times New Roman" w:hAnsi="Times New Roman" w:eastAsia="宋体" w:cs="Times New Roman"/>
                      <w:b w:val="0"/>
                      <w:bCs w:val="0"/>
                      <w:color w:val="auto"/>
                      <w:sz w:val="21"/>
                      <w:szCs w:val="21"/>
                      <w:vertAlign w:val="baseline"/>
                      <w:lang w:eastAsia="zh-CN"/>
                    </w:rPr>
                    <w:t>进一步处理后，最终汇入</w:t>
                  </w:r>
                  <w:r>
                    <w:rPr>
                      <w:rFonts w:hint="eastAsia" w:ascii="Times New Roman" w:hAnsi="Times New Roman" w:eastAsia="宋体" w:cs="Times New Roman"/>
                      <w:b w:val="0"/>
                      <w:bCs w:val="0"/>
                      <w:color w:val="auto"/>
                      <w:sz w:val="21"/>
                      <w:szCs w:val="21"/>
                      <w:vertAlign w:val="baseline"/>
                      <w:lang w:val="en-US" w:eastAsia="zh-CN"/>
                    </w:rPr>
                    <w:t>渠水</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废润滑油、废液压油经危废仓库暂存，定期委托有危废处理资质的单位进行处理。</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auto"/>
                      <w:sz w:val="21"/>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六</w:t>
                  </w:r>
                </w:p>
              </w:tc>
              <w:tc>
                <w:tcPr>
                  <w:tcW w:w="0" w:type="auto"/>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人员培训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1</w:t>
                  </w:r>
                </w:p>
              </w:tc>
              <w:tc>
                <w:tcPr>
                  <w:tcW w:w="31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废钢铁加工配送企业应制定完善的岗位操作守则和工作流程，明确人员岗位责任和工作权限，对大型破碎机、门式剪切机、抓钢机等大型设备操作人员和质量检验等关键岗位人员必须进行相关岗位技能培训，取得相关部门或机构颁发的对应工种职业技能证书，逐步实行持证上岗制度。鼓励企业组织人员参加行业培训，提高企业人员素质。</w:t>
                  </w:r>
                </w:p>
              </w:tc>
              <w:tc>
                <w:tcPr>
                  <w:tcW w:w="33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项目</w:t>
                  </w:r>
                  <w:r>
                    <w:rPr>
                      <w:rFonts w:hint="eastAsia" w:ascii="Times New Roman" w:hAnsi="Times New Roman" w:eastAsia="宋体" w:cs="Times New Roman"/>
                      <w:b w:val="0"/>
                      <w:bCs w:val="0"/>
                      <w:color w:val="auto"/>
                      <w:sz w:val="21"/>
                      <w:szCs w:val="21"/>
                      <w:vertAlign w:val="baseline"/>
                      <w:lang w:val="en-US" w:eastAsia="zh-CN"/>
                    </w:rPr>
                    <w:t>已</w:t>
                  </w:r>
                  <w:r>
                    <w:rPr>
                      <w:rFonts w:hint="default" w:ascii="Times New Roman" w:hAnsi="Times New Roman" w:eastAsia="宋体" w:cs="Times New Roman"/>
                      <w:b w:val="0"/>
                      <w:bCs w:val="0"/>
                      <w:color w:val="auto"/>
                      <w:sz w:val="21"/>
                      <w:szCs w:val="21"/>
                      <w:vertAlign w:val="baseline"/>
                      <w:lang w:eastAsia="zh-CN"/>
                    </w:rPr>
                    <w:t>制定完善的岗位操作守则和工作流程，明确人员岗位责任和工作权限，对</w:t>
                  </w:r>
                  <w:r>
                    <w:rPr>
                      <w:rFonts w:hint="eastAsia"/>
                      <w:vertAlign w:val="baseline"/>
                    </w:rPr>
                    <w:t>门式剪切</w:t>
                  </w:r>
                  <w:r>
                    <w:rPr>
                      <w:rFonts w:hint="eastAsia"/>
                      <w:vertAlign w:val="baseline"/>
                      <w:lang w:val="en-US" w:eastAsia="zh-CN"/>
                    </w:rPr>
                    <w:t>机</w:t>
                  </w:r>
                  <w:r>
                    <w:rPr>
                      <w:rFonts w:hint="default" w:ascii="Times New Roman" w:hAnsi="Times New Roman" w:eastAsia="宋体" w:cs="Times New Roman"/>
                      <w:b w:val="0"/>
                      <w:bCs w:val="0"/>
                      <w:color w:val="auto"/>
                      <w:sz w:val="21"/>
                      <w:szCs w:val="21"/>
                      <w:vertAlign w:val="baseline"/>
                      <w:lang w:eastAsia="zh-CN"/>
                    </w:rPr>
                    <w:t>、抓钢机等大型设备操作人员和质量检验等关键岗位人员进行相关岗位技能培训，取得相关部门或机构颁发的对应工种职业技能证书</w:t>
                  </w:r>
                  <w:r>
                    <w:rPr>
                      <w:rFonts w:hint="eastAsia" w:ascii="Times New Roman" w:hAnsi="Times New Roman"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eastAsia="zh-CN"/>
                    </w:rPr>
                    <w:t>逐步实行持证上岗制度。组织人员参加行业培训，提高企业人员素质。</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eastAsia"/>
                <w:b/>
                <w:sz w:val="24"/>
                <w:szCs w:val="24"/>
              </w:rPr>
            </w:pPr>
            <w:r>
              <w:rPr>
                <w:rFonts w:hint="eastAsia"/>
                <w:b/>
                <w:sz w:val="24"/>
                <w:szCs w:val="24"/>
                <w:lang w:val="en-US" w:eastAsia="zh-CN"/>
              </w:rPr>
              <w:t>11、</w:t>
            </w:r>
            <w:r>
              <w:rPr>
                <w:rFonts w:hint="eastAsia"/>
                <w:b/>
                <w:sz w:val="24"/>
                <w:szCs w:val="24"/>
              </w:rPr>
              <w:t>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color w:val="auto"/>
                <w:sz w:val="24"/>
                <w:szCs w:val="24"/>
                <w:u w:val="none"/>
                <w:lang w:val="en-US" w:eastAsia="zh-CN"/>
              </w:rPr>
            </w:pPr>
            <w:r>
              <w:rPr>
                <w:rFonts w:hint="default" w:ascii="Times New Roman" w:hAnsi="Times New Roman" w:cs="Times New Roman"/>
                <w:b w:val="0"/>
                <w:bCs w:val="0"/>
                <w:color w:val="auto"/>
                <w:sz w:val="24"/>
                <w:szCs w:val="24"/>
                <w:u w:val="none"/>
                <w:lang w:val="en-US" w:eastAsia="zh-CN"/>
              </w:rPr>
              <w:t>项目选址位于靖州苗族侗族自治县工业集中区甘太综合加工园范围，用地属于</w:t>
            </w:r>
            <w:r>
              <w:rPr>
                <w:rFonts w:hint="eastAsia" w:ascii="Times New Roman" w:hAnsi="Times New Roman" w:cs="Times New Roman"/>
                <w:b w:val="0"/>
                <w:bCs w:val="0"/>
                <w:color w:val="auto"/>
                <w:sz w:val="24"/>
                <w:szCs w:val="24"/>
                <w:u w:val="none"/>
                <w:lang w:val="en-US" w:eastAsia="zh-CN"/>
              </w:rPr>
              <w:t>二类</w:t>
            </w:r>
            <w:r>
              <w:rPr>
                <w:rFonts w:hint="default" w:ascii="Times New Roman" w:hAnsi="Times New Roman" w:cs="Times New Roman"/>
                <w:b w:val="0"/>
                <w:bCs w:val="0"/>
                <w:color w:val="auto"/>
                <w:sz w:val="24"/>
                <w:szCs w:val="24"/>
                <w:u w:val="none"/>
                <w:lang w:val="en-US" w:eastAsia="zh-CN"/>
              </w:rPr>
              <w:t>工业用地</w:t>
            </w:r>
            <w:r>
              <w:rPr>
                <w:rFonts w:hint="eastAsia" w:ascii="Times New Roman" w:hAnsi="Times New Roman" w:cs="Times New Roman"/>
                <w:b w:val="0"/>
                <w:bCs w:val="0"/>
                <w:color w:val="auto"/>
                <w:sz w:val="24"/>
                <w:szCs w:val="24"/>
                <w:u w:val="none"/>
                <w:lang w:val="en-US" w:eastAsia="zh-CN"/>
              </w:rPr>
              <w:t>，符合园区用地规划；</w:t>
            </w:r>
            <w:r>
              <w:rPr>
                <w:rFonts w:hint="default" w:ascii="Times New Roman" w:hAnsi="Times New Roman" w:cs="Times New Roman"/>
                <w:b w:val="0"/>
                <w:bCs w:val="0"/>
                <w:color w:val="auto"/>
                <w:sz w:val="24"/>
                <w:szCs w:val="24"/>
                <w:u w:val="none"/>
                <w:lang w:val="en-US" w:eastAsia="zh-CN"/>
              </w:rPr>
              <w:t>不</w:t>
            </w:r>
            <w:r>
              <w:rPr>
                <w:rFonts w:hint="eastAsia" w:ascii="Times New Roman" w:hAnsi="Times New Roman" w:cs="Times New Roman"/>
                <w:b w:val="0"/>
                <w:bCs w:val="0"/>
                <w:color w:val="auto"/>
                <w:sz w:val="24"/>
                <w:szCs w:val="24"/>
                <w:u w:val="none"/>
                <w:lang w:val="en-US" w:eastAsia="zh-CN"/>
              </w:rPr>
              <w:t>涉及</w:t>
            </w:r>
            <w:r>
              <w:rPr>
                <w:rFonts w:hint="default" w:ascii="Times New Roman" w:hAnsi="Times New Roman" w:cs="Times New Roman"/>
                <w:b w:val="0"/>
                <w:bCs w:val="0"/>
                <w:color w:val="auto"/>
                <w:sz w:val="24"/>
                <w:szCs w:val="24"/>
                <w:u w:val="none"/>
                <w:lang w:val="en-US" w:eastAsia="zh-CN"/>
              </w:rPr>
              <w:t>生态保护红线、永久基本农田</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cs="Times New Roman"/>
                <w:b w:val="0"/>
                <w:bCs w:val="0"/>
                <w:color w:val="auto"/>
                <w:sz w:val="24"/>
                <w:szCs w:val="24"/>
                <w:u w:val="none"/>
                <w:lang w:val="en-US" w:eastAsia="zh-CN"/>
              </w:rPr>
              <w:t>不在城市居民区、商业区、饮用水水源保护区及其他环境敏感区内</w:t>
            </w:r>
            <w:r>
              <w:rPr>
                <w:rFonts w:hint="eastAsia" w:ascii="Times New Roman" w:hAnsi="Times New Roman" w:cs="Times New Roman"/>
                <w:b w:val="0"/>
                <w:bCs w:val="0"/>
                <w:color w:val="auto"/>
                <w:sz w:val="24"/>
                <w:szCs w:val="24"/>
                <w:u w:val="none"/>
                <w:lang w:val="en-US" w:eastAsia="zh-CN"/>
              </w:rPr>
              <w:t>；本项目位于</w:t>
            </w:r>
            <w:r>
              <w:rPr>
                <w:rFonts w:hint="eastAsia" w:ascii="Times New Roman"/>
                <w:color w:val="auto"/>
                <w:sz w:val="24"/>
                <w:szCs w:val="24"/>
                <w:lang w:eastAsia="zh-CN"/>
              </w:rPr>
              <w:t>渠水</w:t>
            </w:r>
            <w:r>
              <w:rPr>
                <w:rFonts w:hint="eastAsia" w:ascii="Times New Roman" w:hAnsi="Times New Roman" w:cs="Times New Roman"/>
                <w:b w:val="0"/>
                <w:bCs w:val="0"/>
                <w:color w:val="auto"/>
                <w:sz w:val="24"/>
                <w:szCs w:val="24"/>
                <w:u w:val="none"/>
                <w:lang w:val="en-US" w:eastAsia="zh-CN"/>
              </w:rPr>
              <w:t>饮用水源保护区的下游480米，综上所述，</w:t>
            </w:r>
            <w:r>
              <w:rPr>
                <w:rFonts w:hint="default" w:ascii="Times New Roman" w:hAnsi="Times New Roman" w:cs="Times New Roman"/>
                <w:b w:val="0"/>
                <w:bCs w:val="0"/>
                <w:color w:val="auto"/>
                <w:sz w:val="24"/>
                <w:szCs w:val="24"/>
                <w:u w:val="none"/>
                <w:lang w:val="en-US" w:eastAsia="zh-CN"/>
              </w:rPr>
              <w:t>项目选址符合《报废机动车拆解企业污染控制技术规范》</w:t>
            </w:r>
            <w:r>
              <w:rPr>
                <w:rFonts w:hint="eastAsia" w:ascii="Times New Roman" w:hAnsi="Times New Roman" w:cs="Times New Roman"/>
                <w:b w:val="0"/>
                <w:bCs w:val="0"/>
                <w:color w:val="auto"/>
                <w:sz w:val="24"/>
                <w:szCs w:val="24"/>
                <w:u w:val="none"/>
                <w:lang w:val="en-US" w:eastAsia="zh-CN"/>
              </w:rPr>
              <w:t>、</w:t>
            </w:r>
            <w:r>
              <w:rPr>
                <w:rFonts w:hint="default" w:ascii="Times New Roman" w:hAnsi="Times New Roman" w:cs="Times New Roman"/>
                <w:b w:val="0"/>
                <w:bCs w:val="0"/>
                <w:color w:val="auto"/>
                <w:sz w:val="24"/>
                <w:szCs w:val="24"/>
                <w:u w:val="none"/>
                <w:lang w:val="en-US" w:eastAsia="zh-CN"/>
              </w:rPr>
              <w:t>《报废机动车回收拆解企业技术规范》（GB22128-2019）</w:t>
            </w:r>
            <w:r>
              <w:rPr>
                <w:rFonts w:hint="eastAsia" w:ascii="Times New Roman" w:hAnsi="Times New Roman" w:cs="Times New Roman"/>
                <w:b w:val="0"/>
                <w:bCs w:val="0"/>
                <w:color w:val="auto"/>
                <w:sz w:val="24"/>
                <w:szCs w:val="24"/>
                <w:u w:val="none"/>
                <w:lang w:val="en-US" w:eastAsia="zh-CN"/>
              </w:rPr>
              <w:t>相关要求。</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u w:val="none"/>
                <w:lang w:val="en-US" w:eastAsia="zh-CN"/>
              </w:rPr>
            </w:pPr>
            <w:r>
              <w:rPr>
                <w:rFonts w:hint="default" w:ascii="Times New Roman" w:hAnsi="Times New Roman" w:eastAsia="宋体" w:cs="Times New Roman"/>
                <w:color w:val="000000"/>
                <w:sz w:val="24"/>
                <w:szCs w:val="24"/>
                <w:u w:val="none"/>
              </w:rPr>
              <w:t>本项目厂址</w:t>
            </w:r>
            <w:r>
              <w:rPr>
                <w:rFonts w:hint="eastAsia" w:ascii="Times New Roman" w:hAnsi="Times New Roman" w:eastAsia="宋体" w:cs="Times New Roman"/>
                <w:color w:val="000000"/>
                <w:sz w:val="24"/>
                <w:szCs w:val="24"/>
                <w:u w:val="none"/>
                <w:lang w:val="en-US" w:eastAsia="zh-CN"/>
              </w:rPr>
              <w:t>西北</w:t>
            </w:r>
            <w:r>
              <w:rPr>
                <w:rFonts w:hint="default" w:ascii="Times New Roman" w:hAnsi="Times New Roman" w:eastAsia="宋体" w:cs="Times New Roman"/>
                <w:color w:val="000000"/>
                <w:sz w:val="24"/>
                <w:szCs w:val="24"/>
                <w:u w:val="none"/>
                <w:lang w:val="en-US" w:eastAsia="zh-CN"/>
              </w:rPr>
              <w:t>侧为甘太1#路</w:t>
            </w:r>
            <w:r>
              <w:rPr>
                <w:rFonts w:hint="eastAsia" w:ascii="Times New Roman" w:hAnsi="Times New Roman" w:eastAsia="宋体" w:cs="Times New Roman"/>
                <w:color w:val="000000"/>
                <w:sz w:val="24"/>
                <w:szCs w:val="24"/>
                <w:u w:val="none"/>
                <w:lang w:val="en-US" w:eastAsia="zh-CN"/>
              </w:rPr>
              <w:t>，东北侧为湖南优质种业有限公司，</w:t>
            </w:r>
            <w:r>
              <w:rPr>
                <w:rFonts w:hint="eastAsia"/>
                <w:sz w:val="24"/>
                <w:szCs w:val="24"/>
                <w:u w:val="none"/>
                <w:lang w:val="en-US" w:eastAsia="zh-CN"/>
              </w:rPr>
              <w:t>东南侧为园区未开发利用地，</w:t>
            </w:r>
            <w:r>
              <w:rPr>
                <w:rFonts w:hint="eastAsia" w:ascii="Times New Roman" w:hAnsi="Times New Roman" w:eastAsia="宋体" w:cs="Times New Roman"/>
                <w:color w:val="000000"/>
                <w:sz w:val="24"/>
                <w:szCs w:val="24"/>
                <w:u w:val="none"/>
                <w:lang w:val="en-US" w:eastAsia="zh-CN"/>
              </w:rPr>
              <w:t>西南侧15-92米</w:t>
            </w:r>
            <w:r>
              <w:rPr>
                <w:rFonts w:hint="eastAsia"/>
                <w:sz w:val="24"/>
                <w:szCs w:val="24"/>
                <w:u w:val="none"/>
                <w:lang w:val="en-US" w:eastAsia="zh-CN"/>
              </w:rPr>
              <w:t>旗家庄散户居民点约17户，旗家庄散户居民位于主导风向侧风向，旗家庄散户居民位于靖州县工业集中区甘太综合加工园工业用地范围内，随着园区开发建设由园区统一对旗家庄散户居民点进行拆迁和安置。</w:t>
            </w:r>
          </w:p>
          <w:p>
            <w:pPr>
              <w:adjustRightInd w:val="0"/>
              <w:snapToGrid w:val="0"/>
              <w:spacing w:line="360" w:lineRule="auto"/>
              <w:jc w:val="left"/>
              <w:rPr>
                <w:rFonts w:hint="eastAsia" w:eastAsia="宋体"/>
                <w:b/>
                <w:bCs/>
                <w:sz w:val="24"/>
                <w:szCs w:val="24"/>
                <w:lang w:eastAsia="zh-CN"/>
              </w:rPr>
            </w:pPr>
            <w:r>
              <w:rPr>
                <w:rFonts w:hint="eastAsia"/>
                <w:b/>
                <w:bCs/>
                <w:sz w:val="24"/>
                <w:szCs w:val="24"/>
                <w:lang w:val="en-US" w:eastAsia="zh-CN"/>
              </w:rPr>
              <w:t>12、</w:t>
            </w:r>
            <w:r>
              <w:rPr>
                <w:rFonts w:hint="eastAsia"/>
                <w:b/>
                <w:bCs/>
                <w:sz w:val="24"/>
                <w:szCs w:val="24"/>
              </w:rPr>
              <w:t>平面布置</w:t>
            </w:r>
            <w:r>
              <w:rPr>
                <w:rFonts w:hint="eastAsia"/>
                <w:b/>
                <w:bCs/>
                <w:sz w:val="24"/>
                <w:szCs w:val="24"/>
                <w:lang w:eastAsia="zh-CN"/>
              </w:rPr>
              <w:t>合理性分析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b w:val="0"/>
                <w:bCs w:val="0"/>
                <w:color w:val="auto"/>
                <w:sz w:val="24"/>
                <w:szCs w:val="24"/>
                <w:u w:val="none"/>
                <w:shd w:val="clear" w:color="auto" w:fill="auto"/>
                <w:lang w:val="en-US" w:eastAsia="zh-CN"/>
              </w:rPr>
              <w:t>本项目位于</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w:t>
            </w:r>
            <w:r>
              <w:rPr>
                <w:rFonts w:hint="default" w:ascii="Times New Roman" w:hAnsi="Times New Roman" w:eastAsia="宋体" w:cs="Times New Roman"/>
                <w:b w:val="0"/>
                <w:bCs w:val="0"/>
                <w:color w:val="auto"/>
                <w:sz w:val="24"/>
                <w:szCs w:val="24"/>
                <w:u w:val="none"/>
                <w:shd w:val="clear" w:color="auto" w:fill="auto"/>
                <w:lang w:val="en-US" w:eastAsia="zh-CN"/>
              </w:rPr>
              <w:t>，</w:t>
            </w:r>
            <w:r>
              <w:rPr>
                <w:rFonts w:hint="default" w:ascii="Times New Roman" w:hAnsi="Times New Roman" w:eastAsia="宋体" w:cs="Times New Roman"/>
                <w:bCs/>
                <w:color w:val="auto"/>
                <w:sz w:val="24"/>
                <w:szCs w:val="24"/>
                <w:lang w:val="en-US" w:eastAsia="zh-CN"/>
              </w:rPr>
              <w:t>规划总用地面积</w:t>
            </w:r>
            <w:r>
              <w:rPr>
                <w:rFonts w:hint="eastAsia"/>
                <w:sz w:val="24"/>
                <w:szCs w:val="24"/>
                <w:lang w:val="en-US" w:eastAsia="zh-CN"/>
              </w:rPr>
              <w:t>42273.44</w:t>
            </w:r>
            <w:r>
              <w:rPr>
                <w:rFonts w:hint="default" w:ascii="Times New Roman" w:hAnsi="Times New Roman" w:eastAsia="宋体" w:cs="Times New Roman"/>
                <w:bCs/>
                <w:color w:val="auto"/>
                <w:sz w:val="24"/>
                <w:szCs w:val="24"/>
                <w:u w:val="none"/>
                <w:lang w:val="en-US" w:eastAsia="zh-CN"/>
              </w:rPr>
              <w:t>m</w:t>
            </w:r>
            <w:r>
              <w:rPr>
                <w:rFonts w:hint="default" w:ascii="Times New Roman" w:hAnsi="Times New Roman" w:eastAsia="宋体" w:cs="Times New Roman"/>
                <w:bCs/>
                <w:color w:val="auto"/>
                <w:sz w:val="24"/>
                <w:szCs w:val="24"/>
                <w:u w:val="none"/>
                <w:vertAlign w:val="superscript"/>
                <w:lang w:val="en-US" w:eastAsia="zh-CN"/>
              </w:rPr>
              <w:t>2</w:t>
            </w:r>
            <w:r>
              <w:rPr>
                <w:rFonts w:hint="default" w:ascii="Times New Roman" w:hAnsi="Times New Roman" w:eastAsia="宋体" w:cs="Times New Roman"/>
                <w:b w:val="0"/>
                <w:bCs w:val="0"/>
                <w:color w:val="auto"/>
                <w:sz w:val="24"/>
                <w:szCs w:val="24"/>
                <w:highlight w:val="none"/>
                <w:u w:val="none"/>
                <w:shd w:val="clear" w:color="auto" w:fill="auto"/>
                <w:vertAlign w:val="baseline"/>
                <w:lang w:val="en-US" w:eastAsia="zh-CN"/>
              </w:rPr>
              <w:t>，</w:t>
            </w:r>
            <w:r>
              <w:rPr>
                <w:rFonts w:hint="eastAsia" w:ascii="Times New Roman" w:hAnsi="Times New Roman" w:eastAsia="宋体" w:cs="Times New Roman"/>
                <w:b w:val="0"/>
                <w:bCs w:val="0"/>
                <w:color w:val="auto"/>
                <w:sz w:val="24"/>
                <w:szCs w:val="24"/>
                <w:highlight w:val="none"/>
                <w:u w:val="none"/>
                <w:shd w:val="clear" w:color="auto" w:fill="auto"/>
                <w:vertAlign w:val="baseline"/>
                <w:lang w:val="en-US" w:eastAsia="zh-CN"/>
              </w:rPr>
              <w:t>主要包括两栋厂房，1栋办公楼等。</w:t>
            </w:r>
          </w:p>
          <w:p>
            <w:pPr>
              <w:adjustRightInd w:val="0"/>
              <w:snapToGrid w:val="0"/>
              <w:spacing w:line="360" w:lineRule="auto"/>
              <w:ind w:firstLine="480" w:firstLineChars="200"/>
              <w:jc w:val="left"/>
              <w:rPr>
                <w:rFonts w:hint="eastAsia"/>
                <w:sz w:val="24"/>
                <w:szCs w:val="24"/>
                <w:u w:val="none"/>
              </w:rPr>
            </w:pPr>
            <w:r>
              <w:rPr>
                <w:rFonts w:hint="eastAsia" w:ascii="Times New Roman" w:hAnsi="Times New Roman"/>
                <w:color w:val="auto"/>
                <w:sz w:val="24"/>
                <w:szCs w:val="24"/>
                <w:lang w:val="en-US" w:eastAsia="zh-CN"/>
              </w:rPr>
              <w:t>总平面布置主要分为入口、厂房、</w:t>
            </w:r>
            <w:r>
              <w:rPr>
                <w:rFonts w:hint="eastAsia" w:ascii="Times New Roman" w:hAnsi="Times New Roman" w:eastAsia="宋体" w:cs="Times New Roman"/>
                <w:b w:val="0"/>
                <w:bCs w:val="0"/>
                <w:color w:val="auto"/>
                <w:sz w:val="24"/>
                <w:szCs w:val="24"/>
                <w:highlight w:val="none"/>
                <w:u w:val="none"/>
                <w:shd w:val="clear" w:color="auto" w:fill="auto"/>
                <w:vertAlign w:val="baseline"/>
                <w:lang w:val="en-US" w:eastAsia="zh-CN"/>
              </w:rPr>
              <w:t>办公楼、危险废物暂存间、配电房</w:t>
            </w:r>
            <w:r>
              <w:rPr>
                <w:rFonts w:hint="eastAsia" w:ascii="Times New Roman" w:hAnsi="Times New Roman"/>
                <w:color w:val="auto"/>
                <w:sz w:val="24"/>
                <w:szCs w:val="24"/>
                <w:lang w:val="en-US" w:eastAsia="zh-CN"/>
              </w:rPr>
              <w:t>等功能区。项目大门位于临</w:t>
            </w:r>
            <w:r>
              <w:rPr>
                <w:rFonts w:hint="default" w:ascii="Times New Roman" w:hAnsi="Times New Roman" w:eastAsia="宋体" w:cs="Times New Roman"/>
                <w:color w:val="000000"/>
                <w:sz w:val="24"/>
                <w:szCs w:val="24"/>
                <w:u w:val="none"/>
                <w:lang w:val="en-US" w:eastAsia="zh-CN"/>
              </w:rPr>
              <w:t>甘太1#路</w:t>
            </w:r>
            <w:r>
              <w:rPr>
                <w:rFonts w:hint="eastAsia" w:ascii="Times New Roman" w:hAnsi="Times New Roman"/>
                <w:color w:val="auto"/>
                <w:sz w:val="24"/>
                <w:szCs w:val="24"/>
                <w:lang w:val="en-US" w:eastAsia="zh-CN"/>
              </w:rPr>
              <w:t>一侧，位于项目西北侧。厂房位于西北侧、办公楼位于项目西南侧，危险废物暂存间、配电房等位于项目东北侧。充分考虑功能分区合理、建筑和谐呼应、使用管理方便，厂区内交通及各种流线顺畅，互不干扰。平面布局合理。详见</w:t>
            </w:r>
            <w:r>
              <w:rPr>
                <w:rFonts w:hint="eastAsia" w:ascii="Times New Roman" w:hAnsi="Times New Roman"/>
                <w:color w:val="auto"/>
                <w:sz w:val="24"/>
                <w:szCs w:val="24"/>
                <w:highlight w:val="none"/>
                <w:lang w:val="en-US" w:eastAsia="zh-CN"/>
              </w:rPr>
              <w:t>附图2</w:t>
            </w:r>
            <w:r>
              <w:rPr>
                <w:rFonts w:hint="eastAsia" w:ascii="Times New Roman" w:hAnsi="Times New Roman"/>
                <w:color w:val="auto"/>
                <w:sz w:val="24"/>
                <w:szCs w:val="24"/>
                <w:lang w:val="en-US" w:eastAsia="zh-CN"/>
              </w:rPr>
              <w:t>项目平面布置图。</w:t>
            </w:r>
          </w:p>
          <w:p>
            <w:pPr>
              <w:pStyle w:val="25"/>
              <w:keepNext w:val="0"/>
              <w:keepLines w:val="0"/>
              <w:pageBreakBefore w:val="0"/>
              <w:widowControl w:val="0"/>
              <w:kinsoku/>
              <w:wordWrap/>
              <w:overflowPunct/>
              <w:topLinePunct w:val="0"/>
              <w:bidi w:val="0"/>
              <w:snapToGrid/>
              <w:spacing w:line="360" w:lineRule="auto"/>
              <w:textAlignment w:val="auto"/>
              <w:rPr>
                <w:rFonts w:hint="eastAsia"/>
                <w:b/>
                <w:bCs/>
                <w:sz w:val="24"/>
                <w:szCs w:val="24"/>
                <w:u w:val="single"/>
              </w:rPr>
            </w:pPr>
            <w:r>
              <w:rPr>
                <w:rFonts w:hint="eastAsia"/>
                <w:b/>
                <w:bCs/>
                <w:u w:val="single"/>
                <w:lang w:val="en-US" w:eastAsia="zh-CN"/>
              </w:rPr>
              <w:t>13、</w:t>
            </w:r>
            <w:r>
              <w:rPr>
                <w:rFonts w:hint="eastAsia"/>
                <w:b/>
                <w:bCs/>
                <w:sz w:val="24"/>
                <w:szCs w:val="24"/>
                <w:u w:val="single"/>
              </w:rPr>
              <w:t>排污许可证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u w:val="single"/>
              </w:rPr>
            </w:pPr>
            <w:r>
              <w:rPr>
                <w:rFonts w:hint="eastAsia"/>
                <w:sz w:val="24"/>
                <w:szCs w:val="24"/>
                <w:u w:val="single"/>
              </w:rPr>
              <w:t>根据国民经济行业分类，本项目属于 C4210 金属废料和碎屑加工处理，对照《固定污染源排污许可分类管理名录（2019 年版）》（生态环境部令第 11号），本项目为“三十七、废弃资源综合利用业 42”中“93 金属废料和碎屑加工处理 421，非金属废料和碎屑加工处理 422”中的“废弃电器电子产品、废机动车、废电机、废电线电缆、废塑料、废船、含水洗工艺的其他废料和碎屑加工处理”，属于简化管理，后续建设单位应按要求进行排污许可申报。</w:t>
            </w:r>
          </w:p>
          <w:p>
            <w:pPr>
              <w:pStyle w:val="4"/>
              <w:rPr>
                <w:rFonts w:hint="eastAsia"/>
                <w:sz w:val="24"/>
                <w:szCs w:val="24"/>
              </w:rPr>
            </w:pPr>
          </w:p>
          <w:p>
            <w:pPr>
              <w:bidi w:val="0"/>
              <w:rPr>
                <w:rFonts w:hint="eastAsia"/>
              </w:rPr>
            </w:pPr>
          </w:p>
          <w:p>
            <w:pPr>
              <w:bidi w:val="0"/>
              <w:rPr>
                <w:rFonts w:hint="eastAsia"/>
              </w:rPr>
            </w:pPr>
          </w:p>
          <w:p>
            <w:pPr>
              <w:autoSpaceDE w:val="0"/>
              <w:autoSpaceDN w:val="0"/>
              <w:adjustRightInd w:val="0"/>
              <w:snapToGrid w:val="0"/>
              <w:jc w:val="left"/>
              <w:rPr>
                <w:kern w:val="0"/>
                <w:szCs w:val="21"/>
              </w:rPr>
            </w:pPr>
          </w:p>
        </w:tc>
      </w:tr>
    </w:tbl>
    <w:p>
      <w:pPr>
        <w:spacing w:line="360" w:lineRule="auto"/>
        <w:outlineLvl w:val="0"/>
        <w:rPr>
          <w:rFonts w:eastAsia="黑体"/>
          <w:sz w:val="30"/>
        </w:rPr>
        <w:sectPr>
          <w:footerReference r:id="rId10" w:type="default"/>
          <w:pgSz w:w="11906" w:h="16838"/>
          <w:pgMar w:top="1418" w:right="1531" w:bottom="1418"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3"/>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ascii="Times New Roman" w:hAnsi="Times New Roman" w:eastAsia="黑体"/>
          <w:snapToGrid w:val="0"/>
          <w:sz w:val="30"/>
          <w:szCs w:val="30"/>
        </w:rPr>
      </w:pPr>
      <w:bookmarkStart w:id="4" w:name="_Toc78811928"/>
      <w:r>
        <w:rPr>
          <w:rFonts w:ascii="Times New Roman" w:hAnsi="黑体" w:eastAsia="黑体"/>
          <w:snapToGrid w:val="0"/>
          <w:sz w:val="30"/>
          <w:szCs w:val="30"/>
        </w:rPr>
        <w:t>二、建设项目工程分析</w:t>
      </w:r>
      <w:bookmarkEnd w:id="4"/>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8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0" w:hRule="atLeast"/>
          <w:jc w:val="center"/>
        </w:trPr>
        <w:tc>
          <w:tcPr>
            <w:tcW w:w="730" w:type="dxa"/>
            <w:noWrap w:val="0"/>
            <w:vAlign w:val="center"/>
          </w:tcPr>
          <w:p>
            <w:pPr>
              <w:pStyle w:val="13"/>
              <w:adjustRightInd w:val="0"/>
              <w:snapToGrid w:val="0"/>
              <w:spacing w:before="0" w:beforeAutospacing="0" w:after="0" w:afterAutospacing="0"/>
              <w:jc w:val="center"/>
              <w:rPr>
                <w:rFonts w:ascii="Times New Roman" w:hAnsi="Times New Roman"/>
                <w:sz w:val="21"/>
                <w:szCs w:val="21"/>
                <w:lang w:val="en-US" w:eastAsia="zh-CN"/>
              </w:rPr>
            </w:pPr>
            <w:r>
              <w:rPr>
                <w:rFonts w:ascii="Times New Roman"/>
                <w:sz w:val="21"/>
                <w:szCs w:val="21"/>
                <w:lang w:val="en-US" w:eastAsia="zh-CN"/>
              </w:rPr>
              <w:t>建设内容</w:t>
            </w:r>
          </w:p>
        </w:tc>
        <w:tc>
          <w:tcPr>
            <w:tcW w:w="8330" w:type="dxa"/>
            <w:noWrap w:val="0"/>
            <w:vAlign w:val="top"/>
          </w:tcPr>
          <w:p>
            <w:pPr>
              <w:adjustRightInd w:val="0"/>
              <w:snapToGrid w:val="0"/>
              <w:spacing w:line="360" w:lineRule="auto"/>
              <w:jc w:val="left"/>
              <w:rPr>
                <w:b/>
                <w:bCs/>
                <w:sz w:val="24"/>
                <w:szCs w:val="24"/>
              </w:rPr>
            </w:pPr>
            <w:r>
              <w:rPr>
                <w:rFonts w:hint="eastAsia"/>
                <w:b/>
                <w:bCs/>
                <w:sz w:val="24"/>
                <w:szCs w:val="24"/>
                <w:lang w:val="en-US" w:eastAsia="zh-CN"/>
              </w:rPr>
              <w:t>1、</w:t>
            </w:r>
            <w:r>
              <w:rPr>
                <w:rFonts w:hint="eastAsia"/>
                <w:b/>
                <w:bCs/>
                <w:sz w:val="24"/>
                <w:szCs w:val="24"/>
              </w:rPr>
              <w:t>项目背景</w:t>
            </w:r>
          </w:p>
          <w:p>
            <w:pPr>
              <w:adjustRightInd w:val="0"/>
              <w:snapToGrid w:val="0"/>
              <w:spacing w:line="360" w:lineRule="auto"/>
              <w:ind w:firstLine="480" w:firstLineChars="200"/>
              <w:jc w:val="left"/>
              <w:rPr>
                <w:rFonts w:hint="eastAsia"/>
                <w:sz w:val="24"/>
                <w:szCs w:val="24"/>
                <w:highlight w:val="none"/>
                <w:u w:val="single"/>
              </w:rPr>
            </w:pPr>
            <w:r>
              <w:rPr>
                <w:rFonts w:ascii="宋体" w:hAnsi="宋体" w:eastAsia="宋体" w:cs="宋体"/>
                <w:sz w:val="24"/>
                <w:szCs w:val="24"/>
                <w:u w:val="single"/>
              </w:rPr>
              <w:t>近年来，随着</w:t>
            </w:r>
            <w:r>
              <w:rPr>
                <w:rFonts w:hint="default" w:ascii="Times New Roman" w:hAnsi="Times New Roman" w:eastAsia="宋体" w:cs="Times New Roman"/>
                <w:b w:val="0"/>
                <w:bCs w:val="0"/>
                <w:color w:val="auto"/>
                <w:sz w:val="24"/>
                <w:szCs w:val="24"/>
                <w:u w:val="single"/>
                <w:lang w:val="en-US" w:eastAsia="zh-CN"/>
              </w:rPr>
              <w:t>靖州苗族侗族自治县</w:t>
            </w:r>
            <w:r>
              <w:rPr>
                <w:rFonts w:ascii="宋体" w:hAnsi="宋体" w:eastAsia="宋体" w:cs="宋体"/>
                <w:sz w:val="24"/>
                <w:szCs w:val="24"/>
                <w:u w:val="single"/>
              </w:rPr>
              <w:t>改革开放不断深入和经济社会快速发展，汽车拥有量呈现快速增长趋势，汽车保有量、报废量不断增加，报废汽车在我国是重要的再制造资源，汽车上的钢铁、金属、材料零部件等均可以回收利用。同时，报废汽车的废蓄电池、各种废油液等如不妥善处置，将会对环境造成污染，报废汽车引发的环境问题日益突出。截止</w:t>
            </w:r>
            <w:r>
              <w:rPr>
                <w:rFonts w:hint="default" w:ascii="Times New Roman" w:hAnsi="Times New Roman" w:eastAsia="宋体" w:cs="Times New Roman"/>
                <w:sz w:val="24"/>
                <w:szCs w:val="24"/>
                <w:u w:val="single"/>
                <w:lang w:val="en-US" w:eastAsia="zh-CN"/>
              </w:rPr>
              <w:t>2021</w:t>
            </w:r>
            <w:r>
              <w:rPr>
                <w:rFonts w:ascii="宋体" w:hAnsi="宋体" w:eastAsia="宋体" w:cs="宋体"/>
                <w:sz w:val="24"/>
                <w:szCs w:val="24"/>
                <w:u w:val="single"/>
              </w:rPr>
              <w:t>年底，</w:t>
            </w:r>
            <w:r>
              <w:rPr>
                <w:rFonts w:hint="default" w:ascii="Times New Roman" w:hAnsi="Times New Roman" w:eastAsia="宋体" w:cs="Times New Roman"/>
                <w:b w:val="0"/>
                <w:bCs w:val="0"/>
                <w:color w:val="auto"/>
                <w:sz w:val="24"/>
                <w:szCs w:val="24"/>
                <w:u w:val="single"/>
                <w:lang w:val="en-US" w:eastAsia="zh-CN"/>
              </w:rPr>
              <w:t>靖州苗族侗族自治县</w:t>
            </w:r>
            <w:r>
              <w:rPr>
                <w:rFonts w:ascii="宋体" w:hAnsi="宋体" w:eastAsia="宋体" w:cs="宋体"/>
                <w:sz w:val="24"/>
                <w:szCs w:val="24"/>
                <w:u w:val="single"/>
              </w:rPr>
              <w:t>机动车保有量</w:t>
            </w:r>
            <w:r>
              <w:rPr>
                <w:rFonts w:hint="default" w:ascii="Times New Roman" w:hAnsi="Times New Roman" w:eastAsia="宋体" w:cs="Times New Roman"/>
                <w:b w:val="0"/>
                <w:bCs w:val="0"/>
                <w:color w:val="auto"/>
                <w:sz w:val="24"/>
                <w:szCs w:val="24"/>
                <w:u w:val="single"/>
                <w:lang w:val="en-US" w:eastAsia="zh-CN"/>
              </w:rPr>
              <w:t>为25754辆</w:t>
            </w:r>
            <w:r>
              <w:rPr>
                <w:rFonts w:ascii="宋体" w:hAnsi="宋体" w:eastAsia="宋体" w:cs="宋体"/>
                <w:sz w:val="24"/>
                <w:szCs w:val="24"/>
                <w:u w:val="single"/>
              </w:rPr>
              <w:t>。</w:t>
            </w:r>
            <w:r>
              <w:rPr>
                <w:rFonts w:hint="eastAsia" w:ascii="宋体" w:hAnsi="宋体" w:eastAsia="宋体" w:cs="宋体"/>
                <w:sz w:val="24"/>
                <w:szCs w:val="24"/>
                <w:u w:val="single"/>
                <w:lang w:eastAsia="zh-CN"/>
              </w:rPr>
              <w:t>因此，</w:t>
            </w:r>
            <w:r>
              <w:rPr>
                <w:rFonts w:ascii="宋体" w:hAnsi="宋体" w:eastAsia="宋体" w:cs="宋体"/>
                <w:sz w:val="24"/>
                <w:szCs w:val="24"/>
                <w:u w:val="single"/>
              </w:rPr>
              <w:t>报废汽车回收利用成为了发展循环经济和建设资源节约型，环境友好型社会的主要途径，对报废汽车进行拆解，回收可利用资源，既能缓解资源短缺而需求又日益增长的供需矛盾，又能变废为宝，创造可观的经济效益。推行汽车回收利用工程，发展循环经济，不仅可以促进汽车再制造业的发展，而且更是解决报废汽车引发的社会环境公害问题的重要途径。</w:t>
            </w:r>
          </w:p>
          <w:p>
            <w:pPr>
              <w:adjustRightInd w:val="0"/>
              <w:snapToGrid w:val="0"/>
              <w:spacing w:line="360" w:lineRule="auto"/>
              <w:ind w:firstLine="480" w:firstLineChars="200"/>
              <w:jc w:val="left"/>
              <w:rPr>
                <w:rFonts w:hint="eastAsia"/>
                <w:sz w:val="24"/>
                <w:szCs w:val="24"/>
              </w:rPr>
            </w:pPr>
            <w:r>
              <w:rPr>
                <w:sz w:val="24"/>
                <w:szCs w:val="24"/>
              </w:rPr>
              <w:t>根据《中华人民共和国环境保护法》、《中华人民共和国环境影响评价法》、《建设项目环境影响评价分类管理名录</w:t>
            </w:r>
            <w:r>
              <w:rPr>
                <w:rFonts w:hint="eastAsia"/>
                <w:sz w:val="24"/>
                <w:szCs w:val="24"/>
              </w:rPr>
              <w:t>（2021年版）</w:t>
            </w:r>
            <w:r>
              <w:rPr>
                <w:sz w:val="24"/>
                <w:szCs w:val="24"/>
              </w:rPr>
              <w:t>》以及（国务院令第</w:t>
            </w:r>
            <w:r>
              <w:rPr>
                <w:rFonts w:hint="eastAsia"/>
                <w:sz w:val="24"/>
                <w:szCs w:val="24"/>
              </w:rPr>
              <w:t>682</w:t>
            </w:r>
            <w:r>
              <w:rPr>
                <w:sz w:val="24"/>
                <w:szCs w:val="24"/>
              </w:rPr>
              <w:t>号）的有关要求，</w:t>
            </w:r>
            <w:r>
              <w:rPr>
                <w:rFonts w:hint="eastAsia"/>
                <w:sz w:val="24"/>
                <w:szCs w:val="24"/>
              </w:rPr>
              <w:t>本项目应进行环境影响评价。根据《建设项目环境影响评价分类管理名录》中“三十九、废弃资源综合利用业 金属废料和碎屑加工处理；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应编制环境影响报告表。</w:t>
            </w:r>
            <w:r>
              <w:rPr>
                <w:rFonts w:hint="eastAsia"/>
                <w:sz w:val="24"/>
                <w:szCs w:val="24"/>
                <w:highlight w:val="none"/>
              </w:rPr>
              <w:t>靖州金益资源利用有限公司</w:t>
            </w:r>
            <w:r>
              <w:rPr>
                <w:sz w:val="24"/>
                <w:szCs w:val="24"/>
              </w:rPr>
              <w:t>委托</w:t>
            </w:r>
            <w:r>
              <w:rPr>
                <w:rFonts w:hint="eastAsia"/>
                <w:sz w:val="24"/>
                <w:szCs w:val="24"/>
              </w:rPr>
              <w:t>我单位（</w:t>
            </w:r>
            <w:r>
              <w:rPr>
                <w:rFonts w:hint="eastAsia"/>
                <w:sz w:val="24"/>
                <w:szCs w:val="24"/>
                <w:lang w:val="en-US" w:eastAsia="zh-CN"/>
              </w:rPr>
              <w:t>湖南天之蓝能源环保科技有限公司</w:t>
            </w:r>
            <w:r>
              <w:rPr>
                <w:rFonts w:hint="eastAsia"/>
                <w:sz w:val="24"/>
                <w:szCs w:val="24"/>
              </w:rPr>
              <w:t>）</w:t>
            </w:r>
            <w:r>
              <w:rPr>
                <w:sz w:val="24"/>
                <w:szCs w:val="24"/>
              </w:rPr>
              <w:t>承担《</w:t>
            </w:r>
            <w:r>
              <w:rPr>
                <w:rFonts w:hint="eastAsia"/>
                <w:sz w:val="24"/>
                <w:szCs w:val="24"/>
                <w:lang w:eastAsia="zh-CN"/>
              </w:rPr>
              <w:t>靖州金益再生资源循环利用项目</w:t>
            </w:r>
            <w:r>
              <w:rPr>
                <w:rFonts w:hint="eastAsia"/>
                <w:sz w:val="24"/>
                <w:szCs w:val="24"/>
              </w:rPr>
              <w:t>环境影响报告表</w:t>
            </w:r>
            <w:r>
              <w:rPr>
                <w:sz w:val="24"/>
                <w:szCs w:val="24"/>
              </w:rPr>
              <w:t>》的编制工作。我</w:t>
            </w:r>
            <w:r>
              <w:rPr>
                <w:rFonts w:hint="eastAsia"/>
                <w:sz w:val="24"/>
                <w:szCs w:val="24"/>
              </w:rPr>
              <w:t>单位</w:t>
            </w:r>
            <w:r>
              <w:rPr>
                <w:sz w:val="24"/>
                <w:szCs w:val="24"/>
              </w:rPr>
              <w:t>在接受委托后组织课题组进行现场调研，并搜集有关资料，按照国家、湖南省有关法律、法规以及相关环境影响评价技术导则的要求，编制了《</w:t>
            </w:r>
            <w:r>
              <w:rPr>
                <w:rFonts w:hint="eastAsia"/>
                <w:sz w:val="24"/>
                <w:szCs w:val="24"/>
                <w:lang w:eastAsia="zh-CN"/>
              </w:rPr>
              <w:t>靖州金益再生资源循环利用项目</w:t>
            </w:r>
            <w:r>
              <w:rPr>
                <w:sz w:val="24"/>
                <w:szCs w:val="24"/>
              </w:rPr>
              <w:t>环境影响报告</w:t>
            </w:r>
            <w:r>
              <w:rPr>
                <w:rFonts w:hint="eastAsia"/>
                <w:sz w:val="24"/>
                <w:szCs w:val="24"/>
              </w:rPr>
              <w:t>表</w:t>
            </w:r>
            <w:r>
              <w:rPr>
                <w:sz w:val="24"/>
                <w:szCs w:val="24"/>
              </w:rPr>
              <w:t>》。</w:t>
            </w:r>
          </w:p>
          <w:p>
            <w:pPr>
              <w:adjustRightInd w:val="0"/>
              <w:snapToGrid w:val="0"/>
              <w:spacing w:line="360" w:lineRule="auto"/>
              <w:jc w:val="left"/>
              <w:rPr>
                <w:rFonts w:hint="eastAsia"/>
                <w:b/>
                <w:bCs/>
                <w:sz w:val="24"/>
                <w:szCs w:val="24"/>
              </w:rPr>
            </w:pPr>
            <w:r>
              <w:rPr>
                <w:rFonts w:hint="eastAsia"/>
                <w:b/>
                <w:bCs/>
                <w:sz w:val="24"/>
                <w:szCs w:val="24"/>
                <w:lang w:val="en-US" w:eastAsia="zh-CN"/>
              </w:rPr>
              <w:t>2、工程</w:t>
            </w:r>
            <w:r>
              <w:rPr>
                <w:rFonts w:hint="eastAsia"/>
                <w:b/>
                <w:bCs/>
                <w:sz w:val="24"/>
                <w:szCs w:val="24"/>
              </w:rPr>
              <w:t>组成</w:t>
            </w:r>
          </w:p>
          <w:p>
            <w:pPr>
              <w:spacing w:line="360" w:lineRule="auto"/>
              <w:ind w:firstLine="480" w:firstLineChars="200"/>
              <w:rPr>
                <w:rFonts w:hint="eastAsia"/>
                <w:sz w:val="24"/>
                <w:szCs w:val="24"/>
                <w:lang w:val="en-US" w:eastAsia="zh-CN"/>
              </w:rPr>
            </w:pPr>
            <w:r>
              <w:rPr>
                <w:rFonts w:hint="eastAsia"/>
                <w:sz w:val="24"/>
                <w:szCs w:val="24"/>
              </w:rPr>
              <w:t>本项目位于</w:t>
            </w:r>
            <w:r>
              <w:rPr>
                <w:rFonts w:hint="default" w:eastAsia="宋体"/>
                <w:sz w:val="24"/>
                <w:szCs w:val="24"/>
                <w:lang w:val="en-US" w:eastAsia="zh-CN"/>
              </w:rPr>
              <w:t>靖州产业开发区甘太综合加工园</w:t>
            </w:r>
            <w:r>
              <w:rPr>
                <w:rFonts w:hint="eastAsia"/>
                <w:sz w:val="24"/>
                <w:szCs w:val="24"/>
              </w:rPr>
              <w:t>，规划总用地面积为</w:t>
            </w:r>
            <w:r>
              <w:rPr>
                <w:rFonts w:hint="eastAsia"/>
                <w:sz w:val="24"/>
                <w:szCs w:val="24"/>
                <w:lang w:val="en-US" w:eastAsia="zh-CN"/>
              </w:rPr>
              <w:t>42273.44</w:t>
            </w:r>
            <w:r>
              <w:rPr>
                <w:rFonts w:hint="eastAsia"/>
                <w:sz w:val="24"/>
                <w:szCs w:val="24"/>
              </w:rPr>
              <w:t>m</w:t>
            </w:r>
            <w:r>
              <w:rPr>
                <w:rFonts w:hint="eastAsia"/>
                <w:sz w:val="24"/>
                <w:szCs w:val="24"/>
                <w:vertAlign w:val="superscript"/>
              </w:rPr>
              <w:t>2</w:t>
            </w:r>
            <w:r>
              <w:rPr>
                <w:rFonts w:hint="eastAsia"/>
                <w:sz w:val="24"/>
                <w:szCs w:val="24"/>
              </w:rPr>
              <w:t>，总建筑面积为</w:t>
            </w:r>
            <w:r>
              <w:rPr>
                <w:rFonts w:hint="eastAsia"/>
                <w:sz w:val="24"/>
                <w:szCs w:val="24"/>
                <w:lang w:val="en-US" w:eastAsia="zh-CN"/>
              </w:rPr>
              <w:t>24262.14</w:t>
            </w:r>
            <w:r>
              <w:rPr>
                <w:rFonts w:hint="eastAsia"/>
                <w:sz w:val="24"/>
                <w:szCs w:val="24"/>
              </w:rPr>
              <w:t>m</w:t>
            </w:r>
            <w:r>
              <w:rPr>
                <w:rFonts w:hint="eastAsia"/>
                <w:sz w:val="24"/>
                <w:szCs w:val="24"/>
                <w:vertAlign w:val="superscript"/>
              </w:rPr>
              <w:t>2</w:t>
            </w:r>
            <w:r>
              <w:rPr>
                <w:rFonts w:hint="eastAsia"/>
                <w:sz w:val="24"/>
                <w:szCs w:val="24"/>
              </w:rPr>
              <w:t>，新建2栋</w:t>
            </w:r>
            <w:r>
              <w:rPr>
                <w:rFonts w:hint="eastAsia"/>
                <w:sz w:val="24"/>
                <w:szCs w:val="24"/>
                <w:lang w:val="en-US" w:eastAsia="zh-CN"/>
              </w:rPr>
              <w:t>1层</w:t>
            </w:r>
            <w:r>
              <w:rPr>
                <w:rFonts w:hint="eastAsia"/>
                <w:sz w:val="24"/>
                <w:szCs w:val="24"/>
              </w:rPr>
              <w:t>钢结构厂房，</w:t>
            </w:r>
            <w:r>
              <w:rPr>
                <w:rFonts w:hint="eastAsia"/>
                <w:sz w:val="24"/>
                <w:szCs w:val="24"/>
                <w:lang w:val="en-US" w:eastAsia="zh-CN"/>
              </w:rPr>
              <w:t>1</w:t>
            </w:r>
            <w:r>
              <w:rPr>
                <w:rFonts w:hint="eastAsia"/>
                <w:sz w:val="24"/>
                <w:szCs w:val="24"/>
              </w:rPr>
              <w:t>栋</w:t>
            </w:r>
            <w:r>
              <w:rPr>
                <w:rFonts w:hint="eastAsia"/>
                <w:sz w:val="24"/>
                <w:szCs w:val="24"/>
                <w:lang w:val="en-US" w:eastAsia="zh-CN"/>
              </w:rPr>
              <w:t>3层</w:t>
            </w:r>
            <w:r>
              <w:rPr>
                <w:rFonts w:hint="eastAsia"/>
                <w:sz w:val="24"/>
                <w:szCs w:val="24"/>
                <w:lang w:eastAsia="zh-CN"/>
              </w:rPr>
              <w:t>办公</w:t>
            </w:r>
            <w:r>
              <w:rPr>
                <w:rFonts w:hint="eastAsia"/>
                <w:sz w:val="24"/>
                <w:szCs w:val="24"/>
              </w:rPr>
              <w:t>楼</w:t>
            </w:r>
            <w:r>
              <w:rPr>
                <w:rFonts w:hint="default" w:ascii="Times New Roman" w:hAnsi="Times New Roman" w:eastAsia="宋体" w:cs="Times New Roman"/>
                <w:color w:val="auto"/>
                <w:sz w:val="24"/>
                <w:szCs w:val="24"/>
                <w:u w:val="none"/>
                <w:vertAlign w:val="baseline"/>
                <w:lang w:eastAsia="zh-CN"/>
              </w:rPr>
              <w:t>及其配套设施</w:t>
            </w:r>
            <w:r>
              <w:rPr>
                <w:rFonts w:hint="eastAsia"/>
                <w:sz w:val="24"/>
                <w:szCs w:val="24"/>
                <w:lang w:val="en-US" w:eastAsia="zh-CN"/>
              </w:rPr>
              <w:t>等。</w:t>
            </w:r>
          </w:p>
          <w:p>
            <w:pPr>
              <w:spacing w:line="360" w:lineRule="auto"/>
              <w:ind w:firstLine="480" w:firstLineChars="200"/>
              <w:rPr>
                <w:rFonts w:hint="eastAsia"/>
                <w:sz w:val="24"/>
                <w:szCs w:val="24"/>
              </w:rPr>
            </w:pPr>
            <w:r>
              <w:rPr>
                <w:rFonts w:hint="eastAsia"/>
                <w:sz w:val="24"/>
                <w:szCs w:val="24"/>
                <w:lang w:val="en-US" w:eastAsia="zh-CN"/>
              </w:rPr>
              <w:t>项目建成后，形成</w:t>
            </w:r>
            <w:r>
              <w:rPr>
                <w:rFonts w:hint="eastAsia"/>
                <w:sz w:val="24"/>
                <w:szCs w:val="24"/>
              </w:rPr>
              <w:t>年拆解</w:t>
            </w:r>
            <w:r>
              <w:rPr>
                <w:rFonts w:hint="eastAsia"/>
                <w:sz w:val="24"/>
                <w:szCs w:val="24"/>
                <w:lang w:eastAsia="zh-CN"/>
              </w:rPr>
              <w:t>报废机动车</w:t>
            </w:r>
            <w:r>
              <w:rPr>
                <w:rFonts w:hint="eastAsia"/>
                <w:sz w:val="24"/>
                <w:szCs w:val="24"/>
                <w:lang w:val="en-US" w:eastAsia="zh-CN"/>
              </w:rPr>
              <w:t>100</w:t>
            </w:r>
            <w:r>
              <w:rPr>
                <w:rFonts w:hint="eastAsia"/>
                <w:sz w:val="24"/>
                <w:szCs w:val="24"/>
              </w:rPr>
              <w:t>00辆，其中燃油大型车600辆，燃油中型车600辆，燃油小型车8600辆，新能源汽车200辆</w:t>
            </w:r>
            <w:r>
              <w:rPr>
                <w:rFonts w:hint="eastAsia"/>
                <w:sz w:val="24"/>
                <w:szCs w:val="24"/>
                <w:lang w:val="en-US" w:eastAsia="zh-CN"/>
              </w:rPr>
              <w:t>；年废钢铁加工</w:t>
            </w:r>
            <w:r>
              <w:rPr>
                <w:rFonts w:hint="eastAsia"/>
                <w:sz w:val="24"/>
                <w:szCs w:val="24"/>
                <w:highlight w:val="none"/>
                <w:lang w:eastAsia="zh-CN"/>
              </w:rPr>
              <w:t>15万吨</w:t>
            </w:r>
            <w:r>
              <w:rPr>
                <w:rFonts w:hint="eastAsia"/>
                <w:sz w:val="24"/>
                <w:szCs w:val="24"/>
                <w:lang w:val="en-US" w:eastAsia="zh-CN"/>
              </w:rPr>
              <w:t>，</w:t>
            </w:r>
            <w:r>
              <w:rPr>
                <w:rFonts w:hint="eastAsia"/>
                <w:sz w:val="24"/>
                <w:szCs w:val="24"/>
              </w:rPr>
              <w:t>本</w:t>
            </w:r>
            <w:r>
              <w:rPr>
                <w:rFonts w:hint="eastAsia"/>
                <w:sz w:val="24"/>
                <w:szCs w:val="24"/>
                <w:lang w:val="en-US" w:eastAsia="zh-CN"/>
              </w:rPr>
              <w:t>项目</w:t>
            </w:r>
            <w:r>
              <w:rPr>
                <w:rFonts w:hint="eastAsia"/>
                <w:sz w:val="24"/>
                <w:szCs w:val="24"/>
              </w:rPr>
              <w:t>不涉及清洗以及后续深加工等。本项目组成情况详见下表：</w:t>
            </w:r>
          </w:p>
          <w:p>
            <w:pPr>
              <w:pStyle w:val="28"/>
              <w:spacing w:line="240" w:lineRule="auto"/>
              <w:ind w:firstLine="0" w:firstLineChars="0"/>
              <w:jc w:val="center"/>
              <w:rPr>
                <w:rFonts w:ascii="Times New Roman" w:hAnsi="Times New Roman" w:eastAsia="宋体"/>
                <w:b/>
                <w:sz w:val="21"/>
                <w:szCs w:val="21"/>
                <w:u w:val="none"/>
              </w:rPr>
            </w:pPr>
            <w:r>
              <w:rPr>
                <w:rFonts w:ascii="Times New Roman" w:hAnsi="Times New Roman" w:eastAsia="宋体"/>
                <w:b/>
                <w:sz w:val="21"/>
                <w:szCs w:val="21"/>
                <w:u w:val="none"/>
              </w:rPr>
              <w:t>表2-1 本项目组成情况一览表</w:t>
            </w:r>
          </w:p>
          <w:tbl>
            <w:tblPr>
              <w:tblStyle w:val="16"/>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
              <w:gridCol w:w="670"/>
              <w:gridCol w:w="1077"/>
              <w:gridCol w:w="5468"/>
              <w:gridCol w:w="7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91" w:type="pct"/>
                  <w:gridSpan w:val="3"/>
                  <w:tcBorders>
                    <w:tl2br w:val="nil"/>
                    <w:tr2bl w:val="nil"/>
                  </w:tcBorders>
                  <w:noWrap w:val="0"/>
                  <w:vAlign w:val="center"/>
                </w:tcPr>
                <w:p>
                  <w:pPr>
                    <w:spacing w:line="360" w:lineRule="exact"/>
                    <w:jc w:val="center"/>
                    <w:rPr>
                      <w:b/>
                      <w:bCs/>
                      <w:sz w:val="21"/>
                      <w:szCs w:val="21"/>
                      <w:u w:val="none"/>
                    </w:rPr>
                  </w:pPr>
                  <w:r>
                    <w:rPr>
                      <w:rFonts w:hint="eastAsia"/>
                      <w:b/>
                      <w:bCs/>
                      <w:sz w:val="21"/>
                      <w:szCs w:val="21"/>
                      <w:u w:val="none"/>
                    </w:rPr>
                    <w:t>工程名称</w:t>
                  </w:r>
                </w:p>
              </w:tc>
              <w:tc>
                <w:tcPr>
                  <w:tcW w:w="3250" w:type="pct"/>
                  <w:tcBorders>
                    <w:tl2br w:val="nil"/>
                    <w:tr2bl w:val="nil"/>
                  </w:tcBorders>
                  <w:noWrap w:val="0"/>
                  <w:vAlign w:val="center"/>
                </w:tcPr>
                <w:p>
                  <w:pPr>
                    <w:spacing w:line="360" w:lineRule="exact"/>
                    <w:jc w:val="center"/>
                    <w:rPr>
                      <w:b/>
                      <w:bCs/>
                      <w:sz w:val="21"/>
                      <w:szCs w:val="21"/>
                      <w:u w:val="none"/>
                    </w:rPr>
                  </w:pPr>
                  <w:r>
                    <w:rPr>
                      <w:rFonts w:hint="eastAsia"/>
                      <w:b/>
                      <w:bCs/>
                      <w:sz w:val="21"/>
                      <w:szCs w:val="21"/>
                      <w:u w:val="none"/>
                    </w:rPr>
                    <w:t>工程内容</w:t>
                  </w:r>
                </w:p>
              </w:tc>
              <w:tc>
                <w:tcPr>
                  <w:tcW w:w="457" w:type="pct"/>
                  <w:tcBorders>
                    <w:tl2br w:val="nil"/>
                    <w:tr2bl w:val="nil"/>
                  </w:tcBorders>
                  <w:noWrap w:val="0"/>
                  <w:vAlign w:val="center"/>
                </w:tcPr>
                <w:p>
                  <w:pPr>
                    <w:spacing w:line="360" w:lineRule="exact"/>
                    <w:jc w:val="center"/>
                    <w:rPr>
                      <w:rFonts w:hint="eastAsia" w:eastAsia="宋体"/>
                      <w:b/>
                      <w:bCs/>
                      <w:sz w:val="21"/>
                      <w:szCs w:val="21"/>
                      <w:u w:val="none"/>
                      <w:lang w:val="en-US" w:eastAsia="zh-CN"/>
                    </w:rPr>
                  </w:pPr>
                  <w:r>
                    <w:rPr>
                      <w:rFonts w:hint="eastAsia"/>
                      <w:b/>
                      <w:bCs/>
                      <w:sz w:val="21"/>
                      <w:szCs w:val="21"/>
                      <w:u w:val="none"/>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253" w:type="pct"/>
                  <w:vMerge w:val="restart"/>
                  <w:tcBorders>
                    <w:tl2br w:val="nil"/>
                    <w:tr2bl w:val="nil"/>
                  </w:tcBorders>
                  <w:noWrap w:val="0"/>
                  <w:vAlign w:val="center"/>
                </w:tcPr>
                <w:p>
                  <w:pPr>
                    <w:spacing w:line="360" w:lineRule="exact"/>
                    <w:jc w:val="center"/>
                    <w:rPr>
                      <w:sz w:val="21"/>
                      <w:szCs w:val="21"/>
                      <w:u w:val="none"/>
                    </w:rPr>
                  </w:pPr>
                  <w:r>
                    <w:rPr>
                      <w:rFonts w:hint="eastAsia"/>
                      <w:sz w:val="21"/>
                      <w:szCs w:val="21"/>
                      <w:u w:val="none"/>
                    </w:rPr>
                    <w:t>主体工程</w:t>
                  </w:r>
                </w:p>
              </w:tc>
              <w:tc>
                <w:tcPr>
                  <w:tcW w:w="398" w:type="pct"/>
                  <w:tcBorders>
                    <w:bottom w:val="single" w:color="auto" w:sz="4" w:space="0"/>
                    <w:tl2br w:val="nil"/>
                    <w:tr2bl w:val="nil"/>
                  </w:tcBorders>
                  <w:noWrap w:val="0"/>
                  <w:vAlign w:val="center"/>
                </w:tcPr>
                <w:p>
                  <w:pPr>
                    <w:pStyle w:val="29"/>
                    <w:keepNext w:val="0"/>
                    <w:keepLines w:val="0"/>
                    <w:pageBreakBefore w:val="0"/>
                    <w:widowControl w:val="0"/>
                    <w:kinsoku/>
                    <w:wordWrap/>
                    <w:overflowPunct/>
                    <w:topLinePunct w:val="0"/>
                    <w:autoSpaceDE/>
                    <w:autoSpaceDN/>
                    <w:bidi w:val="0"/>
                    <w:adjustRightInd/>
                    <w:snapToGrid/>
                    <w:spacing w:line="240" w:lineRule="auto"/>
                    <w:jc w:val="left"/>
                    <w:textAlignment w:val="auto"/>
                    <w:rPr>
                      <w:sz w:val="21"/>
                      <w:szCs w:val="21"/>
                      <w:u w:val="none"/>
                    </w:rPr>
                  </w:pPr>
                  <w:r>
                    <w:rPr>
                      <w:rFonts w:hint="eastAsia"/>
                      <w:sz w:val="21"/>
                      <w:szCs w:val="21"/>
                      <w:u w:val="none"/>
                      <w:lang w:val="en-US" w:eastAsia="zh-CN"/>
                    </w:rPr>
                    <w:t>1#</w:t>
                  </w:r>
                  <w:r>
                    <w:rPr>
                      <w:rFonts w:hint="eastAsia"/>
                      <w:sz w:val="21"/>
                      <w:szCs w:val="21"/>
                      <w:u w:val="none"/>
                    </w:rPr>
                    <w:t>生产车间</w:t>
                  </w:r>
                </w:p>
              </w:tc>
              <w:tc>
                <w:tcPr>
                  <w:tcW w:w="640" w:type="pct"/>
                  <w:tcBorders>
                    <w:bottom w:val="single" w:color="auto" w:sz="4" w:space="0"/>
                    <w:tl2br w:val="nil"/>
                    <w:tr2bl w:val="nil"/>
                  </w:tcBorders>
                  <w:noWrap w:val="0"/>
                  <w:vAlign w:val="center"/>
                </w:tcPr>
                <w:p>
                  <w:pPr>
                    <w:widowControl/>
                    <w:jc w:val="center"/>
                    <w:rPr>
                      <w:rFonts w:hint="eastAsia"/>
                      <w:kern w:val="2"/>
                      <w:sz w:val="21"/>
                      <w:szCs w:val="21"/>
                      <w:u w:val="none"/>
                      <w:lang w:val="en-US" w:eastAsia="zh-CN" w:bidi="ar-SA"/>
                    </w:rPr>
                  </w:pPr>
                  <w:r>
                    <w:rPr>
                      <w:rFonts w:hint="eastAsia"/>
                      <w:sz w:val="21"/>
                      <w:szCs w:val="21"/>
                      <w:u w:val="none"/>
                      <w:lang w:val="en-US" w:eastAsia="zh-CN"/>
                    </w:rPr>
                    <w:t>钢铁加工车间</w:t>
                  </w:r>
                </w:p>
              </w:tc>
              <w:tc>
                <w:tcPr>
                  <w:tcW w:w="3250"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共1层</w:t>
                  </w:r>
                  <w:r>
                    <w:rPr>
                      <w:rFonts w:hint="default" w:ascii="Times New Roman" w:hAnsi="Times New Roman" w:eastAsia="宋体" w:cs="Times New Roman"/>
                      <w:color w:val="auto"/>
                      <w:sz w:val="21"/>
                      <w:szCs w:val="21"/>
                      <w:u w:val="single"/>
                      <w:lang w:val="en-US" w:eastAsia="zh-CN"/>
                    </w:rPr>
                    <w:t>钢结构</w:t>
                  </w:r>
                  <w:r>
                    <w:rPr>
                      <w:rFonts w:hint="eastAsia" w:ascii="Times New Roman" w:hAnsi="Times New Roman" w:eastAsia="宋体" w:cs="Times New Roman"/>
                      <w:color w:val="auto"/>
                      <w:sz w:val="21"/>
                      <w:szCs w:val="21"/>
                      <w:u w:val="single"/>
                      <w:lang w:val="en-US" w:eastAsia="zh-CN"/>
                    </w:rPr>
                    <w:t>封闭式</w:t>
                  </w:r>
                  <w:r>
                    <w:rPr>
                      <w:rFonts w:hint="default" w:ascii="Times New Roman" w:hAnsi="Times New Roman" w:eastAsia="宋体" w:cs="Times New Roman"/>
                      <w:color w:val="auto"/>
                      <w:sz w:val="21"/>
                      <w:szCs w:val="21"/>
                      <w:u w:val="single"/>
                      <w:lang w:val="en-US" w:eastAsia="zh-CN"/>
                    </w:rPr>
                    <w:t>厂房</w:t>
                  </w:r>
                  <w:r>
                    <w:rPr>
                      <w:rFonts w:hint="default" w:ascii="Times New Roman" w:hAnsi="Times New Roman" w:eastAsia="宋体" w:cs="Times New Roman"/>
                      <w:color w:val="auto"/>
                      <w:sz w:val="21"/>
                      <w:szCs w:val="21"/>
                      <w:u w:val="none"/>
                      <w:lang w:val="en-US" w:eastAsia="zh-CN"/>
                    </w:rPr>
                    <w:t>，建筑面积约</w:t>
                  </w:r>
                  <w:r>
                    <w:rPr>
                      <w:rFonts w:hint="eastAsia" w:ascii="Times New Roman" w:hAnsi="Times New Roman" w:eastAsia="宋体" w:cs="Times New Roman"/>
                      <w:color w:val="auto"/>
                      <w:sz w:val="21"/>
                      <w:szCs w:val="21"/>
                      <w:u w:val="none"/>
                      <w:lang w:val="en-US" w:eastAsia="zh-CN"/>
                    </w:rPr>
                    <w:t>10130.38</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；厂房内部设置</w:t>
                  </w:r>
                  <w:r>
                    <w:rPr>
                      <w:rFonts w:hint="default" w:ascii="Times New Roman" w:hAnsi="Times New Roman" w:cs="Times New Roman"/>
                      <w:color w:val="auto"/>
                      <w:sz w:val="21"/>
                      <w:szCs w:val="21"/>
                      <w:u w:val="none"/>
                      <w:lang w:val="en-US" w:eastAsia="zh-CN"/>
                    </w:rPr>
                    <w:t>分捡区、剪切区、打包区、成品区</w:t>
                  </w:r>
                </w:p>
              </w:tc>
              <w:tc>
                <w:tcPr>
                  <w:tcW w:w="4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5" w:hRule="atLeast"/>
              </w:trPr>
              <w:tc>
                <w:tcPr>
                  <w:tcW w:w="253" w:type="pct"/>
                  <w:vMerge w:val="continue"/>
                  <w:tcBorders>
                    <w:tl2br w:val="nil"/>
                    <w:tr2bl w:val="nil"/>
                  </w:tcBorders>
                  <w:noWrap w:val="0"/>
                  <w:vAlign w:val="center"/>
                </w:tcPr>
                <w:p>
                  <w:pPr>
                    <w:spacing w:line="360" w:lineRule="exact"/>
                    <w:jc w:val="center"/>
                    <w:rPr>
                      <w:rFonts w:hint="eastAsia"/>
                      <w:sz w:val="21"/>
                      <w:szCs w:val="21"/>
                      <w:u w:val="none"/>
                    </w:rPr>
                  </w:pPr>
                </w:p>
              </w:tc>
              <w:tc>
                <w:tcPr>
                  <w:tcW w:w="398" w:type="pct"/>
                  <w:vMerge w:val="restart"/>
                  <w:tcBorders>
                    <w:top w:val="single" w:color="auto" w:sz="4" w:space="0"/>
                    <w:tl2br w:val="nil"/>
                    <w:tr2bl w:val="nil"/>
                  </w:tcBorders>
                  <w:noWrap w:val="0"/>
                  <w:vAlign w:val="center"/>
                </w:tcPr>
                <w:p>
                  <w:pPr>
                    <w:pStyle w:val="29"/>
                    <w:spacing w:line="360" w:lineRule="exact"/>
                    <w:jc w:val="left"/>
                    <w:rPr>
                      <w:rFonts w:hint="eastAsia"/>
                      <w:sz w:val="21"/>
                      <w:szCs w:val="21"/>
                      <w:u w:val="none"/>
                    </w:rPr>
                  </w:pPr>
                  <w:r>
                    <w:rPr>
                      <w:rFonts w:hint="eastAsia"/>
                      <w:sz w:val="21"/>
                      <w:szCs w:val="21"/>
                      <w:u w:val="none"/>
                      <w:lang w:val="en-US" w:eastAsia="zh-CN"/>
                    </w:rPr>
                    <w:t>2#</w:t>
                  </w:r>
                  <w:r>
                    <w:rPr>
                      <w:rFonts w:hint="eastAsia"/>
                      <w:sz w:val="21"/>
                      <w:szCs w:val="21"/>
                      <w:u w:val="none"/>
                    </w:rPr>
                    <w:t>生产车间</w:t>
                  </w:r>
                </w:p>
              </w:tc>
              <w:tc>
                <w:tcPr>
                  <w:tcW w:w="640" w:type="pct"/>
                  <w:tcBorders>
                    <w:top w:val="single" w:color="auto" w:sz="4" w:space="0"/>
                    <w:tl2br w:val="nil"/>
                    <w:tr2bl w:val="nil"/>
                  </w:tcBorders>
                  <w:noWrap w:val="0"/>
                  <w:vAlign w:val="center"/>
                </w:tcPr>
                <w:p>
                  <w:pPr>
                    <w:widowControl/>
                    <w:jc w:val="center"/>
                    <w:rPr>
                      <w:rFonts w:hint="default"/>
                      <w:kern w:val="2"/>
                      <w:sz w:val="21"/>
                      <w:szCs w:val="21"/>
                      <w:u w:val="none"/>
                      <w:lang w:val="en-US" w:eastAsia="zh-CN" w:bidi="ar-SA"/>
                    </w:rPr>
                  </w:pPr>
                  <w:r>
                    <w:rPr>
                      <w:rFonts w:hint="eastAsia"/>
                      <w:sz w:val="21"/>
                      <w:szCs w:val="21"/>
                      <w:u w:val="none"/>
                      <w:lang w:val="en-US" w:eastAsia="zh-CN"/>
                    </w:rPr>
                    <w:t>燃油机动车拆解区</w:t>
                  </w:r>
                </w:p>
              </w:tc>
              <w:tc>
                <w:tcPr>
                  <w:tcW w:w="3250" w:type="pct"/>
                  <w:tcBorders>
                    <w:tl2br w:val="nil"/>
                    <w:tr2bl w:val="nil"/>
                  </w:tcBorders>
                  <w:noWrap w:val="0"/>
                  <w:vAlign w:val="center"/>
                </w:tcPr>
                <w:p>
                  <w:pPr>
                    <w:spacing w:line="240" w:lineRule="auto"/>
                    <w:jc w:val="both"/>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共1层</w:t>
                  </w:r>
                  <w:r>
                    <w:rPr>
                      <w:rFonts w:hint="default" w:ascii="Times New Roman" w:hAnsi="Times New Roman" w:eastAsia="宋体" w:cs="Times New Roman"/>
                      <w:color w:val="auto"/>
                      <w:sz w:val="21"/>
                      <w:szCs w:val="21"/>
                      <w:u w:val="single"/>
                      <w:lang w:val="en-US" w:eastAsia="zh-CN"/>
                    </w:rPr>
                    <w:t>钢结构</w:t>
                  </w:r>
                  <w:r>
                    <w:rPr>
                      <w:rFonts w:hint="eastAsia" w:ascii="Times New Roman" w:hAnsi="Times New Roman" w:eastAsia="宋体" w:cs="Times New Roman"/>
                      <w:color w:val="auto"/>
                      <w:sz w:val="21"/>
                      <w:szCs w:val="21"/>
                      <w:u w:val="single"/>
                      <w:lang w:val="en-US" w:eastAsia="zh-CN"/>
                    </w:rPr>
                    <w:t>封闭式</w:t>
                  </w:r>
                  <w:r>
                    <w:rPr>
                      <w:rFonts w:hint="default" w:ascii="Times New Roman" w:hAnsi="Times New Roman" w:eastAsia="宋体" w:cs="Times New Roman"/>
                      <w:color w:val="auto"/>
                      <w:sz w:val="21"/>
                      <w:szCs w:val="21"/>
                      <w:u w:val="single"/>
                      <w:lang w:val="en-US" w:eastAsia="zh-CN"/>
                    </w:rPr>
                    <w:t>厂房</w:t>
                  </w:r>
                  <w:r>
                    <w:rPr>
                      <w:rFonts w:hint="default" w:ascii="Times New Roman" w:hAnsi="Times New Roman" w:eastAsia="宋体" w:cs="Times New Roman"/>
                      <w:color w:val="auto"/>
                      <w:sz w:val="21"/>
                      <w:szCs w:val="21"/>
                      <w:u w:val="none"/>
                      <w:lang w:val="en-US" w:eastAsia="zh-CN"/>
                    </w:rPr>
                    <w:t>，厂房内西北侧，建筑面积</w:t>
                  </w:r>
                  <w:r>
                    <w:rPr>
                      <w:rFonts w:hint="eastAsia" w:ascii="Times New Roman" w:hAnsi="Times New Roman" w:cs="Times New Roman"/>
                      <w:color w:val="auto"/>
                      <w:sz w:val="21"/>
                      <w:szCs w:val="21"/>
                      <w:u w:val="none"/>
                      <w:lang w:val="en-US" w:eastAsia="zh-CN"/>
                    </w:rPr>
                    <w:t>10015.18</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；厂房内部设置</w:t>
                  </w:r>
                  <w:r>
                    <w:rPr>
                      <w:rFonts w:hint="eastAsia" w:ascii="Times New Roman" w:hAnsi="Times New Roman" w:eastAsia="宋体" w:cs="Times New Roman"/>
                      <w:color w:val="auto"/>
                      <w:sz w:val="21"/>
                      <w:szCs w:val="21"/>
                      <w:u w:val="none"/>
                      <w:lang w:val="en-US" w:eastAsia="zh-CN"/>
                    </w:rPr>
                    <w:t>预处理区</w:t>
                  </w:r>
                  <w:r>
                    <w:rPr>
                      <w:rFonts w:hint="default" w:ascii="Times New Roman" w:hAnsi="Times New Roman" w:eastAsia="宋体" w:cs="Times New Roman"/>
                      <w:color w:val="auto"/>
                      <w:sz w:val="21"/>
                      <w:szCs w:val="21"/>
                      <w:u w:val="none"/>
                      <w:lang w:val="en-US" w:eastAsia="zh-CN"/>
                    </w:rPr>
                    <w:t>、拆解区、</w:t>
                  </w:r>
                  <w:r>
                    <w:rPr>
                      <w:rFonts w:hint="eastAsia" w:ascii="Times New Roman" w:hAnsi="Times New Roman" w:eastAsia="宋体" w:cs="Times New Roman"/>
                      <w:color w:val="auto"/>
                      <w:sz w:val="21"/>
                      <w:szCs w:val="21"/>
                      <w:u w:val="none"/>
                      <w:lang w:val="en-US" w:eastAsia="zh-CN"/>
                    </w:rPr>
                    <w:t>剪切区、</w:t>
                  </w:r>
                  <w:r>
                    <w:rPr>
                      <w:rFonts w:hint="default" w:ascii="Times New Roman" w:hAnsi="Times New Roman" w:eastAsia="宋体" w:cs="Times New Roman"/>
                      <w:color w:val="auto"/>
                      <w:sz w:val="21"/>
                      <w:szCs w:val="21"/>
                      <w:u w:val="none"/>
                      <w:lang w:val="en-US" w:eastAsia="zh-CN"/>
                    </w:rPr>
                    <w:t>半成品</w:t>
                  </w:r>
                  <w:r>
                    <w:rPr>
                      <w:rFonts w:hint="default" w:ascii="Times New Roman" w:hAnsi="Times New Roman"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散件库房</w:t>
                  </w:r>
                  <w:r>
                    <w:rPr>
                      <w:rFonts w:hint="eastAsia" w:ascii="Times New Roman" w:hAnsi="Times New Roman" w:eastAsia="宋体" w:cs="Times New Roman"/>
                      <w:color w:val="auto"/>
                      <w:sz w:val="21"/>
                      <w:szCs w:val="21"/>
                      <w:u w:val="none"/>
                      <w:lang w:val="en-US" w:eastAsia="zh-CN"/>
                    </w:rPr>
                    <w:t>、打包区、燃油车暂存区</w:t>
                  </w:r>
                  <w:r>
                    <w:rPr>
                      <w:rFonts w:hint="default" w:ascii="Times New Roman" w:hAnsi="Times New Roman" w:eastAsia="宋体" w:cs="Times New Roman"/>
                      <w:color w:val="auto"/>
                      <w:sz w:val="21"/>
                      <w:szCs w:val="21"/>
                      <w:u w:val="none"/>
                      <w:lang w:val="en-US" w:eastAsia="zh-CN"/>
                    </w:rPr>
                    <w:t>等，</w:t>
                  </w:r>
                  <w:r>
                    <w:rPr>
                      <w:rFonts w:hint="default" w:ascii="Times New Roman" w:hAnsi="Times New Roman" w:eastAsia="宋体" w:cs="Times New Roman"/>
                      <w:color w:val="auto"/>
                      <w:sz w:val="21"/>
                      <w:szCs w:val="21"/>
                      <w:u w:val="single"/>
                      <w:lang w:val="en-US" w:eastAsia="zh-CN"/>
                    </w:rPr>
                    <w:t>地面</w:t>
                  </w:r>
                  <w:r>
                    <w:rPr>
                      <w:rFonts w:hint="eastAsia" w:ascii="Times New Roman" w:hAnsi="Times New Roman" w:eastAsia="宋体" w:cs="Times New Roman"/>
                      <w:color w:val="auto"/>
                      <w:sz w:val="21"/>
                      <w:szCs w:val="21"/>
                      <w:u w:val="single"/>
                      <w:lang w:val="en-US" w:eastAsia="zh-CN"/>
                    </w:rPr>
                    <w:t>硬化并</w:t>
                  </w:r>
                  <w:r>
                    <w:rPr>
                      <w:rFonts w:hint="default" w:ascii="Times New Roman" w:hAnsi="Times New Roman" w:eastAsia="宋体" w:cs="Times New Roman"/>
                      <w:color w:val="auto"/>
                      <w:sz w:val="21"/>
                      <w:szCs w:val="21"/>
                      <w:u w:val="single"/>
                      <w:lang w:val="en-US" w:eastAsia="zh-CN"/>
                    </w:rPr>
                    <w:t>做好防渗措施</w:t>
                  </w:r>
                </w:p>
              </w:tc>
              <w:tc>
                <w:tcPr>
                  <w:tcW w:w="4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trPr>
              <w:tc>
                <w:tcPr>
                  <w:tcW w:w="253" w:type="pct"/>
                  <w:vMerge w:val="continue"/>
                  <w:tcBorders>
                    <w:tl2br w:val="nil"/>
                    <w:tr2bl w:val="nil"/>
                  </w:tcBorders>
                  <w:noWrap w:val="0"/>
                  <w:vAlign w:val="center"/>
                </w:tcPr>
                <w:p>
                  <w:pPr>
                    <w:spacing w:line="360" w:lineRule="exact"/>
                    <w:jc w:val="center"/>
                    <w:rPr>
                      <w:sz w:val="21"/>
                      <w:szCs w:val="21"/>
                      <w:u w:val="none"/>
                    </w:rPr>
                  </w:pPr>
                </w:p>
              </w:tc>
              <w:tc>
                <w:tcPr>
                  <w:tcW w:w="398" w:type="pct"/>
                  <w:vMerge w:val="continue"/>
                  <w:tcBorders>
                    <w:tl2br w:val="nil"/>
                    <w:tr2bl w:val="nil"/>
                  </w:tcBorders>
                  <w:noWrap w:val="0"/>
                  <w:vAlign w:val="center"/>
                </w:tcPr>
                <w:p>
                  <w:pPr>
                    <w:pStyle w:val="29"/>
                    <w:spacing w:line="360" w:lineRule="exact"/>
                    <w:jc w:val="left"/>
                    <w:rPr>
                      <w:sz w:val="21"/>
                      <w:szCs w:val="21"/>
                      <w:u w:val="none"/>
                    </w:rPr>
                  </w:pPr>
                </w:p>
              </w:tc>
              <w:tc>
                <w:tcPr>
                  <w:tcW w:w="640" w:type="pct"/>
                  <w:tcBorders>
                    <w:tl2br w:val="nil"/>
                    <w:tr2bl w:val="nil"/>
                  </w:tcBorders>
                  <w:noWrap w:val="0"/>
                  <w:vAlign w:val="center"/>
                </w:tcPr>
                <w:p>
                  <w:pPr>
                    <w:widowControl/>
                    <w:jc w:val="center"/>
                    <w:rPr>
                      <w:rFonts w:hint="eastAsia"/>
                      <w:kern w:val="2"/>
                      <w:sz w:val="21"/>
                      <w:szCs w:val="21"/>
                      <w:u w:val="none"/>
                      <w:lang w:val="en-US" w:eastAsia="zh-CN" w:bidi="ar-SA"/>
                    </w:rPr>
                  </w:pPr>
                  <w:r>
                    <w:rPr>
                      <w:rFonts w:hint="eastAsia"/>
                      <w:sz w:val="21"/>
                      <w:szCs w:val="21"/>
                      <w:u w:val="none"/>
                      <w:lang w:val="en-US" w:eastAsia="zh-CN"/>
                    </w:rPr>
                    <w:t>新能源机动车拆解区</w:t>
                  </w:r>
                </w:p>
              </w:tc>
              <w:tc>
                <w:tcPr>
                  <w:tcW w:w="3250" w:type="pc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共1层钢结构</w:t>
                  </w:r>
                  <w:r>
                    <w:rPr>
                      <w:rFonts w:hint="eastAsia" w:ascii="Times New Roman" w:hAnsi="Times New Roman" w:eastAsia="宋体" w:cs="Times New Roman"/>
                      <w:color w:val="auto"/>
                      <w:sz w:val="21"/>
                      <w:szCs w:val="21"/>
                      <w:u w:val="none"/>
                      <w:lang w:val="en-US" w:eastAsia="zh-CN"/>
                    </w:rPr>
                    <w:t>封闭</w:t>
                  </w:r>
                  <w:r>
                    <w:rPr>
                      <w:rFonts w:hint="default" w:ascii="Times New Roman" w:hAnsi="Times New Roman" w:eastAsia="宋体" w:cs="Times New Roman"/>
                      <w:color w:val="auto"/>
                      <w:sz w:val="21"/>
                      <w:szCs w:val="21"/>
                      <w:u w:val="none"/>
                      <w:lang w:val="en-US" w:eastAsia="zh-CN"/>
                    </w:rPr>
                    <w:t>厂房，厂房内东南侧，建筑面积约</w:t>
                  </w:r>
                  <w:r>
                    <w:rPr>
                      <w:rFonts w:hint="eastAsia" w:ascii="Times New Roman" w:hAnsi="Times New Roman" w:cs="Times New Roman"/>
                      <w:color w:val="auto"/>
                      <w:sz w:val="21"/>
                      <w:szCs w:val="21"/>
                      <w:u w:val="none"/>
                      <w:lang w:val="en-US" w:eastAsia="zh-CN"/>
                    </w:rPr>
                    <w:t>672</w:t>
                  </w:r>
                  <w:r>
                    <w:rPr>
                      <w:rFonts w:hint="default" w:ascii="Times New Roman" w:hAnsi="Times New Roman" w:eastAsia="宋体" w:cs="Times New Roman"/>
                      <w:color w:val="auto"/>
                      <w:sz w:val="21"/>
                      <w:szCs w:val="21"/>
                      <w:u w:val="none"/>
                      <w:lang w:val="en-US" w:eastAsia="zh-CN"/>
                    </w:rPr>
                    <w:t>m</w:t>
                  </w:r>
                  <w:r>
                    <w:rPr>
                      <w:rFonts w:hint="default" w:ascii="Times New Roman" w:hAnsi="Times New Roman" w:eastAsia="宋体" w:cs="Times New Roman"/>
                      <w:color w:val="auto"/>
                      <w:sz w:val="21"/>
                      <w:szCs w:val="21"/>
                      <w:u w:val="none"/>
                      <w:vertAlign w:val="superscript"/>
                      <w:lang w:val="en-US" w:eastAsia="zh-CN"/>
                    </w:rPr>
                    <w:t>2</w:t>
                  </w:r>
                  <w:r>
                    <w:rPr>
                      <w:rFonts w:hint="default" w:ascii="Times New Roman" w:hAnsi="Times New Roman" w:eastAsia="宋体" w:cs="Times New Roman"/>
                      <w:color w:val="auto"/>
                      <w:sz w:val="21"/>
                      <w:szCs w:val="21"/>
                      <w:u w:val="none"/>
                      <w:lang w:val="en-US" w:eastAsia="zh-CN"/>
                    </w:rPr>
                    <w:t>，厂房内部设置</w:t>
                  </w:r>
                  <w:r>
                    <w:rPr>
                      <w:rFonts w:hint="eastAsia" w:ascii="Times New Roman" w:hAnsi="Times New Roman" w:eastAsia="宋体" w:cs="Times New Roman"/>
                      <w:color w:val="auto"/>
                      <w:sz w:val="21"/>
                      <w:szCs w:val="21"/>
                      <w:u w:val="none"/>
                      <w:lang w:val="en-US" w:eastAsia="zh-CN"/>
                    </w:rPr>
                    <w:t>放电工位、</w:t>
                  </w:r>
                  <w:r>
                    <w:rPr>
                      <w:rFonts w:hint="default" w:ascii="Times New Roman" w:hAnsi="Times New Roman" w:eastAsia="宋体" w:cs="Times New Roman"/>
                      <w:color w:val="auto"/>
                      <w:sz w:val="21"/>
                      <w:szCs w:val="21"/>
                      <w:u w:val="none"/>
                      <w:lang w:val="en-US" w:eastAsia="zh-CN"/>
                    </w:rPr>
                    <w:t>动力蓄电池拆卸区、拆解区</w:t>
                  </w:r>
                  <w:r>
                    <w:rPr>
                      <w:rFonts w:hint="default" w:ascii="Times New Roman" w:hAnsi="Times New Roman" w:cs="Times New Roman"/>
                      <w:color w:val="auto"/>
                      <w:sz w:val="21"/>
                      <w:szCs w:val="21"/>
                      <w:u w:val="none"/>
                      <w:lang w:val="en-US" w:eastAsia="zh-CN"/>
                    </w:rPr>
                    <w:t>、</w:t>
                  </w:r>
                  <w:r>
                    <w:rPr>
                      <w:rFonts w:hint="default" w:ascii="Times New Roman" w:hAnsi="Times New Roman" w:eastAsia="宋体" w:cs="Times New Roman"/>
                      <w:color w:val="auto"/>
                      <w:sz w:val="21"/>
                      <w:szCs w:val="21"/>
                      <w:u w:val="none"/>
                      <w:lang w:val="en-US" w:eastAsia="zh-CN"/>
                    </w:rPr>
                    <w:t>电池评估区、</w:t>
                  </w:r>
                  <w:r>
                    <w:rPr>
                      <w:rFonts w:hint="eastAsia" w:ascii="Times New Roman" w:hAnsi="Times New Roman" w:eastAsia="宋体" w:cs="Times New Roman"/>
                      <w:color w:val="auto"/>
                      <w:sz w:val="21"/>
                      <w:szCs w:val="21"/>
                      <w:u w:val="none"/>
                      <w:lang w:val="en-US" w:eastAsia="zh-CN"/>
                    </w:rPr>
                    <w:t>电池摆放区、</w:t>
                  </w:r>
                  <w:r>
                    <w:rPr>
                      <w:rFonts w:hint="default" w:ascii="Times New Roman" w:hAnsi="Times New Roman" w:eastAsia="宋体" w:cs="Times New Roman"/>
                      <w:color w:val="auto"/>
                      <w:sz w:val="21"/>
                      <w:szCs w:val="21"/>
                      <w:u w:val="none"/>
                      <w:lang w:val="en-US" w:eastAsia="zh-CN"/>
                    </w:rPr>
                    <w:t>新能源车暂存区等，</w:t>
                  </w:r>
                  <w:r>
                    <w:rPr>
                      <w:rFonts w:hint="eastAsia" w:ascii="Times New Roman" w:hAnsi="Times New Roman" w:eastAsia="宋体" w:cs="Times New Roman"/>
                      <w:color w:val="auto"/>
                      <w:sz w:val="21"/>
                      <w:szCs w:val="21"/>
                      <w:u w:val="single"/>
                      <w:lang w:val="en-US" w:eastAsia="zh-CN"/>
                    </w:rPr>
                    <w:t>地面硬化并</w:t>
                  </w:r>
                  <w:r>
                    <w:rPr>
                      <w:rFonts w:hint="default" w:ascii="Times New Roman" w:hAnsi="Times New Roman" w:cs="Times New Roman"/>
                      <w:kern w:val="0"/>
                      <w:sz w:val="21"/>
                      <w:szCs w:val="21"/>
                      <w:u w:val="single"/>
                      <w:vertAlign w:val="baseline"/>
                    </w:rPr>
                    <w:t>做绝缘处理</w:t>
                  </w:r>
                  <w:r>
                    <w:rPr>
                      <w:rFonts w:hint="eastAsia" w:ascii="Times New Roman" w:hAnsi="Times New Roman" w:cs="Times New Roman"/>
                      <w:kern w:val="0"/>
                      <w:sz w:val="21"/>
                      <w:szCs w:val="21"/>
                      <w:u w:val="single"/>
                      <w:vertAlign w:val="baseline"/>
                      <w:lang w:eastAsia="zh-CN"/>
                    </w:rPr>
                    <w:t>，</w:t>
                  </w:r>
                  <w:r>
                    <w:rPr>
                      <w:rFonts w:hint="default" w:ascii="Times New Roman" w:hAnsi="Times New Roman" w:eastAsia="宋体" w:cs="Times New Roman"/>
                      <w:color w:val="auto"/>
                      <w:sz w:val="21"/>
                      <w:szCs w:val="21"/>
                      <w:u w:val="single"/>
                      <w:lang w:val="en-US" w:eastAsia="zh-CN"/>
                    </w:rPr>
                    <w:t>地面做好防渗措施</w:t>
                  </w:r>
                </w:p>
              </w:tc>
              <w:tc>
                <w:tcPr>
                  <w:tcW w:w="4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253" w:type="pct"/>
                  <w:vMerge w:val="restart"/>
                  <w:tcBorders>
                    <w:top w:val="single" w:color="auto" w:sz="4" w:space="0"/>
                    <w:tl2br w:val="nil"/>
                    <w:tr2bl w:val="nil"/>
                  </w:tcBorders>
                  <w:noWrap w:val="0"/>
                  <w:vAlign w:val="center"/>
                </w:tcPr>
                <w:p>
                  <w:pPr>
                    <w:spacing w:line="360" w:lineRule="exact"/>
                    <w:jc w:val="center"/>
                    <w:rPr>
                      <w:rFonts w:hint="eastAsia"/>
                      <w:sz w:val="21"/>
                      <w:szCs w:val="21"/>
                      <w:u w:val="none"/>
                    </w:rPr>
                  </w:pPr>
                  <w:r>
                    <w:rPr>
                      <w:rFonts w:hint="eastAsia"/>
                      <w:sz w:val="21"/>
                      <w:szCs w:val="21"/>
                      <w:u w:val="none"/>
                    </w:rPr>
                    <w:t>辅助工程</w:t>
                  </w:r>
                </w:p>
              </w:tc>
              <w:tc>
                <w:tcPr>
                  <w:tcW w:w="1038" w:type="pct"/>
                  <w:gridSpan w:val="2"/>
                  <w:tcBorders>
                    <w:top w:val="single" w:color="auto" w:sz="4" w:space="0"/>
                    <w:tl2br w:val="nil"/>
                    <w:tr2bl w:val="nil"/>
                  </w:tcBorders>
                  <w:noWrap w:val="0"/>
                  <w:vAlign w:val="center"/>
                </w:tcPr>
                <w:p>
                  <w:pPr>
                    <w:widowControl/>
                    <w:jc w:val="center"/>
                    <w:rPr>
                      <w:rFonts w:hint="eastAsia"/>
                      <w:kern w:val="2"/>
                      <w:sz w:val="21"/>
                      <w:szCs w:val="21"/>
                      <w:u w:val="none"/>
                      <w:lang w:val="en-US" w:eastAsia="zh-CN" w:bidi="ar-SA"/>
                    </w:rPr>
                  </w:pPr>
                  <w:r>
                    <w:rPr>
                      <w:rFonts w:hint="eastAsia"/>
                      <w:sz w:val="21"/>
                      <w:szCs w:val="21"/>
                      <w:u w:val="none"/>
                      <w:lang w:val="en-US" w:eastAsia="zh-CN"/>
                    </w:rPr>
                    <w:t>办公楼</w:t>
                  </w:r>
                </w:p>
              </w:tc>
              <w:tc>
                <w:tcPr>
                  <w:tcW w:w="3250" w:type="pct"/>
                  <w:tcBorders>
                    <w:tl2br w:val="nil"/>
                    <w:tr2bl w:val="nil"/>
                  </w:tcBorders>
                  <w:noWrap w:val="0"/>
                  <w:vAlign w:val="center"/>
                </w:tcPr>
                <w:p>
                  <w:pPr>
                    <w:spacing w:line="240" w:lineRule="auto"/>
                    <w:jc w:val="center"/>
                    <w:rPr>
                      <w:rFonts w:hint="eastAsia" w:ascii="Times New Roman" w:hAnsi="Times New Roman" w:eastAsia="宋体" w:cs="Times New Roman"/>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3</w:t>
                  </w:r>
                  <w:r>
                    <w:rPr>
                      <w:rFonts w:hint="default" w:ascii="Times New Roman" w:hAnsi="Times New Roman" w:eastAsia="宋体" w:cs="Times New Roman"/>
                      <w:color w:val="auto"/>
                      <w:sz w:val="21"/>
                      <w:szCs w:val="21"/>
                      <w:u w:val="none"/>
                      <w:lang w:val="en-US" w:eastAsia="zh-CN"/>
                    </w:rPr>
                    <w:t>层</w:t>
                  </w:r>
                  <w:r>
                    <w:rPr>
                      <w:rFonts w:hint="default" w:ascii="Times New Roman" w:hAnsi="Times New Roman" w:eastAsia="宋体" w:cs="Times New Roman"/>
                      <w:sz w:val="21"/>
                      <w:szCs w:val="21"/>
                      <w:u w:val="none"/>
                      <w:lang w:val="en-US" w:eastAsia="zh-CN"/>
                    </w:rPr>
                    <w:t>，砖混结构，建筑面积约</w:t>
                  </w:r>
                  <w:r>
                    <w:rPr>
                      <w:rFonts w:hint="eastAsia" w:ascii="Times New Roman" w:hAnsi="Times New Roman" w:eastAsia="宋体" w:cs="Times New Roman"/>
                      <w:sz w:val="21"/>
                      <w:szCs w:val="21"/>
                      <w:u w:val="none"/>
                      <w:lang w:val="en-US" w:eastAsia="zh-CN"/>
                    </w:rPr>
                    <w:t>856.40</w:t>
                  </w:r>
                  <w:r>
                    <w:rPr>
                      <w:rFonts w:hint="default" w:ascii="Times New Roman" w:hAnsi="Times New Roman" w:eastAsia="宋体" w:cs="Times New Roman"/>
                      <w:sz w:val="21"/>
                      <w:szCs w:val="21"/>
                      <w:u w:val="none"/>
                      <w:lang w:val="en-US" w:eastAsia="zh-CN"/>
                    </w:rPr>
                    <w:t xml:space="preserve"> m</w:t>
                  </w:r>
                  <w:r>
                    <w:rPr>
                      <w:rFonts w:hint="default" w:ascii="Times New Roman" w:hAnsi="Times New Roman" w:eastAsia="宋体" w:cs="Times New Roman"/>
                      <w:sz w:val="21"/>
                      <w:szCs w:val="21"/>
                      <w:u w:val="none"/>
                      <w:vertAlign w:val="superscript"/>
                      <w:lang w:val="en-US" w:eastAsia="zh-CN"/>
                    </w:rPr>
                    <w:t>2</w:t>
                  </w:r>
                  <w:r>
                    <w:rPr>
                      <w:rFonts w:hint="default" w:ascii="Times New Roman" w:hAnsi="Times New Roman" w:eastAsia="宋体" w:cs="Times New Roman"/>
                      <w:sz w:val="21"/>
                      <w:szCs w:val="21"/>
                      <w:u w:val="none"/>
                      <w:lang w:val="en-US" w:eastAsia="zh-CN"/>
                    </w:rPr>
                    <w:t>；</w:t>
                  </w:r>
                  <w:r>
                    <w:rPr>
                      <w:rFonts w:hint="eastAsia" w:ascii="Times New Roman" w:hAnsi="Times New Roman" w:eastAsia="宋体" w:cs="Times New Roman"/>
                      <w:sz w:val="21"/>
                      <w:szCs w:val="21"/>
                      <w:u w:val="none"/>
                      <w:lang w:val="en-US" w:eastAsia="zh-CN"/>
                    </w:rPr>
                    <w:t>生活办公区</w:t>
                  </w:r>
                  <w:r>
                    <w:rPr>
                      <w:rFonts w:hint="default" w:ascii="Times New Roman" w:hAnsi="Times New Roman" w:cs="Times New Roman"/>
                      <w:sz w:val="21"/>
                      <w:szCs w:val="21"/>
                      <w:u w:val="none"/>
                      <w:lang w:val="en-US" w:eastAsia="zh-CN"/>
                    </w:rPr>
                    <w:t>、</w:t>
                  </w:r>
                  <w:r>
                    <w:rPr>
                      <w:rFonts w:hint="eastAsia" w:ascii="Times New Roman" w:hAnsi="Times New Roman" w:eastAsia="宋体" w:cs="Times New Roman"/>
                      <w:sz w:val="21"/>
                      <w:szCs w:val="21"/>
                      <w:lang w:val="en-US" w:eastAsia="zh-CN"/>
                    </w:rPr>
                    <w:t>查验登记区</w:t>
                  </w:r>
                </w:p>
              </w:tc>
              <w:tc>
                <w:tcPr>
                  <w:tcW w:w="457" w:type="pct"/>
                  <w:tcBorders>
                    <w:tl2br w:val="nil"/>
                    <w:tr2bl w:val="nil"/>
                  </w:tcBorders>
                  <w:noWrap w:val="0"/>
                  <w:vAlign w:val="center"/>
                </w:tcPr>
                <w:p>
                  <w:pPr>
                    <w:spacing w:line="240" w:lineRule="auto"/>
                    <w:jc w:val="center"/>
                    <w:rPr>
                      <w:rFonts w:hint="eastAsia"/>
                      <w:sz w:val="21"/>
                      <w:szCs w:val="21"/>
                      <w:u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253" w:type="pct"/>
                  <w:vMerge w:val="continue"/>
                  <w:tcBorders>
                    <w:tl2br w:val="nil"/>
                    <w:tr2bl w:val="nil"/>
                  </w:tcBorders>
                  <w:noWrap w:val="0"/>
                  <w:vAlign w:val="center"/>
                </w:tcPr>
                <w:p>
                  <w:pPr>
                    <w:spacing w:line="360" w:lineRule="exact"/>
                    <w:jc w:val="center"/>
                    <w:rPr>
                      <w:sz w:val="21"/>
                      <w:szCs w:val="21"/>
                      <w:u w:val="none"/>
                    </w:rPr>
                  </w:pPr>
                </w:p>
              </w:tc>
              <w:tc>
                <w:tcPr>
                  <w:tcW w:w="1038" w:type="pct"/>
                  <w:gridSpan w:val="2"/>
                  <w:tcBorders>
                    <w:tl2br w:val="nil"/>
                    <w:tr2bl w:val="nil"/>
                  </w:tcBorders>
                  <w:noWrap w:val="0"/>
                  <w:vAlign w:val="center"/>
                </w:tcPr>
                <w:p>
                  <w:pPr>
                    <w:pStyle w:val="30"/>
                    <w:spacing w:line="240" w:lineRule="auto"/>
                    <w:ind w:left="0" w:leftChars="0" w:right="0" w:rightChars="0" w:firstLine="0" w:firstLineChars="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sz w:val="21"/>
                      <w:szCs w:val="21"/>
                      <w:lang w:val="en-US" w:eastAsia="zh-CN"/>
                    </w:rPr>
                    <w:t>过磅区</w:t>
                  </w:r>
                </w:p>
              </w:tc>
              <w:tc>
                <w:tcPr>
                  <w:tcW w:w="3250" w:type="pct"/>
                  <w:tcBorders>
                    <w:tl2br w:val="nil"/>
                    <w:tr2bl w:val="nil"/>
                  </w:tcBorders>
                  <w:noWrap w:val="0"/>
                  <w:vAlign w:val="center"/>
                </w:tcPr>
                <w:p>
                  <w:pPr>
                    <w:pStyle w:val="30"/>
                    <w:spacing w:line="240" w:lineRule="auto"/>
                    <w:ind w:left="0" w:leftChars="0" w:right="0" w:rightChars="0"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color w:val="auto"/>
                      <w:sz w:val="21"/>
                      <w:szCs w:val="21"/>
                      <w:u w:val="none"/>
                      <w:lang w:val="en-US" w:eastAsia="zh-CN"/>
                    </w:rPr>
                    <w:t>49.60</w:t>
                  </w:r>
                  <w:r>
                    <w:rPr>
                      <w:rFonts w:hint="default" w:ascii="Times New Roman" w:hAnsi="Times New Roman" w:cs="Times New Roman"/>
                      <w:color w:val="auto"/>
                      <w:sz w:val="21"/>
                      <w:szCs w:val="21"/>
                      <w:u w:val="none"/>
                    </w:rPr>
                    <w:t>m</w:t>
                  </w:r>
                  <w:r>
                    <w:rPr>
                      <w:rFonts w:hint="default" w:ascii="Times New Roman" w:hAnsi="Times New Roman" w:cs="Times New Roman"/>
                      <w:color w:val="auto"/>
                      <w:sz w:val="21"/>
                      <w:szCs w:val="21"/>
                      <w:u w:val="none"/>
                      <w:vertAlign w:val="superscript"/>
                    </w:rPr>
                    <w:t>2</w:t>
                  </w:r>
                </w:p>
              </w:tc>
              <w:tc>
                <w:tcPr>
                  <w:tcW w:w="457" w:type="pct"/>
                  <w:tcBorders>
                    <w:tl2br w:val="nil"/>
                    <w:tr2bl w:val="nil"/>
                  </w:tcBorders>
                  <w:noWrap w:val="0"/>
                  <w:vAlign w:val="center"/>
                </w:tcPr>
                <w:p>
                  <w:pPr>
                    <w:pStyle w:val="30"/>
                    <w:spacing w:line="240" w:lineRule="auto"/>
                    <w:ind w:left="0" w:leftChars="0" w:right="0" w:rightChars="0" w:firstLine="0" w:firstLineChars="0"/>
                    <w:rPr>
                      <w:rFonts w:hint="default" w:ascii="Times New Roman" w:hAnsi="Times New Roman" w:cs="Times New Roman"/>
                      <w:color w:val="auto"/>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253" w:type="pct"/>
                  <w:vMerge w:val="restart"/>
                  <w:tcBorders>
                    <w:tl2br w:val="nil"/>
                    <w:tr2bl w:val="nil"/>
                  </w:tcBorders>
                  <w:noWrap w:val="0"/>
                  <w:vAlign w:val="center"/>
                </w:tcPr>
                <w:p>
                  <w:pPr>
                    <w:spacing w:line="360" w:lineRule="exact"/>
                    <w:jc w:val="center"/>
                    <w:rPr>
                      <w:sz w:val="21"/>
                      <w:szCs w:val="21"/>
                    </w:rPr>
                  </w:pPr>
                  <w:r>
                    <w:rPr>
                      <w:rFonts w:hint="eastAsia"/>
                      <w:sz w:val="21"/>
                      <w:szCs w:val="21"/>
                    </w:rPr>
                    <w:t>公用工程</w:t>
                  </w:r>
                </w:p>
              </w:tc>
              <w:tc>
                <w:tcPr>
                  <w:tcW w:w="1038" w:type="pct"/>
                  <w:gridSpan w:val="2"/>
                  <w:tcBorders>
                    <w:tl2br w:val="nil"/>
                    <w:tr2bl w:val="nil"/>
                  </w:tcBorders>
                  <w:noWrap w:val="0"/>
                  <w:vAlign w:val="center"/>
                </w:tcPr>
                <w:p>
                  <w:pPr>
                    <w:spacing w:line="360" w:lineRule="exact"/>
                    <w:jc w:val="center"/>
                    <w:rPr>
                      <w:sz w:val="21"/>
                      <w:szCs w:val="21"/>
                    </w:rPr>
                  </w:pPr>
                  <w:r>
                    <w:rPr>
                      <w:rFonts w:hint="eastAsia"/>
                      <w:sz w:val="21"/>
                      <w:szCs w:val="21"/>
                    </w:rPr>
                    <w:t>供电</w:t>
                  </w:r>
                </w:p>
              </w:tc>
              <w:tc>
                <w:tcPr>
                  <w:tcW w:w="3250"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供电来源于园区电网</w:t>
                  </w:r>
                </w:p>
              </w:tc>
              <w:tc>
                <w:tcPr>
                  <w:tcW w:w="457" w:type="pct"/>
                  <w:tcBorders>
                    <w:tl2br w:val="nil"/>
                    <w:tr2bl w:val="nil"/>
                  </w:tcBorders>
                  <w:noWrap w:val="0"/>
                  <w:vAlign w:val="center"/>
                </w:tcPr>
                <w:p>
                  <w:pPr>
                    <w:spacing w:line="240" w:lineRule="auto"/>
                    <w:jc w:val="center"/>
                    <w:rPr>
                      <w:rFonts w:hint="default"/>
                      <w:kern w:val="2"/>
                      <w:sz w:val="21"/>
                      <w:szCs w:val="21"/>
                      <w:u w:val="none"/>
                      <w:lang w:val="en-US" w:eastAsia="zh-CN" w:bidi="ar-SA"/>
                    </w:rPr>
                  </w:pPr>
                  <w:r>
                    <w:rPr>
                      <w:rFonts w:hint="eastAsia"/>
                      <w:u w:val="none"/>
                      <w:lang w:val="en-US" w:eastAsia="zh-CN"/>
                    </w:rPr>
                    <w:t>依托园区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1038" w:type="pct"/>
                  <w:gridSpan w:val="2"/>
                  <w:tcBorders>
                    <w:tl2br w:val="nil"/>
                    <w:tr2bl w:val="nil"/>
                  </w:tcBorders>
                  <w:noWrap w:val="0"/>
                  <w:vAlign w:val="center"/>
                </w:tcPr>
                <w:p>
                  <w:pPr>
                    <w:spacing w:line="36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eastAsia="zh-CN"/>
                    </w:rPr>
                    <w:t>消防</w:t>
                  </w:r>
                </w:p>
              </w:tc>
              <w:tc>
                <w:tcPr>
                  <w:tcW w:w="3250" w:type="pct"/>
                  <w:tcBorders>
                    <w:tl2br w:val="nil"/>
                    <w:tr2bl w:val="nil"/>
                  </w:tcBorders>
                  <w:noWrap w:val="0"/>
                  <w:vAlign w:val="center"/>
                </w:tcPr>
                <w:p>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100m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的消防水池，消防给水由室外给水管网和消防水池供给；各车间均按标准设置了消防栓口</w:t>
                  </w:r>
                </w:p>
              </w:tc>
              <w:tc>
                <w:tcPr>
                  <w:tcW w:w="457" w:type="pct"/>
                  <w:tcBorders>
                    <w:tl2br w:val="nil"/>
                    <w:tr2bl w:val="nil"/>
                  </w:tcBorders>
                  <w:noWrap w:val="0"/>
                  <w:vAlign w:val="center"/>
                </w:tcPr>
                <w:p>
                  <w:pPr>
                    <w:spacing w:line="240" w:lineRule="auto"/>
                    <w:jc w:val="center"/>
                    <w:rPr>
                      <w:rFonts w:hint="default"/>
                      <w:kern w:val="2"/>
                      <w:sz w:val="21"/>
                      <w:szCs w:val="21"/>
                      <w:u w:val="none"/>
                      <w:lang w:val="en-US" w:eastAsia="zh-CN" w:bidi="ar-SA"/>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3" w:type="pct"/>
                  <w:vMerge w:val="continue"/>
                  <w:tcBorders>
                    <w:tl2br w:val="nil"/>
                    <w:tr2bl w:val="nil"/>
                  </w:tcBorders>
                  <w:noWrap w:val="0"/>
                  <w:vAlign w:val="center"/>
                </w:tcPr>
                <w:p>
                  <w:pPr>
                    <w:spacing w:line="360" w:lineRule="exact"/>
                    <w:jc w:val="center"/>
                    <w:rPr>
                      <w:sz w:val="21"/>
                      <w:szCs w:val="21"/>
                    </w:rPr>
                  </w:pPr>
                </w:p>
              </w:tc>
              <w:tc>
                <w:tcPr>
                  <w:tcW w:w="1038" w:type="pct"/>
                  <w:gridSpan w:val="2"/>
                  <w:tcBorders>
                    <w:tl2br w:val="nil"/>
                    <w:tr2bl w:val="nil"/>
                  </w:tcBorders>
                  <w:noWrap w:val="0"/>
                  <w:vAlign w:val="center"/>
                </w:tcPr>
                <w:p>
                  <w:pPr>
                    <w:spacing w:line="360" w:lineRule="exact"/>
                    <w:jc w:val="center"/>
                    <w:rPr>
                      <w:sz w:val="21"/>
                      <w:szCs w:val="21"/>
                    </w:rPr>
                  </w:pPr>
                  <w:r>
                    <w:rPr>
                      <w:rFonts w:hint="eastAsia"/>
                      <w:sz w:val="21"/>
                      <w:szCs w:val="21"/>
                    </w:rPr>
                    <w:t>供水</w:t>
                  </w:r>
                </w:p>
              </w:tc>
              <w:tc>
                <w:tcPr>
                  <w:tcW w:w="3250" w:type="pct"/>
                  <w:tcBorders>
                    <w:tl2br w:val="nil"/>
                    <w:tr2bl w:val="nil"/>
                  </w:tcBorders>
                  <w:noWrap w:val="0"/>
                  <w:vAlign w:val="center"/>
                </w:tcPr>
                <w:p>
                  <w:pPr>
                    <w:spacing w:line="240" w:lineRule="auto"/>
                    <w:jc w:val="center"/>
                    <w:rPr>
                      <w:rFonts w:hint="eastAsia" w:ascii="Calibri" w:hAnsi="Calibri" w:eastAsia="宋体" w:cs="Times New Roman"/>
                      <w:sz w:val="21"/>
                      <w:szCs w:val="21"/>
                    </w:rPr>
                  </w:pPr>
                  <w:r>
                    <w:rPr>
                      <w:rFonts w:hint="eastAsia" w:ascii="Calibri" w:hAnsi="Calibri" w:eastAsia="宋体" w:cs="Times New Roman"/>
                      <w:sz w:val="21"/>
                      <w:szCs w:val="21"/>
                      <w:lang w:eastAsia="zh-CN"/>
                    </w:rPr>
                    <w:t>由园区供水管网供给</w:t>
                  </w:r>
                </w:p>
              </w:tc>
              <w:tc>
                <w:tcPr>
                  <w:tcW w:w="457" w:type="pct"/>
                  <w:tcBorders>
                    <w:tl2br w:val="nil"/>
                    <w:tr2bl w:val="nil"/>
                  </w:tcBorders>
                  <w:noWrap w:val="0"/>
                  <w:vAlign w:val="center"/>
                </w:tcPr>
                <w:p>
                  <w:pPr>
                    <w:spacing w:line="240" w:lineRule="auto"/>
                    <w:jc w:val="center"/>
                    <w:rPr>
                      <w:rFonts w:hint="eastAsia" w:ascii="Calibri" w:hAnsi="Calibri" w:eastAsia="宋体" w:cs="Times New Roman"/>
                      <w:sz w:val="21"/>
                      <w:szCs w:val="21"/>
                      <w:lang w:eastAsia="zh-CN"/>
                    </w:rPr>
                  </w:pPr>
                  <w:r>
                    <w:rPr>
                      <w:rFonts w:hint="eastAsia"/>
                      <w:u w:val="none"/>
                      <w:lang w:val="en-US" w:eastAsia="zh-CN"/>
                    </w:rPr>
                    <w:t>依托园区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3" w:type="pct"/>
                  <w:vMerge w:val="continue"/>
                  <w:tcBorders>
                    <w:tl2br w:val="nil"/>
                    <w:tr2bl w:val="nil"/>
                  </w:tcBorders>
                  <w:noWrap w:val="0"/>
                  <w:vAlign w:val="center"/>
                </w:tcPr>
                <w:p>
                  <w:pPr>
                    <w:spacing w:line="360" w:lineRule="exact"/>
                    <w:jc w:val="center"/>
                    <w:rPr>
                      <w:sz w:val="21"/>
                      <w:szCs w:val="21"/>
                    </w:rPr>
                  </w:pPr>
                </w:p>
              </w:tc>
              <w:tc>
                <w:tcPr>
                  <w:tcW w:w="1038" w:type="pct"/>
                  <w:gridSpan w:val="2"/>
                  <w:tcBorders>
                    <w:tl2br w:val="nil"/>
                    <w:tr2bl w:val="nil"/>
                  </w:tcBorders>
                  <w:noWrap w:val="0"/>
                  <w:vAlign w:val="center"/>
                </w:tcPr>
                <w:p>
                  <w:pPr>
                    <w:spacing w:line="360" w:lineRule="exact"/>
                    <w:jc w:val="center"/>
                    <w:rPr>
                      <w:sz w:val="21"/>
                      <w:szCs w:val="21"/>
                    </w:rPr>
                  </w:pPr>
                  <w:r>
                    <w:rPr>
                      <w:rFonts w:hint="eastAsia"/>
                      <w:sz w:val="21"/>
                      <w:szCs w:val="21"/>
                    </w:rPr>
                    <w:t>排水</w:t>
                  </w:r>
                </w:p>
              </w:tc>
              <w:tc>
                <w:tcPr>
                  <w:tcW w:w="3250" w:type="pct"/>
                  <w:tcBorders>
                    <w:tl2br w:val="nil"/>
                    <w:tr2bl w:val="nil"/>
                  </w:tcBorders>
                  <w:noWrap w:val="0"/>
                  <w:vAlign w:val="center"/>
                </w:tcPr>
                <w:p>
                  <w:pPr>
                    <w:spacing w:line="240" w:lineRule="auto"/>
                    <w:jc w:val="center"/>
                    <w:rPr>
                      <w:rFonts w:hint="eastAsia" w:ascii="Calibri" w:hAnsi="Calibri" w:eastAsia="宋体" w:cs="Times New Roman"/>
                      <w:sz w:val="21"/>
                      <w:szCs w:val="21"/>
                    </w:rPr>
                  </w:pPr>
                  <w:r>
                    <w:rPr>
                      <w:rFonts w:hint="eastAsia" w:ascii="Calibri" w:hAnsi="Calibri" w:eastAsia="宋体" w:cs="Times New Roman"/>
                      <w:sz w:val="21"/>
                      <w:szCs w:val="21"/>
                    </w:rPr>
                    <w:t>本项目实施雨污分流制。项目污水主要为生活污水</w:t>
                  </w:r>
                  <w:r>
                    <w:rPr>
                      <w:rFonts w:hint="eastAsia" w:ascii="Calibri" w:hAnsi="Calibri" w:eastAsia="宋体" w:cs="Times New Roman"/>
                      <w:sz w:val="21"/>
                      <w:szCs w:val="21"/>
                      <w:lang w:eastAsia="zh-CN"/>
                    </w:rPr>
                    <w:t>和生产废水。</w:t>
                  </w:r>
                  <w:r>
                    <w:rPr>
                      <w:rFonts w:hint="eastAsia" w:ascii="Calibri" w:hAnsi="Calibri" w:eastAsia="宋体" w:cs="Times New Roman"/>
                      <w:sz w:val="21"/>
                      <w:szCs w:val="21"/>
                    </w:rPr>
                    <w:t>生活污水排至</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eastAsia" w:ascii="Calibri" w:hAnsi="Calibri" w:eastAsia="宋体" w:cs="Times New Roman"/>
                      <w:sz w:val="21"/>
                      <w:szCs w:val="21"/>
                    </w:rPr>
                    <w:t>处理</w:t>
                  </w:r>
                  <w:r>
                    <w:rPr>
                      <w:rFonts w:hint="eastAsia" w:ascii="Calibri" w:hAnsi="Calibri" w:eastAsia="宋体" w:cs="Times New Roman"/>
                      <w:sz w:val="21"/>
                      <w:szCs w:val="21"/>
                      <w:lang w:eastAsia="zh-CN"/>
                    </w:rPr>
                    <w:t>后外排入渠水</w:t>
                  </w:r>
                  <w:r>
                    <w:rPr>
                      <w:rFonts w:hint="eastAsia" w:ascii="Calibri" w:hAnsi="Calibri" w:eastAsia="宋体" w:cs="Times New Roman"/>
                      <w:sz w:val="21"/>
                      <w:szCs w:val="21"/>
                    </w:rPr>
                    <w:t>，达标排放。拆解</w:t>
                  </w:r>
                  <w:r>
                    <w:rPr>
                      <w:rFonts w:hint="eastAsia" w:ascii="Calibri" w:hAnsi="Calibri" w:eastAsia="宋体" w:cs="Times New Roman"/>
                      <w:sz w:val="21"/>
                      <w:szCs w:val="21"/>
                      <w:lang w:eastAsia="zh-CN"/>
                    </w:rPr>
                    <w:t>区</w:t>
                  </w:r>
                  <w:r>
                    <w:rPr>
                      <w:rFonts w:hint="eastAsia" w:ascii="Calibri" w:hAnsi="Calibri" w:eastAsia="宋体" w:cs="Times New Roman"/>
                      <w:sz w:val="21"/>
                      <w:szCs w:val="21"/>
                    </w:rPr>
                    <w:t>地面清洁废水</w:t>
                  </w:r>
                  <w:r>
                    <w:rPr>
                      <w:rFonts w:hint="eastAsia" w:ascii="Calibri" w:hAnsi="Calibri" w:eastAsia="宋体" w:cs="Times New Roman"/>
                      <w:sz w:val="21"/>
                      <w:szCs w:val="21"/>
                      <w:lang w:eastAsia="zh-CN"/>
                    </w:rPr>
                    <w:t>经废水收集池收集，通过废水处理</w:t>
                  </w:r>
                  <w:r>
                    <w:rPr>
                      <w:rFonts w:hint="eastAsia" w:ascii="Calibri" w:hAnsi="Calibri" w:eastAsia="宋体" w:cs="Times New Roman"/>
                      <w:sz w:val="21"/>
                      <w:szCs w:val="21"/>
                      <w:lang w:val="en-US" w:eastAsia="zh-CN"/>
                    </w:rPr>
                    <w:t>设施（气浮）</w:t>
                  </w:r>
                  <w:r>
                    <w:rPr>
                      <w:rFonts w:hint="eastAsia" w:ascii="Calibri" w:hAnsi="Calibri" w:eastAsia="宋体" w:cs="Times New Roman"/>
                      <w:sz w:val="21"/>
                      <w:szCs w:val="21"/>
                    </w:rPr>
                    <w:t>处理后</w:t>
                  </w:r>
                  <w:r>
                    <w:rPr>
                      <w:rFonts w:hint="eastAsia" w:ascii="Calibri" w:hAnsi="Calibri" w:eastAsia="宋体" w:cs="Times New Roman"/>
                      <w:sz w:val="21"/>
                      <w:szCs w:val="21"/>
                      <w:lang w:eastAsia="zh-CN"/>
                    </w:rPr>
                    <w:t>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eastAsia" w:ascii="Calibri" w:hAnsi="Calibri" w:eastAsia="宋体" w:cs="Times New Roman"/>
                      <w:sz w:val="21"/>
                      <w:szCs w:val="21"/>
                      <w:lang w:eastAsia="zh-CN"/>
                    </w:rPr>
                    <w:t>处理后外排入渠水</w:t>
                  </w:r>
                </w:p>
              </w:tc>
              <w:tc>
                <w:tcPr>
                  <w:tcW w:w="457" w:type="pct"/>
                  <w:tcBorders>
                    <w:tl2br w:val="nil"/>
                    <w:tr2bl w:val="nil"/>
                  </w:tcBorders>
                  <w:noWrap w:val="0"/>
                  <w:vAlign w:val="center"/>
                </w:tcPr>
                <w:p>
                  <w:pPr>
                    <w:spacing w:line="240" w:lineRule="auto"/>
                    <w:jc w:val="center"/>
                    <w:rPr>
                      <w:rFonts w:hint="eastAsia" w:ascii="Calibri" w:hAnsi="Calibri" w:eastAsia="宋体" w:cs="Times New Roman"/>
                      <w:sz w:val="21"/>
                      <w:szCs w:val="21"/>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253" w:type="pct"/>
                  <w:vMerge w:val="continue"/>
                  <w:tcBorders>
                    <w:tl2br w:val="nil"/>
                    <w:tr2bl w:val="nil"/>
                  </w:tcBorders>
                  <w:noWrap w:val="0"/>
                  <w:vAlign w:val="center"/>
                </w:tcPr>
                <w:p>
                  <w:pPr>
                    <w:spacing w:line="360" w:lineRule="exact"/>
                    <w:jc w:val="center"/>
                    <w:rPr>
                      <w:sz w:val="21"/>
                      <w:szCs w:val="21"/>
                    </w:rPr>
                  </w:pPr>
                </w:p>
              </w:tc>
              <w:tc>
                <w:tcPr>
                  <w:tcW w:w="1038" w:type="pct"/>
                  <w:gridSpan w:val="2"/>
                  <w:tcBorders>
                    <w:tl2br w:val="nil"/>
                    <w:tr2bl w:val="nil"/>
                  </w:tcBorders>
                  <w:noWrap w:val="0"/>
                  <w:vAlign w:val="center"/>
                </w:tcPr>
                <w:p>
                  <w:pPr>
                    <w:spacing w:line="360" w:lineRule="exact"/>
                    <w:jc w:val="center"/>
                    <w:rPr>
                      <w:rFonts w:hint="eastAsia"/>
                      <w:sz w:val="21"/>
                      <w:szCs w:val="21"/>
                    </w:rPr>
                  </w:pPr>
                  <w:r>
                    <w:rPr>
                      <w:rFonts w:hint="eastAsia"/>
                      <w:sz w:val="21"/>
                      <w:szCs w:val="21"/>
                    </w:rPr>
                    <w:t>供热</w:t>
                  </w:r>
                </w:p>
              </w:tc>
              <w:tc>
                <w:tcPr>
                  <w:tcW w:w="3250" w:type="pct"/>
                  <w:tcBorders>
                    <w:tl2br w:val="nil"/>
                    <w:tr2bl w:val="nil"/>
                  </w:tcBorders>
                  <w:noWrap w:val="0"/>
                  <w:vAlign w:val="center"/>
                </w:tcPr>
                <w:p>
                  <w:pPr>
                    <w:spacing w:line="360" w:lineRule="exact"/>
                    <w:ind w:firstLine="420"/>
                    <w:jc w:val="center"/>
                    <w:rPr>
                      <w:sz w:val="21"/>
                      <w:szCs w:val="21"/>
                    </w:rPr>
                  </w:pPr>
                  <w:r>
                    <w:rPr>
                      <w:rFonts w:hint="eastAsia"/>
                      <w:sz w:val="21"/>
                      <w:szCs w:val="21"/>
                    </w:rPr>
                    <w:t>冬季采用</w:t>
                  </w:r>
                  <w:r>
                    <w:rPr>
                      <w:rFonts w:hint="eastAsia"/>
                      <w:sz w:val="21"/>
                      <w:szCs w:val="21"/>
                      <w:lang w:eastAsia="zh-CN"/>
                    </w:rPr>
                    <w:t>单体空调</w:t>
                  </w:r>
                  <w:r>
                    <w:rPr>
                      <w:rFonts w:hint="eastAsia"/>
                      <w:sz w:val="21"/>
                      <w:szCs w:val="21"/>
                    </w:rPr>
                    <w:t>供热</w:t>
                  </w:r>
                </w:p>
              </w:tc>
              <w:tc>
                <w:tcPr>
                  <w:tcW w:w="457" w:type="pct"/>
                  <w:tcBorders>
                    <w:tl2br w:val="nil"/>
                    <w:tr2bl w:val="nil"/>
                  </w:tcBorders>
                  <w:noWrap w:val="0"/>
                  <w:vAlign w:val="center"/>
                </w:tcPr>
                <w:p>
                  <w:pPr>
                    <w:spacing w:line="360" w:lineRule="exact"/>
                    <w:jc w:val="center"/>
                    <w:rPr>
                      <w:rFonts w:hint="eastAsia"/>
                      <w:sz w:val="21"/>
                      <w:szCs w:val="21"/>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253" w:type="pct"/>
                  <w:vMerge w:val="restart"/>
                  <w:tcBorders>
                    <w:tl2br w:val="nil"/>
                    <w:tr2bl w:val="nil"/>
                  </w:tcBorders>
                  <w:noWrap w:val="0"/>
                  <w:vAlign w:val="center"/>
                </w:tcPr>
                <w:p>
                  <w:pPr>
                    <w:spacing w:line="360" w:lineRule="exact"/>
                    <w:jc w:val="center"/>
                    <w:rPr>
                      <w:sz w:val="21"/>
                      <w:szCs w:val="21"/>
                    </w:rPr>
                  </w:pPr>
                  <w:r>
                    <w:rPr>
                      <w:rFonts w:hint="eastAsia"/>
                      <w:sz w:val="21"/>
                      <w:szCs w:val="21"/>
                    </w:rPr>
                    <w:t>环保工程</w:t>
                  </w:r>
                </w:p>
              </w:tc>
              <w:tc>
                <w:tcPr>
                  <w:tcW w:w="398" w:type="pct"/>
                  <w:vMerge w:val="restart"/>
                  <w:tcBorders>
                    <w:tl2br w:val="nil"/>
                    <w:tr2bl w:val="nil"/>
                  </w:tcBorders>
                  <w:noWrap w:val="0"/>
                  <w:vAlign w:val="center"/>
                </w:tcPr>
                <w:p>
                  <w:pPr>
                    <w:spacing w:line="360" w:lineRule="exact"/>
                    <w:jc w:val="center"/>
                    <w:rPr>
                      <w:sz w:val="21"/>
                      <w:szCs w:val="21"/>
                    </w:rPr>
                  </w:pPr>
                  <w:r>
                    <w:rPr>
                      <w:rFonts w:hint="eastAsia"/>
                      <w:sz w:val="21"/>
                      <w:szCs w:val="21"/>
                    </w:rPr>
                    <w:t>废气</w:t>
                  </w:r>
                </w:p>
              </w:tc>
              <w:tc>
                <w:tcPr>
                  <w:tcW w:w="640" w:type="pct"/>
                  <w:vMerge w:val="restart"/>
                  <w:tcBorders>
                    <w:tl2br w:val="nil"/>
                    <w:tr2bl w:val="nil"/>
                  </w:tcBorders>
                  <w:noWrap w:val="0"/>
                  <w:vAlign w:val="center"/>
                </w:tcPr>
                <w:p>
                  <w:pPr>
                    <w:spacing w:line="240" w:lineRule="auto"/>
                    <w:jc w:val="center"/>
                    <w:rPr>
                      <w:rFonts w:hint="eastAsia"/>
                      <w:sz w:val="21"/>
                      <w:szCs w:val="21"/>
                    </w:rPr>
                  </w:pPr>
                  <w:r>
                    <w:rPr>
                      <w:rFonts w:hint="eastAsia"/>
                      <w:sz w:val="21"/>
                      <w:szCs w:val="21"/>
                      <w:lang w:val="en-US" w:eastAsia="zh-CN"/>
                    </w:rPr>
                    <w:t>报废机动车</w:t>
                  </w:r>
                  <w:r>
                    <w:rPr>
                      <w:rFonts w:hint="eastAsia"/>
                      <w:sz w:val="21"/>
                      <w:szCs w:val="21"/>
                    </w:rPr>
                    <w:t>拆解</w:t>
                  </w:r>
                </w:p>
              </w:tc>
              <w:tc>
                <w:tcPr>
                  <w:tcW w:w="3250" w:type="pct"/>
                  <w:tcBorders>
                    <w:tl2br w:val="nil"/>
                    <w:tr2bl w:val="nil"/>
                  </w:tcBorders>
                  <w:noWrap w:val="0"/>
                  <w:vAlign w:val="center"/>
                </w:tcPr>
                <w:p>
                  <w:pPr>
                    <w:spacing w:line="240" w:lineRule="auto"/>
                    <w:jc w:val="center"/>
                    <w:rPr>
                      <w:rFonts w:hint="eastAsia"/>
                      <w:kern w:val="2"/>
                      <w:sz w:val="21"/>
                      <w:szCs w:val="21"/>
                      <w:u w:val="none"/>
                      <w:lang w:val="en-US" w:eastAsia="zh-CN" w:bidi="ar-SA"/>
                    </w:rPr>
                  </w:pPr>
                  <w:r>
                    <w:rPr>
                      <w:rFonts w:hint="eastAsia"/>
                      <w:sz w:val="21"/>
                      <w:szCs w:val="21"/>
                      <w:u w:val="none"/>
                      <w:lang w:val="en-US" w:eastAsia="zh-CN"/>
                    </w:rPr>
                    <w:t>废油液挥发废气经</w:t>
                  </w:r>
                  <w:r>
                    <w:rPr>
                      <w:rFonts w:hint="default" w:eastAsia="宋体"/>
                      <w:sz w:val="21"/>
                      <w:szCs w:val="21"/>
                      <w:u w:val="none"/>
                      <w:lang w:val="en-US" w:eastAsia="zh-CN"/>
                    </w:rPr>
                    <w:t>集尘罩+</w:t>
                  </w:r>
                  <w:r>
                    <w:rPr>
                      <w:rFonts w:hint="eastAsia" w:ascii="Times New Roman" w:hAnsi="Times New Roman" w:cs="Times New Roman"/>
                      <w:b w:val="0"/>
                      <w:bCs w:val="0"/>
                      <w:sz w:val="21"/>
                      <w:szCs w:val="21"/>
                      <w:u w:val="none"/>
                      <w:lang w:val="en-US" w:eastAsia="zh-CN"/>
                    </w:rPr>
                    <w:t>活性炭吸附装置</w:t>
                  </w:r>
                  <w:r>
                    <w:rPr>
                      <w:rFonts w:hint="default" w:eastAsia="宋体"/>
                      <w:sz w:val="21"/>
                      <w:szCs w:val="21"/>
                      <w:u w:val="none"/>
                      <w:lang w:val="en-US" w:eastAsia="zh-CN"/>
                    </w:rPr>
                    <w:t>+15m高排气筒</w:t>
                  </w:r>
                  <w:r>
                    <w:rPr>
                      <w:rFonts w:hint="eastAsia"/>
                      <w:sz w:val="21"/>
                      <w:szCs w:val="21"/>
                      <w:u w:val="none"/>
                      <w:lang w:val="en-US" w:eastAsia="zh-CN"/>
                    </w:rPr>
                    <w:t>排放（DA001）</w:t>
                  </w:r>
                </w:p>
              </w:tc>
              <w:tc>
                <w:tcPr>
                  <w:tcW w:w="457" w:type="pct"/>
                  <w:tcBorders>
                    <w:tl2br w:val="nil"/>
                    <w:tr2bl w:val="nil"/>
                  </w:tcBorders>
                  <w:noWrap w:val="0"/>
                  <w:vAlign w:val="center"/>
                </w:tcPr>
                <w:p>
                  <w:pPr>
                    <w:spacing w:line="240" w:lineRule="auto"/>
                    <w:jc w:val="center"/>
                    <w:rPr>
                      <w:rFonts w:hint="eastAsia"/>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vMerge w:val="continue"/>
                  <w:tcBorders>
                    <w:tl2br w:val="nil"/>
                    <w:tr2bl w:val="nil"/>
                  </w:tcBorders>
                  <w:noWrap w:val="0"/>
                  <w:vAlign w:val="center"/>
                </w:tcPr>
                <w:p>
                  <w:pPr>
                    <w:spacing w:line="240" w:lineRule="auto"/>
                    <w:jc w:val="center"/>
                    <w:rPr>
                      <w:rFonts w:hint="eastAsia"/>
                      <w:sz w:val="21"/>
                      <w:szCs w:val="21"/>
                      <w:lang w:val="en-US" w:eastAsia="zh-CN"/>
                    </w:rPr>
                  </w:pPr>
                </w:p>
              </w:tc>
              <w:tc>
                <w:tcPr>
                  <w:tcW w:w="3250" w:type="pct"/>
                  <w:tcBorders>
                    <w:tl2br w:val="nil"/>
                    <w:tr2bl w:val="nil"/>
                  </w:tcBorders>
                  <w:noWrap w:val="0"/>
                  <w:vAlign w:val="center"/>
                </w:tcPr>
                <w:p>
                  <w:pPr>
                    <w:spacing w:line="240" w:lineRule="auto"/>
                    <w:jc w:val="center"/>
                    <w:rPr>
                      <w:rFonts w:hint="eastAsia"/>
                      <w:kern w:val="2"/>
                      <w:sz w:val="21"/>
                      <w:szCs w:val="21"/>
                      <w:u w:val="none"/>
                      <w:lang w:val="en-US" w:eastAsia="zh-CN" w:bidi="ar-SA"/>
                    </w:rPr>
                  </w:pPr>
                  <w:r>
                    <w:rPr>
                      <w:rFonts w:hint="eastAsia"/>
                      <w:sz w:val="21"/>
                      <w:szCs w:val="21"/>
                      <w:u w:val="none"/>
                      <w:lang w:val="en-US" w:eastAsia="zh-CN"/>
                    </w:rPr>
                    <w:t>暂存废油液的危险废物暂存间产生的非甲烷总烃经引风管道收集+活性炭吸附装置处理后与废油液挥发废气一并经15m高排气筒排放（DA001）</w:t>
                  </w:r>
                </w:p>
              </w:tc>
              <w:tc>
                <w:tcPr>
                  <w:tcW w:w="457" w:type="pct"/>
                  <w:tcBorders>
                    <w:tl2br w:val="nil"/>
                    <w:tr2bl w:val="nil"/>
                  </w:tcBorders>
                  <w:noWrap w:val="0"/>
                  <w:vAlign w:val="center"/>
                </w:tcPr>
                <w:p>
                  <w:pPr>
                    <w:spacing w:line="240" w:lineRule="auto"/>
                    <w:jc w:val="center"/>
                    <w:rPr>
                      <w:rFonts w:hint="eastAsia"/>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vMerge w:val="continue"/>
                  <w:tcBorders>
                    <w:tl2br w:val="nil"/>
                    <w:tr2bl w:val="nil"/>
                  </w:tcBorders>
                  <w:noWrap w:val="0"/>
                  <w:vAlign w:val="center"/>
                </w:tcPr>
                <w:p>
                  <w:pPr>
                    <w:spacing w:line="240" w:lineRule="auto"/>
                    <w:jc w:val="center"/>
                    <w:rPr>
                      <w:rFonts w:hint="eastAsia"/>
                      <w:sz w:val="21"/>
                      <w:szCs w:val="21"/>
                      <w:lang w:val="en-US" w:eastAsia="zh-CN"/>
                    </w:rPr>
                  </w:pPr>
                </w:p>
              </w:tc>
              <w:tc>
                <w:tcPr>
                  <w:tcW w:w="3250" w:type="pct"/>
                  <w:tcBorders>
                    <w:tl2br w:val="nil"/>
                    <w:tr2bl w:val="nil"/>
                  </w:tcBorders>
                  <w:noWrap w:val="0"/>
                  <w:vAlign w:val="center"/>
                </w:tcPr>
                <w:p>
                  <w:pPr>
                    <w:spacing w:line="240" w:lineRule="auto"/>
                    <w:jc w:val="center"/>
                    <w:rPr>
                      <w:rFonts w:hint="eastAsia"/>
                      <w:sz w:val="21"/>
                      <w:szCs w:val="21"/>
                      <w:u w:val="none"/>
                      <w:lang w:val="en-US" w:eastAsia="zh-CN"/>
                    </w:rPr>
                  </w:pPr>
                  <w:r>
                    <w:rPr>
                      <w:rFonts w:hint="default" w:ascii="Times New Roman" w:hAnsi="Times New Roman" w:cs="Times New Roman"/>
                      <w:b w:val="0"/>
                      <w:bCs w:val="0"/>
                      <w:sz w:val="21"/>
                      <w:szCs w:val="21"/>
                      <w:u w:val="none"/>
                      <w:lang w:val="en-US" w:eastAsia="zh-CN"/>
                    </w:rPr>
                    <w:t>安全气囊废气经爆破自带收尘系统过滤</w:t>
                  </w:r>
                </w:p>
              </w:tc>
              <w:tc>
                <w:tcPr>
                  <w:tcW w:w="457" w:type="pct"/>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u w:val="none"/>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3"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vMerge w:val="continue"/>
                  <w:tcBorders>
                    <w:tl2br w:val="nil"/>
                    <w:tr2bl w:val="nil"/>
                  </w:tcBorders>
                  <w:noWrap w:val="0"/>
                  <w:vAlign w:val="center"/>
                </w:tcPr>
                <w:p>
                  <w:pPr>
                    <w:spacing w:line="240" w:lineRule="auto"/>
                    <w:jc w:val="center"/>
                    <w:rPr>
                      <w:rFonts w:hint="eastAsia"/>
                      <w:sz w:val="21"/>
                      <w:szCs w:val="21"/>
                      <w:lang w:val="en-US" w:eastAsia="zh-CN"/>
                    </w:rPr>
                  </w:pPr>
                </w:p>
              </w:tc>
              <w:tc>
                <w:tcPr>
                  <w:tcW w:w="3250" w:type="pct"/>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拆解粉尘通过</w:t>
                  </w:r>
                  <w:r>
                    <w:rPr>
                      <w:rFonts w:hint="eastAsia"/>
                      <w:sz w:val="21"/>
                      <w:szCs w:val="21"/>
                      <w:u w:val="none"/>
                      <w:lang w:eastAsia="zh-CN"/>
                    </w:rPr>
                    <w:t>及时清扫车间地面粉尘，加强车间通风</w:t>
                  </w:r>
                </w:p>
              </w:tc>
              <w:tc>
                <w:tcPr>
                  <w:tcW w:w="457" w:type="pct"/>
                  <w:tcBorders>
                    <w:tl2br w:val="nil"/>
                    <w:tr2bl w:val="nil"/>
                  </w:tcBorders>
                  <w:noWrap w:val="0"/>
                  <w:vAlign w:val="center"/>
                </w:tcPr>
                <w:p>
                  <w:pPr>
                    <w:spacing w:line="240" w:lineRule="auto"/>
                    <w:jc w:val="center"/>
                    <w:rPr>
                      <w:rFonts w:hint="eastAsia"/>
                      <w:sz w:val="21"/>
                      <w:szCs w:val="21"/>
                      <w:u w:val="none"/>
                      <w:lang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vMerge w:val="continue"/>
                  <w:tcBorders>
                    <w:tl2br w:val="nil"/>
                    <w:tr2bl w:val="nil"/>
                  </w:tcBorders>
                  <w:noWrap w:val="0"/>
                  <w:vAlign w:val="center"/>
                </w:tcPr>
                <w:p>
                  <w:pPr>
                    <w:spacing w:line="240" w:lineRule="auto"/>
                    <w:jc w:val="center"/>
                    <w:rPr>
                      <w:rFonts w:hint="eastAsia"/>
                      <w:sz w:val="21"/>
                      <w:szCs w:val="21"/>
                    </w:rPr>
                  </w:pPr>
                </w:p>
              </w:tc>
              <w:tc>
                <w:tcPr>
                  <w:tcW w:w="3250" w:type="pct"/>
                  <w:tcBorders>
                    <w:tl2br w:val="nil"/>
                    <w:tr2bl w:val="nil"/>
                  </w:tcBorders>
                  <w:noWrap w:val="0"/>
                  <w:vAlign w:val="center"/>
                </w:tcPr>
                <w:p>
                  <w:pPr>
                    <w:spacing w:line="240" w:lineRule="auto"/>
                    <w:jc w:val="center"/>
                    <w:rPr>
                      <w:rFonts w:hint="eastAsia"/>
                      <w:sz w:val="21"/>
                      <w:szCs w:val="21"/>
                    </w:rPr>
                  </w:pPr>
                  <w:r>
                    <w:rPr>
                      <w:rFonts w:hint="eastAsia"/>
                      <w:szCs w:val="21"/>
                      <w:u w:val="none"/>
                    </w:rPr>
                    <w:t>制冷剂回收废气</w:t>
                  </w:r>
                  <w:r>
                    <w:rPr>
                      <w:rFonts w:hint="eastAsia"/>
                      <w:szCs w:val="21"/>
                      <w:u w:val="none"/>
                      <w:lang w:eastAsia="zh-CN"/>
                    </w:rPr>
                    <w:t>经</w:t>
                  </w:r>
                  <w:r>
                    <w:rPr>
                      <w:rFonts w:hint="eastAsia"/>
                      <w:szCs w:val="21"/>
                      <w:u w:val="none"/>
                    </w:rPr>
                    <w:t>专门的制冷剂回收装置</w:t>
                  </w:r>
                </w:p>
              </w:tc>
              <w:tc>
                <w:tcPr>
                  <w:tcW w:w="457" w:type="pct"/>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tcBorders>
                    <w:tl2br w:val="nil"/>
                    <w:tr2bl w:val="nil"/>
                  </w:tcBorders>
                  <w:noWrap w:val="0"/>
                  <w:vAlign w:val="center"/>
                </w:tcPr>
                <w:p>
                  <w:pPr>
                    <w:spacing w:line="240" w:lineRule="auto"/>
                    <w:jc w:val="center"/>
                    <w:rPr>
                      <w:rFonts w:hint="eastAsia"/>
                      <w:sz w:val="21"/>
                      <w:szCs w:val="21"/>
                    </w:rPr>
                  </w:pPr>
                  <w:r>
                    <w:rPr>
                      <w:rFonts w:hint="eastAsia"/>
                      <w:sz w:val="21"/>
                      <w:szCs w:val="21"/>
                      <w:lang w:val="en-US" w:eastAsia="zh-CN"/>
                    </w:rPr>
                    <w:t>废钢铁加工</w:t>
                  </w:r>
                </w:p>
              </w:tc>
              <w:tc>
                <w:tcPr>
                  <w:tcW w:w="3250" w:type="pct"/>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金属粉尘</w:t>
                  </w:r>
                  <w:r>
                    <w:rPr>
                      <w:rFonts w:hint="eastAsia"/>
                      <w:sz w:val="21"/>
                      <w:szCs w:val="21"/>
                      <w:lang w:val="en-US" w:eastAsia="zh-CN"/>
                    </w:rPr>
                    <w:t>经</w:t>
                  </w:r>
                  <w:r>
                    <w:rPr>
                      <w:rFonts w:hint="default" w:eastAsia="宋体"/>
                      <w:sz w:val="21"/>
                      <w:szCs w:val="21"/>
                      <w:u w:val="none"/>
                      <w:lang w:val="en-US" w:eastAsia="zh-CN"/>
                    </w:rPr>
                    <w:t>集尘罩+布袋除尘器+15m高排气筒</w:t>
                  </w:r>
                </w:p>
              </w:tc>
              <w:tc>
                <w:tcPr>
                  <w:tcW w:w="457" w:type="pct"/>
                  <w:tcBorders>
                    <w:tl2br w:val="nil"/>
                    <w:tr2bl w:val="nil"/>
                  </w:tcBorders>
                  <w:noWrap w:val="0"/>
                  <w:vAlign w:val="center"/>
                </w:tcPr>
                <w:p>
                  <w:pPr>
                    <w:spacing w:line="240" w:lineRule="auto"/>
                    <w:jc w:val="center"/>
                    <w:rPr>
                      <w:rFonts w:hint="default" w:ascii="Times New Roman" w:hAnsi="Times New Roman" w:cs="Times New Roman"/>
                      <w:b w:val="0"/>
                      <w:bCs w:val="0"/>
                      <w:sz w:val="21"/>
                      <w:szCs w:val="21"/>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3" w:type="pct"/>
                  <w:vMerge w:val="continue"/>
                  <w:tcBorders>
                    <w:tl2br w:val="nil"/>
                    <w:tr2bl w:val="nil"/>
                  </w:tcBorders>
                  <w:noWrap w:val="0"/>
                  <w:vAlign w:val="center"/>
                </w:tcPr>
                <w:p>
                  <w:pPr>
                    <w:spacing w:line="360" w:lineRule="exact"/>
                    <w:jc w:val="center"/>
                    <w:rPr>
                      <w:rFonts w:hint="eastAsia"/>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tcBorders>
                    <w:tl2br w:val="nil"/>
                    <w:tr2bl w:val="nil"/>
                  </w:tcBorders>
                  <w:noWrap w:val="0"/>
                  <w:vAlign w:val="center"/>
                </w:tcPr>
                <w:p>
                  <w:pPr>
                    <w:spacing w:line="240" w:lineRule="auto"/>
                    <w:jc w:val="center"/>
                    <w:rPr>
                      <w:rFonts w:hint="default" w:eastAsia="宋体"/>
                      <w:sz w:val="21"/>
                      <w:szCs w:val="21"/>
                      <w:lang w:val="en-US" w:eastAsia="zh-CN"/>
                    </w:rPr>
                  </w:pPr>
                  <w:r>
                    <w:rPr>
                      <w:rFonts w:hint="eastAsia"/>
                      <w:sz w:val="21"/>
                      <w:szCs w:val="21"/>
                      <w:lang w:val="en-US" w:eastAsia="zh-CN"/>
                    </w:rPr>
                    <w:t>食堂油烟</w:t>
                  </w:r>
                </w:p>
              </w:tc>
              <w:tc>
                <w:tcPr>
                  <w:tcW w:w="3250" w:type="pct"/>
                  <w:tcBorders>
                    <w:tl2br w:val="nil"/>
                    <w:tr2bl w:val="nil"/>
                  </w:tcBorders>
                  <w:noWrap w:val="0"/>
                  <w:vAlign w:val="center"/>
                </w:tcPr>
                <w:p>
                  <w:pPr>
                    <w:spacing w:line="240" w:lineRule="auto"/>
                    <w:jc w:val="center"/>
                    <w:rPr>
                      <w:rFonts w:hint="default" w:ascii="Times New Roman" w:hAnsi="Times New Roman" w:cs="Times New Roman"/>
                      <w:sz w:val="21"/>
                      <w:szCs w:val="21"/>
                      <w:lang w:val="en-US" w:eastAsia="zh-CN"/>
                    </w:rPr>
                  </w:pPr>
                  <w:r>
                    <w:rPr>
                      <w:rFonts w:hint="default"/>
                      <w:sz w:val="21"/>
                      <w:szCs w:val="21"/>
                      <w:lang w:val="en-US" w:eastAsia="zh-CN"/>
                    </w:rPr>
                    <w:t>油烟经油烟净化器净化后</w:t>
                  </w:r>
                  <w:r>
                    <w:rPr>
                      <w:rFonts w:hint="eastAsia"/>
                      <w:sz w:val="21"/>
                      <w:szCs w:val="21"/>
                      <w:lang w:val="en-US" w:eastAsia="zh-CN"/>
                    </w:rPr>
                    <w:t>达标排放</w:t>
                  </w:r>
                </w:p>
              </w:tc>
              <w:tc>
                <w:tcPr>
                  <w:tcW w:w="457" w:type="pct"/>
                  <w:tcBorders>
                    <w:tl2br w:val="nil"/>
                    <w:tr2bl w:val="nil"/>
                  </w:tcBorders>
                  <w:noWrap w:val="0"/>
                  <w:vAlign w:val="center"/>
                </w:tcPr>
                <w:p>
                  <w:pPr>
                    <w:spacing w:line="240" w:lineRule="auto"/>
                    <w:jc w:val="center"/>
                    <w:rPr>
                      <w:rFonts w:hint="default"/>
                      <w:sz w:val="21"/>
                      <w:szCs w:val="21"/>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253" w:type="pct"/>
                  <w:vMerge w:val="continue"/>
                  <w:tcBorders>
                    <w:tl2br w:val="nil"/>
                    <w:tr2bl w:val="nil"/>
                  </w:tcBorders>
                  <w:noWrap w:val="0"/>
                  <w:vAlign w:val="center"/>
                </w:tcPr>
                <w:p>
                  <w:pPr>
                    <w:spacing w:line="360" w:lineRule="exact"/>
                    <w:jc w:val="center"/>
                    <w:rPr>
                      <w:sz w:val="21"/>
                      <w:szCs w:val="21"/>
                    </w:rPr>
                  </w:pPr>
                </w:p>
              </w:tc>
              <w:tc>
                <w:tcPr>
                  <w:tcW w:w="398" w:type="pct"/>
                  <w:vMerge w:val="restart"/>
                  <w:tcBorders>
                    <w:tl2br w:val="nil"/>
                    <w:tr2bl w:val="nil"/>
                  </w:tcBorders>
                  <w:noWrap w:val="0"/>
                  <w:vAlign w:val="center"/>
                </w:tcPr>
                <w:p>
                  <w:pPr>
                    <w:spacing w:line="360" w:lineRule="exact"/>
                    <w:jc w:val="center"/>
                    <w:rPr>
                      <w:sz w:val="21"/>
                      <w:szCs w:val="21"/>
                    </w:rPr>
                  </w:pPr>
                  <w:r>
                    <w:rPr>
                      <w:rFonts w:hint="eastAsia"/>
                      <w:sz w:val="21"/>
                      <w:szCs w:val="21"/>
                    </w:rPr>
                    <w:t>废水</w:t>
                  </w:r>
                </w:p>
              </w:tc>
              <w:tc>
                <w:tcPr>
                  <w:tcW w:w="640" w:type="pct"/>
                  <w:tcBorders>
                    <w:tl2br w:val="nil"/>
                    <w:tr2bl w:val="nil"/>
                  </w:tcBorders>
                  <w:noWrap w:val="0"/>
                  <w:vAlign w:val="center"/>
                </w:tcPr>
                <w:p>
                  <w:pPr>
                    <w:spacing w:line="360" w:lineRule="exact"/>
                    <w:jc w:val="center"/>
                    <w:rPr>
                      <w:rFonts w:hint="eastAsia"/>
                      <w:sz w:val="21"/>
                      <w:szCs w:val="21"/>
                    </w:rPr>
                  </w:pPr>
                  <w:r>
                    <w:rPr>
                      <w:rFonts w:hint="eastAsia"/>
                      <w:sz w:val="21"/>
                      <w:szCs w:val="21"/>
                    </w:rPr>
                    <w:t>生活污水</w:t>
                  </w:r>
                </w:p>
              </w:tc>
              <w:tc>
                <w:tcPr>
                  <w:tcW w:w="3250" w:type="pct"/>
                  <w:tcBorders>
                    <w:tl2br w:val="nil"/>
                    <w:tr2bl w:val="nil"/>
                  </w:tcBorders>
                  <w:noWrap w:val="0"/>
                  <w:vAlign w:val="center"/>
                </w:tcPr>
                <w:p>
                  <w:pPr>
                    <w:spacing w:line="240" w:lineRule="auto"/>
                    <w:jc w:val="center"/>
                    <w:rPr>
                      <w:rFonts w:hint="eastAsia"/>
                      <w:sz w:val="21"/>
                      <w:szCs w:val="21"/>
                      <w:lang w:val="en-US" w:eastAsia="zh-CN"/>
                    </w:rPr>
                  </w:pPr>
                  <w:r>
                    <w:rPr>
                      <w:sz w:val="21"/>
                      <w:szCs w:val="21"/>
                    </w:rPr>
                    <w:t>食堂废水经隔油池</w:t>
                  </w:r>
                  <w:r>
                    <w:rPr>
                      <w:rFonts w:hint="eastAsia"/>
                      <w:sz w:val="21"/>
                      <w:szCs w:val="21"/>
                      <w:lang w:eastAsia="zh-CN"/>
                    </w:rPr>
                    <w:t>预</w:t>
                  </w:r>
                  <w:r>
                    <w:rPr>
                      <w:sz w:val="21"/>
                      <w:szCs w:val="21"/>
                    </w:rPr>
                    <w:t>处理</w:t>
                  </w:r>
                  <w:r>
                    <w:rPr>
                      <w:rFonts w:hint="eastAsia"/>
                      <w:sz w:val="21"/>
                      <w:szCs w:val="21"/>
                      <w:lang w:eastAsia="zh-CN"/>
                    </w:rPr>
                    <w:t>，</w:t>
                  </w:r>
                  <w:r>
                    <w:rPr>
                      <w:rFonts w:hint="eastAsia"/>
                      <w:sz w:val="21"/>
                      <w:szCs w:val="21"/>
                    </w:rPr>
                    <w:t>生活污水</w:t>
                  </w:r>
                  <w:r>
                    <w:rPr>
                      <w:rFonts w:hint="eastAsia"/>
                      <w:sz w:val="21"/>
                      <w:szCs w:val="21"/>
                      <w:lang w:val="en-US" w:eastAsia="zh-CN"/>
                    </w:rPr>
                    <w:t>经</w:t>
                  </w:r>
                  <w:r>
                    <w:rPr>
                      <w:sz w:val="21"/>
                      <w:szCs w:val="21"/>
                    </w:rPr>
                    <w:t>化粪池</w:t>
                  </w:r>
                  <w:r>
                    <w:rPr>
                      <w:rFonts w:hint="eastAsia"/>
                      <w:sz w:val="21"/>
                      <w:szCs w:val="21"/>
                      <w:lang w:eastAsia="zh-CN"/>
                    </w:rPr>
                    <w:t>处理</w:t>
                  </w:r>
                  <w:r>
                    <w:rPr>
                      <w:rFonts w:hint="eastAsia" w:ascii="Calibri" w:hAnsi="Calibri" w:eastAsia="宋体" w:cs="Times New Roman"/>
                      <w:sz w:val="21"/>
                      <w:szCs w:val="21"/>
                    </w:rPr>
                    <w:t>后</w:t>
                  </w:r>
                  <w:r>
                    <w:rPr>
                      <w:rFonts w:hint="eastAsia" w:ascii="Calibri" w:hAnsi="Calibri" w:eastAsia="宋体" w:cs="Times New Roman"/>
                      <w:sz w:val="21"/>
                      <w:szCs w:val="21"/>
                      <w:lang w:eastAsia="zh-CN"/>
                    </w:rPr>
                    <w:t>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eastAsia" w:ascii="Calibri" w:hAnsi="Calibri" w:eastAsia="宋体" w:cs="Times New Roman"/>
                      <w:sz w:val="21"/>
                      <w:szCs w:val="21"/>
                      <w:lang w:eastAsia="zh-CN"/>
                    </w:rPr>
                    <w:t>处理后外排入渠水</w:t>
                  </w:r>
                </w:p>
              </w:tc>
              <w:tc>
                <w:tcPr>
                  <w:tcW w:w="457" w:type="pct"/>
                  <w:tcBorders>
                    <w:tl2br w:val="nil"/>
                    <w:tr2bl w:val="nil"/>
                  </w:tcBorders>
                  <w:noWrap w:val="0"/>
                  <w:vAlign w:val="center"/>
                </w:tcPr>
                <w:p>
                  <w:pPr>
                    <w:spacing w:line="240" w:lineRule="auto"/>
                    <w:jc w:val="center"/>
                    <w:rPr>
                      <w:sz w:val="21"/>
                      <w:szCs w:val="21"/>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253" w:type="pct"/>
                  <w:vMerge w:val="continue"/>
                  <w:tcBorders>
                    <w:tl2br w:val="nil"/>
                    <w:tr2bl w:val="nil"/>
                  </w:tcBorders>
                  <w:noWrap w:val="0"/>
                  <w:vAlign w:val="center"/>
                </w:tcPr>
                <w:p>
                  <w:pPr>
                    <w:spacing w:line="360" w:lineRule="exact"/>
                    <w:jc w:val="center"/>
                    <w:rPr>
                      <w:sz w:val="21"/>
                      <w:szCs w:val="21"/>
                    </w:rPr>
                  </w:pPr>
                </w:p>
              </w:tc>
              <w:tc>
                <w:tcPr>
                  <w:tcW w:w="398" w:type="pct"/>
                  <w:vMerge w:val="continue"/>
                  <w:tcBorders>
                    <w:tl2br w:val="nil"/>
                    <w:tr2bl w:val="nil"/>
                  </w:tcBorders>
                  <w:noWrap w:val="0"/>
                  <w:vAlign w:val="center"/>
                </w:tcPr>
                <w:p>
                  <w:pPr>
                    <w:spacing w:line="360" w:lineRule="exact"/>
                    <w:jc w:val="center"/>
                    <w:rPr>
                      <w:rFonts w:hint="eastAsia"/>
                      <w:sz w:val="21"/>
                      <w:szCs w:val="21"/>
                    </w:rPr>
                  </w:pP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sz w:val="21"/>
                      <w:szCs w:val="21"/>
                    </w:rPr>
                  </w:pPr>
                  <w:r>
                    <w:rPr>
                      <w:rFonts w:hint="eastAsia" w:ascii="Calibri" w:hAnsi="Calibri" w:eastAsia="宋体" w:cs="Times New Roman"/>
                      <w:sz w:val="21"/>
                      <w:szCs w:val="21"/>
                      <w:u w:val="none"/>
                      <w:lang w:val="en-US" w:eastAsia="zh-CN"/>
                    </w:rPr>
                    <w:t>初期</w:t>
                  </w:r>
                  <w:r>
                    <w:rPr>
                      <w:rFonts w:hint="eastAsia" w:ascii="Calibri" w:hAnsi="Calibri" w:eastAsia="宋体" w:cs="Times New Roman"/>
                      <w:sz w:val="21"/>
                      <w:szCs w:val="21"/>
                      <w:u w:val="none"/>
                    </w:rPr>
                    <w:t>雨水</w:t>
                  </w:r>
                  <w:r>
                    <w:rPr>
                      <w:rFonts w:hint="eastAsia" w:ascii="Calibri" w:hAnsi="Calibri" w:eastAsia="宋体" w:cs="Times New Roman"/>
                      <w:sz w:val="21"/>
                      <w:szCs w:val="21"/>
                      <w:u w:val="none"/>
                      <w:lang w:eastAsia="zh-CN"/>
                    </w:rPr>
                    <w:t>、</w:t>
                  </w:r>
                  <w:r>
                    <w:rPr>
                      <w:rFonts w:hint="eastAsia" w:ascii="Calibri" w:hAnsi="Calibri" w:eastAsia="宋体" w:cs="Times New Roman"/>
                      <w:sz w:val="21"/>
                      <w:szCs w:val="21"/>
                      <w:u w:val="none"/>
                    </w:rPr>
                    <w:t>拆解</w:t>
                  </w:r>
                  <w:r>
                    <w:rPr>
                      <w:rFonts w:hint="eastAsia" w:ascii="Calibri" w:hAnsi="Calibri" w:eastAsia="宋体" w:cs="Times New Roman"/>
                      <w:sz w:val="21"/>
                      <w:szCs w:val="21"/>
                      <w:u w:val="none"/>
                      <w:lang w:eastAsia="zh-CN"/>
                    </w:rPr>
                    <w:t>区</w:t>
                  </w:r>
                  <w:r>
                    <w:rPr>
                      <w:rFonts w:hint="eastAsia" w:ascii="Calibri" w:hAnsi="Calibri" w:eastAsia="宋体" w:cs="Times New Roman"/>
                      <w:sz w:val="21"/>
                      <w:szCs w:val="21"/>
                      <w:u w:val="none"/>
                    </w:rPr>
                    <w:t>地面清洁废水</w:t>
                  </w:r>
                </w:p>
              </w:tc>
              <w:tc>
                <w:tcPr>
                  <w:tcW w:w="3250" w:type="pct"/>
                  <w:tcBorders>
                    <w:tl2br w:val="nil"/>
                    <w:tr2bl w:val="nil"/>
                  </w:tcBorders>
                  <w:noWrap w:val="0"/>
                  <w:vAlign w:val="center"/>
                </w:tcPr>
                <w:p>
                  <w:pPr>
                    <w:spacing w:line="240" w:lineRule="auto"/>
                    <w:jc w:val="both"/>
                    <w:rPr>
                      <w:rFonts w:hint="eastAsia"/>
                      <w:sz w:val="21"/>
                      <w:szCs w:val="21"/>
                    </w:rPr>
                  </w:pPr>
                </w:p>
                <w:p>
                  <w:pPr>
                    <w:spacing w:line="240" w:lineRule="auto"/>
                    <w:jc w:val="both"/>
                    <w:rPr>
                      <w:rFonts w:hint="eastAsia"/>
                      <w:sz w:val="21"/>
                      <w:szCs w:val="21"/>
                    </w:rPr>
                  </w:pPr>
                  <w:r>
                    <w:rPr>
                      <w:rFonts w:hint="eastAsia"/>
                      <w:color w:val="000000"/>
                      <w:sz w:val="21"/>
                      <w:szCs w:val="21"/>
                      <w:u w:val="none"/>
                      <w:lang w:eastAsia="zh-CN"/>
                    </w:rPr>
                    <w:t>初期雨水</w:t>
                  </w:r>
                  <w:r>
                    <w:rPr>
                      <w:rFonts w:hint="eastAsia"/>
                      <w:color w:val="000000"/>
                      <w:sz w:val="21"/>
                      <w:szCs w:val="21"/>
                      <w:u w:val="none"/>
                    </w:rPr>
                    <w:t>经雨水明沟收集</w:t>
                  </w:r>
                  <w:r>
                    <w:rPr>
                      <w:rFonts w:hint="eastAsia"/>
                      <w:color w:val="000000"/>
                      <w:sz w:val="21"/>
                      <w:szCs w:val="21"/>
                      <w:u w:val="none"/>
                      <w:lang w:eastAsia="zh-CN"/>
                    </w:rPr>
                    <w:t>，</w:t>
                  </w:r>
                  <w:r>
                    <w:rPr>
                      <w:rFonts w:hint="eastAsia"/>
                      <w:color w:val="000000"/>
                      <w:sz w:val="21"/>
                      <w:szCs w:val="21"/>
                      <w:u w:val="none"/>
                      <w:lang w:val="en-US" w:eastAsia="zh-CN"/>
                    </w:rPr>
                    <w:t>收集的雨水进入初期雨水收集池</w:t>
                  </w:r>
                  <w:r>
                    <w:rPr>
                      <w:rFonts w:hint="eastAsia"/>
                      <w:color w:val="auto"/>
                      <w:sz w:val="21"/>
                      <w:szCs w:val="21"/>
                      <w:u w:val="none"/>
                      <w:lang w:eastAsia="zh-CN"/>
                    </w:rPr>
                    <w:t>（</w:t>
                  </w:r>
                  <w:r>
                    <w:rPr>
                      <w:rFonts w:hint="eastAsia"/>
                      <w:color w:val="auto"/>
                      <w:sz w:val="21"/>
                      <w:szCs w:val="21"/>
                      <w:u w:val="none"/>
                      <w:lang w:val="en-US" w:eastAsia="zh-CN"/>
                    </w:rPr>
                    <w:t>75m</w:t>
                  </w:r>
                  <w:r>
                    <w:rPr>
                      <w:rFonts w:hint="eastAsia"/>
                      <w:color w:val="auto"/>
                      <w:sz w:val="21"/>
                      <w:szCs w:val="21"/>
                      <w:u w:val="none"/>
                      <w:vertAlign w:val="superscript"/>
                      <w:lang w:val="en-US" w:eastAsia="zh-CN"/>
                    </w:rPr>
                    <w:t>3</w:t>
                  </w:r>
                  <w:r>
                    <w:rPr>
                      <w:rFonts w:hint="eastAsia"/>
                      <w:color w:val="auto"/>
                      <w:sz w:val="21"/>
                      <w:szCs w:val="21"/>
                      <w:u w:val="none"/>
                      <w:lang w:eastAsia="zh-CN"/>
                    </w:rPr>
                    <w:t>）</w:t>
                  </w:r>
                  <w:r>
                    <w:rPr>
                      <w:rFonts w:hint="eastAsia"/>
                      <w:sz w:val="21"/>
                      <w:szCs w:val="21"/>
                      <w:u w:val="none"/>
                      <w:lang w:eastAsia="zh-CN"/>
                    </w:rPr>
                    <w:t>收集，通过</w:t>
                  </w:r>
                  <w:r>
                    <w:rPr>
                      <w:rFonts w:hint="eastAsia"/>
                      <w:color w:val="000000"/>
                      <w:kern w:val="0"/>
                      <w:szCs w:val="21"/>
                      <w:highlight w:val="none"/>
                      <w:u w:val="none"/>
                      <w:lang w:eastAsia="zh-CN"/>
                    </w:rPr>
                    <w:t>隔油池</w:t>
                  </w:r>
                  <w:r>
                    <w:rPr>
                      <w:rFonts w:hint="eastAsia"/>
                      <w:color w:val="000000"/>
                      <w:kern w:val="0"/>
                      <w:szCs w:val="21"/>
                      <w:highlight w:val="none"/>
                      <w:u w:val="none"/>
                      <w:lang w:val="en-US" w:eastAsia="zh-CN"/>
                    </w:rPr>
                    <w:t>+</w:t>
                  </w:r>
                  <w:r>
                    <w:rPr>
                      <w:rFonts w:hint="eastAsia" w:ascii="Calibri" w:hAnsi="Calibri" w:eastAsia="宋体" w:cs="Times New Roman"/>
                      <w:sz w:val="21"/>
                      <w:szCs w:val="21"/>
                      <w:u w:val="none"/>
                      <w:lang w:eastAsia="zh-CN"/>
                    </w:rPr>
                    <w:t>气浮机</w:t>
                  </w:r>
                  <w:r>
                    <w:rPr>
                      <w:rFonts w:hint="eastAsia" w:ascii="Calibri" w:hAnsi="Calibri" w:eastAsia="宋体" w:cs="Times New Roman"/>
                      <w:sz w:val="21"/>
                      <w:szCs w:val="21"/>
                      <w:u w:val="none"/>
                    </w:rPr>
                    <w:t>处理后</w:t>
                  </w:r>
                  <w:r>
                    <w:rPr>
                      <w:rFonts w:hint="eastAsia" w:ascii="Calibri" w:hAnsi="Calibri" w:eastAsia="宋体" w:cs="Times New Roman"/>
                      <w:sz w:val="21"/>
                      <w:szCs w:val="21"/>
                      <w:u w:val="none"/>
                      <w:lang w:eastAsia="zh-CN"/>
                    </w:rPr>
                    <w:t>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eastAsia" w:ascii="Calibri" w:hAnsi="Calibri" w:eastAsia="宋体" w:cs="Times New Roman"/>
                      <w:sz w:val="21"/>
                      <w:szCs w:val="21"/>
                      <w:lang w:eastAsia="zh-CN"/>
                    </w:rPr>
                    <w:t>处理后外排入渠水</w:t>
                  </w:r>
                </w:p>
              </w:tc>
              <w:tc>
                <w:tcPr>
                  <w:tcW w:w="457" w:type="pct"/>
                  <w:tcBorders>
                    <w:tl2br w:val="nil"/>
                    <w:tr2bl w:val="nil"/>
                  </w:tcBorders>
                  <w:noWrap w:val="0"/>
                  <w:vAlign w:val="center"/>
                </w:tcPr>
                <w:p>
                  <w:pPr>
                    <w:spacing w:line="240" w:lineRule="auto"/>
                    <w:jc w:val="center"/>
                    <w:rPr>
                      <w:rFonts w:hint="eastAsia"/>
                      <w:sz w:val="21"/>
                      <w:szCs w:val="21"/>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253" w:type="pct"/>
                  <w:vMerge w:val="continue"/>
                  <w:tcBorders>
                    <w:tl2br w:val="nil"/>
                    <w:tr2bl w:val="nil"/>
                  </w:tcBorders>
                  <w:noWrap w:val="0"/>
                  <w:vAlign w:val="center"/>
                </w:tcPr>
                <w:p>
                  <w:pPr>
                    <w:spacing w:line="360" w:lineRule="exact"/>
                    <w:jc w:val="center"/>
                    <w:rPr>
                      <w:sz w:val="21"/>
                      <w:szCs w:val="21"/>
                    </w:rPr>
                  </w:pPr>
                </w:p>
              </w:tc>
              <w:tc>
                <w:tcPr>
                  <w:tcW w:w="1038" w:type="pct"/>
                  <w:gridSpan w:val="2"/>
                  <w:tcBorders>
                    <w:tl2br w:val="nil"/>
                    <w:tr2bl w:val="nil"/>
                  </w:tcBorders>
                  <w:noWrap w:val="0"/>
                  <w:vAlign w:val="center"/>
                </w:tcPr>
                <w:p>
                  <w:pPr>
                    <w:spacing w:line="360" w:lineRule="exact"/>
                    <w:jc w:val="center"/>
                    <w:rPr>
                      <w:rFonts w:hint="eastAsia" w:ascii="Calibri" w:hAnsi="Calibri" w:eastAsia="宋体" w:cs="Times New Roman"/>
                      <w:kern w:val="2"/>
                      <w:sz w:val="21"/>
                      <w:szCs w:val="21"/>
                      <w:lang w:val="en-US" w:eastAsia="zh-CN" w:bidi="ar-SA"/>
                    </w:rPr>
                  </w:pPr>
                  <w:r>
                    <w:rPr>
                      <w:rFonts w:hint="eastAsia" w:ascii="Calibri" w:hAnsi="Calibri" w:eastAsia="宋体" w:cs="Times New Roman"/>
                      <w:sz w:val="21"/>
                      <w:szCs w:val="21"/>
                      <w:lang w:eastAsia="zh-CN"/>
                    </w:rPr>
                    <w:t>噪声</w:t>
                  </w:r>
                </w:p>
              </w:tc>
              <w:tc>
                <w:tcPr>
                  <w:tcW w:w="3250" w:type="pct"/>
                  <w:tcBorders>
                    <w:tl2br w:val="nil"/>
                    <w:tr2bl w:val="nil"/>
                  </w:tcBorders>
                  <w:noWrap w:val="0"/>
                  <w:vAlign w:val="center"/>
                </w:tcPr>
                <w:p>
                  <w:pPr>
                    <w:spacing w:line="240" w:lineRule="auto"/>
                    <w:jc w:val="center"/>
                    <w:rPr>
                      <w:rFonts w:hint="eastAsia"/>
                      <w:kern w:val="2"/>
                      <w:sz w:val="21"/>
                      <w:szCs w:val="21"/>
                      <w:lang w:val="en-US" w:eastAsia="zh-CN" w:bidi="ar-SA"/>
                    </w:rPr>
                  </w:pPr>
                  <w:r>
                    <w:rPr>
                      <w:rFonts w:hint="eastAsia"/>
                      <w:sz w:val="21"/>
                      <w:szCs w:val="21"/>
                      <w:lang w:val="en-US" w:eastAsia="zh-CN"/>
                    </w:rPr>
                    <w:t>消声、基础减振、厂房隔声等</w:t>
                  </w:r>
                </w:p>
              </w:tc>
              <w:tc>
                <w:tcPr>
                  <w:tcW w:w="457" w:type="pct"/>
                  <w:tcBorders>
                    <w:tl2br w:val="nil"/>
                    <w:tr2bl w:val="nil"/>
                  </w:tcBorders>
                  <w:noWrap w:val="0"/>
                  <w:vAlign w:val="center"/>
                </w:tcPr>
                <w:p>
                  <w:pPr>
                    <w:spacing w:line="240" w:lineRule="auto"/>
                    <w:jc w:val="center"/>
                    <w:rPr>
                      <w:rFonts w:hint="eastAsia"/>
                      <w:sz w:val="21"/>
                      <w:szCs w:val="21"/>
                      <w:lang w:val="en-US" w:eastAsia="zh-CN"/>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3" w:type="pct"/>
                  <w:vMerge w:val="continue"/>
                  <w:tcBorders>
                    <w:tl2br w:val="nil"/>
                    <w:tr2bl w:val="nil"/>
                  </w:tcBorders>
                  <w:noWrap w:val="0"/>
                  <w:vAlign w:val="center"/>
                </w:tcPr>
                <w:p>
                  <w:pPr>
                    <w:spacing w:line="360" w:lineRule="exact"/>
                    <w:jc w:val="center"/>
                    <w:rPr>
                      <w:sz w:val="21"/>
                      <w:szCs w:val="21"/>
                    </w:rPr>
                  </w:pPr>
                </w:p>
              </w:tc>
              <w:tc>
                <w:tcPr>
                  <w:tcW w:w="1038" w:type="pct"/>
                  <w:gridSpan w:val="2"/>
                  <w:tcBorders>
                    <w:tl2br w:val="nil"/>
                    <w:tr2bl w:val="nil"/>
                  </w:tcBorders>
                  <w:noWrap w:val="0"/>
                  <w:vAlign w:val="center"/>
                </w:tcPr>
                <w:p>
                  <w:pPr>
                    <w:spacing w:line="360" w:lineRule="exact"/>
                    <w:jc w:val="center"/>
                    <w:rPr>
                      <w:rFonts w:hint="default" w:eastAsia="宋体"/>
                      <w:sz w:val="21"/>
                      <w:szCs w:val="21"/>
                      <w:lang w:val="en-US" w:eastAsia="zh-CN"/>
                    </w:rPr>
                  </w:pPr>
                  <w:r>
                    <w:rPr>
                      <w:rFonts w:hint="eastAsia"/>
                      <w:sz w:val="21"/>
                      <w:szCs w:val="21"/>
                      <w:lang w:val="en-US" w:eastAsia="zh-CN"/>
                    </w:rPr>
                    <w:t>一般固废暂存间</w:t>
                  </w:r>
                </w:p>
              </w:tc>
              <w:tc>
                <w:tcPr>
                  <w:tcW w:w="3250" w:type="pct"/>
                  <w:tcBorders>
                    <w:tl2br w:val="nil"/>
                    <w:tr2bl w:val="nil"/>
                  </w:tcBorders>
                  <w:noWrap w:val="0"/>
                  <w:vAlign w:val="center"/>
                </w:tcPr>
                <w:p>
                  <w:pPr>
                    <w:spacing w:line="360" w:lineRule="exact"/>
                    <w:jc w:val="center"/>
                    <w:rPr>
                      <w:sz w:val="21"/>
                      <w:szCs w:val="21"/>
                    </w:rPr>
                  </w:pPr>
                  <w:r>
                    <w:rPr>
                      <w:rFonts w:hint="eastAsia"/>
                      <w:sz w:val="21"/>
                      <w:szCs w:val="21"/>
                    </w:rPr>
                    <w:t>面积约</w:t>
                  </w:r>
                  <w:r>
                    <w:rPr>
                      <w:rFonts w:hint="eastAsia"/>
                      <w:sz w:val="21"/>
                      <w:szCs w:val="21"/>
                      <w:lang w:val="en-US" w:eastAsia="zh-CN"/>
                    </w:rPr>
                    <w:t>2660.85</w:t>
                  </w:r>
                  <w:r>
                    <w:rPr>
                      <w:rFonts w:hint="eastAsia"/>
                      <w:sz w:val="21"/>
                      <w:szCs w:val="21"/>
                    </w:rPr>
                    <w:t>m</w:t>
                  </w:r>
                  <w:r>
                    <w:rPr>
                      <w:rFonts w:hint="eastAsia"/>
                      <w:sz w:val="21"/>
                      <w:szCs w:val="21"/>
                      <w:vertAlign w:val="superscript"/>
                    </w:rPr>
                    <w:t>2</w:t>
                  </w:r>
                  <w:r>
                    <w:rPr>
                      <w:rFonts w:hint="eastAsia"/>
                      <w:sz w:val="21"/>
                      <w:szCs w:val="21"/>
                    </w:rPr>
                    <w:t>各类固体废物分区存放</w:t>
                  </w:r>
                </w:p>
              </w:tc>
              <w:tc>
                <w:tcPr>
                  <w:tcW w:w="457" w:type="pct"/>
                  <w:tcBorders>
                    <w:tl2br w:val="nil"/>
                    <w:tr2bl w:val="nil"/>
                  </w:tcBorders>
                  <w:noWrap w:val="0"/>
                  <w:vAlign w:val="center"/>
                </w:tcPr>
                <w:p>
                  <w:pPr>
                    <w:spacing w:line="360" w:lineRule="exact"/>
                    <w:jc w:val="center"/>
                    <w:rPr>
                      <w:rFonts w:hint="eastAsia"/>
                      <w:sz w:val="21"/>
                      <w:szCs w:val="21"/>
                    </w:rPr>
                  </w:pPr>
                  <w:r>
                    <w:rPr>
                      <w:rFonts w:hint="eastAsia"/>
                      <w:sz w:val="21"/>
                      <w:szCs w:val="21"/>
                      <w:u w:val="none"/>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3" w:type="pct"/>
                  <w:vMerge w:val="continue"/>
                  <w:tcBorders>
                    <w:tl2br w:val="nil"/>
                    <w:tr2bl w:val="nil"/>
                  </w:tcBorders>
                  <w:noWrap w:val="0"/>
                  <w:vAlign w:val="center"/>
                </w:tcPr>
                <w:p>
                  <w:pPr>
                    <w:spacing w:line="360" w:lineRule="exact"/>
                    <w:jc w:val="center"/>
                    <w:rPr>
                      <w:sz w:val="21"/>
                      <w:szCs w:val="21"/>
                    </w:rPr>
                  </w:pPr>
                </w:p>
              </w:tc>
              <w:tc>
                <w:tcPr>
                  <w:tcW w:w="1038" w:type="pct"/>
                  <w:gridSpan w:val="2"/>
                  <w:tcBorders>
                    <w:tl2br w:val="nil"/>
                    <w:tr2bl w:val="nil"/>
                  </w:tcBorders>
                  <w:noWrap w:val="0"/>
                  <w:vAlign w:val="center"/>
                </w:tcPr>
                <w:p>
                  <w:pPr>
                    <w:spacing w:line="240" w:lineRule="auto"/>
                    <w:jc w:val="center"/>
                    <w:rPr>
                      <w:rFonts w:hint="default" w:eastAsia="宋体"/>
                      <w:sz w:val="21"/>
                      <w:szCs w:val="21"/>
                      <w:lang w:val="en-US" w:eastAsia="zh-CN"/>
                    </w:rPr>
                  </w:pPr>
                  <w:r>
                    <w:rPr>
                      <w:rFonts w:hint="eastAsia"/>
                      <w:sz w:val="21"/>
                      <w:szCs w:val="21"/>
                      <w:lang w:val="en-US" w:eastAsia="zh-CN"/>
                    </w:rPr>
                    <w:t>危险废物暂存间</w:t>
                  </w:r>
                </w:p>
              </w:tc>
              <w:tc>
                <w:tcPr>
                  <w:tcW w:w="3250" w:type="pct"/>
                  <w:tcBorders>
                    <w:tl2br w:val="nil"/>
                    <w:tr2bl w:val="nil"/>
                  </w:tcBorders>
                  <w:noWrap w:val="0"/>
                  <w:vAlign w:val="center"/>
                </w:tcPr>
                <w:p>
                  <w:pPr>
                    <w:spacing w:line="280" w:lineRule="exact"/>
                    <w:jc w:val="center"/>
                    <w:rPr>
                      <w:sz w:val="21"/>
                      <w:szCs w:val="21"/>
                    </w:rPr>
                  </w:pPr>
                  <w:r>
                    <w:rPr>
                      <w:sz w:val="21"/>
                      <w:szCs w:val="21"/>
                    </w:rPr>
                    <w:t>设</w:t>
                  </w:r>
                  <w:r>
                    <w:rPr>
                      <w:rFonts w:hint="eastAsia"/>
                      <w:sz w:val="21"/>
                      <w:szCs w:val="21"/>
                      <w:lang w:val="en-US" w:eastAsia="zh-CN"/>
                    </w:rPr>
                    <w:t>271.73</w:t>
                  </w:r>
                  <w:r>
                    <w:rPr>
                      <w:sz w:val="21"/>
                      <w:szCs w:val="21"/>
                    </w:rPr>
                    <w:t>m</w:t>
                  </w:r>
                  <w:r>
                    <w:rPr>
                      <w:sz w:val="21"/>
                      <w:szCs w:val="21"/>
                      <w:vertAlign w:val="superscript"/>
                    </w:rPr>
                    <w:t>2</w:t>
                  </w:r>
                  <w:r>
                    <w:rPr>
                      <w:rFonts w:hint="eastAsia"/>
                      <w:sz w:val="21"/>
                      <w:szCs w:val="21"/>
                    </w:rPr>
                    <w:t>危废储存库</w:t>
                  </w:r>
                  <w:r>
                    <w:rPr>
                      <w:rFonts w:hint="eastAsia"/>
                      <w:sz w:val="21"/>
                      <w:szCs w:val="21"/>
                      <w:lang w:eastAsia="zh-CN"/>
                    </w:rPr>
                    <w:t>，</w:t>
                  </w:r>
                  <w:r>
                    <w:rPr>
                      <w:rFonts w:hint="eastAsia"/>
                      <w:sz w:val="21"/>
                      <w:szCs w:val="21"/>
                      <w:u w:val="none"/>
                    </w:rPr>
                    <w:t>按GB18597-2011的要求建设，做到防腐防渗防雨防风，</w:t>
                  </w:r>
                  <w:r>
                    <w:rPr>
                      <w:rFonts w:hint="eastAsia"/>
                      <w:sz w:val="21"/>
                      <w:szCs w:val="21"/>
                      <w:u w:val="none"/>
                      <w:lang w:val="en-US" w:eastAsia="zh-CN"/>
                    </w:rPr>
                    <w:t>各类</w:t>
                  </w:r>
                  <w:r>
                    <w:rPr>
                      <w:rFonts w:hint="eastAsia"/>
                      <w:sz w:val="21"/>
                      <w:szCs w:val="21"/>
                      <w:u w:val="none"/>
                    </w:rPr>
                    <w:t>危险废物分</w:t>
                  </w:r>
                  <w:r>
                    <w:rPr>
                      <w:rFonts w:hint="eastAsia"/>
                      <w:sz w:val="21"/>
                      <w:szCs w:val="21"/>
                      <w:u w:val="none"/>
                      <w:lang w:eastAsia="zh-CN"/>
                    </w:rPr>
                    <w:t>类</w:t>
                  </w:r>
                  <w:r>
                    <w:rPr>
                      <w:rFonts w:hint="eastAsia"/>
                      <w:sz w:val="21"/>
                      <w:szCs w:val="21"/>
                      <w:u w:val="none"/>
                    </w:rPr>
                    <w:t>存放，</w:t>
                  </w:r>
                  <w:r>
                    <w:rPr>
                      <w:rFonts w:hint="eastAsia"/>
                      <w:sz w:val="21"/>
                      <w:szCs w:val="21"/>
                      <w:u w:val="none"/>
                      <w:lang w:val="en-US" w:eastAsia="zh-CN"/>
                    </w:rPr>
                    <w:t>废油液</w:t>
                  </w:r>
                  <w:r>
                    <w:rPr>
                      <w:rFonts w:hint="eastAsia"/>
                      <w:sz w:val="21"/>
                      <w:szCs w:val="21"/>
                      <w:u w:val="none"/>
                      <w:lang w:eastAsia="zh-CN"/>
                    </w:rPr>
                    <w:t>暂存间地面四周设置导流沟和收集池等。</w:t>
                  </w:r>
                </w:p>
              </w:tc>
              <w:tc>
                <w:tcPr>
                  <w:tcW w:w="457" w:type="pct"/>
                  <w:tcBorders>
                    <w:tl2br w:val="nil"/>
                    <w:tr2bl w:val="nil"/>
                  </w:tcBorders>
                  <w:noWrap w:val="0"/>
                  <w:vAlign w:val="center"/>
                </w:tcPr>
                <w:p>
                  <w:pPr>
                    <w:spacing w:line="280" w:lineRule="exact"/>
                    <w:jc w:val="center"/>
                    <w:rPr>
                      <w:sz w:val="21"/>
                      <w:szCs w:val="21"/>
                    </w:rPr>
                  </w:pPr>
                  <w:r>
                    <w:rPr>
                      <w:rFonts w:hint="eastAsia"/>
                      <w:sz w:val="21"/>
                      <w:szCs w:val="21"/>
                      <w:u w:val="none"/>
                      <w:lang w:eastAsia="zh-CN"/>
                    </w:rPr>
                    <w:t>新建</w:t>
                  </w:r>
                </w:p>
              </w:tc>
            </w:tr>
          </w:tbl>
          <w:p>
            <w:pPr>
              <w:keepNext w:val="0"/>
              <w:keepLines w:val="0"/>
              <w:pageBreakBefore w:val="0"/>
              <w:widowControl/>
              <w:numPr>
                <w:ilvl w:val="0"/>
                <w:numId w:val="0"/>
              </w:numPr>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表2-2 建设项目主要经济技术指标</w:t>
            </w:r>
          </w:p>
          <w:tbl>
            <w:tblPr>
              <w:tblStyle w:val="16"/>
              <w:tblW w:w="497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92"/>
              <w:gridCol w:w="2522"/>
              <w:gridCol w:w="1087"/>
              <w:gridCol w:w="1614"/>
              <w:gridCol w:w="19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序号</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项目</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单位</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数量</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1</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eastAsia"/>
                      <w:color w:val="auto"/>
                      <w:u w:val="none"/>
                      <w:lang w:val="en-US" w:eastAsia="zh-CN"/>
                    </w:rPr>
                    <w:t>用地红线面积</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rPr>
                  </w:pPr>
                  <w:r>
                    <w:rPr>
                      <w:rFonts w:hint="default"/>
                      <w:color w:val="auto"/>
                      <w:u w:val="none"/>
                      <w:lang w:val="en-US" w:eastAsia="zh-CN"/>
                    </w:rPr>
                    <w:t>42273.44</w:t>
                  </w:r>
                </w:p>
              </w:tc>
              <w:tc>
                <w:tcPr>
                  <w:tcW w:w="1162"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2</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eastAsia"/>
                      <w:color w:val="auto"/>
                      <w:u w:val="none"/>
                      <w:lang w:val="en-US" w:eastAsia="zh-CN"/>
                    </w:rPr>
                    <w:t>建筑物占地面积</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rPr>
                  </w:pPr>
                  <w:r>
                    <w:rPr>
                      <w:rFonts w:hint="eastAsia"/>
                      <w:color w:val="auto"/>
                      <w:u w:val="none"/>
                      <w:lang w:val="en-US" w:eastAsia="zh-CN"/>
                    </w:rPr>
                    <w:t>12519.34</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3</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u w:val="none"/>
                      <w:lang w:val="en-US" w:eastAsia="zh-CN"/>
                    </w:rPr>
                  </w:pPr>
                  <w:r>
                    <w:rPr>
                      <w:rFonts w:hint="eastAsia"/>
                      <w:color w:val="auto"/>
                      <w:u w:val="none"/>
                      <w:lang w:val="en-US" w:eastAsia="zh-CN"/>
                    </w:rPr>
                    <w:t>总建筑面积</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24262.14</w:t>
                  </w:r>
                </w:p>
              </w:tc>
              <w:tc>
                <w:tcPr>
                  <w:tcW w:w="1162" w:type="pct"/>
                  <w:noWrap w:val="0"/>
                  <w:vAlign w:val="center"/>
                </w:tcPr>
                <w:p>
                  <w:pPr>
                    <w:jc w:val="center"/>
                    <w:rPr>
                      <w:rFonts w:hint="eastAsia"/>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4</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u w:val="none"/>
                      <w:lang w:val="en-US" w:eastAsia="zh-CN"/>
                    </w:rPr>
                  </w:pPr>
                  <w:r>
                    <w:rPr>
                      <w:rFonts w:hint="eastAsia"/>
                      <w:color w:val="auto"/>
                      <w:u w:val="none"/>
                      <w:lang w:val="en-US" w:eastAsia="zh-CN"/>
                    </w:rPr>
                    <w:t>生产区面积</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22817.56</w:t>
                  </w:r>
                </w:p>
              </w:tc>
              <w:tc>
                <w:tcPr>
                  <w:tcW w:w="1162" w:type="pct"/>
                  <w:noWrap w:val="0"/>
                  <w:vAlign w:val="center"/>
                </w:tcPr>
                <w:p>
                  <w:pPr>
                    <w:jc w:val="center"/>
                    <w:rPr>
                      <w:rFonts w:hint="eastAsia"/>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4.1</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1#生产车间</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color w:val="auto"/>
                      <w:u w:val="none"/>
                      <w:lang w:val="en-US" w:eastAsia="zh-CN"/>
                    </w:rPr>
                    <w:t>10130.38</w:t>
                  </w:r>
                </w:p>
              </w:tc>
              <w:tc>
                <w:tcPr>
                  <w:tcW w:w="1162" w:type="pct"/>
                  <w:noWrap w:val="0"/>
                  <w:vAlign w:val="center"/>
                </w:tcPr>
                <w:p>
                  <w:pPr>
                    <w:jc w:val="center"/>
                    <w:rPr>
                      <w:rFonts w:hint="default"/>
                      <w:color w:val="auto"/>
                      <w:u w:val="none"/>
                    </w:rPr>
                  </w:pPr>
                  <w:r>
                    <w:rPr>
                      <w:rFonts w:hint="eastAsia"/>
                      <w:color w:val="auto"/>
                      <w:u w:val="none"/>
                      <w:lang w:val="en-US" w:eastAsia="zh-CN"/>
                    </w:rPr>
                    <w:t>1</w:t>
                  </w:r>
                  <w:r>
                    <w:rPr>
                      <w:rFonts w:hint="default"/>
                      <w:color w:val="auto"/>
                      <w:u w:val="none"/>
                    </w:rPr>
                    <w:t>栋，层高超</w:t>
                  </w:r>
                  <w:r>
                    <w:rPr>
                      <w:rFonts w:hint="eastAsia"/>
                      <w:color w:val="auto"/>
                      <w:u w:val="none"/>
                      <w:lang w:val="en-US" w:eastAsia="zh-CN"/>
                    </w:rPr>
                    <w:t>13</w:t>
                  </w:r>
                  <w:r>
                    <w:rPr>
                      <w:rFonts w:hint="default"/>
                      <w:color w:val="auto"/>
                      <w:u w:val="none"/>
                    </w:rPr>
                    <w:t>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4.2</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u w:val="none"/>
                      <w:lang w:val="en-US" w:eastAsia="zh-CN"/>
                    </w:rPr>
                  </w:pPr>
                  <w:r>
                    <w:rPr>
                      <w:rFonts w:hint="eastAsia"/>
                      <w:color w:val="auto"/>
                      <w:u w:val="none"/>
                      <w:lang w:val="en-US" w:eastAsia="zh-CN"/>
                    </w:rPr>
                    <w:t>2#生产车间</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color w:val="auto"/>
                      <w:u w:val="none"/>
                      <w:lang w:val="en-US" w:eastAsia="zh-CN"/>
                    </w:rPr>
                    <w:t>12687.18</w:t>
                  </w:r>
                </w:p>
              </w:tc>
              <w:tc>
                <w:tcPr>
                  <w:tcW w:w="1162" w:type="pct"/>
                  <w:noWrap w:val="0"/>
                  <w:vAlign w:val="center"/>
                </w:tcPr>
                <w:p>
                  <w:pPr>
                    <w:jc w:val="center"/>
                    <w:rPr>
                      <w:rFonts w:hint="default"/>
                      <w:color w:val="auto"/>
                      <w:u w:val="none"/>
                    </w:rPr>
                  </w:pPr>
                  <w:r>
                    <w:rPr>
                      <w:rFonts w:hint="eastAsia"/>
                      <w:color w:val="auto"/>
                      <w:u w:val="none"/>
                      <w:lang w:val="en-US" w:eastAsia="zh-CN"/>
                    </w:rPr>
                    <w:t>1</w:t>
                  </w:r>
                  <w:r>
                    <w:rPr>
                      <w:rFonts w:hint="default"/>
                      <w:color w:val="auto"/>
                      <w:u w:val="none"/>
                    </w:rPr>
                    <w:t>栋，层高超</w:t>
                  </w:r>
                  <w:r>
                    <w:rPr>
                      <w:rFonts w:hint="eastAsia"/>
                      <w:color w:val="auto"/>
                      <w:u w:val="none"/>
                      <w:lang w:val="en-US" w:eastAsia="zh-CN"/>
                    </w:rPr>
                    <w:t>13</w:t>
                  </w:r>
                  <w:r>
                    <w:rPr>
                      <w:rFonts w:hint="default"/>
                      <w:color w:val="auto"/>
                      <w:u w:val="none"/>
                    </w:rPr>
                    <w:t>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5</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辅助设施面积</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color w:val="auto"/>
                      <w:u w:val="none"/>
                      <w:lang w:val="en-US" w:eastAsia="zh-CN"/>
                    </w:rPr>
                    <w:t>1471.04</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5.1</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办公楼</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color w:val="auto"/>
                      <w:u w:val="none"/>
                      <w:lang w:val="en-US" w:eastAsia="zh-CN"/>
                    </w:rPr>
                    <w:t>856.40</w:t>
                  </w:r>
                </w:p>
              </w:tc>
              <w:tc>
                <w:tcPr>
                  <w:tcW w:w="1162" w:type="pct"/>
                  <w:noWrap w:val="0"/>
                  <w:vAlign w:val="center"/>
                </w:tcPr>
                <w:p>
                  <w:pPr>
                    <w:jc w:val="center"/>
                    <w:rPr>
                      <w:rFonts w:hint="default" w:eastAsia="宋体"/>
                      <w:color w:val="auto"/>
                      <w:u w:val="none"/>
                      <w:lang w:val="en-US" w:eastAsia="zh-CN"/>
                    </w:rPr>
                  </w:pPr>
                  <w:r>
                    <w:rPr>
                      <w:rFonts w:hint="eastAsia"/>
                      <w:color w:val="auto"/>
                      <w:u w:val="none"/>
                      <w:lang w:val="en-US" w:eastAsia="zh-CN"/>
                    </w:rPr>
                    <w:t>1栋，3层，11.4米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5.2</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u w:val="none"/>
                      <w:lang w:val="en-US" w:eastAsia="zh-CN"/>
                    </w:rPr>
                  </w:pPr>
                  <w:r>
                    <w:rPr>
                      <w:rFonts w:hint="eastAsia"/>
                      <w:color w:val="auto"/>
                      <w:u w:val="none"/>
                      <w:lang w:val="en-US" w:eastAsia="zh-CN"/>
                    </w:rPr>
                    <w:t>电池库</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color w:val="auto"/>
                      <w:u w:val="none"/>
                      <w:lang w:val="en-US" w:eastAsia="zh-CN"/>
                    </w:rPr>
                    <w:t>95.10</w:t>
                  </w:r>
                </w:p>
              </w:tc>
              <w:tc>
                <w:tcPr>
                  <w:tcW w:w="1162" w:type="pct"/>
                  <w:noWrap w:val="0"/>
                  <w:vAlign w:val="center"/>
                </w:tcPr>
                <w:p>
                  <w:pPr>
                    <w:jc w:val="center"/>
                    <w:rPr>
                      <w:rFonts w:hint="eastAsia"/>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5.3</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u w:val="none"/>
                      <w:lang w:val="en-US" w:eastAsia="zh-CN"/>
                    </w:rPr>
                  </w:pPr>
                  <w:r>
                    <w:rPr>
                      <w:rFonts w:hint="eastAsia"/>
                      <w:color w:val="auto"/>
                      <w:u w:val="none"/>
                      <w:lang w:val="en-US" w:eastAsia="zh-CN"/>
                    </w:rPr>
                    <w:t>危险废物暂存间</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sz w:val="21"/>
                      <w:szCs w:val="21"/>
                      <w:lang w:val="en-US" w:eastAsia="zh-CN"/>
                    </w:rPr>
                    <w:t>271.73</w:t>
                  </w:r>
                </w:p>
              </w:tc>
              <w:tc>
                <w:tcPr>
                  <w:tcW w:w="1162" w:type="pct"/>
                  <w:noWrap w:val="0"/>
                  <w:vAlign w:val="center"/>
                </w:tcPr>
                <w:p>
                  <w:pPr>
                    <w:jc w:val="center"/>
                    <w:rPr>
                      <w:rFonts w:hint="eastAsia"/>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5.4</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消防泵房</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noWrap w:val="0"/>
                  <w:vAlign w:val="center"/>
                </w:tcPr>
                <w:p>
                  <w:pPr>
                    <w:jc w:val="center"/>
                    <w:rPr>
                      <w:rFonts w:hint="default"/>
                      <w:color w:val="auto"/>
                      <w:u w:val="none"/>
                      <w:lang w:val="en-US" w:eastAsia="zh-CN"/>
                    </w:rPr>
                  </w:pPr>
                  <w:r>
                    <w:rPr>
                      <w:rFonts w:hint="eastAsia"/>
                      <w:color w:val="auto"/>
                      <w:u w:val="none"/>
                      <w:lang w:val="en-US" w:eastAsia="zh-CN"/>
                    </w:rPr>
                    <w:t>32.70</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rPr>
                  </w:pPr>
                  <w:r>
                    <w:rPr>
                      <w:rFonts w:hint="eastAsia"/>
                      <w:color w:val="auto"/>
                      <w:u w:val="none"/>
                      <w:lang w:val="en-US" w:eastAsia="zh-CN"/>
                    </w:rPr>
                    <w:t>5.5</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eastAsia"/>
                      <w:color w:val="auto"/>
                      <w:u w:val="none"/>
                      <w:lang w:val="en-US" w:eastAsia="zh-CN"/>
                    </w:rPr>
                    <w:t>门卫</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u w:val="none"/>
                      <w:lang w:val="en-US" w:eastAsia="zh-CN"/>
                    </w:rPr>
                  </w:pPr>
                  <w:r>
                    <w:rPr>
                      <w:rFonts w:hint="eastAsia"/>
                      <w:color w:val="auto"/>
                      <w:u w:val="none"/>
                      <w:lang w:val="en-US" w:eastAsia="zh-CN"/>
                    </w:rPr>
                    <w:t>26.46</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5.6</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危化品及其他</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244.81</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6</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color w:val="auto"/>
                      <w:u w:val="none"/>
                      <w:lang w:val="en-US" w:eastAsia="zh-CN"/>
                    </w:rPr>
                  </w:pPr>
                  <w:r>
                    <w:rPr>
                      <w:rFonts w:hint="default"/>
                      <w:color w:val="auto"/>
                      <w:u w:val="none"/>
                      <w:lang w:val="en-US" w:eastAsia="zh-CN"/>
                    </w:rPr>
                    <w:t>容积率</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default"/>
                      <w:color w:val="auto"/>
                      <w:u w:val="none"/>
                      <w:lang w:val="en-US" w:eastAsia="zh-CN"/>
                    </w:rPr>
                    <w:t>m</w:t>
                  </w:r>
                  <w:r>
                    <w:rPr>
                      <w:rFonts w:hint="default"/>
                      <w:color w:val="auto"/>
                      <w:u w:val="none"/>
                      <w:vertAlign w:val="superscript"/>
                      <w:lang w:val="en-US" w:eastAsia="zh-CN"/>
                    </w:rPr>
                    <w:t>2</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0.86</w:t>
                  </w:r>
                </w:p>
              </w:tc>
              <w:tc>
                <w:tcPr>
                  <w:tcW w:w="1162" w:type="pct"/>
                  <w:noWrap w:val="0"/>
                  <w:vAlign w:val="center"/>
                </w:tcPr>
                <w:p>
                  <w:pPr>
                    <w:jc w:val="center"/>
                    <w:rPr>
                      <w:rFonts w:hint="eastAsia"/>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7</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kern w:val="2"/>
                      <w:sz w:val="21"/>
                      <w:szCs w:val="24"/>
                      <w:u w:val="none"/>
                      <w:lang w:val="en-US" w:eastAsia="zh-CN" w:bidi="ar-SA"/>
                    </w:rPr>
                  </w:pPr>
                  <w:r>
                    <w:rPr>
                      <w:rFonts w:hint="default"/>
                      <w:color w:val="auto"/>
                      <w:u w:val="none"/>
                      <w:lang w:val="en-US" w:eastAsia="zh-CN"/>
                    </w:rPr>
                    <w:t>建筑密度</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kern w:val="2"/>
                      <w:sz w:val="21"/>
                      <w:szCs w:val="24"/>
                      <w:u w:val="none"/>
                      <w:lang w:val="en-US" w:eastAsia="zh-CN" w:bidi="ar-SA"/>
                    </w:rPr>
                  </w:pPr>
                  <w:r>
                    <w:rPr>
                      <w:rFonts w:hint="default"/>
                      <w:color w:val="auto"/>
                      <w:u w:val="none"/>
                      <w:lang w:val="en-US" w:eastAsia="zh-CN"/>
                    </w:rPr>
                    <w:t>%</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lang w:val="en-US" w:eastAsia="zh-CN"/>
                    </w:rPr>
                  </w:pPr>
                  <w:r>
                    <w:rPr>
                      <w:rFonts w:hint="eastAsia"/>
                      <w:color w:val="auto"/>
                      <w:u w:val="none"/>
                      <w:lang w:val="en-US" w:eastAsia="zh-CN"/>
                    </w:rPr>
                    <w:t>44.28</w:t>
                  </w:r>
                </w:p>
              </w:tc>
              <w:tc>
                <w:tcPr>
                  <w:tcW w:w="1162" w:type="pct"/>
                  <w:noWrap w:val="0"/>
                  <w:vAlign w:val="center"/>
                </w:tcPr>
                <w:p>
                  <w:pPr>
                    <w:jc w:val="center"/>
                    <w:rPr>
                      <w:rFonts w:hint="eastAsia"/>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eastAsia"/>
                      <w:color w:val="auto"/>
                      <w:u w:val="none"/>
                      <w:lang w:val="en-US" w:eastAsia="zh-CN"/>
                    </w:rPr>
                    <w:t>8</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kern w:val="2"/>
                      <w:sz w:val="21"/>
                      <w:szCs w:val="24"/>
                      <w:u w:val="none"/>
                      <w:lang w:val="en-US" w:eastAsia="zh-CN" w:bidi="ar-SA"/>
                    </w:rPr>
                  </w:pPr>
                  <w:r>
                    <w:rPr>
                      <w:rFonts w:hint="default"/>
                      <w:color w:val="auto"/>
                      <w:u w:val="none"/>
                      <w:lang w:val="en-US" w:eastAsia="zh-CN"/>
                    </w:rPr>
                    <w:t>绿</w:t>
                  </w:r>
                  <w:r>
                    <w:rPr>
                      <w:rFonts w:hint="eastAsia"/>
                      <w:color w:val="auto"/>
                      <w:u w:val="none"/>
                      <w:lang w:val="en-US" w:eastAsia="zh-CN"/>
                    </w:rPr>
                    <w:t>地</w:t>
                  </w:r>
                  <w:r>
                    <w:rPr>
                      <w:rFonts w:hint="default"/>
                      <w:color w:val="auto"/>
                      <w:u w:val="none"/>
                      <w:lang w:val="en-US" w:eastAsia="zh-CN"/>
                    </w:rPr>
                    <w:t>率</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kern w:val="2"/>
                      <w:sz w:val="21"/>
                      <w:szCs w:val="24"/>
                      <w:u w:val="none"/>
                      <w:lang w:val="en-US" w:eastAsia="zh-CN" w:bidi="ar-SA"/>
                    </w:rPr>
                  </w:pPr>
                  <w:r>
                    <w:rPr>
                      <w:rFonts w:hint="default"/>
                      <w:color w:val="auto"/>
                      <w:u w:val="none"/>
                      <w:lang w:val="en-US" w:eastAsia="zh-CN"/>
                    </w:rPr>
                    <w:t>%</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auto"/>
                      <w:u w:val="none"/>
                      <w:lang w:val="en-US" w:eastAsia="zh-CN"/>
                    </w:rPr>
                  </w:pPr>
                  <w:r>
                    <w:rPr>
                      <w:rFonts w:hint="eastAsia"/>
                      <w:color w:val="auto"/>
                      <w:u w:val="none"/>
                      <w:lang w:val="en-US" w:eastAsia="zh-CN"/>
                    </w:rPr>
                    <w:t>12.35</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7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olor w:val="auto"/>
                      <w:u w:val="none"/>
                    </w:rPr>
                  </w:pPr>
                  <w:r>
                    <w:rPr>
                      <w:rFonts w:hint="eastAsia"/>
                      <w:color w:val="auto"/>
                      <w:u w:val="none"/>
                      <w:lang w:val="en-US" w:eastAsia="zh-CN"/>
                    </w:rPr>
                    <w:t>9</w:t>
                  </w:r>
                </w:p>
              </w:tc>
              <w:tc>
                <w:tcPr>
                  <w:tcW w:w="1508"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u w:val="none"/>
                      <w:lang w:eastAsia="zh-CN"/>
                    </w:rPr>
                  </w:pPr>
                  <w:r>
                    <w:rPr>
                      <w:rFonts w:hint="eastAsia"/>
                      <w:color w:val="auto"/>
                      <w:u w:val="none"/>
                      <w:lang w:eastAsia="zh-CN"/>
                    </w:rPr>
                    <w:t>停车位</w:t>
                  </w:r>
                </w:p>
              </w:tc>
              <w:tc>
                <w:tcPr>
                  <w:tcW w:w="650"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color w:val="auto"/>
                      <w:u w:val="none"/>
                      <w:lang w:eastAsia="zh-CN"/>
                    </w:rPr>
                  </w:pPr>
                  <w:r>
                    <w:rPr>
                      <w:rFonts w:hint="eastAsia"/>
                      <w:color w:val="auto"/>
                      <w:u w:val="none"/>
                      <w:lang w:eastAsia="zh-CN"/>
                    </w:rPr>
                    <w:t>个</w:t>
                  </w:r>
                </w:p>
              </w:tc>
              <w:tc>
                <w:tcPr>
                  <w:tcW w:w="96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eastAsia="宋体"/>
                      <w:color w:val="FF0000"/>
                      <w:u w:val="none"/>
                      <w:lang w:val="en-US" w:eastAsia="zh-CN"/>
                    </w:rPr>
                  </w:pPr>
                  <w:r>
                    <w:rPr>
                      <w:rFonts w:hint="eastAsia"/>
                      <w:color w:val="auto"/>
                      <w:u w:val="none"/>
                      <w:lang w:val="en-US" w:eastAsia="zh-CN"/>
                    </w:rPr>
                    <w:t>57</w:t>
                  </w:r>
                </w:p>
              </w:tc>
              <w:tc>
                <w:tcPr>
                  <w:tcW w:w="1162" w:type="pct"/>
                  <w:noWrap w:val="0"/>
                  <w:vAlign w:val="center"/>
                </w:tcPr>
                <w:p>
                  <w:pPr>
                    <w:jc w:val="center"/>
                    <w:rPr>
                      <w:rFonts w:hint="eastAsia" w:eastAsia="宋体"/>
                      <w:color w:val="auto"/>
                      <w:u w:val="none"/>
                      <w:lang w:val="en-US" w:eastAsia="zh-CN"/>
                    </w:rPr>
                  </w:pPr>
                  <w:r>
                    <w:rPr>
                      <w:rFonts w:hint="eastAsia"/>
                      <w:color w:val="auto"/>
                      <w:u w:val="no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jc w:val="left"/>
              <w:textAlignment w:val="auto"/>
              <w:rPr>
                <w:rFonts w:hint="eastAsia"/>
                <w:b/>
                <w:bCs/>
                <w:sz w:val="24"/>
                <w:szCs w:val="24"/>
                <w:lang w:val="en-US" w:eastAsia="zh-CN"/>
              </w:rPr>
            </w:pPr>
            <w:r>
              <w:rPr>
                <w:rFonts w:hint="eastAsia"/>
                <w:b/>
                <w:bCs/>
                <w:sz w:val="24"/>
                <w:szCs w:val="24"/>
                <w:lang w:val="en-US" w:eastAsia="zh-CN"/>
              </w:rPr>
              <w:t>3、规模及产品方案</w:t>
            </w:r>
          </w:p>
          <w:p>
            <w:pPr>
              <w:spacing w:before="203" w:beforeLines="50" w:line="240" w:lineRule="auto"/>
              <w:ind w:firstLine="512" w:firstLineChars="200"/>
              <w:rPr>
                <w:rFonts w:hint="eastAsia"/>
                <w:bCs/>
                <w:color w:val="000000"/>
                <w:spacing w:val="8"/>
                <w:sz w:val="24"/>
                <w:szCs w:val="24"/>
                <w:u w:val="none"/>
                <w:lang w:eastAsia="zh-CN"/>
              </w:rPr>
            </w:pPr>
            <w:r>
              <w:rPr>
                <w:rFonts w:hint="eastAsia"/>
                <w:bCs/>
                <w:color w:val="000000"/>
                <w:spacing w:val="8"/>
                <w:sz w:val="24"/>
                <w:szCs w:val="24"/>
                <w:u w:val="none"/>
                <w:lang w:eastAsia="zh-CN"/>
              </w:rPr>
              <w:t>（</w:t>
            </w:r>
            <w:r>
              <w:rPr>
                <w:rFonts w:hint="eastAsia"/>
                <w:bCs/>
                <w:color w:val="000000"/>
                <w:spacing w:val="8"/>
                <w:sz w:val="24"/>
                <w:szCs w:val="24"/>
                <w:u w:val="none"/>
                <w:lang w:val="en-US" w:eastAsia="zh-CN"/>
              </w:rPr>
              <w:t>1</w:t>
            </w:r>
            <w:r>
              <w:rPr>
                <w:rFonts w:hint="eastAsia"/>
                <w:bCs/>
                <w:color w:val="000000"/>
                <w:spacing w:val="8"/>
                <w:sz w:val="24"/>
                <w:szCs w:val="24"/>
                <w:u w:val="none"/>
                <w:lang w:eastAsia="zh-CN"/>
              </w:rPr>
              <w:t>）生产规模</w:t>
            </w:r>
          </w:p>
          <w:p>
            <w:pPr>
              <w:spacing w:before="203" w:beforeLines="50" w:line="360" w:lineRule="auto"/>
              <w:ind w:firstLine="512" w:firstLineChars="200"/>
              <w:rPr>
                <w:bCs/>
                <w:color w:val="000000"/>
                <w:sz w:val="24"/>
                <w:szCs w:val="24"/>
                <w:u w:val="none"/>
              </w:rPr>
            </w:pPr>
            <w:r>
              <w:rPr>
                <w:rFonts w:hint="eastAsia"/>
                <w:bCs/>
                <w:color w:val="000000"/>
                <w:spacing w:val="8"/>
                <w:sz w:val="24"/>
                <w:szCs w:val="24"/>
                <w:u w:val="none"/>
              </w:rPr>
              <w:t>本项目拆解各类废旧</w:t>
            </w:r>
            <w:r>
              <w:rPr>
                <w:rFonts w:hint="eastAsia"/>
                <w:bCs/>
                <w:color w:val="000000"/>
                <w:sz w:val="24"/>
                <w:szCs w:val="24"/>
                <w:u w:val="none"/>
              </w:rPr>
              <w:t>燃油、新能源汽车。</w:t>
            </w:r>
            <w:r>
              <w:rPr>
                <w:rFonts w:hint="eastAsia"/>
                <w:bCs/>
                <w:color w:val="000000"/>
                <w:sz w:val="24"/>
                <w:szCs w:val="24"/>
                <w:u w:val="none"/>
                <w:lang w:val="en-US" w:eastAsia="zh-CN"/>
              </w:rPr>
              <w:t>机动车</w:t>
            </w:r>
            <w:r>
              <w:rPr>
                <w:rFonts w:hint="eastAsia"/>
                <w:bCs/>
                <w:color w:val="000000"/>
                <w:sz w:val="24"/>
                <w:szCs w:val="24"/>
                <w:u w:val="none"/>
              </w:rPr>
              <w:t>主要为</w:t>
            </w:r>
            <w:r>
              <w:rPr>
                <w:rFonts w:hint="eastAsia"/>
                <w:bCs/>
                <w:color w:val="000000"/>
                <w:sz w:val="24"/>
                <w:szCs w:val="24"/>
                <w:u w:val="none"/>
                <w:lang w:eastAsia="zh-CN"/>
              </w:rPr>
              <w:t>靖州县</w:t>
            </w:r>
            <w:r>
              <w:rPr>
                <w:rFonts w:hint="eastAsia"/>
                <w:bCs/>
                <w:color w:val="000000"/>
                <w:sz w:val="24"/>
                <w:szCs w:val="24"/>
                <w:u w:val="none"/>
              </w:rPr>
              <w:t>及其周边地区的报废车辆。项目仅接收一般性质使用车辆的拆解，不接收槽罐车、危险化学品运输车等特殊装备车辆拆解。本项目</w:t>
            </w:r>
            <w:r>
              <w:rPr>
                <w:rFonts w:hint="eastAsia"/>
                <w:bCs/>
                <w:color w:val="000000"/>
                <w:sz w:val="24"/>
                <w:szCs w:val="24"/>
                <w:u w:val="none"/>
                <w:lang w:eastAsia="zh-CN"/>
              </w:rPr>
              <w:t>不涉及</w:t>
            </w:r>
            <w:r>
              <w:rPr>
                <w:rFonts w:hint="eastAsia"/>
                <w:bCs/>
                <w:color w:val="000000"/>
                <w:sz w:val="24"/>
                <w:szCs w:val="24"/>
                <w:u w:val="none"/>
              </w:rPr>
              <w:t>废电线电缆、废油箱</w:t>
            </w:r>
            <w:r>
              <w:rPr>
                <w:rFonts w:hint="eastAsia"/>
                <w:bCs/>
                <w:color w:val="000000"/>
                <w:sz w:val="24"/>
                <w:szCs w:val="24"/>
                <w:u w:val="none"/>
                <w:lang w:eastAsia="zh-CN"/>
              </w:rPr>
              <w:t>等进一步拆解</w:t>
            </w:r>
            <w:r>
              <w:rPr>
                <w:rFonts w:hint="eastAsia"/>
                <w:bCs/>
                <w:color w:val="000000"/>
                <w:sz w:val="24"/>
                <w:szCs w:val="24"/>
                <w:u w:val="none"/>
              </w:rPr>
              <w:t>，不涉及后续深加工</w:t>
            </w:r>
            <w:r>
              <w:rPr>
                <w:rFonts w:hint="eastAsia"/>
                <w:bCs/>
                <w:color w:val="000000"/>
                <w:sz w:val="24"/>
                <w:szCs w:val="24"/>
                <w:u w:val="none"/>
                <w:lang w:eastAsia="zh-CN"/>
              </w:rPr>
              <w:t>，本</w:t>
            </w:r>
            <w:r>
              <w:rPr>
                <w:rFonts w:hint="eastAsia"/>
                <w:bCs/>
                <w:color w:val="000000"/>
                <w:sz w:val="24"/>
                <w:szCs w:val="24"/>
                <w:u w:val="none"/>
                <w:lang w:val="en-US" w:eastAsia="zh-CN"/>
              </w:rPr>
              <w:t>项目不设置熔炼与焚烧类工艺及设施，用于产品、废物等的精炼或处理。</w:t>
            </w:r>
            <w:r>
              <w:rPr>
                <w:bCs/>
                <w:color w:val="000000"/>
                <w:sz w:val="24"/>
                <w:szCs w:val="24"/>
                <w:u w:val="none"/>
              </w:rPr>
              <w:t>本项目产品</w:t>
            </w:r>
            <w:r>
              <w:rPr>
                <w:rFonts w:hint="eastAsia"/>
                <w:bCs/>
                <w:color w:val="000000"/>
                <w:sz w:val="24"/>
                <w:szCs w:val="24"/>
                <w:u w:val="none"/>
                <w:lang w:eastAsia="zh-CN"/>
              </w:rPr>
              <w:t>拆解规模</w:t>
            </w:r>
            <w:r>
              <w:rPr>
                <w:bCs/>
                <w:color w:val="000000"/>
                <w:spacing w:val="8"/>
                <w:sz w:val="24"/>
                <w:szCs w:val="24"/>
                <w:u w:val="none"/>
              </w:rPr>
              <w:t>如表</w:t>
            </w:r>
            <w:r>
              <w:rPr>
                <w:rFonts w:hint="eastAsia"/>
                <w:bCs/>
                <w:color w:val="000000"/>
                <w:spacing w:val="8"/>
                <w:sz w:val="24"/>
                <w:szCs w:val="24"/>
                <w:u w:val="none"/>
                <w:lang w:val="en-US" w:eastAsia="zh-CN"/>
              </w:rPr>
              <w:t>2-3</w:t>
            </w:r>
            <w:r>
              <w:rPr>
                <w:bCs/>
                <w:color w:val="000000"/>
                <w:spacing w:val="8"/>
                <w:sz w:val="24"/>
                <w:szCs w:val="24"/>
                <w:u w:val="none"/>
              </w:rPr>
              <w:t>所示</w:t>
            </w:r>
            <w:r>
              <w:rPr>
                <w:bCs/>
                <w:color w:val="000000"/>
                <w:sz w:val="24"/>
                <w:szCs w:val="24"/>
                <w:u w:val="none"/>
              </w:rPr>
              <w:t>：</w:t>
            </w:r>
          </w:p>
          <w:p>
            <w:pPr>
              <w:tabs>
                <w:tab w:val="left" w:pos="2887"/>
              </w:tabs>
              <w:spacing w:after="203" w:afterLines="50" w:line="240" w:lineRule="exact"/>
              <w:jc w:val="center"/>
              <w:rPr>
                <w:rFonts w:hint="eastAsia" w:eastAsia="宋体"/>
                <w:b/>
                <w:bCs w:val="0"/>
                <w:color w:val="000000"/>
                <w:sz w:val="21"/>
                <w:szCs w:val="21"/>
                <w:u w:val="none"/>
                <w:lang w:eastAsia="zh-CN"/>
              </w:rPr>
            </w:pPr>
            <w:r>
              <w:rPr>
                <w:b/>
                <w:bCs w:val="0"/>
                <w:color w:val="000000"/>
                <w:sz w:val="21"/>
                <w:szCs w:val="21"/>
                <w:u w:val="none"/>
              </w:rPr>
              <w:t>表</w:t>
            </w:r>
            <w:r>
              <w:rPr>
                <w:rFonts w:hint="eastAsia"/>
                <w:b/>
                <w:bCs w:val="0"/>
                <w:color w:val="000000"/>
                <w:sz w:val="21"/>
                <w:szCs w:val="21"/>
                <w:u w:val="none"/>
                <w:lang w:val="en-US" w:eastAsia="zh-CN"/>
              </w:rPr>
              <w:t>2-3</w:t>
            </w:r>
            <w:r>
              <w:rPr>
                <w:b/>
                <w:bCs w:val="0"/>
                <w:color w:val="000000"/>
                <w:sz w:val="21"/>
                <w:szCs w:val="21"/>
                <w:u w:val="none"/>
              </w:rPr>
              <w:t xml:space="preserve"> </w:t>
            </w:r>
            <w:r>
              <w:rPr>
                <w:rFonts w:hint="eastAsia"/>
                <w:b/>
                <w:bCs w:val="0"/>
                <w:color w:val="000000"/>
                <w:sz w:val="21"/>
                <w:szCs w:val="21"/>
                <w:u w:val="none"/>
                <w:lang w:eastAsia="zh-CN"/>
              </w:rPr>
              <w:t>拟建</w:t>
            </w:r>
            <w:r>
              <w:rPr>
                <w:b/>
                <w:bCs w:val="0"/>
                <w:color w:val="000000"/>
                <w:sz w:val="21"/>
                <w:szCs w:val="21"/>
                <w:u w:val="none"/>
              </w:rPr>
              <w:t>设项目产品</w:t>
            </w:r>
            <w:r>
              <w:rPr>
                <w:rFonts w:hint="eastAsia"/>
                <w:b/>
                <w:bCs w:val="0"/>
                <w:color w:val="000000"/>
                <w:sz w:val="21"/>
                <w:szCs w:val="21"/>
                <w:u w:val="none"/>
                <w:lang w:eastAsia="zh-CN"/>
              </w:rPr>
              <w:t>拆解规模一览表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940"/>
              <w:gridCol w:w="1940"/>
              <w:gridCol w:w="1617"/>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6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类别</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名称</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年处理数量</w:t>
                  </w:r>
                </w:p>
              </w:tc>
              <w:tc>
                <w:tcPr>
                  <w:tcW w:w="96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单车重量</w:t>
                  </w:r>
                </w:p>
              </w:tc>
              <w:tc>
                <w:tcPr>
                  <w:tcW w:w="770"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总重量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961" w:type="pct"/>
                  <w:vMerge w:val="restart"/>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lang w:eastAsia="zh-CN"/>
                    </w:rPr>
                    <w:t>报废机动车</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 xml:space="preserve">燃油大型车 </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600</w:t>
                  </w:r>
                </w:p>
              </w:tc>
              <w:tc>
                <w:tcPr>
                  <w:tcW w:w="96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10t</w:t>
                  </w:r>
                </w:p>
              </w:tc>
              <w:tc>
                <w:tcPr>
                  <w:tcW w:w="770"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6000t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61" w:type="pct"/>
                  <w:vMerge w:val="continue"/>
                  <w:noWrap w:val="0"/>
                  <w:vAlign w:val="center"/>
                </w:tcPr>
                <w:p>
                  <w:pPr>
                    <w:spacing w:line="240" w:lineRule="auto"/>
                    <w:jc w:val="center"/>
                    <w:rPr>
                      <w:rFonts w:hint="eastAsia"/>
                      <w:color w:val="000000"/>
                      <w:sz w:val="21"/>
                      <w:szCs w:val="21"/>
                      <w:u w:val="none"/>
                    </w:rPr>
                  </w:pP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 xml:space="preserve">燃油中型车 </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600</w:t>
                  </w:r>
                </w:p>
              </w:tc>
              <w:tc>
                <w:tcPr>
                  <w:tcW w:w="96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6t</w:t>
                  </w:r>
                </w:p>
              </w:tc>
              <w:tc>
                <w:tcPr>
                  <w:tcW w:w="770"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3600t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61" w:type="pct"/>
                  <w:vMerge w:val="continue"/>
                  <w:noWrap w:val="0"/>
                  <w:vAlign w:val="center"/>
                </w:tcPr>
                <w:p>
                  <w:pPr>
                    <w:spacing w:line="240" w:lineRule="auto"/>
                    <w:jc w:val="center"/>
                    <w:rPr>
                      <w:rFonts w:hint="eastAsia"/>
                      <w:color w:val="000000"/>
                      <w:sz w:val="21"/>
                      <w:szCs w:val="21"/>
                      <w:u w:val="none"/>
                    </w:rPr>
                  </w:pP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 xml:space="preserve">燃油小型车 </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8</w:t>
                  </w:r>
                  <w:r>
                    <w:rPr>
                      <w:rFonts w:hint="eastAsia"/>
                      <w:color w:val="000000"/>
                      <w:sz w:val="21"/>
                      <w:szCs w:val="21"/>
                      <w:u w:val="none"/>
                    </w:rPr>
                    <w:t>600</w:t>
                  </w:r>
                </w:p>
              </w:tc>
              <w:tc>
                <w:tcPr>
                  <w:tcW w:w="96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1.4t</w:t>
                  </w:r>
                </w:p>
              </w:tc>
              <w:tc>
                <w:tcPr>
                  <w:tcW w:w="770"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12040</w:t>
                  </w:r>
                  <w:r>
                    <w:rPr>
                      <w:rFonts w:hint="eastAsia"/>
                      <w:color w:val="000000"/>
                      <w:sz w:val="21"/>
                      <w:szCs w:val="21"/>
                      <w:u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61" w:type="pct"/>
                  <w:vMerge w:val="continue"/>
                  <w:noWrap w:val="0"/>
                  <w:vAlign w:val="center"/>
                </w:tcPr>
                <w:p>
                  <w:pPr>
                    <w:spacing w:line="240" w:lineRule="auto"/>
                    <w:jc w:val="center"/>
                    <w:rPr>
                      <w:rFonts w:hint="eastAsia"/>
                      <w:color w:val="000000"/>
                      <w:sz w:val="21"/>
                      <w:szCs w:val="21"/>
                      <w:u w:val="none"/>
                    </w:rPr>
                  </w:pP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 xml:space="preserve">新能源汽车 </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200</w:t>
                  </w:r>
                </w:p>
              </w:tc>
              <w:tc>
                <w:tcPr>
                  <w:tcW w:w="96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1.4t</w:t>
                  </w:r>
                </w:p>
              </w:tc>
              <w:tc>
                <w:tcPr>
                  <w:tcW w:w="770"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240</w:t>
                  </w:r>
                  <w:r>
                    <w:rPr>
                      <w:rFonts w:hint="eastAsia"/>
                      <w:color w:val="000000"/>
                      <w:sz w:val="21"/>
                      <w:szCs w:val="21"/>
                      <w:u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合计</w:t>
                  </w:r>
                </w:p>
              </w:tc>
              <w:tc>
                <w:tcPr>
                  <w:tcW w:w="1153"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10</w:t>
                  </w:r>
                  <w:r>
                    <w:rPr>
                      <w:rFonts w:hint="eastAsia"/>
                      <w:color w:val="000000"/>
                      <w:sz w:val="21"/>
                      <w:szCs w:val="21"/>
                      <w:u w:val="none"/>
                    </w:rPr>
                    <w:t>000</w:t>
                  </w:r>
                </w:p>
              </w:tc>
              <w:tc>
                <w:tcPr>
                  <w:tcW w:w="961" w:type="pct"/>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18.8t</w:t>
                  </w:r>
                </w:p>
              </w:tc>
              <w:tc>
                <w:tcPr>
                  <w:tcW w:w="770" w:type="pct"/>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21880t</w:t>
                  </w:r>
                </w:p>
              </w:tc>
            </w:tr>
          </w:tbl>
          <w:p>
            <w:pPr>
              <w:pStyle w:val="31"/>
              <w:keepNext w:val="0"/>
              <w:keepLines w:val="0"/>
              <w:pageBreakBefore w:val="0"/>
              <w:widowControl w:val="0"/>
              <w:kinsoku/>
              <w:wordWrap/>
              <w:overflowPunct/>
              <w:topLinePunct w:val="0"/>
              <w:autoSpaceDE/>
              <w:autoSpaceDN/>
              <w:bidi w:val="0"/>
              <w:adjustRightInd w:val="0"/>
              <w:snapToGrid/>
              <w:spacing w:before="0" w:after="0" w:line="360" w:lineRule="auto"/>
              <w:ind w:firstLine="480" w:firstLineChars="200"/>
              <w:jc w:val="left"/>
              <w:textAlignment w:val="auto"/>
              <w:rPr>
                <w:rFonts w:hint="default" w:ascii="Times New Roman" w:hAnsi="Times New Roman" w:eastAsia="宋体" w:cs="Times New Roman"/>
                <w:b w:val="0"/>
                <w:bCs w:val="0"/>
                <w:color w:val="000000"/>
                <w:kern w:val="2"/>
                <w:sz w:val="24"/>
                <w:szCs w:val="24"/>
                <w:lang w:val="en-US" w:eastAsia="zh-CN"/>
              </w:rPr>
            </w:pPr>
            <w:r>
              <w:rPr>
                <w:rFonts w:hint="default" w:ascii="Times New Roman" w:hAnsi="Times New Roman" w:eastAsia="宋体" w:cs="Times New Roman"/>
                <w:b w:val="0"/>
                <w:bCs w:val="0"/>
                <w:color w:val="auto"/>
                <w:sz w:val="24"/>
                <w:szCs w:val="24"/>
                <w:u w:val="none"/>
                <w:lang w:val="en-US" w:eastAsia="zh-CN"/>
              </w:rPr>
              <w:t>根据《报废汽车回收拆解企业技术规范》（GB22128-2019），本项目所在地</w:t>
            </w:r>
            <w:r>
              <w:rPr>
                <w:rFonts w:hint="eastAsia" w:ascii="Times New Roman" w:hAnsi="Times New Roman" w:eastAsia="宋体" w:cs="Times New Roman"/>
                <w:b w:val="0"/>
                <w:bCs w:val="0"/>
                <w:color w:val="auto"/>
                <w:sz w:val="24"/>
                <w:szCs w:val="24"/>
                <w:u w:val="none"/>
                <w:lang w:val="en-US" w:eastAsia="zh-CN"/>
              </w:rPr>
              <w:t>根据</w:t>
            </w:r>
            <w:r>
              <w:rPr>
                <w:rFonts w:hint="default" w:ascii="Times New Roman" w:hAnsi="Times New Roman" w:eastAsia="宋体" w:cs="Times New Roman"/>
                <w:b w:val="0"/>
                <w:bCs w:val="0"/>
                <w:color w:val="auto"/>
                <w:sz w:val="24"/>
                <w:szCs w:val="24"/>
                <w:u w:val="none"/>
                <w:lang w:val="en-US" w:eastAsia="zh-CN"/>
              </w:rPr>
              <w:t>靖州苗族侗族自治县2021年国民经济和社会发展统计公报</w:t>
            </w:r>
            <w:r>
              <w:rPr>
                <w:rFonts w:hint="eastAsia" w:ascii="Times New Roman" w:hAnsi="Times New Roman" w:eastAsia="宋体" w:cs="Times New Roman"/>
                <w:b w:val="0"/>
                <w:bCs w:val="0"/>
                <w:color w:val="auto"/>
                <w:sz w:val="24"/>
                <w:szCs w:val="24"/>
                <w:u w:val="none"/>
                <w:lang w:val="en-US" w:eastAsia="zh-CN"/>
              </w:rPr>
              <w:t>显示全县民用汽车</w:t>
            </w:r>
            <w:r>
              <w:rPr>
                <w:rFonts w:hint="default" w:ascii="Times New Roman" w:hAnsi="Times New Roman" w:eastAsia="宋体" w:cs="Times New Roman"/>
                <w:b w:val="0"/>
                <w:bCs w:val="0"/>
                <w:color w:val="auto"/>
                <w:sz w:val="24"/>
                <w:szCs w:val="24"/>
                <w:u w:val="none"/>
                <w:lang w:val="en-US" w:eastAsia="zh-CN"/>
              </w:rPr>
              <w:t>保有量为25754辆，属于</w:t>
            </w:r>
            <w:r>
              <w:rPr>
                <w:rFonts w:hint="eastAsia" w:ascii="Times New Roman" w:hAnsi="Times New Roman" w:eastAsia="宋体" w:cs="Times New Roman"/>
                <w:b w:val="0"/>
                <w:bCs w:val="0"/>
                <w:color w:val="auto"/>
                <w:sz w:val="24"/>
                <w:szCs w:val="24"/>
                <w:u w:val="none"/>
                <w:lang w:val="en-US" w:eastAsia="zh-CN"/>
              </w:rPr>
              <w:t>表1中</w:t>
            </w:r>
            <w:r>
              <w:rPr>
                <w:rFonts w:hint="eastAsia" w:ascii="Times New Roman" w:hAnsi="Times New Roman" w:eastAsia="宋体" w:cs="Times New Roman"/>
                <w:b w:val="0"/>
                <w:bCs w:val="0"/>
                <w:color w:val="auto"/>
                <w:sz w:val="24"/>
                <w:szCs w:val="24"/>
                <w:u w:val="none"/>
                <w:lang w:val="en-US" w:eastAsia="zh-CN"/>
              </w:rPr>
              <w:fldChar w:fldCharType="begin"/>
            </w:r>
            <w:r>
              <w:rPr>
                <w:rFonts w:hint="eastAsia" w:ascii="Times New Roman" w:hAnsi="Times New Roman" w:eastAsia="宋体" w:cs="Times New Roman"/>
                <w:b w:val="0"/>
                <w:bCs w:val="0"/>
                <w:color w:val="auto"/>
                <w:sz w:val="24"/>
                <w:szCs w:val="24"/>
                <w:u w:val="none"/>
                <w:lang w:val="en-US" w:eastAsia="zh-CN"/>
              </w:rPr>
              <w:instrText xml:space="preserve"> = 6 \* ROMAN \* MERGEFORMAT </w:instrText>
            </w:r>
            <w:r>
              <w:rPr>
                <w:rFonts w:hint="eastAsia" w:ascii="Times New Roman" w:hAnsi="Times New Roman" w:eastAsia="宋体" w:cs="Times New Roman"/>
                <w:b w:val="0"/>
                <w:bCs w:val="0"/>
                <w:color w:val="auto"/>
                <w:sz w:val="24"/>
                <w:szCs w:val="24"/>
                <w:u w:val="none"/>
                <w:lang w:val="en-US" w:eastAsia="zh-CN"/>
              </w:rPr>
              <w:fldChar w:fldCharType="separate"/>
            </w:r>
            <w:r>
              <w:t>VI</w:t>
            </w:r>
            <w:r>
              <w:rPr>
                <w:rFonts w:hint="eastAsia" w:ascii="Times New Roman" w:hAnsi="Times New Roman" w:eastAsia="宋体" w:cs="Times New Roman"/>
                <w:b w:val="0"/>
                <w:bCs w:val="0"/>
                <w:color w:val="auto"/>
                <w:sz w:val="24"/>
                <w:szCs w:val="24"/>
                <w:u w:val="none"/>
                <w:lang w:val="en-US" w:eastAsia="zh-CN"/>
              </w:rPr>
              <w:fldChar w:fldCharType="end"/>
            </w:r>
            <w:r>
              <w:rPr>
                <w:rFonts w:hint="default" w:ascii="Times New Roman" w:hAnsi="Times New Roman" w:eastAsia="宋体" w:cs="Times New Roman"/>
                <w:b w:val="0"/>
                <w:bCs w:val="0"/>
                <w:color w:val="auto"/>
                <w:sz w:val="24"/>
                <w:szCs w:val="24"/>
                <w:u w:val="none"/>
                <w:lang w:val="en-US" w:eastAsia="zh-CN"/>
              </w:rPr>
              <w:t>档地区，</w:t>
            </w:r>
            <w:r>
              <w:rPr>
                <w:rFonts w:hint="eastAsia" w:ascii="Times New Roman" w:hAnsi="Times New Roman" w:eastAsia="宋体" w:cs="Times New Roman"/>
                <w:b w:val="0"/>
                <w:bCs w:val="0"/>
                <w:color w:val="auto"/>
                <w:sz w:val="24"/>
                <w:szCs w:val="24"/>
                <w:u w:val="none"/>
                <w:lang w:val="en-US" w:eastAsia="zh-CN"/>
              </w:rPr>
              <w:t>表2中</w:t>
            </w:r>
            <w:r>
              <w:rPr>
                <w:rFonts w:hint="eastAsia" w:ascii="Times New Roman" w:hAnsi="Times New Roman" w:eastAsia="宋体" w:cs="Times New Roman"/>
                <w:b w:val="0"/>
                <w:bCs w:val="0"/>
                <w:color w:val="auto"/>
                <w:sz w:val="24"/>
                <w:szCs w:val="24"/>
                <w:u w:val="none"/>
                <w:lang w:val="en-US" w:eastAsia="zh-CN"/>
              </w:rPr>
              <w:fldChar w:fldCharType="begin"/>
            </w:r>
            <w:r>
              <w:rPr>
                <w:rFonts w:hint="eastAsia" w:ascii="Times New Roman" w:hAnsi="Times New Roman" w:eastAsia="宋体" w:cs="Times New Roman"/>
                <w:b w:val="0"/>
                <w:bCs w:val="0"/>
                <w:color w:val="auto"/>
                <w:sz w:val="24"/>
                <w:szCs w:val="24"/>
                <w:u w:val="none"/>
                <w:lang w:val="en-US" w:eastAsia="zh-CN"/>
              </w:rPr>
              <w:instrText xml:space="preserve"> = 6 \* ROMAN \* MERGEFORMAT </w:instrText>
            </w:r>
            <w:r>
              <w:rPr>
                <w:rFonts w:hint="eastAsia" w:ascii="Times New Roman" w:hAnsi="Times New Roman" w:eastAsia="宋体" w:cs="Times New Roman"/>
                <w:b w:val="0"/>
                <w:bCs w:val="0"/>
                <w:color w:val="auto"/>
                <w:sz w:val="24"/>
                <w:szCs w:val="24"/>
                <w:u w:val="none"/>
                <w:lang w:val="en-US" w:eastAsia="zh-CN"/>
              </w:rPr>
              <w:fldChar w:fldCharType="separate"/>
            </w:r>
            <w:r>
              <w:rPr>
                <w:rFonts w:hint="eastAsia" w:ascii="Times New Roman" w:hAnsi="Times New Roman" w:eastAsia="宋体" w:cs="Times New Roman"/>
                <w:b w:val="0"/>
                <w:bCs w:val="0"/>
                <w:color w:val="auto"/>
                <w:sz w:val="24"/>
                <w:szCs w:val="24"/>
                <w:u w:val="none"/>
                <w:lang w:val="en-US" w:eastAsia="zh-CN"/>
              </w:rPr>
              <w:t>VI</w:t>
            </w:r>
            <w:r>
              <w:rPr>
                <w:rFonts w:hint="eastAsia" w:ascii="Times New Roman" w:hAnsi="Times New Roman" w:eastAsia="宋体" w:cs="Times New Roman"/>
                <w:b w:val="0"/>
                <w:bCs w:val="0"/>
                <w:color w:val="auto"/>
                <w:sz w:val="24"/>
                <w:szCs w:val="24"/>
                <w:u w:val="none"/>
                <w:lang w:val="en-US" w:eastAsia="zh-CN"/>
              </w:rPr>
              <w:fldChar w:fldCharType="end"/>
            </w:r>
            <w:r>
              <w:rPr>
                <w:rFonts w:hint="default" w:ascii="Times New Roman" w:hAnsi="Times New Roman" w:eastAsia="宋体" w:cs="Times New Roman"/>
                <w:b w:val="0"/>
                <w:bCs w:val="0"/>
                <w:color w:val="auto"/>
                <w:sz w:val="24"/>
                <w:szCs w:val="24"/>
                <w:u w:val="none"/>
                <w:lang w:val="en-US" w:eastAsia="zh-CN"/>
              </w:rPr>
              <w:t>档单个企业最低</w:t>
            </w:r>
            <w:r>
              <w:rPr>
                <w:rFonts w:hint="eastAsia" w:ascii="Times New Roman" w:hAnsi="Times New Roman" w:eastAsia="宋体" w:cs="Times New Roman"/>
                <w:b w:val="0"/>
                <w:bCs w:val="0"/>
                <w:color w:val="auto"/>
                <w:sz w:val="24"/>
                <w:szCs w:val="24"/>
                <w:u w:val="none"/>
                <w:lang w:val="en-US" w:eastAsia="zh-CN"/>
              </w:rPr>
              <w:t>年</w:t>
            </w:r>
            <w:r>
              <w:rPr>
                <w:rFonts w:hint="default" w:ascii="Times New Roman" w:hAnsi="Times New Roman" w:eastAsia="宋体" w:cs="Times New Roman"/>
                <w:b w:val="0"/>
                <w:bCs w:val="0"/>
                <w:color w:val="auto"/>
                <w:sz w:val="24"/>
                <w:szCs w:val="24"/>
                <w:u w:val="none"/>
                <w:lang w:val="en-US" w:eastAsia="zh-CN"/>
              </w:rPr>
              <w:t>拆解产能应不低于</w:t>
            </w:r>
            <w:r>
              <w:rPr>
                <w:rFonts w:hint="eastAsia" w:ascii="Times New Roman" w:hAnsi="Times New Roman" w:eastAsia="宋体" w:cs="Times New Roman"/>
                <w:b w:val="0"/>
                <w:bCs w:val="0"/>
                <w:color w:val="auto"/>
                <w:sz w:val="24"/>
                <w:szCs w:val="24"/>
                <w:u w:val="none"/>
                <w:lang w:val="en-US" w:eastAsia="zh-CN"/>
              </w:rPr>
              <w:t>5000</w:t>
            </w:r>
            <w:r>
              <w:rPr>
                <w:rFonts w:hint="default" w:ascii="Times New Roman" w:hAnsi="Times New Roman" w:eastAsia="宋体" w:cs="Times New Roman"/>
                <w:b w:val="0"/>
                <w:bCs w:val="0"/>
                <w:color w:val="auto"/>
                <w:sz w:val="24"/>
                <w:szCs w:val="24"/>
                <w:u w:val="none"/>
                <w:lang w:val="en-US" w:eastAsia="zh-CN"/>
              </w:rPr>
              <w:t>辆/年，根据市场发展的前景和国家政策要求，本项目建成后可实现年回收拆解</w:t>
            </w:r>
            <w:r>
              <w:rPr>
                <w:rFonts w:hint="eastAsia" w:ascii="Times New Roman" w:hAnsi="Times New Roman" w:eastAsia="宋体" w:cs="Times New Roman"/>
                <w:b w:val="0"/>
                <w:bCs w:val="0"/>
                <w:color w:val="auto"/>
                <w:sz w:val="24"/>
                <w:szCs w:val="24"/>
                <w:u w:val="none"/>
                <w:lang w:val="en-US" w:eastAsia="zh-CN"/>
              </w:rPr>
              <w:t>1</w:t>
            </w:r>
            <w:r>
              <w:rPr>
                <w:rFonts w:hint="default" w:ascii="Times New Roman" w:hAnsi="Times New Roman" w:eastAsia="宋体" w:cs="Times New Roman"/>
                <w:b w:val="0"/>
                <w:bCs w:val="0"/>
                <w:color w:val="auto"/>
                <w:sz w:val="24"/>
                <w:szCs w:val="24"/>
                <w:u w:val="none"/>
                <w:lang w:val="en-US" w:eastAsia="zh-CN"/>
              </w:rPr>
              <w:t>0000辆机动车的能力，满足《报废汽车回收拆解企业技术规范》（GB22128-2019）的拆解产能要求。</w:t>
            </w:r>
          </w:p>
          <w:p>
            <w:pPr>
              <w:pStyle w:val="31"/>
              <w:keepNext w:val="0"/>
              <w:keepLines w:val="0"/>
              <w:pageBreakBefore w:val="0"/>
              <w:widowControl w:val="0"/>
              <w:kinsoku/>
              <w:wordWrap/>
              <w:overflowPunct/>
              <w:topLinePunct w:val="0"/>
              <w:autoSpaceDE/>
              <w:autoSpaceDN/>
              <w:bidi w:val="0"/>
              <w:adjustRightInd w:val="0"/>
              <w:snapToGrid/>
              <w:spacing w:before="0" w:after="0" w:line="360" w:lineRule="auto"/>
              <w:ind w:firstLine="480" w:firstLineChars="200"/>
              <w:jc w:val="left"/>
              <w:textAlignment w:val="auto"/>
              <w:rPr>
                <w:rFonts w:hint="default" w:ascii="Times New Roman" w:hAnsi="Times New Roman" w:eastAsia="宋体" w:cs="Times New Roman"/>
                <w:b w:val="0"/>
                <w:bCs w:val="0"/>
                <w:color w:val="000000"/>
                <w:kern w:val="2"/>
                <w:sz w:val="24"/>
                <w:szCs w:val="24"/>
                <w:lang w:val="en-US" w:eastAsia="zh-CN"/>
              </w:rPr>
            </w:pPr>
            <w:r>
              <w:rPr>
                <w:rFonts w:hint="default" w:ascii="Times New Roman" w:hAnsi="Times New Roman" w:eastAsia="宋体" w:cs="Times New Roman"/>
                <w:b w:val="0"/>
                <w:bCs w:val="0"/>
                <w:color w:val="000000"/>
                <w:kern w:val="2"/>
                <w:sz w:val="24"/>
                <w:szCs w:val="24"/>
                <w:lang w:val="en-US" w:eastAsia="zh-CN"/>
              </w:rPr>
              <w:t>废钢主要来源于废</w:t>
            </w:r>
            <w:r>
              <w:rPr>
                <w:rFonts w:hint="eastAsia" w:ascii="Times New Roman" w:hAnsi="Times New Roman" w:eastAsia="宋体" w:cs="Times New Roman"/>
                <w:b w:val="0"/>
                <w:bCs w:val="0"/>
                <w:color w:val="000000"/>
                <w:kern w:val="2"/>
                <w:sz w:val="24"/>
                <w:szCs w:val="24"/>
                <w:lang w:val="en-US" w:eastAsia="zh-CN"/>
              </w:rPr>
              <w:t>机动车</w:t>
            </w:r>
            <w:r>
              <w:rPr>
                <w:rFonts w:hint="default" w:ascii="Times New Roman" w:hAnsi="Times New Roman" w:eastAsia="宋体" w:cs="Times New Roman"/>
                <w:b w:val="0"/>
                <w:bCs w:val="0"/>
                <w:color w:val="000000"/>
                <w:kern w:val="2"/>
                <w:sz w:val="24"/>
                <w:szCs w:val="24"/>
                <w:lang w:val="en-US" w:eastAsia="zh-CN"/>
              </w:rPr>
              <w:t>拆解生产线拆解下来的废旧钢铁，以及湘西地区、云南、贵州</w:t>
            </w:r>
            <w:r>
              <w:rPr>
                <w:rFonts w:hint="eastAsia" w:ascii="Times New Roman" w:hAnsi="Times New Roman" w:eastAsia="宋体" w:cs="Times New Roman"/>
                <w:b w:val="0"/>
                <w:bCs w:val="0"/>
                <w:color w:val="000000"/>
                <w:kern w:val="2"/>
                <w:sz w:val="24"/>
                <w:szCs w:val="24"/>
                <w:lang w:val="en-US" w:eastAsia="zh-CN"/>
              </w:rPr>
              <w:t>报废机动车</w:t>
            </w:r>
            <w:r>
              <w:rPr>
                <w:rFonts w:hint="default" w:ascii="Times New Roman" w:hAnsi="Times New Roman" w:eastAsia="宋体" w:cs="Times New Roman"/>
                <w:b w:val="0"/>
                <w:bCs w:val="0"/>
                <w:color w:val="000000"/>
                <w:kern w:val="2"/>
                <w:sz w:val="24"/>
                <w:szCs w:val="24"/>
                <w:lang w:val="en-US" w:eastAsia="zh-CN"/>
              </w:rPr>
              <w:t>拆解企业或周边废品回收站。本项目废钢来源不涉及废电子产品、废电池、废电机、废五金、废塑料、废油、废轮胎等。</w:t>
            </w:r>
          </w:p>
          <w:p>
            <w:pPr>
              <w:pStyle w:val="31"/>
              <w:keepNext w:val="0"/>
              <w:keepLines w:val="0"/>
              <w:pageBreakBefore w:val="0"/>
              <w:widowControl w:val="0"/>
              <w:kinsoku/>
              <w:wordWrap/>
              <w:overflowPunct/>
              <w:topLinePunct w:val="0"/>
              <w:autoSpaceDE/>
              <w:autoSpaceDN/>
              <w:bidi w:val="0"/>
              <w:adjustRightInd w:val="0"/>
              <w:snapToGrid/>
              <w:spacing w:before="0" w:after="0" w:line="360" w:lineRule="auto"/>
              <w:ind w:firstLine="422" w:firstLineChars="200"/>
              <w:jc w:val="center"/>
              <w:textAlignment w:val="auto"/>
              <w:rPr>
                <w:rFonts w:hint="default" w:ascii="Times New Roman" w:hAnsi="Times New Roman" w:eastAsia="宋体" w:cs="Times New Roman"/>
                <w:b/>
                <w:bCs/>
                <w:color w:val="000000"/>
                <w:kern w:val="2"/>
                <w:szCs w:val="24"/>
                <w:lang w:val="en-US" w:eastAsia="zh-CN"/>
              </w:rPr>
            </w:pPr>
            <w:r>
              <w:rPr>
                <w:rFonts w:hint="default" w:ascii="Times New Roman" w:hAnsi="Times New Roman" w:eastAsia="宋体" w:cs="Times New Roman"/>
                <w:b/>
                <w:bCs/>
                <w:color w:val="000000"/>
                <w:kern w:val="2"/>
                <w:szCs w:val="24"/>
                <w:lang w:val="en-US" w:eastAsia="zh-CN"/>
              </w:rPr>
              <w:t>表2-</w:t>
            </w:r>
            <w:r>
              <w:rPr>
                <w:rFonts w:hint="eastAsia" w:ascii="Times New Roman" w:hAnsi="Times New Roman" w:eastAsia="宋体" w:cs="Times New Roman"/>
                <w:b/>
                <w:bCs/>
                <w:color w:val="000000"/>
                <w:kern w:val="2"/>
                <w:szCs w:val="24"/>
                <w:lang w:val="en-US" w:eastAsia="zh-CN"/>
              </w:rPr>
              <w:t>4</w:t>
            </w:r>
            <w:r>
              <w:rPr>
                <w:rFonts w:hint="default" w:ascii="Times New Roman" w:hAnsi="Times New Roman" w:eastAsia="宋体" w:cs="Times New Roman"/>
                <w:b/>
                <w:bCs/>
                <w:color w:val="000000"/>
                <w:kern w:val="2"/>
                <w:szCs w:val="24"/>
                <w:lang w:val="en-US" w:eastAsia="zh-CN"/>
              </w:rPr>
              <w:t xml:space="preserve"> </w:t>
            </w:r>
            <w:r>
              <w:rPr>
                <w:rFonts w:hint="default" w:ascii="Times New Roman" w:hAnsi="Times New Roman" w:eastAsia="宋体" w:cs="Times New Roman"/>
                <w:b/>
                <w:bCs/>
                <w:kern w:val="2"/>
                <w:szCs w:val="24"/>
                <w:lang w:val="en-US" w:eastAsia="zh-CN"/>
              </w:rPr>
              <w:t>废钢铁</w:t>
            </w:r>
            <w:r>
              <w:rPr>
                <w:rFonts w:hint="default" w:ascii="Times New Roman" w:hAnsi="Times New Roman" w:eastAsia="宋体" w:cs="Times New Roman"/>
                <w:b/>
                <w:bCs/>
                <w:color w:val="000000"/>
                <w:kern w:val="2"/>
                <w:szCs w:val="24"/>
                <w:lang w:val="en-US" w:eastAsia="zh-CN"/>
              </w:rPr>
              <w:t>产品设计规模</w:t>
            </w:r>
          </w:p>
          <w:tbl>
            <w:tblPr>
              <w:tblStyle w:val="16"/>
              <w:tblW w:w="49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779"/>
              <w:gridCol w:w="1635"/>
              <w:gridCol w:w="1665"/>
              <w:gridCol w:w="1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pStyle w:val="32"/>
                    <w:rPr>
                      <w:kern w:val="2"/>
                      <w:szCs w:val="24"/>
                      <w:lang w:val="en-US" w:eastAsia="zh-CN"/>
                    </w:rPr>
                  </w:pPr>
                  <w:r>
                    <w:rPr>
                      <w:kern w:val="2"/>
                      <w:szCs w:val="24"/>
                      <w:lang w:val="en-US" w:eastAsia="zh-CN"/>
                    </w:rPr>
                    <w:t>序号</w:t>
                  </w:r>
                </w:p>
              </w:tc>
              <w:tc>
                <w:tcPr>
                  <w:tcW w:w="1661" w:type="pct"/>
                  <w:noWrap w:val="0"/>
                  <w:vAlign w:val="center"/>
                </w:tcPr>
                <w:p>
                  <w:pPr>
                    <w:pStyle w:val="32"/>
                    <w:rPr>
                      <w:kern w:val="2"/>
                      <w:szCs w:val="24"/>
                      <w:lang w:val="en-US" w:eastAsia="zh-CN"/>
                    </w:rPr>
                  </w:pPr>
                  <w:r>
                    <w:rPr>
                      <w:kern w:val="2"/>
                      <w:szCs w:val="24"/>
                      <w:lang w:val="en-US" w:eastAsia="zh-CN"/>
                    </w:rPr>
                    <w:t>产品名称</w:t>
                  </w:r>
                </w:p>
              </w:tc>
              <w:tc>
                <w:tcPr>
                  <w:tcW w:w="977" w:type="pct"/>
                  <w:noWrap w:val="0"/>
                  <w:vAlign w:val="center"/>
                </w:tcPr>
                <w:p>
                  <w:pPr>
                    <w:pStyle w:val="32"/>
                    <w:rPr>
                      <w:kern w:val="2"/>
                      <w:szCs w:val="24"/>
                      <w:lang w:val="en-US" w:eastAsia="zh-CN"/>
                    </w:rPr>
                  </w:pPr>
                  <w:r>
                    <w:rPr>
                      <w:kern w:val="2"/>
                      <w:szCs w:val="24"/>
                      <w:lang w:val="en-US" w:eastAsia="zh-CN"/>
                    </w:rPr>
                    <w:t>单位</w:t>
                  </w:r>
                </w:p>
              </w:tc>
              <w:tc>
                <w:tcPr>
                  <w:tcW w:w="995" w:type="pct"/>
                  <w:noWrap w:val="0"/>
                  <w:vAlign w:val="center"/>
                </w:tcPr>
                <w:p>
                  <w:pPr>
                    <w:pStyle w:val="32"/>
                    <w:rPr>
                      <w:kern w:val="2"/>
                      <w:szCs w:val="24"/>
                      <w:lang w:val="en-US" w:eastAsia="zh-CN"/>
                    </w:rPr>
                  </w:pPr>
                  <w:r>
                    <w:rPr>
                      <w:kern w:val="2"/>
                      <w:szCs w:val="24"/>
                      <w:lang w:val="en-US" w:eastAsia="zh-CN"/>
                    </w:rPr>
                    <w:t>数量</w:t>
                  </w:r>
                </w:p>
              </w:tc>
              <w:tc>
                <w:tcPr>
                  <w:tcW w:w="958" w:type="pct"/>
                  <w:noWrap w:val="0"/>
                  <w:vAlign w:val="center"/>
                </w:tcPr>
                <w:p>
                  <w:pPr>
                    <w:pStyle w:val="32"/>
                    <w:rPr>
                      <w:kern w:val="2"/>
                      <w:szCs w:val="24"/>
                      <w:lang w:val="en-US" w:eastAsia="zh-CN"/>
                    </w:rPr>
                  </w:pPr>
                  <w:r>
                    <w:rPr>
                      <w:kern w:val="2"/>
                      <w:szCs w:val="24"/>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6" w:type="pct"/>
                  <w:noWrap w:val="0"/>
                  <w:vAlign w:val="center"/>
                </w:tcPr>
                <w:p>
                  <w:pPr>
                    <w:pStyle w:val="32"/>
                    <w:rPr>
                      <w:kern w:val="2"/>
                      <w:szCs w:val="24"/>
                      <w:lang w:val="en-US" w:eastAsia="zh-CN"/>
                    </w:rPr>
                  </w:pPr>
                  <w:r>
                    <w:rPr>
                      <w:kern w:val="2"/>
                      <w:szCs w:val="24"/>
                      <w:lang w:val="en-US" w:eastAsia="zh-CN"/>
                    </w:rPr>
                    <w:t>1</w:t>
                  </w:r>
                </w:p>
              </w:tc>
              <w:tc>
                <w:tcPr>
                  <w:tcW w:w="1661" w:type="pct"/>
                  <w:noWrap w:val="0"/>
                  <w:vAlign w:val="center"/>
                </w:tcPr>
                <w:p>
                  <w:pPr>
                    <w:pStyle w:val="32"/>
                    <w:rPr>
                      <w:rFonts w:hint="default"/>
                      <w:kern w:val="2"/>
                      <w:szCs w:val="24"/>
                      <w:lang w:val="en-US" w:eastAsia="zh-CN"/>
                    </w:rPr>
                  </w:pPr>
                  <w:r>
                    <w:rPr>
                      <w:kern w:val="2"/>
                      <w:szCs w:val="24"/>
                      <w:lang w:val="en-US" w:eastAsia="zh-CN"/>
                    </w:rPr>
                    <w:t>废钢铁</w:t>
                  </w:r>
                </w:p>
              </w:tc>
              <w:tc>
                <w:tcPr>
                  <w:tcW w:w="977" w:type="pct"/>
                  <w:noWrap w:val="0"/>
                  <w:vAlign w:val="center"/>
                </w:tcPr>
                <w:p>
                  <w:pPr>
                    <w:pStyle w:val="32"/>
                    <w:rPr>
                      <w:kern w:val="2"/>
                      <w:szCs w:val="24"/>
                      <w:lang w:val="en-US" w:eastAsia="zh-CN"/>
                    </w:rPr>
                  </w:pPr>
                  <w:r>
                    <w:rPr>
                      <w:kern w:val="2"/>
                      <w:szCs w:val="24"/>
                      <w:lang w:val="en-US" w:eastAsia="zh-CN"/>
                    </w:rPr>
                    <w:t>t/a</w:t>
                  </w:r>
                </w:p>
              </w:tc>
              <w:tc>
                <w:tcPr>
                  <w:tcW w:w="995" w:type="pct"/>
                  <w:noWrap w:val="0"/>
                  <w:vAlign w:val="center"/>
                </w:tcPr>
                <w:p>
                  <w:pPr>
                    <w:pStyle w:val="32"/>
                    <w:rPr>
                      <w:rFonts w:hint="default"/>
                      <w:kern w:val="2"/>
                      <w:szCs w:val="24"/>
                      <w:lang w:val="en-US" w:eastAsia="zh-CN"/>
                    </w:rPr>
                  </w:pPr>
                  <w:r>
                    <w:rPr>
                      <w:rFonts w:hint="eastAsia"/>
                      <w:kern w:val="2"/>
                      <w:szCs w:val="24"/>
                      <w:lang w:val="en-US" w:eastAsia="zh-CN"/>
                    </w:rPr>
                    <w:t>150000</w:t>
                  </w:r>
                </w:p>
              </w:tc>
              <w:tc>
                <w:tcPr>
                  <w:tcW w:w="958" w:type="pct"/>
                  <w:noWrap w:val="0"/>
                  <w:vAlign w:val="center"/>
                </w:tcPr>
                <w:p>
                  <w:pPr>
                    <w:pStyle w:val="32"/>
                    <w:rPr>
                      <w:kern w:val="2"/>
                      <w:szCs w:val="24"/>
                      <w:lang w:val="en-US" w:eastAsia="zh-CN"/>
                    </w:rPr>
                  </w:pPr>
                  <w:r>
                    <w:rPr>
                      <w:kern w:val="2"/>
                      <w:szCs w:val="24"/>
                      <w:lang w:val="en-US" w:eastAsia="zh-CN"/>
                    </w:rPr>
                    <w:t>外售</w:t>
                  </w:r>
                </w:p>
              </w:tc>
            </w:tr>
          </w:tbl>
          <w:p>
            <w:pPr>
              <w:keepNext w:val="0"/>
              <w:keepLines w:val="0"/>
              <w:pageBreakBefore w:val="0"/>
              <w:widowControl w:val="0"/>
              <w:tabs>
                <w:tab w:val="left" w:pos="1794"/>
              </w:tabs>
              <w:kinsoku/>
              <w:wordWrap/>
              <w:overflowPunct/>
              <w:topLinePunct w:val="0"/>
              <w:autoSpaceDE/>
              <w:autoSpaceDN/>
              <w:bidi w:val="0"/>
              <w:adjustRightInd/>
              <w:snapToGrid/>
              <w:spacing w:before="157" w:beforeLines="50" w:line="360" w:lineRule="auto"/>
              <w:ind w:firstLine="256" w:firstLineChars="100"/>
              <w:textAlignment w:val="auto"/>
              <w:rPr>
                <w:rFonts w:hint="eastAsia"/>
                <w:bCs/>
                <w:color w:val="000000"/>
                <w:sz w:val="24"/>
                <w:szCs w:val="24"/>
                <w:u w:val="none"/>
                <w:lang w:eastAsia="zh-CN"/>
              </w:rPr>
            </w:pPr>
            <w:r>
              <w:rPr>
                <w:rFonts w:hint="eastAsia"/>
                <w:bCs/>
                <w:color w:val="000000"/>
                <w:spacing w:val="8"/>
                <w:sz w:val="24"/>
                <w:szCs w:val="24"/>
                <w:u w:val="none"/>
                <w:lang w:eastAsia="zh-CN"/>
              </w:rPr>
              <w:t>（</w:t>
            </w:r>
            <w:r>
              <w:rPr>
                <w:rFonts w:hint="eastAsia"/>
                <w:bCs/>
                <w:color w:val="000000"/>
                <w:sz w:val="24"/>
                <w:szCs w:val="24"/>
                <w:u w:val="none"/>
                <w:lang w:val="en-US" w:eastAsia="zh-CN"/>
              </w:rPr>
              <w:t>2</w:t>
            </w:r>
            <w:r>
              <w:rPr>
                <w:rFonts w:hint="eastAsia"/>
                <w:bCs/>
                <w:color w:val="000000"/>
                <w:sz w:val="24"/>
                <w:szCs w:val="24"/>
                <w:u w:val="none"/>
                <w:lang w:eastAsia="zh-CN"/>
              </w:rPr>
              <w:t>）产品方案</w:t>
            </w:r>
          </w:p>
          <w:p>
            <w:pPr>
              <w:tabs>
                <w:tab w:val="left" w:pos="1794"/>
              </w:tabs>
              <w:spacing w:line="360" w:lineRule="auto"/>
              <w:ind w:firstLine="480" w:firstLineChars="200"/>
              <w:rPr>
                <w:rFonts w:hint="eastAsia"/>
                <w:bCs/>
                <w:color w:val="000000"/>
                <w:sz w:val="24"/>
                <w:szCs w:val="24"/>
                <w:u w:val="none"/>
              </w:rPr>
            </w:pPr>
            <w:r>
              <w:rPr>
                <w:rFonts w:hint="eastAsia"/>
                <w:bCs/>
                <w:color w:val="000000"/>
                <w:sz w:val="24"/>
                <w:szCs w:val="24"/>
                <w:u w:val="none"/>
                <w:lang w:eastAsia="zh-CN"/>
              </w:rPr>
              <w:t>根据《报废机动车回收拆解企业技术规范》（GB 22128-2019）、</w:t>
            </w:r>
            <w:r>
              <w:rPr>
                <w:rFonts w:hint="eastAsia"/>
                <w:bCs/>
                <w:color w:val="000000"/>
                <w:sz w:val="24"/>
                <w:szCs w:val="24"/>
                <w:u w:val="none"/>
                <w:lang w:val="en-US" w:eastAsia="zh-CN"/>
              </w:rPr>
              <w:t>《报废机动车拆解企业污染控制技术规范》（HJ348-2022）</w:t>
            </w:r>
            <w:r>
              <w:rPr>
                <w:rFonts w:hint="eastAsia"/>
                <w:bCs/>
                <w:color w:val="000000"/>
                <w:sz w:val="24"/>
                <w:szCs w:val="24"/>
                <w:u w:val="none"/>
                <w:lang w:eastAsia="zh-CN"/>
              </w:rPr>
              <w:t>以及《报废机动车回收管理办法》（中华人民共和国国务院令第715号，2019 年4月22日）等，经查阅各类相关资料，参考同类型企业的报告，拟建项目产品方案见表</w:t>
            </w:r>
            <w:r>
              <w:rPr>
                <w:rFonts w:hint="eastAsia"/>
                <w:bCs/>
                <w:color w:val="000000"/>
                <w:sz w:val="24"/>
                <w:szCs w:val="24"/>
                <w:u w:val="none"/>
                <w:lang w:val="en-US" w:eastAsia="zh-CN"/>
              </w:rPr>
              <w:t>2-5、2-6</w:t>
            </w:r>
            <w:r>
              <w:rPr>
                <w:rFonts w:hint="eastAsia"/>
                <w:bCs/>
                <w:color w:val="000000"/>
                <w:sz w:val="24"/>
                <w:szCs w:val="24"/>
                <w:u w:val="none"/>
                <w:lang w:eastAsia="zh-CN"/>
              </w:rPr>
              <w:t>。</w:t>
            </w:r>
          </w:p>
          <w:p>
            <w:pPr>
              <w:keepNext w:val="0"/>
              <w:keepLines w:val="0"/>
              <w:pageBreakBefore w:val="0"/>
              <w:widowControl w:val="0"/>
              <w:tabs>
                <w:tab w:val="left" w:pos="2887"/>
              </w:tabs>
              <w:kinsoku/>
              <w:wordWrap/>
              <w:overflowPunct/>
              <w:topLinePunct w:val="0"/>
              <w:autoSpaceDE/>
              <w:autoSpaceDN/>
              <w:bidi w:val="0"/>
              <w:adjustRightInd/>
              <w:snapToGrid/>
              <w:spacing w:line="240" w:lineRule="exact"/>
              <w:jc w:val="center"/>
              <w:textAlignment w:val="auto"/>
              <w:rPr>
                <w:rFonts w:hint="eastAsia"/>
                <w:b/>
                <w:bCs w:val="0"/>
                <w:u w:val="none"/>
              </w:rPr>
            </w:pPr>
            <w:r>
              <w:rPr>
                <w:rFonts w:hint="eastAsia"/>
                <w:b/>
                <w:bCs w:val="0"/>
                <w:color w:val="000000"/>
                <w:sz w:val="21"/>
                <w:szCs w:val="21"/>
                <w:u w:val="none"/>
                <w:lang w:eastAsia="zh-CN"/>
              </w:rPr>
              <w:t>表</w:t>
            </w:r>
            <w:r>
              <w:rPr>
                <w:rFonts w:hint="eastAsia"/>
                <w:b/>
                <w:bCs w:val="0"/>
                <w:color w:val="000000"/>
                <w:sz w:val="21"/>
                <w:szCs w:val="21"/>
                <w:u w:val="none"/>
                <w:lang w:val="en-US" w:eastAsia="zh-CN"/>
              </w:rPr>
              <w:t xml:space="preserve">2-5 </w:t>
            </w:r>
            <w:r>
              <w:rPr>
                <w:rFonts w:hint="eastAsia"/>
                <w:b/>
                <w:bCs w:val="0"/>
                <w:color w:val="000000"/>
                <w:sz w:val="21"/>
                <w:szCs w:val="21"/>
                <w:u w:val="none"/>
                <w:lang w:eastAsia="zh-CN"/>
              </w:rPr>
              <w:t>拟项目报废机动车拆解产品明细表（单辆）</w:t>
            </w:r>
            <w:r>
              <w:rPr>
                <w:rFonts w:hint="eastAsia"/>
                <w:b/>
                <w:bCs w:val="0"/>
                <w:color w:val="000000"/>
                <w:sz w:val="21"/>
                <w:szCs w:val="21"/>
                <w:u w:val="none"/>
                <w:lang w:val="en-US" w:eastAsia="zh-CN"/>
              </w:rPr>
              <w:t xml:space="preserve">  </w:t>
            </w:r>
            <w:r>
              <w:rPr>
                <w:rFonts w:hint="eastAsia"/>
                <w:b/>
                <w:bCs w:val="0"/>
                <w:u w:val="none"/>
              </w:rPr>
              <w:t xml:space="preserve">单位：kg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2287"/>
              <w:gridCol w:w="913"/>
              <w:gridCol w:w="912"/>
              <w:gridCol w:w="859"/>
              <w:gridCol w:w="912"/>
              <w:gridCol w:w="1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6"/>
                  <w:noWrap w:val="0"/>
                  <w:vAlign w:val="center"/>
                </w:tcPr>
                <w:p>
                  <w:pPr>
                    <w:spacing w:line="240" w:lineRule="auto"/>
                    <w:jc w:val="center"/>
                    <w:rPr>
                      <w:rFonts w:hint="eastAsia"/>
                      <w:color w:val="000000"/>
                      <w:sz w:val="21"/>
                      <w:szCs w:val="21"/>
                      <w:u w:val="none"/>
                    </w:rPr>
                  </w:pPr>
                  <w:r>
                    <w:rPr>
                      <w:rFonts w:hint="eastAsia"/>
                      <w:color w:val="000000"/>
                      <w:sz w:val="21"/>
                      <w:szCs w:val="21"/>
                      <w:u w:val="none"/>
                    </w:rPr>
                    <w:t>报废车原料</w:t>
                  </w:r>
                </w:p>
              </w:tc>
              <w:tc>
                <w:tcPr>
                  <w:tcW w:w="0" w:type="auto"/>
                  <w:vMerge w:val="restart"/>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lang w:eastAsia="zh-CN"/>
                    </w:rPr>
                    <w:t>报废机动车</w:t>
                  </w:r>
                  <w:r>
                    <w:rPr>
                      <w:rFonts w:hint="eastAsia"/>
                      <w:color w:val="000000"/>
                      <w:sz w:val="21"/>
                      <w:szCs w:val="21"/>
                      <w:u w:val="none"/>
                    </w:rPr>
                    <w:t>类型</w:t>
                  </w:r>
                </w:p>
                <w:p>
                  <w:pPr>
                    <w:spacing w:line="240" w:lineRule="auto"/>
                    <w:jc w:val="center"/>
                    <w:rPr>
                      <w:rFonts w:hint="eastAsia"/>
                      <w:color w:val="000000"/>
                      <w:sz w:val="21"/>
                      <w:szCs w:val="21"/>
                      <w:u w:val="none"/>
                    </w:rPr>
                  </w:pP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燃油小型车</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燃油中型车</w:t>
                  </w:r>
                </w:p>
              </w:tc>
              <w:tc>
                <w:tcPr>
                  <w:tcW w:w="859" w:type="dxa"/>
                  <w:noWrap w:val="0"/>
                  <w:vAlign w:val="center"/>
                </w:tcPr>
                <w:p>
                  <w:pPr>
                    <w:bidi w:val="0"/>
                    <w:jc w:val="center"/>
                    <w:rPr>
                      <w:rFonts w:hint="eastAsia"/>
                      <w:color w:val="000000"/>
                      <w:sz w:val="21"/>
                      <w:szCs w:val="21"/>
                      <w:u w:val="none"/>
                    </w:rPr>
                  </w:pPr>
                  <w:r>
                    <w:rPr>
                      <w:rFonts w:hint="eastAsia"/>
                      <w:sz w:val="21"/>
                      <w:szCs w:val="21"/>
                    </w:rPr>
                    <w:t>燃油大型车</w:t>
                  </w:r>
                </w:p>
              </w:tc>
              <w:tc>
                <w:tcPr>
                  <w:tcW w:w="0" w:type="auto"/>
                  <w:noWrap w:val="0"/>
                  <w:vAlign w:val="center"/>
                </w:tcPr>
                <w:p>
                  <w:pPr>
                    <w:bidi w:val="0"/>
                    <w:rPr>
                      <w:rFonts w:hint="eastAsia"/>
                      <w:color w:val="000000"/>
                      <w:sz w:val="21"/>
                      <w:szCs w:val="21"/>
                      <w:u w:val="none"/>
                    </w:rPr>
                  </w:pPr>
                  <w:r>
                    <w:rPr>
                      <w:rFonts w:hint="eastAsia"/>
                      <w:sz w:val="21"/>
                      <w:szCs w:val="21"/>
                    </w:rPr>
                    <w:t>新能源汽车</w:t>
                  </w:r>
                </w:p>
              </w:tc>
              <w:tc>
                <w:tcPr>
                  <w:tcW w:w="0" w:type="auto"/>
                  <w:vMerge w:val="continue"/>
                  <w:noWrap w:val="0"/>
                  <w:vAlign w:val="center"/>
                </w:tcPr>
                <w:p>
                  <w:pPr>
                    <w:bidi w:val="0"/>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重量</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1400</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6000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10000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1400</w:t>
                  </w:r>
                </w:p>
              </w:tc>
              <w:tc>
                <w:tcPr>
                  <w:tcW w:w="0" w:type="auto"/>
                  <w:vMerge w:val="continue"/>
                  <w:noWrap w:val="0"/>
                  <w:vAlign w:val="center"/>
                </w:tcPr>
                <w:p>
                  <w:pPr>
                    <w:spacing w:line="240" w:lineRule="auto"/>
                    <w:jc w:val="center"/>
                    <w:rPr>
                      <w:rFonts w:hint="eastAsia"/>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6"/>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主要产品</w:t>
                  </w:r>
                </w:p>
              </w:tc>
              <w:tc>
                <w:tcPr>
                  <w:tcW w:w="0" w:type="auto"/>
                  <w:vMerge w:val="continue"/>
                  <w:noWrap w:val="0"/>
                  <w:vAlign w:val="center"/>
                </w:tcPr>
                <w:p>
                  <w:pPr>
                    <w:spacing w:line="240" w:lineRule="auto"/>
                    <w:jc w:val="center"/>
                    <w:rPr>
                      <w:rFonts w:hint="eastAsia"/>
                      <w:color w:val="000000"/>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noWrap w:val="0"/>
                  <w:vAlign w:val="center"/>
                </w:tcPr>
                <w:p>
                  <w:pPr>
                    <w:spacing w:line="240" w:lineRule="auto"/>
                    <w:jc w:val="center"/>
                    <w:rPr>
                      <w:rFonts w:hint="eastAsia"/>
                      <w:color w:val="000000"/>
                      <w:sz w:val="21"/>
                      <w:szCs w:val="21"/>
                      <w:u w:val="none"/>
                    </w:rPr>
                  </w:pPr>
                  <w:r>
                    <w:rPr>
                      <w:rFonts w:hint="eastAsia"/>
                      <w:color w:val="000000"/>
                      <w:sz w:val="21"/>
                      <w:szCs w:val="21"/>
                      <w:u w:val="none"/>
                    </w:rPr>
                    <w:t>可利用</w:t>
                  </w:r>
                </w:p>
                <w:p>
                  <w:pPr>
                    <w:spacing w:line="240" w:lineRule="auto"/>
                    <w:jc w:val="center"/>
                    <w:rPr>
                      <w:rFonts w:hint="eastAsia"/>
                      <w:color w:val="000000"/>
                      <w:sz w:val="21"/>
                      <w:szCs w:val="21"/>
                      <w:u w:val="none"/>
                    </w:rPr>
                  </w:pPr>
                  <w:r>
                    <w:rPr>
                      <w:rFonts w:hint="eastAsia"/>
                      <w:color w:val="000000"/>
                      <w:sz w:val="21"/>
                      <w:szCs w:val="21"/>
                      <w:u w:val="none"/>
                    </w:rPr>
                    <w:t>物资</w:t>
                  </w: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废安全气囊（已引爆）</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五大总成</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176</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880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1467</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176</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玻璃</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14</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14</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可用零部件</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12</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12</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废电线电缆</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10</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15</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20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10</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钢铁（包括车门、车身、悬架、报废总成等）</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997</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4252</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7131</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997</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橡胶（包括轮胎、减震橡胶块、密封条等）</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36</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180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300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36</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有色金属（包括发动机、变速器、散热器等）</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45</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218</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405</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45</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塑料（包括保险杠、仪表盘、水箱等）</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64</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260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395</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64</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废制冷剂</w:t>
                  </w:r>
                </w:p>
              </w:tc>
              <w:tc>
                <w:tcPr>
                  <w:tcW w:w="913"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1</w:t>
                  </w:r>
                </w:p>
              </w:tc>
              <w:tc>
                <w:tcPr>
                  <w:tcW w:w="912"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4</w:t>
                  </w:r>
                </w:p>
              </w:tc>
              <w:tc>
                <w:tcPr>
                  <w:tcW w:w="859"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7</w:t>
                  </w:r>
                </w:p>
              </w:tc>
              <w:tc>
                <w:tcPr>
                  <w:tcW w:w="0" w:type="auto"/>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1</w:t>
                  </w:r>
                </w:p>
              </w:tc>
              <w:tc>
                <w:tcPr>
                  <w:tcW w:w="0" w:type="auto"/>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动力电池</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0</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17</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restart"/>
                  <w:noWrap w:val="0"/>
                  <w:vAlign w:val="center"/>
                </w:tcPr>
                <w:p>
                  <w:pPr>
                    <w:spacing w:line="240" w:lineRule="auto"/>
                    <w:jc w:val="center"/>
                    <w:rPr>
                      <w:rFonts w:hint="eastAsia"/>
                      <w:color w:val="000000"/>
                      <w:sz w:val="21"/>
                      <w:szCs w:val="21"/>
                      <w:u w:val="none"/>
                    </w:rPr>
                  </w:pPr>
                  <w:r>
                    <w:rPr>
                      <w:rFonts w:hint="eastAsia"/>
                      <w:color w:val="000000"/>
                      <w:sz w:val="21"/>
                      <w:szCs w:val="21"/>
                      <w:u w:val="none"/>
                    </w:rPr>
                    <w:t>危险废物</w:t>
                  </w:r>
                </w:p>
              </w:tc>
              <w:tc>
                <w:tcPr>
                  <w:tcW w:w="2287" w:type="dxa"/>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lang w:eastAsia="zh-CN"/>
                    </w:rPr>
                    <w:t>废铅蓄电池</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8</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19</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31</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4</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HW31委托有资质单位处置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废尾气净化催化装置</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2</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5</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HW50委托有资质单位处置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rPr>
                    <w:t>废电容器</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2</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2</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lang w:eastAsia="zh-CN"/>
                    </w:rPr>
                    <w:t>含汞开关</w:t>
                  </w:r>
                </w:p>
              </w:tc>
              <w:tc>
                <w:tcPr>
                  <w:tcW w:w="913"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0.5</w:t>
                  </w:r>
                </w:p>
              </w:tc>
              <w:tc>
                <w:tcPr>
                  <w:tcW w:w="912"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0.8</w:t>
                  </w:r>
                </w:p>
              </w:tc>
              <w:tc>
                <w:tcPr>
                  <w:tcW w:w="85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1.5</w:t>
                  </w:r>
                </w:p>
              </w:tc>
              <w:tc>
                <w:tcPr>
                  <w:tcW w:w="0" w:type="auto"/>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0.5</w:t>
                  </w:r>
                </w:p>
              </w:tc>
              <w:tc>
                <w:tcPr>
                  <w:tcW w:w="0" w:type="auto"/>
                  <w:noWrap w:val="0"/>
                  <w:vAlign w:val="center"/>
                </w:tcPr>
                <w:p>
                  <w:pPr>
                    <w:spacing w:line="240" w:lineRule="auto"/>
                    <w:jc w:val="center"/>
                    <w:rPr>
                      <w:rFonts w:hint="eastAsia"/>
                      <w:sz w:val="21"/>
                      <w:szCs w:val="21"/>
                      <w:u w:val="none" w:color="auto"/>
                      <w:lang w:val="en-US" w:eastAsia="zh-CN"/>
                    </w:rPr>
                  </w:pPr>
                  <w:r>
                    <w:rPr>
                      <w:rFonts w:hint="eastAsia"/>
                      <w:sz w:val="21"/>
                      <w:szCs w:val="21"/>
                      <w:u w:val="none" w:color="auto"/>
                      <w:lang w:val="en-US" w:eastAsia="zh-CN"/>
                    </w:rPr>
                    <w:t>HW29委托有资质单位处置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废油液</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7</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28</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32</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3</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HW08委托有资质单位处置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废油箱</w:t>
                  </w:r>
                </w:p>
              </w:tc>
              <w:tc>
                <w:tcPr>
                  <w:tcW w:w="913"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5</w:t>
                  </w:r>
                </w:p>
              </w:tc>
              <w:tc>
                <w:tcPr>
                  <w:tcW w:w="912"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18</w:t>
                  </w:r>
                </w:p>
              </w:tc>
              <w:tc>
                <w:tcPr>
                  <w:tcW w:w="859"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27</w:t>
                  </w:r>
                </w:p>
              </w:tc>
              <w:tc>
                <w:tcPr>
                  <w:tcW w:w="0" w:type="auto"/>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燃油</w:t>
                  </w:r>
                </w:p>
              </w:tc>
              <w:tc>
                <w:tcPr>
                  <w:tcW w:w="913"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4</w:t>
                  </w:r>
                </w:p>
              </w:tc>
              <w:tc>
                <w:tcPr>
                  <w:tcW w:w="912"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10</w:t>
                  </w:r>
                </w:p>
              </w:tc>
              <w:tc>
                <w:tcPr>
                  <w:tcW w:w="859"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20</w:t>
                  </w:r>
                </w:p>
              </w:tc>
              <w:tc>
                <w:tcPr>
                  <w:tcW w:w="0" w:type="auto"/>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lang w:val="en-US" w:eastAsia="zh-CN"/>
                    </w:rPr>
                    <w:t>HW08委托有资质单位处置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废线路板</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7</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8</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9</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7</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vMerge w:val="continue"/>
                  <w:noWrap w:val="0"/>
                  <w:vAlign w:val="center"/>
                </w:tcPr>
                <w:p>
                  <w:pPr>
                    <w:spacing w:line="240" w:lineRule="auto"/>
                    <w:jc w:val="center"/>
                    <w:rPr>
                      <w:rFonts w:hint="eastAsia"/>
                      <w:color w:val="000000"/>
                      <w:sz w:val="21"/>
                      <w:szCs w:val="21"/>
                      <w:u w:val="none"/>
                    </w:rPr>
                  </w:pP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废油类滤清器</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4</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7</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w:t>
                  </w:r>
                </w:p>
              </w:tc>
              <w:tc>
                <w:tcPr>
                  <w:tcW w:w="0" w:type="auto"/>
                  <w:noWrap w:val="0"/>
                  <w:vAlign w:val="center"/>
                </w:tcPr>
                <w:p>
                  <w:pPr>
                    <w:spacing w:line="240" w:lineRule="auto"/>
                    <w:jc w:val="center"/>
                    <w:rPr>
                      <w:rFonts w:hint="eastAsia"/>
                      <w:color w:val="000000"/>
                      <w:sz w:val="21"/>
                      <w:szCs w:val="21"/>
                      <w:u w:val="none"/>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一般工</w:t>
                  </w:r>
                </w:p>
                <w:p>
                  <w:pPr>
                    <w:spacing w:line="240" w:lineRule="auto"/>
                    <w:jc w:val="center"/>
                    <w:rPr>
                      <w:rFonts w:hint="eastAsia"/>
                      <w:color w:val="000000"/>
                      <w:sz w:val="21"/>
                      <w:szCs w:val="21"/>
                      <w:u w:val="none"/>
                    </w:rPr>
                  </w:pPr>
                  <w:r>
                    <w:rPr>
                      <w:rFonts w:hint="eastAsia"/>
                      <w:color w:val="000000"/>
                      <w:sz w:val="21"/>
                      <w:szCs w:val="21"/>
                      <w:u w:val="none"/>
                    </w:rPr>
                    <w:t>业固废</w:t>
                  </w:r>
                </w:p>
              </w:tc>
              <w:tc>
                <w:tcPr>
                  <w:tcW w:w="2287"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其它不可利用物（难以分离的碎玻璃、橡胶等）</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9</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38</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59</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9</w:t>
                  </w:r>
                </w:p>
              </w:tc>
              <w:tc>
                <w:tcPr>
                  <w:tcW w:w="0" w:type="auto"/>
                  <w:noWrap w:val="0"/>
                  <w:vAlign w:val="center"/>
                </w:tcPr>
                <w:p>
                  <w:pPr>
                    <w:spacing w:line="240" w:lineRule="auto"/>
                    <w:jc w:val="center"/>
                    <w:rPr>
                      <w:rFonts w:hint="eastAsia"/>
                      <w:color w:val="000000"/>
                      <w:sz w:val="21"/>
                      <w:szCs w:val="21"/>
                      <w:u w:val="none"/>
                    </w:rPr>
                  </w:pPr>
                  <w:r>
                    <w:rPr>
                      <w:rFonts w:hint="default" w:ascii="Times New Roman" w:hAnsi="Times New Roman" w:eastAsia="宋体" w:cs="Times New Roman"/>
                      <w:b w:val="0"/>
                      <w:bCs w:val="0"/>
                      <w:color w:val="auto"/>
                      <w:sz w:val="21"/>
                      <w:szCs w:val="21"/>
                      <w:highlight w:val="none"/>
                      <w:u w:val="none" w:color="auto"/>
                    </w:rPr>
                    <w:t>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合计</w:t>
                  </w:r>
                </w:p>
              </w:tc>
              <w:tc>
                <w:tcPr>
                  <w:tcW w:w="913"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1400</w:t>
                  </w:r>
                </w:p>
              </w:tc>
              <w:tc>
                <w:tcPr>
                  <w:tcW w:w="912"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6000</w:t>
                  </w:r>
                </w:p>
              </w:tc>
              <w:tc>
                <w:tcPr>
                  <w:tcW w:w="85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10000</w:t>
                  </w:r>
                </w:p>
              </w:tc>
              <w:tc>
                <w:tcPr>
                  <w:tcW w:w="0" w:type="auto"/>
                  <w:noWrap w:val="0"/>
                  <w:vAlign w:val="center"/>
                </w:tcPr>
                <w:p>
                  <w:pPr>
                    <w:spacing w:line="240" w:lineRule="auto"/>
                    <w:jc w:val="center"/>
                    <w:rPr>
                      <w:rFonts w:hint="eastAsia"/>
                      <w:color w:val="000000"/>
                      <w:sz w:val="21"/>
                      <w:szCs w:val="21"/>
                      <w:u w:val="none"/>
                    </w:rPr>
                  </w:pPr>
                  <w:r>
                    <w:rPr>
                      <w:rFonts w:hint="eastAsia"/>
                      <w:color w:val="000000"/>
                      <w:sz w:val="21"/>
                      <w:szCs w:val="21"/>
                      <w:u w:val="none"/>
                    </w:rPr>
                    <w:t>1400</w:t>
                  </w:r>
                </w:p>
              </w:tc>
              <w:tc>
                <w:tcPr>
                  <w:tcW w:w="0" w:type="auto"/>
                  <w:noWrap w:val="0"/>
                  <w:vAlign w:val="center"/>
                </w:tcPr>
                <w:p>
                  <w:pPr>
                    <w:spacing w:line="240" w:lineRule="auto"/>
                    <w:jc w:val="center"/>
                    <w:rPr>
                      <w:rFonts w:hint="eastAsia" w:eastAsia="宋体"/>
                      <w:color w:val="000000"/>
                      <w:sz w:val="21"/>
                      <w:szCs w:val="21"/>
                      <w:u w:val="none"/>
                      <w:lang w:val="en-US" w:eastAsia="zh-CN"/>
                    </w:rPr>
                  </w:pPr>
                  <w:r>
                    <w:rPr>
                      <w:rFonts w:hint="eastAsia"/>
                      <w:color w:val="000000"/>
                      <w:sz w:val="21"/>
                      <w:szCs w:val="21"/>
                      <w:u w:val="none"/>
                      <w:lang w:val="en-US" w:eastAsia="zh-CN"/>
                    </w:rPr>
                    <w:t>/</w:t>
                  </w:r>
                </w:p>
              </w:tc>
            </w:tr>
          </w:tbl>
          <w:p>
            <w:pPr>
              <w:keepNext w:val="0"/>
              <w:keepLines w:val="0"/>
              <w:pageBreakBefore w:val="0"/>
              <w:widowControl w:val="0"/>
              <w:tabs>
                <w:tab w:val="left" w:pos="2887"/>
              </w:tabs>
              <w:kinsoku/>
              <w:wordWrap/>
              <w:overflowPunct/>
              <w:topLinePunct w:val="0"/>
              <w:autoSpaceDE/>
              <w:autoSpaceDN/>
              <w:bidi w:val="0"/>
              <w:adjustRightInd/>
              <w:snapToGrid/>
              <w:spacing w:before="157" w:beforeLines="50" w:line="240" w:lineRule="exact"/>
              <w:jc w:val="center"/>
              <w:textAlignment w:val="auto"/>
              <w:rPr>
                <w:rFonts w:hint="eastAsia"/>
                <w:b/>
                <w:bCs w:val="0"/>
                <w:color w:val="000000"/>
                <w:sz w:val="21"/>
                <w:szCs w:val="21"/>
                <w:u w:val="none"/>
                <w:lang w:eastAsia="zh-CN"/>
              </w:rPr>
            </w:pPr>
            <w:r>
              <w:rPr>
                <w:rFonts w:hint="eastAsia"/>
                <w:b/>
                <w:bCs w:val="0"/>
                <w:color w:val="000000"/>
                <w:sz w:val="21"/>
                <w:szCs w:val="21"/>
                <w:u w:val="none"/>
                <w:lang w:eastAsia="zh-CN"/>
              </w:rPr>
              <w:t>表</w:t>
            </w:r>
            <w:r>
              <w:rPr>
                <w:rFonts w:hint="eastAsia"/>
                <w:b/>
                <w:bCs w:val="0"/>
                <w:color w:val="000000"/>
                <w:sz w:val="21"/>
                <w:szCs w:val="21"/>
                <w:u w:val="none"/>
                <w:lang w:val="en-US" w:eastAsia="zh-CN"/>
              </w:rPr>
              <w:t>2-6</w:t>
            </w:r>
            <w:r>
              <w:rPr>
                <w:rFonts w:hint="eastAsia"/>
                <w:b/>
                <w:bCs w:val="0"/>
                <w:color w:val="000000"/>
                <w:sz w:val="21"/>
                <w:szCs w:val="21"/>
                <w:u w:val="none"/>
                <w:lang w:eastAsia="zh-CN"/>
              </w:rPr>
              <w:t xml:space="preserve"> 拟建项目报废机动车拆解产品方案</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337"/>
              <w:gridCol w:w="1004"/>
              <w:gridCol w:w="3945"/>
              <w:gridCol w:w="1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类型</w:t>
                  </w:r>
                </w:p>
              </w:tc>
              <w:tc>
                <w:tcPr>
                  <w:tcW w:w="89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重量t/a</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备注</w:t>
                  </w:r>
                </w:p>
              </w:tc>
              <w:tc>
                <w:tcPr>
                  <w:tcW w:w="1560"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lang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9" w:type="dxa"/>
                  <w:vMerge w:val="restart"/>
                  <w:noWrap w:val="0"/>
                  <w:vAlign w:val="center"/>
                </w:tcPr>
                <w:p>
                  <w:pPr>
                    <w:spacing w:line="240" w:lineRule="auto"/>
                    <w:jc w:val="center"/>
                    <w:rPr>
                      <w:rFonts w:hint="eastAsia"/>
                      <w:color w:val="000000"/>
                      <w:sz w:val="21"/>
                      <w:szCs w:val="21"/>
                      <w:u w:val="none"/>
                    </w:rPr>
                  </w:pPr>
                  <w:r>
                    <w:rPr>
                      <w:rFonts w:hint="eastAsia"/>
                      <w:color w:val="000000"/>
                      <w:sz w:val="21"/>
                      <w:szCs w:val="21"/>
                      <w:u w:val="none"/>
                    </w:rPr>
                    <w:t>可利用物资</w:t>
                  </w: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废安全气囊（已引爆）</w:t>
                  </w:r>
                </w:p>
              </w:tc>
              <w:tc>
                <w:tcPr>
                  <w:tcW w:w="899" w:type="dxa"/>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rPr>
                    <w:t>1</w:t>
                  </w:r>
                  <w:r>
                    <w:rPr>
                      <w:rFonts w:hint="eastAsia"/>
                      <w:color w:val="000000"/>
                      <w:sz w:val="21"/>
                      <w:szCs w:val="21"/>
                      <w:u w:val="none"/>
                      <w:lang w:val="en-US" w:eastAsia="zh-CN"/>
                    </w:rPr>
                    <w:t>0</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主要为尼龙织布，已引爆</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五大总成</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2957</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主要为发动机、方向机、变速器、前后桥和汽车悬架</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玻璃</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165.2</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主要包括车灯、反射镜及车窗等</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可用零部件</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147.4</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主要包括车轴、气门、曲轴等</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废电线电缆</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109</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主要为电线电缆</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钢铁（包括车门、车身、悬架、报废总成等）</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 xml:space="preserve">15603.4  </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主要包括车门、发动机罩、车架纵横梁、车厢纵横梁、车轮、刹车盘等处的高强度钢；产生于排气系统、防撞弓形梁、保险杠、后挡板、发动机支架等不锈钢、报废总成等。</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橡胶（包括轮胎、减震橡胶块、密封条等）</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604.8</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主要包括轮胎、管道、减震件、防尘罩、胶带、油封绝缘片和密封条等</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有色金属（包括发动机、变速器、散热器等）</w:t>
                  </w:r>
                </w:p>
                <w:p>
                  <w:pPr>
                    <w:spacing w:line="240" w:lineRule="auto"/>
                    <w:jc w:val="center"/>
                    <w:rPr>
                      <w:rFonts w:hint="eastAsia"/>
                      <w:color w:val="000000"/>
                      <w:sz w:val="21"/>
                      <w:szCs w:val="21"/>
                      <w:u w:val="none"/>
                    </w:rPr>
                  </w:pP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769.8</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铝：主要是产生于保险杆、发动机罩、车门、行李箱、车身面板、车轮轮毂、轮外饰罩、制动器总成的保护罩、消声罩、防抱制动系统、热交换器、车身构架、座位、车厢地板、仪表板等的变形铝合金；铜：主要是产生于散热器、分水管、废油类滤清器芯、管接头盒化油器等的普通黄铜；镁：主要产生于座椅骨架、轮圈、仪表盘骨架、转向盘、变速器壳、离合器壳、缸盖、进气气管、车门框架等，用量较小；钛：主要产生于发动机连杆、发动机气门、气门座圈、排气系统零部件、悬架弹簧、扭力簧、气门弹簧、车轮、车身外板等，用量较小。</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塑料（包括保险杠、仪表盘、水箱等）</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956.2</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主要是产生于水箱面罩栅板、百叶窗、后视镜外壳、尾灯罩、仪表板的ABS；产生于保险杆、仪表板、栅板面罩、内外小饰件的PP；产生于挡板、油箱盖的PBT；产生于挡板、轮罩、气管格栅的PA；产生于轮罩的PPO；产生于保险杆、车门、车灯、挡泥板的PC；产生于仪表板、轮罩、挡板的PVC；产生于断面饰板、保险杠软面板、挡泥板、翼子板、车门、减震器的RIM-PU；产生于发动机罩、行李箱盖、顶盖的FRP。</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废制冷剂</w:t>
                  </w:r>
                </w:p>
              </w:tc>
              <w:tc>
                <w:tcPr>
                  <w:tcW w:w="899" w:type="dxa"/>
                  <w:noWrap w:val="0"/>
                  <w:vAlign w:val="center"/>
                </w:tcPr>
                <w:p>
                  <w:pPr>
                    <w:spacing w:line="240" w:lineRule="auto"/>
                    <w:jc w:val="center"/>
                    <w:rPr>
                      <w:rFonts w:hint="eastAsia" w:eastAsia="宋体"/>
                      <w:color w:val="000000"/>
                      <w:kern w:val="2"/>
                      <w:sz w:val="21"/>
                      <w:szCs w:val="21"/>
                      <w:u w:val="none"/>
                      <w:lang w:val="en-US" w:eastAsia="zh-CN" w:bidi="ar-SA"/>
                    </w:rPr>
                  </w:pPr>
                  <w:r>
                    <w:rPr>
                      <w:rFonts w:hint="eastAsia"/>
                      <w:color w:val="000000"/>
                      <w:sz w:val="21"/>
                      <w:szCs w:val="21"/>
                      <w:u w:val="none"/>
                      <w:lang w:val="en-US" w:eastAsia="zh-CN"/>
                    </w:rPr>
                    <w:t>15.4</w:t>
                  </w:r>
                </w:p>
              </w:tc>
              <w:tc>
                <w:tcPr>
                  <w:tcW w:w="4011" w:type="dxa"/>
                  <w:noWrap w:val="0"/>
                  <w:vAlign w:val="center"/>
                </w:tcPr>
                <w:p>
                  <w:pPr>
                    <w:spacing w:line="240" w:lineRule="auto"/>
                    <w:jc w:val="center"/>
                    <w:rPr>
                      <w:rFonts w:hint="eastAsia" w:eastAsia="宋体"/>
                      <w:color w:val="000000"/>
                      <w:sz w:val="21"/>
                      <w:szCs w:val="21"/>
                      <w:u w:val="none"/>
                      <w:lang w:val="en-US" w:eastAsia="zh-CN"/>
                    </w:rPr>
                  </w:pPr>
                  <w:r>
                    <w:rPr>
                      <w:rFonts w:hint="eastAsia"/>
                      <w:color w:val="000000"/>
                      <w:sz w:val="21"/>
                      <w:szCs w:val="21"/>
                      <w:u w:val="none"/>
                      <w:lang w:val="en-US" w:eastAsia="zh-CN"/>
                    </w:rPr>
                    <w:t>/</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动力电池</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3.4</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多为三元电池，可回收利用</w:t>
                  </w:r>
                </w:p>
              </w:tc>
              <w:tc>
                <w:tcPr>
                  <w:tcW w:w="1560" w:type="dxa"/>
                  <w:noWrap w:val="0"/>
                  <w:vAlign w:val="center"/>
                </w:tcPr>
                <w:p>
                  <w:pPr>
                    <w:bidi w:val="0"/>
                    <w:jc w:val="both"/>
                    <w:rPr>
                      <w:rFonts w:hint="eastAsia"/>
                      <w:color w:val="000000"/>
                      <w:kern w:val="2"/>
                      <w:sz w:val="21"/>
                      <w:szCs w:val="21"/>
                      <w:u w:val="none"/>
                      <w:lang w:val="en-US" w:eastAsia="zh-CN" w:bidi="ar-SA"/>
                    </w:rPr>
                  </w:pPr>
                  <w:r>
                    <w:rPr>
                      <w:rFonts w:hint="default" w:ascii="Times New Roman" w:hAnsi="Times New Roman" w:eastAsia="宋体" w:cs="Times New Roman"/>
                      <w:sz w:val="21"/>
                      <w:szCs w:val="21"/>
                      <w:highlight w:val="none"/>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restart"/>
                  <w:noWrap w:val="0"/>
                  <w:vAlign w:val="center"/>
                </w:tcPr>
                <w:p>
                  <w:pPr>
                    <w:spacing w:line="240" w:lineRule="auto"/>
                    <w:jc w:val="center"/>
                    <w:rPr>
                      <w:rFonts w:hint="eastAsia"/>
                      <w:color w:val="000000"/>
                      <w:sz w:val="21"/>
                      <w:szCs w:val="21"/>
                      <w:u w:val="none"/>
                    </w:rPr>
                  </w:pPr>
                  <w:r>
                    <w:rPr>
                      <w:rFonts w:hint="eastAsia"/>
                      <w:color w:val="000000"/>
                      <w:sz w:val="21"/>
                      <w:szCs w:val="21"/>
                      <w:u w:val="none"/>
                    </w:rPr>
                    <w:t>危险</w:t>
                  </w:r>
                </w:p>
                <w:p>
                  <w:pPr>
                    <w:spacing w:line="240" w:lineRule="auto"/>
                    <w:jc w:val="center"/>
                    <w:rPr>
                      <w:rFonts w:hint="eastAsia"/>
                      <w:color w:val="000000"/>
                      <w:sz w:val="21"/>
                      <w:szCs w:val="21"/>
                      <w:u w:val="none"/>
                    </w:rPr>
                  </w:pPr>
                  <w:r>
                    <w:rPr>
                      <w:rFonts w:hint="eastAsia"/>
                      <w:color w:val="000000"/>
                      <w:sz w:val="21"/>
                      <w:szCs w:val="21"/>
                      <w:u w:val="none"/>
                    </w:rPr>
                    <w:t>废物</w:t>
                  </w:r>
                </w:p>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燃油</w:t>
                  </w:r>
                </w:p>
              </w:tc>
              <w:tc>
                <w:tcPr>
                  <w:tcW w:w="899" w:type="dxa"/>
                  <w:noWrap w:val="0"/>
                  <w:vAlign w:val="center"/>
                </w:tcPr>
                <w:p>
                  <w:pPr>
                    <w:spacing w:line="240" w:lineRule="auto"/>
                    <w:jc w:val="center"/>
                    <w:rPr>
                      <w:rFonts w:hint="eastAsia" w:eastAsia="宋体"/>
                      <w:color w:val="000000"/>
                      <w:kern w:val="2"/>
                      <w:sz w:val="21"/>
                      <w:szCs w:val="21"/>
                      <w:u w:val="none"/>
                      <w:lang w:val="en-US" w:eastAsia="zh-CN" w:bidi="ar-SA"/>
                    </w:rPr>
                  </w:pPr>
                  <w:r>
                    <w:rPr>
                      <w:rFonts w:hint="eastAsia"/>
                      <w:color w:val="000000"/>
                      <w:sz w:val="21"/>
                      <w:szCs w:val="21"/>
                      <w:u w:val="none"/>
                      <w:lang w:val="en-US" w:eastAsia="zh-CN"/>
                    </w:rPr>
                    <w:t>52.4</w:t>
                  </w:r>
                </w:p>
              </w:tc>
              <w:tc>
                <w:tcPr>
                  <w:tcW w:w="4011"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主要为油箱内残留的汽油和柴油</w:t>
                  </w:r>
                </w:p>
              </w:tc>
              <w:tc>
                <w:tcPr>
                  <w:tcW w:w="1560" w:type="dxa"/>
                  <w:noWrap w:val="0"/>
                  <w:vAlign w:val="center"/>
                </w:tcPr>
                <w:p>
                  <w:pPr>
                    <w:bidi w:val="0"/>
                    <w:jc w:val="both"/>
                    <w:rPr>
                      <w:rFonts w:hint="default" w:ascii="Times New Roman" w:hAnsi="Times New Roman" w:eastAsia="宋体" w:cs="Times New Roman"/>
                      <w:sz w:val="21"/>
                      <w:szCs w:val="21"/>
                      <w:highlight w:val="none"/>
                      <w:u w:val="none" w:color="auto"/>
                      <w:lang w:val="en-US" w:eastAsia="zh-CN"/>
                    </w:rPr>
                  </w:pPr>
                  <w:r>
                    <w:rPr>
                      <w:rFonts w:hint="eastAsia"/>
                      <w:sz w:val="21"/>
                      <w:szCs w:val="21"/>
                      <w:u w:val="none" w:color="auto"/>
                      <w:lang w:val="en-US" w:eastAsia="zh-CN"/>
                    </w:rPr>
                    <w:t>HW08委托有资质单位处置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废油箱</w:t>
                  </w:r>
                </w:p>
              </w:tc>
              <w:tc>
                <w:tcPr>
                  <w:tcW w:w="899" w:type="dxa"/>
                  <w:noWrap w:val="0"/>
                  <w:vAlign w:val="center"/>
                </w:tcPr>
                <w:p>
                  <w:pPr>
                    <w:spacing w:line="240" w:lineRule="auto"/>
                    <w:jc w:val="center"/>
                    <w:rPr>
                      <w:rFonts w:hint="eastAsia" w:eastAsia="宋体"/>
                      <w:color w:val="000000"/>
                      <w:kern w:val="2"/>
                      <w:sz w:val="21"/>
                      <w:szCs w:val="21"/>
                      <w:u w:val="none"/>
                      <w:lang w:val="en-US" w:eastAsia="zh-CN" w:bidi="ar-SA"/>
                    </w:rPr>
                  </w:pPr>
                  <w:r>
                    <w:rPr>
                      <w:rFonts w:hint="eastAsia"/>
                      <w:color w:val="000000"/>
                      <w:sz w:val="21"/>
                      <w:szCs w:val="21"/>
                      <w:u w:val="none"/>
                      <w:lang w:val="en-US" w:eastAsia="zh-CN"/>
                    </w:rPr>
                    <w:t>70</w:t>
                  </w:r>
                </w:p>
              </w:tc>
              <w:tc>
                <w:tcPr>
                  <w:tcW w:w="4011" w:type="dxa"/>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lang w:eastAsia="zh-CN"/>
                    </w:rPr>
                    <w:t>废铅蓄电池</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99.6</w:t>
                  </w:r>
                </w:p>
              </w:tc>
              <w:tc>
                <w:tcPr>
                  <w:tcW w:w="4011" w:type="dxa"/>
                  <w:vMerge w:val="restart"/>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w:t>
                  </w:r>
                  <w:r>
                    <w:rPr>
                      <w:rFonts w:hint="eastAsia"/>
                      <w:color w:val="000000"/>
                      <w:sz w:val="21"/>
                      <w:szCs w:val="21"/>
                      <w:u w:val="none"/>
                      <w:lang w:eastAsia="zh-CN"/>
                    </w:rPr>
                    <w:t>废铅蓄电池</w:t>
                  </w:r>
                  <w:r>
                    <w:rPr>
                      <w:rFonts w:hint="eastAsia"/>
                      <w:color w:val="000000"/>
                      <w:sz w:val="21"/>
                      <w:szCs w:val="21"/>
                      <w:u w:val="none"/>
                    </w:rPr>
                    <w:t>、废液化气罐、废尾气净化催化装置、废电容器及废开关、废油液、废空调制冷器、废线路板、废油类滤清器。</w:t>
                  </w:r>
                </w:p>
              </w:tc>
              <w:tc>
                <w:tcPr>
                  <w:tcW w:w="1560" w:type="dxa"/>
                  <w:noWrap w:val="0"/>
                  <w:vAlign w:val="center"/>
                </w:tcPr>
                <w:p>
                  <w:pPr>
                    <w:spacing w:line="240" w:lineRule="auto"/>
                    <w:jc w:val="center"/>
                    <w:rPr>
                      <w:rFonts w:hint="eastAsia" w:eastAsia="宋体"/>
                      <w:color w:val="000000"/>
                      <w:kern w:val="2"/>
                      <w:sz w:val="21"/>
                      <w:szCs w:val="21"/>
                      <w:u w:val="none"/>
                      <w:lang w:val="en-US" w:eastAsia="zh-CN" w:bidi="ar-SA"/>
                    </w:rPr>
                  </w:pPr>
                  <w:r>
                    <w:rPr>
                      <w:rFonts w:hint="eastAsia"/>
                      <w:sz w:val="21"/>
                      <w:szCs w:val="21"/>
                      <w:u w:val="none" w:color="auto"/>
                      <w:lang w:val="en-US" w:eastAsia="zh-CN"/>
                    </w:rPr>
                    <w:t>HW31委托有资质单位处置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废尾气净化催化装置</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13</w:t>
                  </w:r>
                </w:p>
              </w:tc>
              <w:tc>
                <w:tcPr>
                  <w:tcW w:w="4011" w:type="dxa"/>
                  <w:vMerge w:val="continue"/>
                  <w:noWrap w:val="0"/>
                  <w:vAlign w:val="center"/>
                </w:tcPr>
                <w:p>
                  <w:pPr>
                    <w:spacing w:line="240" w:lineRule="auto"/>
                    <w:jc w:val="center"/>
                    <w:rPr>
                      <w:rFonts w:hint="eastAsia"/>
                      <w:color w:val="000000"/>
                      <w:sz w:val="21"/>
                      <w:szCs w:val="21"/>
                      <w:u w:val="none"/>
                    </w:rPr>
                  </w:pP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HW50委托有资质单位处置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废电容器</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21.8</w:t>
                  </w:r>
                </w:p>
              </w:tc>
              <w:tc>
                <w:tcPr>
                  <w:tcW w:w="4011" w:type="dxa"/>
                  <w:vMerge w:val="continue"/>
                  <w:noWrap w:val="0"/>
                  <w:vAlign w:val="center"/>
                </w:tcPr>
                <w:p>
                  <w:pPr>
                    <w:spacing w:line="240" w:lineRule="auto"/>
                    <w:jc w:val="center"/>
                    <w:rPr>
                      <w:rFonts w:hint="eastAsia"/>
                      <w:color w:val="000000"/>
                      <w:sz w:val="21"/>
                      <w:szCs w:val="21"/>
                      <w:u w:val="none"/>
                    </w:rPr>
                  </w:pP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废油液</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96.8</w:t>
                  </w:r>
                </w:p>
              </w:tc>
              <w:tc>
                <w:tcPr>
                  <w:tcW w:w="4011" w:type="dxa"/>
                  <w:vMerge w:val="continue"/>
                  <w:noWrap w:val="0"/>
                  <w:vAlign w:val="center"/>
                </w:tcPr>
                <w:p>
                  <w:pPr>
                    <w:spacing w:line="240" w:lineRule="auto"/>
                    <w:jc w:val="center"/>
                    <w:rPr>
                      <w:rFonts w:hint="eastAsia"/>
                      <w:color w:val="000000"/>
                      <w:sz w:val="21"/>
                      <w:szCs w:val="21"/>
                      <w:u w:val="none"/>
                    </w:rPr>
                  </w:pP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HW08委托有资质单位处置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eastAsia="宋体"/>
                      <w:color w:val="000000"/>
                      <w:sz w:val="21"/>
                      <w:szCs w:val="21"/>
                      <w:u w:val="none"/>
                      <w:lang w:eastAsia="zh-CN"/>
                    </w:rPr>
                  </w:pPr>
                  <w:r>
                    <w:rPr>
                      <w:rFonts w:hint="eastAsia"/>
                      <w:color w:val="000000"/>
                      <w:sz w:val="21"/>
                      <w:szCs w:val="21"/>
                      <w:u w:val="none"/>
                      <w:lang w:eastAsia="zh-CN"/>
                    </w:rPr>
                    <w:t>含汞开关</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eastAsia="宋体"/>
                      <w:color w:val="000000"/>
                      <w:sz w:val="21"/>
                      <w:szCs w:val="21"/>
                      <w:u w:val="none"/>
                      <w:lang w:val="en-US" w:eastAsia="zh-CN"/>
                    </w:rPr>
                    <w:t>5.78</w:t>
                  </w:r>
                </w:p>
              </w:tc>
              <w:tc>
                <w:tcPr>
                  <w:tcW w:w="4011" w:type="dxa"/>
                  <w:vMerge w:val="continue"/>
                  <w:noWrap w:val="0"/>
                  <w:vAlign w:val="center"/>
                </w:tcPr>
                <w:p>
                  <w:pPr>
                    <w:spacing w:line="240" w:lineRule="auto"/>
                    <w:jc w:val="center"/>
                    <w:rPr>
                      <w:rFonts w:hint="eastAsia"/>
                      <w:color w:val="000000"/>
                      <w:sz w:val="21"/>
                      <w:szCs w:val="21"/>
                      <w:u w:val="none"/>
                    </w:rPr>
                  </w:pP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HW29委托有资质单位处置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废线路板</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71.8</w:t>
                  </w:r>
                </w:p>
              </w:tc>
              <w:tc>
                <w:tcPr>
                  <w:tcW w:w="4011" w:type="dxa"/>
                  <w:vMerge w:val="continue"/>
                  <w:noWrap w:val="0"/>
                  <w:vAlign w:val="center"/>
                </w:tcPr>
                <w:p>
                  <w:pPr>
                    <w:spacing w:line="240" w:lineRule="auto"/>
                    <w:jc w:val="center"/>
                    <w:rPr>
                      <w:rFonts w:hint="eastAsia"/>
                      <w:color w:val="000000"/>
                      <w:sz w:val="21"/>
                      <w:szCs w:val="21"/>
                      <w:u w:val="none"/>
                    </w:rPr>
                  </w:pP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vMerge w:val="continue"/>
                  <w:noWrap w:val="0"/>
                  <w:vAlign w:val="center"/>
                </w:tcPr>
                <w:p>
                  <w:pPr>
                    <w:spacing w:line="240" w:lineRule="auto"/>
                    <w:jc w:val="center"/>
                    <w:rPr>
                      <w:rFonts w:hint="eastAsia"/>
                      <w:color w:val="000000"/>
                      <w:sz w:val="21"/>
                      <w:szCs w:val="21"/>
                      <w:u w:val="none"/>
                    </w:rPr>
                  </w:pP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废油类滤清器</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15.4</w:t>
                  </w:r>
                </w:p>
              </w:tc>
              <w:tc>
                <w:tcPr>
                  <w:tcW w:w="4011" w:type="dxa"/>
                  <w:vMerge w:val="continue"/>
                  <w:noWrap w:val="0"/>
                  <w:vAlign w:val="center"/>
                </w:tcPr>
                <w:p>
                  <w:pPr>
                    <w:spacing w:line="240" w:lineRule="auto"/>
                    <w:jc w:val="center"/>
                    <w:rPr>
                      <w:rFonts w:hint="eastAsia"/>
                      <w:color w:val="000000"/>
                      <w:sz w:val="21"/>
                      <w:szCs w:val="21"/>
                      <w:u w:val="none"/>
                    </w:rPr>
                  </w:pP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u w:val="none" w:color="auto"/>
                      <w:lang w:val="en-US" w:eastAsia="zh-CN"/>
                    </w:rPr>
                    <w:t>HW49委托有资质单位处置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9"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一般工</w:t>
                  </w:r>
                </w:p>
                <w:p>
                  <w:pPr>
                    <w:spacing w:line="240" w:lineRule="auto"/>
                    <w:jc w:val="center"/>
                    <w:rPr>
                      <w:rFonts w:hint="eastAsia"/>
                      <w:color w:val="000000"/>
                      <w:sz w:val="21"/>
                      <w:szCs w:val="21"/>
                      <w:u w:val="none"/>
                    </w:rPr>
                  </w:pPr>
                  <w:r>
                    <w:rPr>
                      <w:rFonts w:hint="eastAsia"/>
                      <w:color w:val="000000"/>
                      <w:sz w:val="21"/>
                      <w:szCs w:val="21"/>
                      <w:u w:val="none"/>
                    </w:rPr>
                    <w:t>业固废</w:t>
                  </w:r>
                </w:p>
              </w:tc>
              <w:tc>
                <w:tcPr>
                  <w:tcW w:w="1354"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其它不可利用物（难以分离的碎玻璃、橡胶等）</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137.4</w:t>
                  </w:r>
                </w:p>
              </w:tc>
              <w:tc>
                <w:tcPr>
                  <w:tcW w:w="4011" w:type="dxa"/>
                  <w:noWrap w:val="0"/>
                  <w:vAlign w:val="center"/>
                </w:tcPr>
                <w:p>
                  <w:pPr>
                    <w:spacing w:line="240" w:lineRule="auto"/>
                    <w:jc w:val="center"/>
                    <w:rPr>
                      <w:rFonts w:hint="eastAsia"/>
                      <w:color w:val="000000"/>
                      <w:sz w:val="21"/>
                      <w:szCs w:val="21"/>
                      <w:u w:val="none"/>
                    </w:rPr>
                  </w:pPr>
                  <w:r>
                    <w:rPr>
                      <w:rFonts w:hint="eastAsia"/>
                      <w:color w:val="000000"/>
                      <w:sz w:val="21"/>
                      <w:szCs w:val="21"/>
                      <w:u w:val="none"/>
                    </w:rPr>
                    <w:t>主要包括其他不可利用物（难以分离的破玻璃、橡胶等）。</w:t>
                  </w:r>
                </w:p>
              </w:tc>
              <w:tc>
                <w:tcPr>
                  <w:tcW w:w="1560" w:type="dxa"/>
                  <w:noWrap w:val="0"/>
                  <w:vAlign w:val="center"/>
                </w:tcPr>
                <w:p>
                  <w:pPr>
                    <w:spacing w:line="240" w:lineRule="auto"/>
                    <w:jc w:val="center"/>
                    <w:rPr>
                      <w:rFonts w:hint="eastAsia"/>
                      <w:color w:val="000000"/>
                      <w:kern w:val="2"/>
                      <w:sz w:val="21"/>
                      <w:szCs w:val="21"/>
                      <w:u w:val="none"/>
                      <w:lang w:val="en-US" w:eastAsia="zh-CN" w:bidi="ar-SA"/>
                    </w:rPr>
                  </w:pPr>
                  <w:r>
                    <w:rPr>
                      <w:rFonts w:hint="default" w:ascii="Times New Roman" w:hAnsi="Times New Roman" w:eastAsia="宋体" w:cs="Times New Roman"/>
                      <w:b w:val="0"/>
                      <w:bCs w:val="0"/>
                      <w:color w:val="auto"/>
                      <w:sz w:val="21"/>
                      <w:szCs w:val="21"/>
                      <w:highlight w:val="none"/>
                      <w:u w:val="none" w:color="auto"/>
                    </w:rPr>
                    <w:t>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合计</w:t>
                  </w:r>
                </w:p>
              </w:tc>
              <w:tc>
                <w:tcPr>
                  <w:tcW w:w="899" w:type="dxa"/>
                  <w:noWrap w:val="0"/>
                  <w:vAlign w:val="center"/>
                </w:tcPr>
                <w:p>
                  <w:pPr>
                    <w:spacing w:line="240" w:lineRule="auto"/>
                    <w:jc w:val="center"/>
                    <w:rPr>
                      <w:rFonts w:hint="default" w:eastAsia="宋体"/>
                      <w:color w:val="000000"/>
                      <w:sz w:val="21"/>
                      <w:szCs w:val="21"/>
                      <w:u w:val="none"/>
                      <w:lang w:val="en-US" w:eastAsia="zh-CN"/>
                    </w:rPr>
                  </w:pPr>
                  <w:r>
                    <w:rPr>
                      <w:rFonts w:hint="eastAsia"/>
                      <w:color w:val="000000"/>
                      <w:sz w:val="21"/>
                      <w:szCs w:val="21"/>
                      <w:u w:val="none"/>
                      <w:lang w:val="en-US" w:eastAsia="zh-CN"/>
                    </w:rPr>
                    <w:t>21925.58</w:t>
                  </w:r>
                </w:p>
              </w:tc>
              <w:tc>
                <w:tcPr>
                  <w:tcW w:w="4011" w:type="dxa"/>
                  <w:noWrap w:val="0"/>
                  <w:vAlign w:val="center"/>
                </w:tcPr>
                <w:p>
                  <w:pPr>
                    <w:spacing w:line="240" w:lineRule="auto"/>
                    <w:jc w:val="center"/>
                    <w:rPr>
                      <w:rFonts w:hint="eastAsia" w:eastAsia="宋体"/>
                      <w:color w:val="000000"/>
                      <w:sz w:val="21"/>
                      <w:szCs w:val="21"/>
                      <w:u w:val="none"/>
                      <w:lang w:val="en-US" w:eastAsia="zh-CN"/>
                    </w:rPr>
                  </w:pPr>
                  <w:r>
                    <w:rPr>
                      <w:rFonts w:hint="eastAsia"/>
                      <w:color w:val="000000"/>
                      <w:sz w:val="21"/>
                      <w:szCs w:val="21"/>
                      <w:u w:val="none"/>
                      <w:lang w:val="en-US" w:eastAsia="zh-CN"/>
                    </w:rPr>
                    <w:t>/</w:t>
                  </w:r>
                </w:p>
              </w:tc>
              <w:tc>
                <w:tcPr>
                  <w:tcW w:w="1560" w:type="dxa"/>
                  <w:noWrap w:val="0"/>
                  <w:vAlign w:val="center"/>
                </w:tcPr>
                <w:p>
                  <w:pPr>
                    <w:spacing w:line="240" w:lineRule="auto"/>
                    <w:jc w:val="center"/>
                    <w:rPr>
                      <w:rFonts w:hint="eastAsia" w:eastAsia="宋体"/>
                      <w:color w:val="000000"/>
                      <w:sz w:val="21"/>
                      <w:szCs w:val="21"/>
                      <w:u w:val="none"/>
                      <w:lang w:val="en-US" w:eastAsia="zh-CN"/>
                    </w:rPr>
                  </w:pPr>
                  <w:r>
                    <w:rPr>
                      <w:rFonts w:hint="eastAsia"/>
                      <w:color w:val="000000"/>
                      <w:sz w:val="21"/>
                      <w:szCs w:val="21"/>
                      <w:u w:val="none"/>
                      <w:lang w:val="en-US" w:eastAsia="zh-CN"/>
                    </w:rPr>
                    <w:t>/</w:t>
                  </w:r>
                </w:p>
              </w:tc>
            </w:tr>
          </w:tbl>
          <w:p>
            <w:pPr>
              <w:adjustRightInd w:val="0"/>
              <w:snapToGrid w:val="0"/>
              <w:spacing w:line="360" w:lineRule="auto"/>
              <w:jc w:val="left"/>
              <w:rPr>
                <w:rFonts w:hint="eastAsia"/>
                <w:b/>
                <w:bCs/>
                <w:sz w:val="24"/>
                <w:szCs w:val="24"/>
              </w:rPr>
            </w:pPr>
            <w:r>
              <w:rPr>
                <w:rFonts w:hint="eastAsia"/>
                <w:b/>
                <w:bCs/>
                <w:sz w:val="24"/>
                <w:szCs w:val="24"/>
                <w:lang w:val="en-US" w:eastAsia="zh-CN"/>
              </w:rPr>
              <w:t>4、</w:t>
            </w:r>
            <w:r>
              <w:rPr>
                <w:rFonts w:hint="eastAsia"/>
                <w:b/>
                <w:bCs/>
                <w:sz w:val="24"/>
                <w:szCs w:val="24"/>
              </w:rPr>
              <w:t>主要设备</w:t>
            </w:r>
          </w:p>
          <w:p>
            <w:pPr>
              <w:adjustRightInd w:val="0"/>
              <w:snapToGrid w:val="0"/>
              <w:spacing w:line="360" w:lineRule="auto"/>
              <w:ind w:firstLine="480" w:firstLineChars="200"/>
              <w:jc w:val="left"/>
              <w:rPr>
                <w:rFonts w:hint="eastAsia"/>
                <w:bCs/>
                <w:sz w:val="24"/>
                <w:szCs w:val="24"/>
              </w:rPr>
            </w:pPr>
            <w:r>
              <w:rPr>
                <w:rFonts w:hint="eastAsia"/>
                <w:bCs/>
                <w:sz w:val="24"/>
                <w:szCs w:val="24"/>
              </w:rPr>
              <w:t>本项目主要生产设备详见下表：</w:t>
            </w:r>
          </w:p>
          <w:p>
            <w:pPr>
              <w:jc w:val="center"/>
              <w:rPr>
                <w:rFonts w:hint="eastAsia"/>
              </w:rPr>
            </w:pPr>
            <w:r>
              <w:rPr>
                <w:b/>
              </w:rPr>
              <w:t>表2-</w:t>
            </w:r>
            <w:r>
              <w:rPr>
                <w:rFonts w:hint="eastAsia"/>
                <w:b/>
                <w:lang w:val="en-US" w:eastAsia="zh-CN"/>
              </w:rPr>
              <w:t>7</w:t>
            </w:r>
            <w:r>
              <w:rPr>
                <w:b/>
              </w:rPr>
              <w:t xml:space="preserve"> </w:t>
            </w:r>
            <w:r>
              <w:rPr>
                <w:rFonts w:hint="eastAsia"/>
                <w:b/>
              </w:rPr>
              <w:t>本项目主要设备一览表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6"/>
              <w:gridCol w:w="4180"/>
              <w:gridCol w:w="1452"/>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jc w:val="center"/>
                    <w:rPr>
                      <w:rFonts w:hint="eastAsia"/>
                      <w:bCs/>
                      <w:kern w:val="2"/>
                      <w:sz w:val="21"/>
                      <w:szCs w:val="21"/>
                      <w:lang w:val="en-US" w:eastAsia="zh-CN" w:bidi="ar-SA"/>
                    </w:rPr>
                  </w:pPr>
                  <w:r>
                    <w:rPr>
                      <w:bCs/>
                      <w:szCs w:val="21"/>
                    </w:rPr>
                    <w:t>序号</w:t>
                  </w:r>
                </w:p>
              </w:tc>
              <w:tc>
                <w:tcPr>
                  <w:tcW w:w="2485" w:type="pct"/>
                  <w:noWrap w:val="0"/>
                  <w:vAlign w:val="center"/>
                </w:tcPr>
                <w:p>
                  <w:pPr>
                    <w:jc w:val="center"/>
                    <w:rPr>
                      <w:rFonts w:hint="eastAsia"/>
                      <w:bCs/>
                      <w:kern w:val="2"/>
                      <w:sz w:val="21"/>
                      <w:szCs w:val="21"/>
                      <w:lang w:val="en-US" w:eastAsia="zh-CN" w:bidi="ar-SA"/>
                    </w:rPr>
                  </w:pPr>
                  <w:r>
                    <w:rPr>
                      <w:bCs/>
                      <w:szCs w:val="21"/>
                    </w:rPr>
                    <w:t>设备名称</w:t>
                  </w:r>
                </w:p>
              </w:tc>
              <w:tc>
                <w:tcPr>
                  <w:tcW w:w="863" w:type="pct"/>
                  <w:noWrap w:val="0"/>
                  <w:vAlign w:val="center"/>
                </w:tcPr>
                <w:p>
                  <w:pPr>
                    <w:jc w:val="center"/>
                    <w:rPr>
                      <w:rFonts w:hint="eastAsia"/>
                      <w:bCs/>
                      <w:kern w:val="2"/>
                      <w:sz w:val="21"/>
                      <w:szCs w:val="21"/>
                      <w:lang w:val="en-US" w:eastAsia="zh-CN" w:bidi="ar-SA"/>
                    </w:rPr>
                  </w:pPr>
                  <w:r>
                    <w:rPr>
                      <w:bCs/>
                      <w:szCs w:val="21"/>
                    </w:rPr>
                    <w:t>数量</w:t>
                  </w:r>
                </w:p>
              </w:tc>
              <w:tc>
                <w:tcPr>
                  <w:tcW w:w="1017" w:type="pct"/>
                  <w:noWrap w:val="0"/>
                  <w:vAlign w:val="center"/>
                </w:tcPr>
                <w:p>
                  <w:pPr>
                    <w:jc w:val="center"/>
                    <w:rPr>
                      <w:rFonts w:hint="eastAsia"/>
                      <w:bCs/>
                      <w:kern w:val="2"/>
                      <w:sz w:val="21"/>
                      <w:szCs w:val="21"/>
                      <w:lang w:val="en-US" w:eastAsia="zh-CN" w:bidi="ar-SA"/>
                    </w:rPr>
                  </w:pPr>
                  <w:r>
                    <w:rPr>
                      <w:bCs/>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pStyle w:val="15"/>
                    <w:jc w:val="center"/>
                    <w:rPr>
                      <w:rFonts w:hint="default" w:eastAsia="宋体"/>
                      <w:vertAlign w:val="baseline"/>
                      <w:lang w:val="en-US" w:eastAsia="zh-CN"/>
                    </w:rPr>
                  </w:pPr>
                  <w:r>
                    <w:rPr>
                      <w:rFonts w:hint="eastAsia"/>
                      <w:b/>
                      <w:bCs/>
                      <w:vertAlign w:val="baseline"/>
                      <w:lang w:val="en-US" w:eastAsia="zh-CN"/>
                    </w:rPr>
                    <w:t>报废机动车拆解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升降平台（液压）</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气动排液系统</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3</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油液抽排系统</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4</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油液排放凿孔器</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5</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安全气囊引爆装置</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6</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排液臂</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tabs>
                      <w:tab w:val="center" w:pos="386"/>
                    </w:tabs>
                    <w:ind w:left="0" w:leftChars="0" w:firstLine="0" w:firstLineChars="0"/>
                    <w:jc w:val="center"/>
                    <w:rPr>
                      <w:rFonts w:hint="eastAsia" w:eastAsia="宋体"/>
                      <w:vertAlign w:val="baseline"/>
                      <w:lang w:val="en-US" w:eastAsia="zh-CN"/>
                    </w:rPr>
                  </w:pPr>
                  <w:r>
                    <w:rPr>
                      <w:rFonts w:hint="eastAsia"/>
                      <w:vertAlign w:val="baseline"/>
                      <w:lang w:val="en-US" w:eastAsia="zh-CN"/>
                    </w:rPr>
                    <w:t>7</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氟利昂回收设备</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8</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翻转平台</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9</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玻璃拆卸工具</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10</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轮胎拆卸设备</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11</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拆解流水线</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12</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液压剪</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13</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金属打包机</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14</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金属压块机</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15</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柴油汽油储存罐</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16</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地磅</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vertAlign w:val="baseline"/>
                      <w:lang w:val="en-US" w:eastAsia="zh-CN"/>
                    </w:rPr>
                    <w:t>17</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叉车</w:t>
                  </w:r>
                </w:p>
              </w:tc>
              <w:tc>
                <w:tcPr>
                  <w:tcW w:w="863"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eastAsia" w:eastAsia="宋体"/>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34" w:type="pct"/>
                  <w:noWrap w:val="0"/>
                  <w:vAlign w:val="center"/>
                </w:tcPr>
                <w:p>
                  <w:pPr>
                    <w:pStyle w:val="15"/>
                    <w:ind w:left="0" w:leftChars="0" w:firstLine="0" w:firstLineChars="0"/>
                    <w:jc w:val="center"/>
                    <w:rPr>
                      <w:rFonts w:hint="default"/>
                      <w:u w:val="single"/>
                      <w:vertAlign w:val="baseline"/>
                      <w:lang w:val="en-US" w:eastAsia="zh-CN"/>
                    </w:rPr>
                  </w:pPr>
                  <w:r>
                    <w:rPr>
                      <w:rFonts w:hint="eastAsia"/>
                      <w:u w:val="single"/>
                      <w:vertAlign w:val="baseline"/>
                      <w:lang w:val="en-US" w:eastAsia="zh-CN"/>
                    </w:rPr>
                    <w:t>18</w:t>
                  </w:r>
                </w:p>
              </w:tc>
              <w:tc>
                <w:tcPr>
                  <w:tcW w:w="2485" w:type="pct"/>
                  <w:noWrap w:val="0"/>
                  <w:vAlign w:val="center"/>
                </w:tcPr>
                <w:p>
                  <w:pPr>
                    <w:pStyle w:val="15"/>
                    <w:ind w:left="0" w:leftChars="0" w:firstLine="0" w:firstLineChars="0"/>
                    <w:jc w:val="center"/>
                    <w:rPr>
                      <w:rFonts w:hint="eastAsia" w:eastAsia="宋体"/>
                      <w:color w:val="000000"/>
                      <w:kern w:val="0"/>
                      <w:sz w:val="21"/>
                      <w:szCs w:val="21"/>
                      <w:u w:val="single"/>
                      <w:lang w:val="en-US" w:eastAsia="zh-CN" w:bidi="ar-SA"/>
                    </w:rPr>
                  </w:pPr>
                  <w:r>
                    <w:rPr>
                      <w:rFonts w:hint="eastAsia"/>
                      <w:color w:val="000000"/>
                      <w:sz w:val="21"/>
                      <w:szCs w:val="21"/>
                      <w:u w:val="single"/>
                      <w:lang w:eastAsia="zh-CN"/>
                    </w:rPr>
                    <w:t>活性炭吸附装置</w:t>
                  </w:r>
                </w:p>
              </w:tc>
              <w:tc>
                <w:tcPr>
                  <w:tcW w:w="863" w:type="pct"/>
                  <w:noWrap w:val="0"/>
                  <w:vAlign w:val="center"/>
                </w:tcPr>
                <w:p>
                  <w:pPr>
                    <w:pStyle w:val="15"/>
                    <w:ind w:left="0" w:leftChars="0" w:firstLine="0" w:firstLineChars="0"/>
                    <w:jc w:val="center"/>
                    <w:rPr>
                      <w:rFonts w:hint="eastAsia" w:eastAsia="宋体"/>
                      <w:color w:val="000000"/>
                      <w:kern w:val="0"/>
                      <w:sz w:val="21"/>
                      <w:szCs w:val="21"/>
                      <w:u w:val="single"/>
                      <w:lang w:val="en-US" w:eastAsia="zh-CN" w:bidi="ar-SA"/>
                    </w:rPr>
                  </w:pPr>
                  <w:r>
                    <w:rPr>
                      <w:rFonts w:hint="eastAsia"/>
                      <w:color w:val="000000"/>
                      <w:sz w:val="21"/>
                      <w:szCs w:val="21"/>
                      <w:u w:val="single"/>
                      <w:lang w:val="en-US" w:eastAsia="zh-CN"/>
                    </w:rPr>
                    <w:t>2</w:t>
                  </w:r>
                </w:p>
              </w:tc>
              <w:tc>
                <w:tcPr>
                  <w:tcW w:w="1017" w:type="pct"/>
                  <w:noWrap w:val="0"/>
                  <w:vAlign w:val="center"/>
                </w:tcPr>
                <w:p>
                  <w:pPr>
                    <w:pStyle w:val="15"/>
                    <w:ind w:left="0" w:leftChars="0" w:firstLine="0" w:firstLineChars="0"/>
                    <w:jc w:val="center"/>
                    <w:rPr>
                      <w:rFonts w:hint="eastAsia" w:eastAsia="宋体"/>
                      <w:color w:val="000000"/>
                      <w:kern w:val="0"/>
                      <w:sz w:val="21"/>
                      <w:szCs w:val="21"/>
                      <w:u w:val="single"/>
                      <w:lang w:val="en-US" w:eastAsia="zh-CN" w:bidi="ar-SA"/>
                    </w:rPr>
                  </w:pPr>
                  <w:r>
                    <w:rPr>
                      <w:rFonts w:hint="eastAsia"/>
                      <w:color w:val="000000"/>
                      <w:sz w:val="21"/>
                      <w:szCs w:val="21"/>
                      <w:u w:val="single"/>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u w:val="single"/>
                      <w:vertAlign w:val="baseline"/>
                      <w:lang w:val="en-US" w:eastAsia="zh-CN"/>
                    </w:rPr>
                  </w:pPr>
                  <w:r>
                    <w:rPr>
                      <w:rFonts w:hint="eastAsia"/>
                      <w:u w:val="single"/>
                      <w:vertAlign w:val="baseline"/>
                      <w:lang w:val="en-US" w:eastAsia="zh-CN"/>
                    </w:rPr>
                    <w:t>19</w:t>
                  </w:r>
                </w:p>
              </w:tc>
              <w:tc>
                <w:tcPr>
                  <w:tcW w:w="2485" w:type="pct"/>
                  <w:noWrap w:val="0"/>
                  <w:vAlign w:val="center"/>
                </w:tcPr>
                <w:p>
                  <w:pPr>
                    <w:pStyle w:val="15"/>
                    <w:ind w:left="0" w:leftChars="0" w:firstLine="0" w:firstLineChars="0"/>
                    <w:jc w:val="center"/>
                    <w:rPr>
                      <w:rFonts w:hint="eastAsia"/>
                      <w:color w:val="000000"/>
                      <w:sz w:val="21"/>
                      <w:szCs w:val="21"/>
                      <w:u w:val="single"/>
                      <w:lang w:eastAsia="zh-CN"/>
                    </w:rPr>
                  </w:pPr>
                  <w:r>
                    <w:rPr>
                      <w:rFonts w:hint="eastAsia"/>
                      <w:color w:val="000000"/>
                      <w:sz w:val="21"/>
                      <w:szCs w:val="21"/>
                      <w:u w:val="single"/>
                      <w:lang w:eastAsia="zh-CN"/>
                    </w:rPr>
                    <w:t>气浮机</w:t>
                  </w:r>
                </w:p>
              </w:tc>
              <w:tc>
                <w:tcPr>
                  <w:tcW w:w="863" w:type="pct"/>
                  <w:noWrap w:val="0"/>
                  <w:vAlign w:val="center"/>
                </w:tcPr>
                <w:p>
                  <w:pPr>
                    <w:pStyle w:val="15"/>
                    <w:ind w:left="0" w:leftChars="0" w:firstLine="0" w:firstLineChars="0"/>
                    <w:jc w:val="center"/>
                    <w:rPr>
                      <w:rFonts w:hint="default"/>
                      <w:color w:val="000000"/>
                      <w:sz w:val="21"/>
                      <w:szCs w:val="21"/>
                      <w:u w:val="single"/>
                      <w:lang w:val="en-US" w:eastAsia="zh-CN"/>
                    </w:rPr>
                  </w:pPr>
                  <w:r>
                    <w:rPr>
                      <w:rFonts w:hint="eastAsia"/>
                      <w:color w:val="000000"/>
                      <w:sz w:val="21"/>
                      <w:szCs w:val="21"/>
                      <w:u w:val="single"/>
                      <w:lang w:val="en-US" w:eastAsia="zh-CN"/>
                    </w:rPr>
                    <w:t>1</w:t>
                  </w:r>
                </w:p>
              </w:tc>
              <w:tc>
                <w:tcPr>
                  <w:tcW w:w="1017" w:type="pct"/>
                  <w:noWrap w:val="0"/>
                  <w:vAlign w:val="center"/>
                </w:tcPr>
                <w:p>
                  <w:pPr>
                    <w:pStyle w:val="15"/>
                    <w:ind w:left="0" w:leftChars="0" w:firstLine="0" w:firstLineChars="0"/>
                    <w:jc w:val="center"/>
                    <w:rPr>
                      <w:rFonts w:hint="eastAsia"/>
                      <w:color w:val="000000"/>
                      <w:sz w:val="21"/>
                      <w:szCs w:val="21"/>
                      <w:u w:val="single"/>
                      <w:lang w:eastAsia="zh-CN"/>
                    </w:rPr>
                  </w:pPr>
                  <w:r>
                    <w:rPr>
                      <w:rFonts w:hint="eastAsia"/>
                      <w:color w:val="000000"/>
                      <w:sz w:val="21"/>
                      <w:szCs w:val="21"/>
                      <w:u w:val="single"/>
                      <w:lang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pPr>
                    <w:pStyle w:val="15"/>
                    <w:jc w:val="center"/>
                    <w:rPr>
                      <w:rFonts w:hint="default" w:eastAsia="宋体"/>
                      <w:vertAlign w:val="baseline"/>
                      <w:lang w:val="en-US" w:eastAsia="zh-CN"/>
                    </w:rPr>
                  </w:pPr>
                  <w:r>
                    <w:rPr>
                      <w:rFonts w:hint="eastAsia"/>
                      <w:b/>
                      <w:bCs/>
                      <w:vertAlign w:val="baseline"/>
                      <w:lang w:val="en-US" w:eastAsia="zh-CN"/>
                    </w:rPr>
                    <w:t>废钢铁加工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kern w:val="0"/>
                      <w:sz w:val="21"/>
                      <w:szCs w:val="20"/>
                      <w:vertAlign w:val="baseline"/>
                      <w:lang w:val="en-US" w:eastAsia="zh-CN" w:bidi="ar-SA"/>
                    </w:rPr>
                  </w:pPr>
                  <w:r>
                    <w:rPr>
                      <w:rFonts w:hint="eastAsia"/>
                      <w:vertAlign w:val="baseline"/>
                      <w:lang w:val="en-US" w:eastAsia="zh-CN"/>
                    </w:rPr>
                    <w:t>20</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通道式放射性检测仪</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kern w:val="0"/>
                      <w:sz w:val="21"/>
                      <w:szCs w:val="20"/>
                      <w:vertAlign w:val="baseline"/>
                      <w:lang w:val="en-US" w:eastAsia="zh-CN" w:bidi="ar-SA"/>
                    </w:rPr>
                  </w:pPr>
                  <w:r>
                    <w:rPr>
                      <w:rFonts w:hint="eastAsia"/>
                      <w:vertAlign w:val="baseline"/>
                      <w:lang w:val="en-US" w:eastAsia="zh-CN"/>
                    </w:rPr>
                    <w:t>21</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抓钢机</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kern w:val="0"/>
                      <w:sz w:val="21"/>
                      <w:szCs w:val="20"/>
                      <w:vertAlign w:val="baseline"/>
                      <w:lang w:val="en-US" w:eastAsia="zh-CN" w:bidi="ar-SA"/>
                    </w:rPr>
                  </w:pPr>
                  <w:r>
                    <w:rPr>
                      <w:rFonts w:hint="eastAsia"/>
                      <w:vertAlign w:val="baseline"/>
                      <w:lang w:val="en-US" w:eastAsia="zh-CN"/>
                    </w:rPr>
                    <w:t>22</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装载机</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kern w:val="0"/>
                      <w:sz w:val="21"/>
                      <w:szCs w:val="20"/>
                      <w:vertAlign w:val="baseline"/>
                      <w:lang w:val="en-US" w:eastAsia="zh-CN" w:bidi="ar-SA"/>
                    </w:rPr>
                  </w:pPr>
                  <w:r>
                    <w:rPr>
                      <w:rFonts w:hint="eastAsia"/>
                      <w:vertAlign w:val="baseline"/>
                      <w:lang w:val="en-US" w:eastAsia="zh-CN"/>
                    </w:rPr>
                    <w:t>23</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通用桥式起重机</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2</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kern w:val="0"/>
                      <w:sz w:val="21"/>
                      <w:szCs w:val="20"/>
                      <w:vertAlign w:val="baseline"/>
                      <w:lang w:val="en-US" w:eastAsia="zh-CN" w:bidi="ar-SA"/>
                    </w:rPr>
                  </w:pPr>
                  <w:r>
                    <w:rPr>
                      <w:rFonts w:hint="eastAsia"/>
                      <w:vertAlign w:val="baseline"/>
                      <w:lang w:val="en-US" w:eastAsia="zh-CN"/>
                    </w:rPr>
                    <w:t>24</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金属打包机</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eastAsia="宋体"/>
                      <w:vertAlign w:val="baseline"/>
                      <w:lang w:val="en-US" w:eastAsia="zh-CN"/>
                    </w:rPr>
                    <w:t>25</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门式剪切机</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1</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eastAsia="宋体"/>
                      <w:vertAlign w:val="baseline"/>
                      <w:lang w:val="en-US" w:eastAsia="zh-CN"/>
                    </w:rPr>
                  </w:pPr>
                  <w:r>
                    <w:rPr>
                      <w:rFonts w:hint="eastAsia" w:eastAsia="宋体"/>
                      <w:vertAlign w:val="baseline"/>
                      <w:lang w:val="en-US" w:eastAsia="zh-CN"/>
                    </w:rPr>
                    <w:t>26</w:t>
                  </w:r>
                </w:p>
              </w:tc>
              <w:tc>
                <w:tcPr>
                  <w:tcW w:w="2485" w:type="pct"/>
                  <w:noWrap w:val="0"/>
                  <w:vAlign w:val="center"/>
                </w:tcPr>
                <w:p>
                  <w:pPr>
                    <w:pStyle w:val="15"/>
                    <w:ind w:left="0" w:leftChars="0" w:firstLine="0" w:firstLineChars="0"/>
                    <w:jc w:val="center"/>
                    <w:rPr>
                      <w:rFonts w:hint="eastAsia"/>
                      <w:vertAlign w:val="baseline"/>
                    </w:rPr>
                  </w:pPr>
                  <w:r>
                    <w:rPr>
                      <w:rFonts w:hint="eastAsia"/>
                      <w:vertAlign w:val="baseline"/>
                    </w:rPr>
                    <w:t>超重电磁铁</w:t>
                  </w:r>
                </w:p>
              </w:tc>
              <w:tc>
                <w:tcPr>
                  <w:tcW w:w="863"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5</w:t>
                  </w:r>
                </w:p>
              </w:tc>
              <w:tc>
                <w:tcPr>
                  <w:tcW w:w="1017" w:type="pct"/>
                  <w:noWrap w:val="0"/>
                  <w:vAlign w:val="center"/>
                </w:tcPr>
                <w:p>
                  <w:pPr>
                    <w:pStyle w:val="15"/>
                    <w:ind w:left="0" w:leftChars="0" w:firstLine="0" w:firstLineChars="0"/>
                    <w:jc w:val="center"/>
                    <w:rPr>
                      <w:rFonts w:hint="default"/>
                      <w:vertAlign w:val="baseline"/>
                      <w:lang w:val="en-US" w:eastAsia="zh-CN"/>
                    </w:rPr>
                  </w:pPr>
                  <w:r>
                    <w:rPr>
                      <w:rFonts w:hint="eastAsia"/>
                      <w:vertAlign w:val="baseline"/>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pct"/>
                  <w:noWrap w:val="0"/>
                  <w:vAlign w:val="center"/>
                </w:tcPr>
                <w:p>
                  <w:pPr>
                    <w:pStyle w:val="15"/>
                    <w:ind w:left="0" w:leftChars="0" w:firstLine="0" w:firstLineChars="0"/>
                    <w:jc w:val="center"/>
                    <w:rPr>
                      <w:rFonts w:hint="default"/>
                      <w:u w:val="single"/>
                      <w:vertAlign w:val="baseline"/>
                      <w:lang w:val="en-US" w:eastAsia="zh-CN"/>
                    </w:rPr>
                  </w:pPr>
                  <w:r>
                    <w:rPr>
                      <w:rFonts w:hint="eastAsia"/>
                      <w:u w:val="single"/>
                      <w:vertAlign w:val="baseline"/>
                      <w:lang w:val="en-US" w:eastAsia="zh-CN"/>
                    </w:rPr>
                    <w:t>27</w:t>
                  </w:r>
                </w:p>
              </w:tc>
              <w:tc>
                <w:tcPr>
                  <w:tcW w:w="2485" w:type="pct"/>
                  <w:noWrap w:val="0"/>
                  <w:vAlign w:val="center"/>
                </w:tcPr>
                <w:p>
                  <w:pPr>
                    <w:pStyle w:val="15"/>
                    <w:ind w:left="0" w:leftChars="0" w:firstLine="0" w:firstLineChars="0"/>
                    <w:jc w:val="center"/>
                    <w:rPr>
                      <w:rFonts w:hint="eastAsia" w:eastAsia="宋体"/>
                      <w:u w:val="single"/>
                      <w:vertAlign w:val="baseline"/>
                      <w:lang w:eastAsia="zh-CN"/>
                    </w:rPr>
                  </w:pPr>
                  <w:r>
                    <w:rPr>
                      <w:rFonts w:hint="eastAsia"/>
                      <w:u w:val="single"/>
                      <w:vertAlign w:val="baseline"/>
                      <w:lang w:eastAsia="zh-CN"/>
                    </w:rPr>
                    <w:t>布袋除尘器</w:t>
                  </w:r>
                </w:p>
              </w:tc>
              <w:tc>
                <w:tcPr>
                  <w:tcW w:w="863" w:type="pct"/>
                  <w:noWrap w:val="0"/>
                  <w:vAlign w:val="center"/>
                </w:tcPr>
                <w:p>
                  <w:pPr>
                    <w:pStyle w:val="15"/>
                    <w:ind w:left="0" w:leftChars="0" w:firstLine="0" w:firstLineChars="0"/>
                    <w:jc w:val="center"/>
                    <w:rPr>
                      <w:rFonts w:hint="default"/>
                      <w:u w:val="single"/>
                      <w:vertAlign w:val="baseline"/>
                      <w:lang w:val="en-US" w:eastAsia="zh-CN"/>
                    </w:rPr>
                  </w:pPr>
                  <w:r>
                    <w:rPr>
                      <w:rFonts w:hint="eastAsia"/>
                      <w:u w:val="single"/>
                      <w:vertAlign w:val="baseline"/>
                      <w:lang w:val="en-US" w:eastAsia="zh-CN"/>
                    </w:rPr>
                    <w:t>1</w:t>
                  </w:r>
                </w:p>
              </w:tc>
              <w:tc>
                <w:tcPr>
                  <w:tcW w:w="1017" w:type="pct"/>
                  <w:noWrap w:val="0"/>
                  <w:vAlign w:val="center"/>
                </w:tcPr>
                <w:p>
                  <w:pPr>
                    <w:pStyle w:val="15"/>
                    <w:ind w:left="0" w:leftChars="0" w:firstLine="0" w:firstLineChars="0"/>
                    <w:jc w:val="center"/>
                    <w:rPr>
                      <w:rFonts w:hint="eastAsia"/>
                      <w:u w:val="single"/>
                      <w:vertAlign w:val="baseline"/>
                      <w:lang w:val="en-US" w:eastAsia="zh-CN"/>
                    </w:rPr>
                  </w:pPr>
                  <w:r>
                    <w:rPr>
                      <w:rFonts w:hint="eastAsia"/>
                      <w:u w:val="single"/>
                      <w:vertAlign w:val="baseline"/>
                      <w:lang w:val="en-US" w:eastAsia="zh-CN"/>
                    </w:rPr>
                    <w:t>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eastAsia="宋体" w:cs="Times New Roman"/>
                <w:b/>
                <w:bCs w:val="0"/>
                <w:color w:val="000000"/>
                <w:spacing w:val="8"/>
                <w:sz w:val="24"/>
                <w:szCs w:val="24"/>
                <w:u w:val="none"/>
              </w:rPr>
            </w:pPr>
            <w:r>
              <w:rPr>
                <w:rFonts w:hint="eastAsia" w:ascii="Times New Roman" w:hAnsi="Times New Roman" w:eastAsia="宋体" w:cs="Times New Roman"/>
                <w:b/>
                <w:bCs w:val="0"/>
                <w:color w:val="000000"/>
                <w:spacing w:val="8"/>
                <w:sz w:val="24"/>
                <w:szCs w:val="24"/>
                <w:u w:val="none"/>
                <w:lang w:val="en-US" w:eastAsia="zh-CN"/>
              </w:rPr>
              <w:t>5、</w:t>
            </w:r>
            <w:r>
              <w:rPr>
                <w:rFonts w:hint="default" w:ascii="Times New Roman" w:hAnsi="Times New Roman" w:eastAsia="宋体" w:cs="Times New Roman"/>
                <w:b/>
                <w:bCs w:val="0"/>
                <w:color w:val="000000"/>
                <w:spacing w:val="8"/>
                <w:sz w:val="24"/>
                <w:szCs w:val="24"/>
                <w:u w:val="none"/>
              </w:rPr>
              <w:t>主要原辅材料</w:t>
            </w:r>
          </w:p>
          <w:p>
            <w:pPr>
              <w:keepNext w:val="0"/>
              <w:keepLines w:val="0"/>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eastAsia="宋体" w:cs="Times New Roman"/>
                <w:color w:val="000000"/>
                <w:spacing w:val="8"/>
                <w:sz w:val="24"/>
                <w:szCs w:val="24"/>
                <w:u w:val="none"/>
              </w:rPr>
            </w:pPr>
            <w:r>
              <w:rPr>
                <w:rFonts w:hint="default" w:ascii="Times New Roman" w:hAnsi="Times New Roman" w:eastAsia="宋体" w:cs="Times New Roman"/>
                <w:color w:val="000000"/>
                <w:spacing w:val="8"/>
                <w:sz w:val="24"/>
                <w:szCs w:val="24"/>
                <w:u w:val="none"/>
              </w:rPr>
              <w:t>报废</w:t>
            </w:r>
            <w:r>
              <w:rPr>
                <w:rFonts w:hint="eastAsia" w:ascii="Times New Roman" w:hAnsi="Times New Roman" w:eastAsia="宋体" w:cs="Times New Roman"/>
                <w:color w:val="000000"/>
                <w:spacing w:val="8"/>
                <w:sz w:val="24"/>
                <w:szCs w:val="24"/>
                <w:u w:val="none"/>
                <w:lang w:eastAsia="zh-CN"/>
              </w:rPr>
              <w:t>机动车</w:t>
            </w:r>
            <w:r>
              <w:rPr>
                <w:rFonts w:hint="default" w:ascii="Times New Roman" w:hAnsi="Times New Roman" w:eastAsia="宋体" w:cs="Times New Roman"/>
                <w:color w:val="000000"/>
                <w:spacing w:val="8"/>
                <w:sz w:val="24"/>
                <w:szCs w:val="24"/>
                <w:u w:val="none"/>
              </w:rPr>
              <w:t>的来源途径：在</w:t>
            </w:r>
            <w:r>
              <w:rPr>
                <w:rFonts w:hint="eastAsia" w:ascii="Times New Roman" w:hAnsi="Times New Roman" w:eastAsia="宋体" w:cs="Times New Roman"/>
                <w:color w:val="000000"/>
                <w:spacing w:val="8"/>
                <w:sz w:val="24"/>
                <w:szCs w:val="24"/>
                <w:u w:val="none"/>
                <w:lang w:eastAsia="zh-CN"/>
              </w:rPr>
              <w:t>怀化</w:t>
            </w:r>
            <w:r>
              <w:rPr>
                <w:rFonts w:hint="default" w:ascii="Times New Roman" w:hAnsi="Times New Roman" w:eastAsia="宋体" w:cs="Times New Roman"/>
                <w:color w:val="000000"/>
                <w:spacing w:val="8"/>
                <w:sz w:val="24"/>
                <w:szCs w:val="24"/>
                <w:u w:val="none"/>
              </w:rPr>
              <w:t>市各区、县回收的报废机动车，</w:t>
            </w:r>
            <w:r>
              <w:rPr>
                <w:rFonts w:hint="eastAsia" w:ascii="Times New Roman" w:hAnsi="Times New Roman" w:eastAsia="宋体" w:cs="Times New Roman"/>
                <w:color w:val="000000"/>
                <w:spacing w:val="8"/>
                <w:sz w:val="24"/>
                <w:szCs w:val="24"/>
                <w:u w:val="none"/>
                <w:lang w:eastAsia="zh-CN"/>
              </w:rPr>
              <w:t>怀化</w:t>
            </w:r>
            <w:r>
              <w:rPr>
                <w:rFonts w:hint="default" w:ascii="Times New Roman" w:hAnsi="Times New Roman" w:eastAsia="宋体" w:cs="Times New Roman"/>
                <w:color w:val="000000"/>
                <w:spacing w:val="8"/>
                <w:sz w:val="24"/>
                <w:szCs w:val="24"/>
                <w:u w:val="none"/>
              </w:rPr>
              <w:t>市周边其它区域收集的报废机动车。</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eastAsia="宋体"/>
                <w:lang w:val="en-US" w:eastAsia="zh-CN"/>
              </w:rPr>
            </w:pPr>
            <w:r>
              <w:rPr>
                <w:rFonts w:hint="default" w:ascii="Times New Roman" w:hAnsi="Times New Roman" w:eastAsia="宋体" w:cs="Times New Roman"/>
                <w:b w:val="0"/>
                <w:bCs w:val="0"/>
                <w:color w:val="000000"/>
                <w:kern w:val="2"/>
                <w:sz w:val="24"/>
                <w:szCs w:val="24"/>
                <w:lang w:val="en-US" w:eastAsia="zh-CN"/>
              </w:rPr>
              <w:t>废钢</w:t>
            </w:r>
            <w:r>
              <w:rPr>
                <w:rFonts w:hint="eastAsia" w:ascii="Times New Roman" w:hAnsi="Times New Roman" w:eastAsia="宋体" w:cs="Times New Roman"/>
                <w:b w:val="0"/>
                <w:bCs w:val="0"/>
                <w:color w:val="000000"/>
                <w:kern w:val="2"/>
                <w:sz w:val="24"/>
                <w:szCs w:val="24"/>
                <w:lang w:val="en-US" w:eastAsia="zh-CN"/>
              </w:rPr>
              <w:t>的</w:t>
            </w:r>
            <w:r>
              <w:rPr>
                <w:rFonts w:hint="default" w:ascii="Times New Roman" w:hAnsi="Times New Roman" w:eastAsia="宋体" w:cs="Times New Roman"/>
                <w:b w:val="0"/>
                <w:bCs w:val="0"/>
                <w:color w:val="000000"/>
                <w:kern w:val="2"/>
                <w:sz w:val="24"/>
                <w:szCs w:val="24"/>
                <w:lang w:val="en-US" w:eastAsia="zh-CN"/>
              </w:rPr>
              <w:t>来源</w:t>
            </w:r>
            <w:r>
              <w:rPr>
                <w:rFonts w:hint="eastAsia" w:ascii="Times New Roman" w:hAnsi="Times New Roman" w:eastAsia="宋体" w:cs="Times New Roman"/>
                <w:b w:val="0"/>
                <w:bCs w:val="0"/>
                <w:color w:val="000000"/>
                <w:kern w:val="2"/>
                <w:sz w:val="24"/>
                <w:szCs w:val="24"/>
                <w:lang w:val="en-US" w:eastAsia="zh-CN"/>
              </w:rPr>
              <w:t>途径：报</w:t>
            </w:r>
            <w:r>
              <w:rPr>
                <w:rFonts w:hint="default" w:ascii="Times New Roman" w:hAnsi="Times New Roman" w:eastAsia="宋体" w:cs="Times New Roman"/>
                <w:b w:val="0"/>
                <w:bCs w:val="0"/>
                <w:color w:val="000000"/>
                <w:kern w:val="2"/>
                <w:sz w:val="24"/>
                <w:szCs w:val="24"/>
                <w:lang w:val="en-US" w:eastAsia="zh-CN"/>
              </w:rPr>
              <w:t>废</w:t>
            </w:r>
            <w:r>
              <w:rPr>
                <w:rFonts w:hint="eastAsia" w:ascii="Times New Roman" w:hAnsi="Times New Roman" w:eastAsia="宋体" w:cs="Times New Roman"/>
                <w:b w:val="0"/>
                <w:bCs w:val="0"/>
                <w:color w:val="000000"/>
                <w:kern w:val="2"/>
                <w:sz w:val="24"/>
                <w:szCs w:val="24"/>
                <w:lang w:val="en-US" w:eastAsia="zh-CN"/>
              </w:rPr>
              <w:t>机动车</w:t>
            </w:r>
            <w:r>
              <w:rPr>
                <w:rFonts w:hint="default" w:ascii="Times New Roman" w:hAnsi="Times New Roman" w:eastAsia="宋体" w:cs="Times New Roman"/>
                <w:b w:val="0"/>
                <w:bCs w:val="0"/>
                <w:color w:val="000000"/>
                <w:kern w:val="2"/>
                <w:sz w:val="24"/>
                <w:szCs w:val="24"/>
                <w:lang w:val="en-US" w:eastAsia="zh-CN"/>
              </w:rPr>
              <w:t>拆解生产线拆解下来的废旧钢铁，以及湘西地区、云南、贵州</w:t>
            </w:r>
            <w:r>
              <w:rPr>
                <w:rFonts w:hint="eastAsia" w:ascii="Times New Roman" w:hAnsi="Times New Roman" w:eastAsia="宋体" w:cs="Times New Roman"/>
                <w:b w:val="0"/>
                <w:bCs w:val="0"/>
                <w:color w:val="000000"/>
                <w:kern w:val="2"/>
                <w:sz w:val="24"/>
                <w:szCs w:val="24"/>
                <w:lang w:val="en-US" w:eastAsia="zh-CN"/>
              </w:rPr>
              <w:t>报废机动车</w:t>
            </w:r>
            <w:r>
              <w:rPr>
                <w:rFonts w:hint="default" w:ascii="Times New Roman" w:hAnsi="Times New Roman" w:eastAsia="宋体" w:cs="Times New Roman"/>
                <w:b w:val="0"/>
                <w:bCs w:val="0"/>
                <w:color w:val="000000"/>
                <w:kern w:val="2"/>
                <w:sz w:val="24"/>
                <w:szCs w:val="24"/>
                <w:lang w:val="en-US" w:eastAsia="zh-CN"/>
              </w:rPr>
              <w:t>拆解企业或周边废品回收站</w:t>
            </w:r>
            <w:r>
              <w:rPr>
                <w:rFonts w:hint="eastAsia" w:ascii="Times New Roman" w:hAnsi="Times New Roman" w:eastAsia="宋体" w:cs="Times New Roman"/>
                <w:b w:val="0"/>
                <w:bCs w:val="0"/>
                <w:color w:val="000000"/>
                <w:kern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eastAsia="宋体" w:cs="Times New Roman"/>
                <w:color w:val="000000"/>
                <w:spacing w:val="8"/>
                <w:sz w:val="24"/>
                <w:szCs w:val="24"/>
                <w:u w:val="none"/>
              </w:rPr>
            </w:pPr>
            <w:r>
              <w:rPr>
                <w:rFonts w:hint="default" w:ascii="Times New Roman" w:hAnsi="Times New Roman" w:eastAsia="宋体" w:cs="Times New Roman"/>
                <w:color w:val="000000"/>
                <w:spacing w:val="8"/>
                <w:sz w:val="24"/>
                <w:szCs w:val="24"/>
                <w:u w:val="none"/>
              </w:rPr>
              <w:t>本项目主要原辅材料消耗情况如表</w:t>
            </w:r>
            <w:r>
              <w:rPr>
                <w:rFonts w:hint="default" w:ascii="Times New Roman" w:hAnsi="Times New Roman" w:eastAsia="宋体" w:cs="Times New Roman"/>
                <w:color w:val="000000"/>
                <w:spacing w:val="8"/>
                <w:sz w:val="24"/>
                <w:szCs w:val="24"/>
                <w:u w:val="none"/>
                <w:lang w:val="en-US" w:eastAsia="zh-CN"/>
              </w:rPr>
              <w:t>2-</w:t>
            </w:r>
            <w:r>
              <w:rPr>
                <w:rFonts w:hint="eastAsia" w:ascii="Times New Roman" w:hAnsi="Times New Roman" w:eastAsia="宋体" w:cs="Times New Roman"/>
                <w:color w:val="000000"/>
                <w:spacing w:val="8"/>
                <w:sz w:val="24"/>
                <w:szCs w:val="24"/>
                <w:u w:val="none"/>
                <w:lang w:val="en-US" w:eastAsia="zh-CN"/>
              </w:rPr>
              <w:t>8</w:t>
            </w:r>
            <w:r>
              <w:rPr>
                <w:rFonts w:hint="default" w:ascii="Times New Roman" w:hAnsi="Times New Roman" w:eastAsia="宋体" w:cs="Times New Roman"/>
                <w:color w:val="000000"/>
                <w:spacing w:val="8"/>
                <w:sz w:val="24"/>
                <w:szCs w:val="24"/>
                <w:u w:val="none"/>
              </w:rPr>
              <w:t>所示：</w:t>
            </w:r>
          </w:p>
          <w:p>
            <w:pPr>
              <w:keepNext w:val="0"/>
              <w:keepLines w:val="0"/>
              <w:pageBreakBefore w:val="0"/>
              <w:widowControl w:val="0"/>
              <w:kinsoku/>
              <w:wordWrap/>
              <w:overflowPunct/>
              <w:topLinePunct w:val="0"/>
              <w:autoSpaceDE/>
              <w:autoSpaceDN/>
              <w:bidi w:val="0"/>
              <w:adjustRightInd/>
              <w:snapToGrid/>
              <w:spacing w:line="240" w:lineRule="auto"/>
              <w:ind w:firstLine="2654" w:firstLineChars="1259"/>
              <w:textAlignment w:val="auto"/>
              <w:rPr>
                <w:rFonts w:hint="default" w:ascii="Times New Roman" w:hAnsi="Times New Roman" w:eastAsia="宋体" w:cs="Times New Roman"/>
                <w:b/>
                <w:bCs w:val="0"/>
                <w:color w:val="000000"/>
                <w:sz w:val="21"/>
                <w:szCs w:val="21"/>
                <w:u w:val="none"/>
              </w:rPr>
            </w:pPr>
            <w:r>
              <w:rPr>
                <w:rFonts w:hint="default" w:ascii="Times New Roman" w:hAnsi="Times New Roman" w:eastAsia="宋体" w:cs="Times New Roman"/>
                <w:b/>
                <w:bCs w:val="0"/>
                <w:color w:val="000000"/>
                <w:sz w:val="21"/>
                <w:szCs w:val="21"/>
                <w:u w:val="none"/>
              </w:rPr>
              <w:t>表</w:t>
            </w:r>
            <w:r>
              <w:rPr>
                <w:rFonts w:hint="default" w:ascii="Times New Roman" w:hAnsi="Times New Roman" w:eastAsia="宋体" w:cs="Times New Roman"/>
                <w:b/>
                <w:bCs w:val="0"/>
                <w:color w:val="000000"/>
                <w:sz w:val="21"/>
                <w:szCs w:val="21"/>
                <w:u w:val="none"/>
                <w:lang w:val="en-US" w:eastAsia="zh-CN"/>
              </w:rPr>
              <w:t>2-</w:t>
            </w:r>
            <w:r>
              <w:rPr>
                <w:rFonts w:hint="eastAsia" w:ascii="Times New Roman" w:hAnsi="Times New Roman" w:eastAsia="宋体" w:cs="Times New Roman"/>
                <w:b/>
                <w:bCs w:val="0"/>
                <w:color w:val="000000"/>
                <w:sz w:val="21"/>
                <w:szCs w:val="21"/>
                <w:u w:val="none"/>
                <w:lang w:val="en-US" w:eastAsia="zh-CN"/>
              </w:rPr>
              <w:t>8</w:t>
            </w:r>
            <w:r>
              <w:rPr>
                <w:rFonts w:hint="default" w:ascii="Times New Roman" w:hAnsi="Times New Roman" w:eastAsia="宋体" w:cs="Times New Roman"/>
                <w:b/>
                <w:bCs w:val="0"/>
                <w:color w:val="000000"/>
                <w:sz w:val="21"/>
                <w:szCs w:val="21"/>
                <w:u w:val="none"/>
              </w:rPr>
              <w:t xml:space="preserve">  主要原辅材料消耗情况一览表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910"/>
              <w:gridCol w:w="1415"/>
              <w:gridCol w:w="1684"/>
              <w:gridCol w:w="1763"/>
              <w:gridCol w:w="1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widowControl/>
                    <w:spacing w:line="240" w:lineRule="auto"/>
                    <w:jc w:val="center"/>
                    <w:rPr>
                      <w:rFonts w:hint="eastAsia"/>
                      <w:color w:val="000000"/>
                      <w:spacing w:val="8"/>
                      <w:sz w:val="21"/>
                      <w:szCs w:val="21"/>
                      <w:u w:val="none"/>
                    </w:rPr>
                  </w:pPr>
                  <w:r>
                    <w:rPr>
                      <w:rFonts w:hint="eastAsia"/>
                      <w:color w:val="000000"/>
                      <w:spacing w:val="8"/>
                      <w:sz w:val="21"/>
                      <w:szCs w:val="21"/>
                      <w:u w:val="none"/>
                    </w:rPr>
                    <w:t>序号</w:t>
                  </w:r>
                </w:p>
              </w:tc>
              <w:tc>
                <w:tcPr>
                  <w:tcW w:w="1382" w:type="pct"/>
                  <w:gridSpan w:val="2"/>
                  <w:noWrap w:val="0"/>
                  <w:vAlign w:val="center"/>
                </w:tcPr>
                <w:p>
                  <w:pPr>
                    <w:widowControl/>
                    <w:spacing w:line="240" w:lineRule="auto"/>
                    <w:jc w:val="center"/>
                    <w:rPr>
                      <w:rFonts w:hint="eastAsia"/>
                      <w:color w:val="000000"/>
                      <w:spacing w:val="8"/>
                      <w:sz w:val="21"/>
                      <w:szCs w:val="21"/>
                      <w:u w:val="none"/>
                    </w:rPr>
                  </w:pPr>
                  <w:r>
                    <w:rPr>
                      <w:rFonts w:hint="eastAsia"/>
                      <w:color w:val="000000"/>
                      <w:spacing w:val="8"/>
                      <w:sz w:val="21"/>
                      <w:szCs w:val="21"/>
                      <w:u w:val="none"/>
                    </w:rPr>
                    <w:t>名称</w:t>
                  </w:r>
                </w:p>
              </w:tc>
              <w:tc>
                <w:tcPr>
                  <w:tcW w:w="1001" w:type="pct"/>
                  <w:noWrap w:val="0"/>
                  <w:vAlign w:val="center"/>
                </w:tcPr>
                <w:p>
                  <w:pPr>
                    <w:widowControl/>
                    <w:spacing w:line="240" w:lineRule="auto"/>
                    <w:jc w:val="center"/>
                    <w:rPr>
                      <w:rFonts w:hint="eastAsia" w:eastAsia="宋体"/>
                      <w:color w:val="000000"/>
                      <w:spacing w:val="8"/>
                      <w:sz w:val="21"/>
                      <w:szCs w:val="21"/>
                      <w:u w:val="none"/>
                      <w:lang w:val="en-US" w:eastAsia="zh-CN"/>
                    </w:rPr>
                  </w:pPr>
                  <w:r>
                    <w:rPr>
                      <w:rFonts w:hint="eastAsia"/>
                      <w:color w:val="000000"/>
                      <w:spacing w:val="8"/>
                      <w:sz w:val="21"/>
                      <w:szCs w:val="21"/>
                      <w:u w:val="none"/>
                      <w:lang w:val="en-US" w:eastAsia="zh-CN"/>
                    </w:rPr>
                    <w:t>年用量</w:t>
                  </w:r>
                </w:p>
              </w:tc>
              <w:tc>
                <w:tcPr>
                  <w:tcW w:w="1048" w:type="pct"/>
                  <w:noWrap w:val="0"/>
                  <w:vAlign w:val="center"/>
                </w:tcPr>
                <w:p>
                  <w:pPr>
                    <w:widowControl/>
                    <w:spacing w:line="240" w:lineRule="auto"/>
                    <w:jc w:val="center"/>
                    <w:rPr>
                      <w:rFonts w:hint="eastAsia"/>
                      <w:color w:val="000000"/>
                      <w:spacing w:val="8"/>
                      <w:sz w:val="21"/>
                      <w:szCs w:val="21"/>
                      <w:u w:val="none"/>
                    </w:rPr>
                  </w:pPr>
                  <w:r>
                    <w:rPr>
                      <w:rFonts w:hint="eastAsia"/>
                      <w:sz w:val="21"/>
                      <w:szCs w:val="21"/>
                      <w:lang w:eastAsia="zh-CN"/>
                    </w:rPr>
                    <w:t>单位</w:t>
                  </w:r>
                </w:p>
              </w:tc>
              <w:tc>
                <w:tcPr>
                  <w:tcW w:w="1186" w:type="pct"/>
                  <w:noWrap w:val="0"/>
                  <w:vAlign w:val="center"/>
                </w:tcPr>
                <w:p>
                  <w:pPr>
                    <w:widowControl/>
                    <w:spacing w:line="240" w:lineRule="auto"/>
                    <w:jc w:val="center"/>
                    <w:rPr>
                      <w:rFonts w:hint="eastAsia" w:eastAsia="宋体"/>
                      <w:color w:val="000000"/>
                      <w:spacing w:val="8"/>
                      <w:sz w:val="21"/>
                      <w:szCs w:val="21"/>
                      <w:u w:val="none"/>
                      <w:lang w:eastAsia="zh-CN"/>
                    </w:rPr>
                  </w:pPr>
                  <w:r>
                    <w:rPr>
                      <w:rFonts w:hint="eastAsia"/>
                      <w:color w:val="000000"/>
                      <w:spacing w:val="8"/>
                      <w:sz w:val="21"/>
                      <w:szCs w:val="21"/>
                      <w:u w:val="none"/>
                      <w:lang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000" w:type="pct"/>
                  <w:gridSpan w:val="6"/>
                  <w:noWrap w:val="0"/>
                  <w:vAlign w:val="center"/>
                </w:tcPr>
                <w:p>
                  <w:pPr>
                    <w:widowControl/>
                    <w:spacing w:line="240" w:lineRule="auto"/>
                    <w:jc w:val="center"/>
                    <w:rPr>
                      <w:rFonts w:hint="eastAsia"/>
                      <w:b/>
                      <w:bCs/>
                      <w:vertAlign w:val="baseline"/>
                      <w:lang w:val="en-US" w:eastAsia="zh-CN"/>
                    </w:rPr>
                  </w:pPr>
                  <w:r>
                    <w:rPr>
                      <w:rFonts w:hint="eastAsia"/>
                      <w:b/>
                      <w:bCs/>
                      <w:vertAlign w:val="baseline"/>
                      <w:lang w:val="en-US" w:eastAsia="zh-CN"/>
                    </w:rPr>
                    <w:t>报废机动车拆解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spacing w:line="240" w:lineRule="auto"/>
                    <w:jc w:val="center"/>
                    <w:rPr>
                      <w:rFonts w:hint="eastAsia"/>
                      <w:color w:val="000000"/>
                      <w:spacing w:val="8"/>
                      <w:sz w:val="21"/>
                      <w:szCs w:val="21"/>
                      <w:u w:val="none"/>
                    </w:rPr>
                  </w:pPr>
                  <w:r>
                    <w:rPr>
                      <w:rFonts w:hint="eastAsia"/>
                      <w:color w:val="000000"/>
                      <w:spacing w:val="8"/>
                      <w:sz w:val="21"/>
                      <w:szCs w:val="21"/>
                      <w:u w:val="none"/>
                    </w:rPr>
                    <w:t>1</w:t>
                  </w:r>
                </w:p>
              </w:tc>
              <w:tc>
                <w:tcPr>
                  <w:tcW w:w="541" w:type="pct"/>
                  <w:vMerge w:val="restart"/>
                  <w:noWrap w:val="0"/>
                  <w:vAlign w:val="center"/>
                </w:tcPr>
                <w:p>
                  <w:pPr>
                    <w:bidi w:val="0"/>
                    <w:jc w:val="center"/>
                    <w:rPr>
                      <w:rFonts w:hint="eastAsia"/>
                      <w:kern w:val="2"/>
                      <w:sz w:val="21"/>
                      <w:szCs w:val="21"/>
                      <w:lang w:val="en-US" w:eastAsia="zh-CN" w:bidi="ar-SA"/>
                    </w:rPr>
                  </w:pPr>
                  <w:r>
                    <w:rPr>
                      <w:rFonts w:hint="eastAsia"/>
                      <w:sz w:val="21"/>
                      <w:szCs w:val="21"/>
                      <w:lang w:eastAsia="zh-CN"/>
                    </w:rPr>
                    <w:t>燃油机动车</w:t>
                  </w:r>
                </w:p>
              </w:tc>
              <w:tc>
                <w:tcPr>
                  <w:tcW w:w="841" w:type="pct"/>
                  <w:noWrap w:val="0"/>
                  <w:vAlign w:val="center"/>
                </w:tcPr>
                <w:p>
                  <w:pPr>
                    <w:spacing w:line="240" w:lineRule="auto"/>
                    <w:jc w:val="center"/>
                    <w:rPr>
                      <w:rFonts w:hint="eastAsia"/>
                      <w:color w:val="000000"/>
                      <w:sz w:val="21"/>
                      <w:szCs w:val="21"/>
                      <w:u w:val="none"/>
                    </w:rPr>
                  </w:pPr>
                  <w:r>
                    <w:rPr>
                      <w:rFonts w:hint="eastAsia"/>
                      <w:color w:val="000000"/>
                      <w:sz w:val="21"/>
                      <w:szCs w:val="21"/>
                      <w:u w:val="none"/>
                    </w:rPr>
                    <w:t>燃油大型车</w:t>
                  </w:r>
                </w:p>
              </w:tc>
              <w:tc>
                <w:tcPr>
                  <w:tcW w:w="1001" w:type="pct"/>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600</w:t>
                  </w:r>
                </w:p>
              </w:tc>
              <w:tc>
                <w:tcPr>
                  <w:tcW w:w="1048" w:type="pct"/>
                  <w:noWrap w:val="0"/>
                  <w:vAlign w:val="center"/>
                </w:tcPr>
                <w:p>
                  <w:pPr>
                    <w:bidi w:val="0"/>
                    <w:jc w:val="center"/>
                    <w:rPr>
                      <w:rFonts w:hint="default"/>
                      <w:kern w:val="2"/>
                      <w:sz w:val="21"/>
                      <w:szCs w:val="21"/>
                      <w:lang w:val="en-US" w:eastAsia="zh-CN" w:bidi="ar-SA"/>
                    </w:rPr>
                  </w:pPr>
                  <w:r>
                    <w:rPr>
                      <w:rFonts w:hint="eastAsia"/>
                      <w:sz w:val="21"/>
                      <w:szCs w:val="21"/>
                      <w:lang w:eastAsia="zh-CN"/>
                    </w:rPr>
                    <w:t>辆</w:t>
                  </w:r>
                  <w:r>
                    <w:rPr>
                      <w:rFonts w:hint="eastAsia"/>
                      <w:sz w:val="21"/>
                      <w:szCs w:val="21"/>
                      <w:lang w:val="en-US" w:eastAsia="zh-CN"/>
                    </w:rPr>
                    <w:t>/年</w:t>
                  </w:r>
                </w:p>
              </w:tc>
              <w:tc>
                <w:tcPr>
                  <w:tcW w:w="1186" w:type="pct"/>
                  <w:noWrap w:val="0"/>
                  <w:vAlign w:val="center"/>
                </w:tcPr>
                <w:p>
                  <w:pPr>
                    <w:bidi w:val="0"/>
                    <w:jc w:val="center"/>
                    <w:rPr>
                      <w:rFonts w:hint="eastAsia"/>
                      <w:kern w:val="2"/>
                      <w:sz w:val="21"/>
                      <w:szCs w:val="21"/>
                      <w:lang w:val="en-US" w:eastAsia="zh-CN" w:bidi="ar-SA"/>
                    </w:rPr>
                  </w:pPr>
                  <w:r>
                    <w:rPr>
                      <w:rFonts w:hint="eastAsia"/>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spacing w:line="240" w:lineRule="auto"/>
                    <w:jc w:val="center"/>
                    <w:rPr>
                      <w:rFonts w:hint="eastAsia" w:eastAsia="宋体"/>
                      <w:color w:val="000000"/>
                      <w:spacing w:val="8"/>
                      <w:sz w:val="21"/>
                      <w:szCs w:val="21"/>
                      <w:u w:val="none"/>
                      <w:lang w:val="en-US" w:eastAsia="zh-CN"/>
                    </w:rPr>
                  </w:pPr>
                  <w:r>
                    <w:rPr>
                      <w:rFonts w:hint="eastAsia"/>
                      <w:color w:val="000000"/>
                      <w:spacing w:val="8"/>
                      <w:sz w:val="21"/>
                      <w:szCs w:val="21"/>
                      <w:u w:val="none"/>
                      <w:lang w:val="en-US" w:eastAsia="zh-CN"/>
                    </w:rPr>
                    <w:t>2</w:t>
                  </w:r>
                </w:p>
              </w:tc>
              <w:tc>
                <w:tcPr>
                  <w:tcW w:w="541" w:type="pct"/>
                  <w:vMerge w:val="continue"/>
                  <w:noWrap w:val="0"/>
                  <w:vAlign w:val="center"/>
                </w:tcPr>
                <w:p>
                  <w:pPr>
                    <w:bidi w:val="0"/>
                    <w:jc w:val="center"/>
                    <w:rPr>
                      <w:rFonts w:hint="eastAsia"/>
                      <w:kern w:val="2"/>
                      <w:sz w:val="21"/>
                      <w:szCs w:val="21"/>
                      <w:lang w:val="en-US" w:eastAsia="zh-CN" w:bidi="ar-SA"/>
                    </w:rPr>
                  </w:pPr>
                </w:p>
              </w:tc>
              <w:tc>
                <w:tcPr>
                  <w:tcW w:w="841" w:type="pct"/>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 xml:space="preserve">燃油中型车 </w:t>
                  </w:r>
                </w:p>
              </w:tc>
              <w:tc>
                <w:tcPr>
                  <w:tcW w:w="1001" w:type="pct"/>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600</w:t>
                  </w:r>
                </w:p>
              </w:tc>
              <w:tc>
                <w:tcPr>
                  <w:tcW w:w="1048" w:type="pct"/>
                  <w:noWrap w:val="0"/>
                  <w:vAlign w:val="center"/>
                </w:tcPr>
                <w:p>
                  <w:pPr>
                    <w:bidi w:val="0"/>
                    <w:jc w:val="center"/>
                    <w:rPr>
                      <w:rFonts w:hint="eastAsia"/>
                      <w:kern w:val="2"/>
                      <w:sz w:val="21"/>
                      <w:szCs w:val="21"/>
                      <w:lang w:val="en-US" w:eastAsia="zh-CN" w:bidi="ar-SA"/>
                    </w:rPr>
                  </w:pPr>
                  <w:r>
                    <w:rPr>
                      <w:rFonts w:hint="eastAsia"/>
                      <w:sz w:val="21"/>
                      <w:szCs w:val="21"/>
                      <w:lang w:eastAsia="zh-CN"/>
                    </w:rPr>
                    <w:t>辆</w:t>
                  </w:r>
                  <w:r>
                    <w:rPr>
                      <w:rFonts w:hint="eastAsia"/>
                      <w:sz w:val="21"/>
                      <w:szCs w:val="21"/>
                      <w:lang w:val="en-US" w:eastAsia="zh-CN"/>
                    </w:rPr>
                    <w:t>/年</w:t>
                  </w:r>
                </w:p>
              </w:tc>
              <w:tc>
                <w:tcPr>
                  <w:tcW w:w="1186" w:type="pct"/>
                  <w:noWrap w:val="0"/>
                  <w:vAlign w:val="center"/>
                </w:tcPr>
                <w:p>
                  <w:pPr>
                    <w:bidi w:val="0"/>
                    <w:jc w:val="center"/>
                    <w:rPr>
                      <w:rFonts w:hint="eastAsia"/>
                      <w:kern w:val="2"/>
                      <w:sz w:val="21"/>
                      <w:szCs w:val="21"/>
                      <w:lang w:val="en-US" w:eastAsia="zh-CN" w:bidi="ar-SA"/>
                    </w:rPr>
                  </w:pPr>
                  <w:r>
                    <w:rPr>
                      <w:rFonts w:hint="eastAsia"/>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spacing w:line="240" w:lineRule="auto"/>
                    <w:jc w:val="center"/>
                    <w:rPr>
                      <w:rFonts w:hint="eastAsia" w:eastAsia="宋体"/>
                      <w:color w:val="000000"/>
                      <w:spacing w:val="8"/>
                      <w:sz w:val="21"/>
                      <w:szCs w:val="21"/>
                      <w:u w:val="none"/>
                      <w:lang w:val="en-US" w:eastAsia="zh-CN"/>
                    </w:rPr>
                  </w:pPr>
                  <w:r>
                    <w:rPr>
                      <w:rFonts w:hint="eastAsia"/>
                      <w:color w:val="000000"/>
                      <w:spacing w:val="8"/>
                      <w:sz w:val="21"/>
                      <w:szCs w:val="21"/>
                      <w:u w:val="none"/>
                      <w:lang w:val="en-US" w:eastAsia="zh-CN"/>
                    </w:rPr>
                    <w:t>3</w:t>
                  </w:r>
                </w:p>
              </w:tc>
              <w:tc>
                <w:tcPr>
                  <w:tcW w:w="541" w:type="pct"/>
                  <w:vMerge w:val="continue"/>
                  <w:noWrap w:val="0"/>
                  <w:vAlign w:val="center"/>
                </w:tcPr>
                <w:p>
                  <w:pPr>
                    <w:spacing w:line="240" w:lineRule="auto"/>
                    <w:jc w:val="center"/>
                    <w:rPr>
                      <w:rFonts w:hint="eastAsia"/>
                      <w:color w:val="000000"/>
                      <w:kern w:val="2"/>
                      <w:sz w:val="21"/>
                      <w:szCs w:val="21"/>
                      <w:u w:val="none"/>
                      <w:lang w:val="en-US" w:eastAsia="zh-CN" w:bidi="ar-SA"/>
                    </w:rPr>
                  </w:pPr>
                </w:p>
              </w:tc>
              <w:tc>
                <w:tcPr>
                  <w:tcW w:w="841" w:type="pct"/>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 xml:space="preserve">燃油小型车 </w:t>
                  </w:r>
                </w:p>
              </w:tc>
              <w:tc>
                <w:tcPr>
                  <w:tcW w:w="1001" w:type="pct"/>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lang w:val="en-US" w:eastAsia="zh-CN"/>
                    </w:rPr>
                    <w:t>8</w:t>
                  </w:r>
                  <w:r>
                    <w:rPr>
                      <w:rFonts w:hint="eastAsia"/>
                      <w:color w:val="000000"/>
                      <w:sz w:val="21"/>
                      <w:szCs w:val="21"/>
                      <w:u w:val="none"/>
                    </w:rPr>
                    <w:t>600</w:t>
                  </w:r>
                </w:p>
              </w:tc>
              <w:tc>
                <w:tcPr>
                  <w:tcW w:w="1048" w:type="pct"/>
                  <w:noWrap w:val="0"/>
                  <w:vAlign w:val="center"/>
                </w:tcPr>
                <w:p>
                  <w:pPr>
                    <w:widowControl/>
                    <w:spacing w:line="240" w:lineRule="auto"/>
                    <w:jc w:val="center"/>
                    <w:rPr>
                      <w:rFonts w:hint="eastAsia"/>
                      <w:color w:val="000000"/>
                      <w:spacing w:val="8"/>
                      <w:sz w:val="21"/>
                      <w:szCs w:val="21"/>
                      <w:u w:val="none"/>
                      <w:lang w:val="en-US" w:eastAsia="zh-CN"/>
                    </w:rPr>
                  </w:pPr>
                  <w:r>
                    <w:rPr>
                      <w:rFonts w:hint="eastAsia"/>
                      <w:sz w:val="21"/>
                      <w:szCs w:val="21"/>
                      <w:lang w:eastAsia="zh-CN"/>
                    </w:rPr>
                    <w:t>辆</w:t>
                  </w:r>
                  <w:r>
                    <w:rPr>
                      <w:rFonts w:hint="eastAsia"/>
                      <w:sz w:val="21"/>
                      <w:szCs w:val="21"/>
                      <w:lang w:val="en-US" w:eastAsia="zh-CN"/>
                    </w:rPr>
                    <w:t>/年</w:t>
                  </w:r>
                </w:p>
              </w:tc>
              <w:tc>
                <w:tcPr>
                  <w:tcW w:w="1186" w:type="pct"/>
                  <w:noWrap w:val="0"/>
                  <w:vAlign w:val="center"/>
                </w:tcPr>
                <w:p>
                  <w:pPr>
                    <w:bidi w:val="0"/>
                    <w:jc w:val="center"/>
                    <w:rPr>
                      <w:rFonts w:hint="eastAsia"/>
                      <w:kern w:val="2"/>
                      <w:sz w:val="21"/>
                      <w:szCs w:val="21"/>
                      <w:lang w:val="en-US" w:eastAsia="zh-CN" w:bidi="ar-SA"/>
                    </w:rPr>
                  </w:pPr>
                  <w:r>
                    <w:rPr>
                      <w:rFonts w:hint="eastAsia"/>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spacing w:line="240" w:lineRule="auto"/>
                    <w:jc w:val="center"/>
                    <w:rPr>
                      <w:rFonts w:hint="eastAsia" w:eastAsia="宋体"/>
                      <w:color w:val="000000"/>
                      <w:spacing w:val="8"/>
                      <w:sz w:val="21"/>
                      <w:szCs w:val="21"/>
                      <w:u w:val="none"/>
                      <w:lang w:val="en-US" w:eastAsia="zh-CN"/>
                    </w:rPr>
                  </w:pPr>
                  <w:r>
                    <w:rPr>
                      <w:rFonts w:hint="eastAsia"/>
                      <w:color w:val="000000"/>
                      <w:spacing w:val="8"/>
                      <w:sz w:val="21"/>
                      <w:szCs w:val="21"/>
                      <w:u w:val="none"/>
                      <w:lang w:val="en-US" w:eastAsia="zh-CN"/>
                    </w:rPr>
                    <w:t>4</w:t>
                  </w:r>
                </w:p>
              </w:tc>
              <w:tc>
                <w:tcPr>
                  <w:tcW w:w="541" w:type="pct"/>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lang w:eastAsia="zh-CN"/>
                    </w:rPr>
                    <w:t>新能源机动车</w:t>
                  </w:r>
                </w:p>
              </w:tc>
              <w:tc>
                <w:tcPr>
                  <w:tcW w:w="841" w:type="pct"/>
                  <w:noWrap w:val="0"/>
                  <w:vAlign w:val="center"/>
                </w:tcPr>
                <w:p>
                  <w:pPr>
                    <w:spacing w:line="240" w:lineRule="auto"/>
                    <w:jc w:val="center"/>
                    <w:rPr>
                      <w:rFonts w:hint="eastAsia"/>
                      <w:color w:val="000000"/>
                      <w:kern w:val="2"/>
                      <w:sz w:val="21"/>
                      <w:szCs w:val="21"/>
                      <w:u w:val="none"/>
                      <w:lang w:val="en-US" w:eastAsia="zh-CN" w:bidi="ar-SA"/>
                    </w:rPr>
                  </w:pPr>
                  <w:r>
                    <w:rPr>
                      <w:rFonts w:hint="eastAsia"/>
                      <w:sz w:val="21"/>
                      <w:szCs w:val="21"/>
                      <w:lang w:eastAsia="zh-CN"/>
                    </w:rPr>
                    <w:t>小型车</w:t>
                  </w:r>
                  <w:r>
                    <w:rPr>
                      <w:rFonts w:hint="eastAsia"/>
                      <w:color w:val="000000"/>
                      <w:sz w:val="21"/>
                      <w:szCs w:val="21"/>
                      <w:u w:val="none"/>
                    </w:rPr>
                    <w:t xml:space="preserve"> </w:t>
                  </w:r>
                </w:p>
              </w:tc>
              <w:tc>
                <w:tcPr>
                  <w:tcW w:w="1001" w:type="pct"/>
                  <w:noWrap w:val="0"/>
                  <w:vAlign w:val="center"/>
                </w:tcPr>
                <w:p>
                  <w:pPr>
                    <w:spacing w:line="240" w:lineRule="auto"/>
                    <w:jc w:val="center"/>
                    <w:rPr>
                      <w:rFonts w:hint="eastAsia"/>
                      <w:color w:val="000000"/>
                      <w:kern w:val="2"/>
                      <w:sz w:val="21"/>
                      <w:szCs w:val="21"/>
                      <w:u w:val="none"/>
                      <w:lang w:val="en-US" w:eastAsia="zh-CN" w:bidi="ar-SA"/>
                    </w:rPr>
                  </w:pPr>
                  <w:r>
                    <w:rPr>
                      <w:rFonts w:hint="eastAsia"/>
                      <w:color w:val="000000"/>
                      <w:sz w:val="21"/>
                      <w:szCs w:val="21"/>
                      <w:u w:val="none"/>
                    </w:rPr>
                    <w:t>200</w:t>
                  </w:r>
                </w:p>
              </w:tc>
              <w:tc>
                <w:tcPr>
                  <w:tcW w:w="1048" w:type="pct"/>
                  <w:noWrap w:val="0"/>
                  <w:vAlign w:val="center"/>
                </w:tcPr>
                <w:p>
                  <w:pPr>
                    <w:widowControl/>
                    <w:spacing w:line="240" w:lineRule="auto"/>
                    <w:jc w:val="center"/>
                    <w:rPr>
                      <w:rFonts w:hint="eastAsia"/>
                      <w:color w:val="000000"/>
                      <w:spacing w:val="8"/>
                      <w:sz w:val="21"/>
                      <w:szCs w:val="21"/>
                      <w:u w:val="none"/>
                      <w:lang w:val="en-US" w:eastAsia="zh-CN"/>
                    </w:rPr>
                  </w:pPr>
                  <w:r>
                    <w:rPr>
                      <w:rFonts w:hint="eastAsia"/>
                      <w:sz w:val="21"/>
                      <w:szCs w:val="21"/>
                      <w:lang w:eastAsia="zh-CN"/>
                    </w:rPr>
                    <w:t>辆</w:t>
                  </w:r>
                  <w:r>
                    <w:rPr>
                      <w:rFonts w:hint="eastAsia"/>
                      <w:sz w:val="21"/>
                      <w:szCs w:val="21"/>
                      <w:lang w:val="en-US" w:eastAsia="zh-CN"/>
                    </w:rPr>
                    <w:t>/年</w:t>
                  </w:r>
                </w:p>
              </w:tc>
              <w:tc>
                <w:tcPr>
                  <w:tcW w:w="1186" w:type="pct"/>
                  <w:noWrap w:val="0"/>
                  <w:vAlign w:val="center"/>
                </w:tcPr>
                <w:p>
                  <w:pPr>
                    <w:bidi w:val="0"/>
                    <w:jc w:val="center"/>
                    <w:rPr>
                      <w:rFonts w:hint="eastAsia"/>
                      <w:kern w:val="2"/>
                      <w:sz w:val="21"/>
                      <w:szCs w:val="21"/>
                      <w:lang w:val="en-US" w:eastAsia="zh-CN" w:bidi="ar-SA"/>
                    </w:rPr>
                  </w:pPr>
                  <w:r>
                    <w:rPr>
                      <w:rFonts w:hint="eastAsia"/>
                      <w:sz w:val="21"/>
                      <w:szCs w:val="21"/>
                      <w:lang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000" w:type="pct"/>
                  <w:gridSpan w:val="6"/>
                  <w:noWrap w:val="0"/>
                  <w:vAlign w:val="center"/>
                </w:tcPr>
                <w:p>
                  <w:pPr>
                    <w:widowControl/>
                    <w:spacing w:line="240" w:lineRule="auto"/>
                    <w:jc w:val="center"/>
                    <w:rPr>
                      <w:rFonts w:hint="eastAsia"/>
                      <w:b/>
                      <w:bCs/>
                      <w:vertAlign w:val="baseline"/>
                      <w:lang w:val="en-US" w:eastAsia="zh-CN"/>
                    </w:rPr>
                  </w:pPr>
                  <w:r>
                    <w:rPr>
                      <w:rFonts w:hint="eastAsia"/>
                      <w:b/>
                      <w:bCs/>
                      <w:vertAlign w:val="baseline"/>
                      <w:lang w:val="en-US" w:eastAsia="zh-CN"/>
                    </w:rPr>
                    <w:t>钢铁加工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spacing w:line="240" w:lineRule="auto"/>
                    <w:jc w:val="center"/>
                    <w:rPr>
                      <w:rFonts w:hint="default" w:eastAsia="宋体"/>
                      <w:color w:val="000000"/>
                      <w:spacing w:val="8"/>
                      <w:sz w:val="21"/>
                      <w:szCs w:val="21"/>
                      <w:u w:val="none"/>
                      <w:lang w:val="en-US" w:eastAsia="zh-CN"/>
                    </w:rPr>
                  </w:pPr>
                  <w:r>
                    <w:rPr>
                      <w:rFonts w:hint="eastAsia"/>
                      <w:color w:val="000000"/>
                      <w:spacing w:val="8"/>
                      <w:sz w:val="21"/>
                      <w:szCs w:val="21"/>
                      <w:u w:val="none"/>
                      <w:lang w:val="en-US" w:eastAsia="zh-CN"/>
                    </w:rPr>
                    <w:t>1</w:t>
                  </w:r>
                </w:p>
              </w:tc>
              <w:tc>
                <w:tcPr>
                  <w:tcW w:w="1382" w:type="pct"/>
                  <w:gridSpan w:val="2"/>
                  <w:noWrap w:val="0"/>
                  <w:vAlign w:val="center"/>
                </w:tcPr>
                <w:p>
                  <w:pPr>
                    <w:widowControl/>
                    <w:spacing w:line="240" w:lineRule="auto"/>
                    <w:jc w:val="center"/>
                    <w:rPr>
                      <w:rFonts w:hint="default"/>
                      <w:color w:val="000000"/>
                      <w:spacing w:val="8"/>
                      <w:sz w:val="21"/>
                      <w:szCs w:val="21"/>
                      <w:u w:val="none"/>
                      <w:lang w:val="en-US" w:eastAsia="zh-CN"/>
                    </w:rPr>
                  </w:pPr>
                  <w:r>
                    <w:rPr>
                      <w:rFonts w:hint="eastAsia"/>
                      <w:color w:val="000000"/>
                      <w:spacing w:val="8"/>
                      <w:sz w:val="21"/>
                      <w:szCs w:val="21"/>
                      <w:u w:val="none"/>
                      <w:lang w:val="en-US" w:eastAsia="zh-CN"/>
                    </w:rPr>
                    <w:t>废钢铁</w:t>
                  </w:r>
                </w:p>
              </w:tc>
              <w:tc>
                <w:tcPr>
                  <w:tcW w:w="1001" w:type="pct"/>
                  <w:noWrap w:val="0"/>
                  <w:vAlign w:val="center"/>
                </w:tcPr>
                <w:p>
                  <w:pPr>
                    <w:widowControl/>
                    <w:spacing w:line="240" w:lineRule="auto"/>
                    <w:jc w:val="center"/>
                    <w:rPr>
                      <w:rFonts w:hint="default"/>
                      <w:color w:val="000000"/>
                      <w:spacing w:val="8"/>
                      <w:kern w:val="2"/>
                      <w:sz w:val="21"/>
                      <w:szCs w:val="21"/>
                      <w:u w:val="none"/>
                      <w:lang w:val="en-US" w:eastAsia="zh-CN" w:bidi="ar-SA"/>
                    </w:rPr>
                  </w:pPr>
                  <w:r>
                    <w:rPr>
                      <w:rFonts w:hint="eastAsia"/>
                      <w:color w:val="000000"/>
                      <w:spacing w:val="8"/>
                      <w:kern w:val="2"/>
                      <w:sz w:val="21"/>
                      <w:szCs w:val="21"/>
                      <w:u w:val="none"/>
                      <w:lang w:val="en-US" w:eastAsia="zh-CN" w:bidi="ar-SA"/>
                    </w:rPr>
                    <w:t>15</w:t>
                  </w:r>
                </w:p>
              </w:tc>
              <w:tc>
                <w:tcPr>
                  <w:tcW w:w="1048" w:type="pct"/>
                  <w:noWrap w:val="0"/>
                  <w:vAlign w:val="center"/>
                </w:tcPr>
                <w:p>
                  <w:pPr>
                    <w:widowControl/>
                    <w:spacing w:line="240" w:lineRule="auto"/>
                    <w:jc w:val="center"/>
                    <w:rPr>
                      <w:rFonts w:hint="default"/>
                      <w:color w:val="000000"/>
                      <w:spacing w:val="8"/>
                      <w:sz w:val="21"/>
                      <w:szCs w:val="21"/>
                      <w:u w:val="none"/>
                      <w:lang w:val="en-US" w:eastAsia="zh-CN"/>
                    </w:rPr>
                  </w:pPr>
                  <w:r>
                    <w:rPr>
                      <w:rFonts w:hint="eastAsia"/>
                      <w:color w:val="000000"/>
                      <w:spacing w:val="8"/>
                      <w:sz w:val="21"/>
                      <w:szCs w:val="21"/>
                      <w:u w:val="none"/>
                      <w:lang w:val="en-US" w:eastAsia="zh-CN"/>
                    </w:rPr>
                    <w:t>万</w:t>
                  </w:r>
                  <w:r>
                    <w:rPr>
                      <w:rFonts w:hint="eastAsia"/>
                      <w:color w:val="000000"/>
                      <w:spacing w:val="8"/>
                      <w:sz w:val="21"/>
                      <w:szCs w:val="21"/>
                      <w:u w:val="none"/>
                    </w:rPr>
                    <w:t>t/a</w:t>
                  </w:r>
                </w:p>
              </w:tc>
              <w:tc>
                <w:tcPr>
                  <w:tcW w:w="1186" w:type="pct"/>
                  <w:noWrap w:val="0"/>
                  <w:vAlign w:val="center"/>
                </w:tcPr>
                <w:p>
                  <w:pPr>
                    <w:widowControl/>
                    <w:spacing w:line="240" w:lineRule="auto"/>
                    <w:jc w:val="center"/>
                    <w:rPr>
                      <w:rFonts w:hint="eastAsia"/>
                      <w:color w:val="000000"/>
                      <w:spacing w:val="8"/>
                      <w:sz w:val="21"/>
                      <w:szCs w:val="21"/>
                      <w:u w:val="none"/>
                      <w:lang w:val="en-US" w:eastAsia="zh-CN"/>
                    </w:rPr>
                  </w:pPr>
                  <w:r>
                    <w:rPr>
                      <w:rFonts w:hint="eastAsia"/>
                      <w:color w:val="000000"/>
                      <w:spacing w:val="8"/>
                      <w:sz w:val="21"/>
                      <w:szCs w:val="21"/>
                      <w:u w:val="none"/>
                      <w:lang w:val="en-US" w:eastAsia="zh-CN"/>
                    </w:rPr>
                    <w:t>报废机动车拆解：15603.4吨，外购：134396.6吨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widowControl/>
                    <w:spacing w:line="240" w:lineRule="auto"/>
                    <w:jc w:val="center"/>
                    <w:rPr>
                      <w:rFonts w:hint="default" w:eastAsia="宋体"/>
                      <w:color w:val="000000"/>
                      <w:spacing w:val="8"/>
                      <w:sz w:val="21"/>
                      <w:szCs w:val="21"/>
                      <w:u w:val="none"/>
                      <w:lang w:val="en-US" w:eastAsia="zh-CN"/>
                    </w:rPr>
                  </w:pPr>
                  <w:r>
                    <w:rPr>
                      <w:rFonts w:hint="eastAsia" w:eastAsia="宋体"/>
                      <w:color w:val="000000"/>
                      <w:spacing w:val="8"/>
                      <w:sz w:val="21"/>
                      <w:szCs w:val="21"/>
                      <w:u w:val="none"/>
                      <w:lang w:val="en-US" w:eastAsia="zh-CN"/>
                    </w:rPr>
                    <w:t>2</w:t>
                  </w:r>
                </w:p>
              </w:tc>
              <w:tc>
                <w:tcPr>
                  <w:tcW w:w="1382" w:type="pct"/>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自来水</w:t>
                  </w:r>
                </w:p>
              </w:tc>
              <w:tc>
                <w:tcPr>
                  <w:tcW w:w="1001" w:type="pct"/>
                  <w:noWrap w:val="0"/>
                  <w:vAlign w:val="center"/>
                </w:tcPr>
                <w:p>
                  <w:pPr>
                    <w:widowControl/>
                    <w:spacing w:line="240" w:lineRule="auto"/>
                    <w:jc w:val="center"/>
                    <w:rPr>
                      <w:rFonts w:hint="default"/>
                      <w:color w:val="000000"/>
                      <w:spacing w:val="8"/>
                      <w:kern w:val="2"/>
                      <w:sz w:val="21"/>
                      <w:szCs w:val="21"/>
                      <w:u w:val="none"/>
                      <w:lang w:val="en-US" w:eastAsia="zh-CN" w:bidi="ar-SA"/>
                    </w:rPr>
                  </w:pPr>
                  <w:r>
                    <w:rPr>
                      <w:rFonts w:hint="eastAsia"/>
                      <w:color w:val="000000"/>
                      <w:spacing w:val="8"/>
                      <w:kern w:val="2"/>
                      <w:sz w:val="21"/>
                      <w:szCs w:val="21"/>
                      <w:u w:val="none"/>
                      <w:lang w:val="en-US" w:eastAsia="zh-CN" w:bidi="ar-SA"/>
                    </w:rPr>
                    <w:t>2640</w:t>
                  </w:r>
                </w:p>
              </w:tc>
              <w:tc>
                <w:tcPr>
                  <w:tcW w:w="1048" w:type="pct"/>
                  <w:noWrap w:val="0"/>
                  <w:vAlign w:val="center"/>
                </w:tcPr>
                <w:p>
                  <w:pPr>
                    <w:jc w:val="center"/>
                    <w:rPr>
                      <w:rFonts w:hint="default"/>
                      <w:color w:val="000000"/>
                      <w:spacing w:val="8"/>
                      <w:sz w:val="21"/>
                      <w:szCs w:val="21"/>
                      <w:u w:val="none"/>
                      <w:lang w:val="en-US" w:eastAsia="zh-CN"/>
                    </w:rPr>
                  </w:pPr>
                  <w:r>
                    <w:rPr>
                      <w:rFonts w:hint="eastAsia"/>
                      <w:color w:val="000000"/>
                      <w:spacing w:val="8"/>
                      <w:sz w:val="21"/>
                      <w:szCs w:val="21"/>
                      <w:u w:val="none"/>
                    </w:rPr>
                    <w:t>t/a</w:t>
                  </w:r>
                </w:p>
              </w:tc>
              <w:tc>
                <w:tcPr>
                  <w:tcW w:w="1186" w:type="pct"/>
                  <w:noWrap w:val="0"/>
                  <w:vAlign w:val="center"/>
                </w:tcPr>
                <w:p>
                  <w:pPr>
                    <w:bidi w:val="0"/>
                    <w:jc w:val="center"/>
                    <w:rPr>
                      <w:rFonts w:hint="eastAsia"/>
                      <w:kern w:val="2"/>
                      <w:sz w:val="21"/>
                      <w:szCs w:val="21"/>
                      <w:lang w:val="en-US" w:eastAsia="zh-CN" w:bidi="ar-SA"/>
                    </w:rPr>
                  </w:pPr>
                  <w:r>
                    <w:rPr>
                      <w:rFonts w:hint="eastAsia"/>
                      <w:sz w:val="21"/>
                      <w:szCs w:val="21"/>
                      <w:lang w:eastAsia="zh-CN"/>
                    </w:rPr>
                    <w:t>市政自来水管网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81" w:type="pct"/>
                  <w:noWrap w:val="0"/>
                  <w:vAlign w:val="center"/>
                </w:tcPr>
                <w:p>
                  <w:pPr>
                    <w:widowControl/>
                    <w:spacing w:line="240" w:lineRule="auto"/>
                    <w:jc w:val="center"/>
                    <w:rPr>
                      <w:rFonts w:hint="default" w:eastAsia="宋体"/>
                      <w:color w:val="000000"/>
                      <w:spacing w:val="8"/>
                      <w:sz w:val="21"/>
                      <w:szCs w:val="21"/>
                      <w:u w:val="none"/>
                      <w:lang w:val="en-US" w:eastAsia="zh-CN"/>
                    </w:rPr>
                  </w:pPr>
                  <w:r>
                    <w:rPr>
                      <w:rFonts w:hint="eastAsia" w:eastAsia="宋体"/>
                      <w:color w:val="000000"/>
                      <w:spacing w:val="8"/>
                      <w:sz w:val="21"/>
                      <w:szCs w:val="21"/>
                      <w:u w:val="none"/>
                      <w:lang w:val="en-US" w:eastAsia="zh-CN"/>
                    </w:rPr>
                    <w:t>3</w:t>
                  </w:r>
                </w:p>
              </w:tc>
              <w:tc>
                <w:tcPr>
                  <w:tcW w:w="1382" w:type="pct"/>
                  <w:gridSpan w:val="2"/>
                  <w:noWrap w:val="0"/>
                  <w:vAlign w:val="center"/>
                </w:tcPr>
                <w:p>
                  <w:pPr>
                    <w:spacing w:line="240" w:lineRule="auto"/>
                    <w:jc w:val="center"/>
                    <w:rPr>
                      <w:rFonts w:hint="eastAsia"/>
                      <w:color w:val="000000"/>
                      <w:sz w:val="21"/>
                      <w:szCs w:val="21"/>
                      <w:u w:val="none"/>
                    </w:rPr>
                  </w:pPr>
                  <w:r>
                    <w:rPr>
                      <w:rFonts w:hint="eastAsia"/>
                      <w:color w:val="000000"/>
                      <w:sz w:val="21"/>
                      <w:szCs w:val="21"/>
                      <w:u w:val="none"/>
                    </w:rPr>
                    <w:t>电</w:t>
                  </w:r>
                </w:p>
              </w:tc>
              <w:tc>
                <w:tcPr>
                  <w:tcW w:w="1001" w:type="pct"/>
                  <w:noWrap w:val="0"/>
                  <w:vAlign w:val="center"/>
                </w:tcPr>
                <w:p>
                  <w:pPr>
                    <w:spacing w:line="240" w:lineRule="auto"/>
                    <w:jc w:val="center"/>
                    <w:rPr>
                      <w:rFonts w:hint="default"/>
                      <w:color w:val="000000"/>
                      <w:kern w:val="2"/>
                      <w:sz w:val="21"/>
                      <w:szCs w:val="21"/>
                      <w:u w:val="none"/>
                      <w:lang w:val="en-US" w:eastAsia="zh-CN" w:bidi="ar-SA"/>
                    </w:rPr>
                  </w:pPr>
                  <w:r>
                    <w:rPr>
                      <w:rFonts w:hint="eastAsia"/>
                      <w:color w:val="000000"/>
                      <w:kern w:val="2"/>
                      <w:sz w:val="21"/>
                      <w:szCs w:val="21"/>
                      <w:u w:val="none"/>
                      <w:lang w:val="en-US" w:eastAsia="zh-CN" w:bidi="ar-SA"/>
                    </w:rPr>
                    <w:t>40</w:t>
                  </w:r>
                </w:p>
              </w:tc>
              <w:tc>
                <w:tcPr>
                  <w:tcW w:w="1048" w:type="pct"/>
                  <w:noWrap w:val="0"/>
                  <w:vAlign w:val="center"/>
                </w:tcPr>
                <w:p>
                  <w:pPr>
                    <w:widowControl/>
                    <w:spacing w:line="240" w:lineRule="auto"/>
                    <w:jc w:val="center"/>
                    <w:rPr>
                      <w:rFonts w:hint="default"/>
                      <w:color w:val="000000"/>
                      <w:spacing w:val="8"/>
                      <w:sz w:val="21"/>
                      <w:szCs w:val="21"/>
                      <w:u w:val="none"/>
                      <w:lang w:val="en-US" w:eastAsia="zh-CN"/>
                    </w:rPr>
                  </w:pPr>
                  <w:r>
                    <w:rPr>
                      <w:rFonts w:hint="eastAsia"/>
                      <w:color w:val="000000"/>
                      <w:sz w:val="21"/>
                      <w:szCs w:val="21"/>
                      <w:u w:val="none"/>
                    </w:rPr>
                    <w:t>万度/a</w:t>
                  </w:r>
                </w:p>
              </w:tc>
              <w:tc>
                <w:tcPr>
                  <w:tcW w:w="1186" w:type="pct"/>
                  <w:noWrap w:val="0"/>
                  <w:vAlign w:val="center"/>
                </w:tcPr>
                <w:p>
                  <w:pPr>
                    <w:bidi w:val="0"/>
                    <w:jc w:val="center"/>
                    <w:rPr>
                      <w:rFonts w:hint="eastAsia" w:eastAsia="宋体"/>
                      <w:kern w:val="2"/>
                      <w:sz w:val="21"/>
                      <w:szCs w:val="21"/>
                      <w:lang w:val="en-US" w:eastAsia="zh-CN" w:bidi="ar-SA"/>
                    </w:rPr>
                  </w:pPr>
                  <w:r>
                    <w:rPr>
                      <w:rFonts w:hint="eastAsia"/>
                      <w:sz w:val="21"/>
                      <w:szCs w:val="21"/>
                      <w:lang w:eastAsia="zh-CN"/>
                    </w:rPr>
                    <w:t>市政电网</w:t>
                  </w:r>
                </w:p>
              </w:tc>
            </w:tr>
          </w:tbl>
          <w:p>
            <w:pPr>
              <w:jc w:val="both"/>
              <w:rPr>
                <w:rFonts w:hint="eastAsia" w:ascii="Times New Roman" w:hAnsi="Times New Roman" w:eastAsia="宋体" w:cs="Times New Roman"/>
                <w:b/>
              </w:rPr>
            </w:pPr>
          </w:p>
          <w:p>
            <w:pPr>
              <w:spacing w:line="360" w:lineRule="auto"/>
              <w:rPr>
                <w:rFonts w:hint="default" w:ascii="Times New Roman" w:hAnsi="Times New Roman" w:eastAsia="宋体" w:cs="Times New Roman"/>
                <w:b/>
                <w:bCs w:val="0"/>
                <w:color w:val="auto"/>
                <w:sz w:val="24"/>
                <w:szCs w:val="24"/>
              </w:rPr>
            </w:pPr>
            <w:r>
              <w:rPr>
                <w:rFonts w:hint="eastAsia" w:ascii="Times New Roman" w:hAnsi="Times New Roman" w:eastAsia="宋体" w:cs="Times New Roman"/>
                <w:b/>
                <w:bCs w:val="0"/>
                <w:color w:val="auto"/>
                <w:sz w:val="24"/>
                <w:szCs w:val="24"/>
                <w:lang w:val="en-US" w:eastAsia="zh-CN"/>
              </w:rPr>
              <w:t>6、</w:t>
            </w:r>
            <w:r>
              <w:rPr>
                <w:rFonts w:hint="default" w:ascii="Times New Roman" w:hAnsi="Times New Roman" w:eastAsia="宋体" w:cs="Times New Roman"/>
                <w:b/>
                <w:bCs w:val="0"/>
                <w:color w:val="auto"/>
                <w:sz w:val="24"/>
                <w:szCs w:val="24"/>
                <w:lang w:eastAsia="zh-CN"/>
              </w:rPr>
              <w:t>劳动动员及工作制度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劳动定员：</w:t>
            </w:r>
            <w:r>
              <w:rPr>
                <w:rFonts w:hint="eastAsia"/>
                <w:sz w:val="24"/>
                <w:szCs w:val="24"/>
              </w:rPr>
              <w:t>项目劳动定员</w:t>
            </w:r>
            <w:r>
              <w:rPr>
                <w:rFonts w:hint="eastAsia"/>
                <w:sz w:val="24"/>
                <w:szCs w:val="24"/>
                <w:lang w:val="en-US" w:eastAsia="zh-CN"/>
              </w:rPr>
              <w:t>50</w:t>
            </w:r>
            <w:r>
              <w:rPr>
                <w:sz w:val="24"/>
                <w:szCs w:val="24"/>
              </w:rPr>
              <w:t>人</w:t>
            </w:r>
            <w:r>
              <w:rPr>
                <w:rFonts w:hint="eastAsia"/>
                <w:sz w:val="24"/>
                <w:szCs w:val="24"/>
              </w:rPr>
              <w:t>，项目设置食堂，全部员工</w:t>
            </w:r>
            <w:r>
              <w:rPr>
                <w:sz w:val="24"/>
                <w:szCs w:val="24"/>
              </w:rPr>
              <w:t>均在厂区</w:t>
            </w:r>
            <w:r>
              <w:rPr>
                <w:rFonts w:hint="eastAsia"/>
                <w:sz w:val="24"/>
                <w:szCs w:val="24"/>
              </w:rPr>
              <w:t>用餐</w:t>
            </w:r>
            <w:r>
              <w:rPr>
                <w:rFonts w:hint="eastAsia"/>
                <w:sz w:val="24"/>
                <w:szCs w:val="24"/>
                <w:lang w:eastAsia="zh-CN"/>
              </w:rPr>
              <w:t>，</w:t>
            </w:r>
            <w:r>
              <w:rPr>
                <w:rFonts w:hint="eastAsia"/>
                <w:sz w:val="24"/>
                <w:szCs w:val="24"/>
                <w:lang w:val="en-US" w:eastAsia="zh-CN"/>
              </w:rPr>
              <w:t>提供住宿</w:t>
            </w:r>
            <w:r>
              <w:rPr>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szCs w:val="21"/>
              </w:rPr>
            </w:pPr>
            <w:r>
              <w:rPr>
                <w:sz w:val="24"/>
                <w:szCs w:val="24"/>
              </w:rPr>
              <w:t>工作制度：劳动制度为一班制，年</w:t>
            </w:r>
            <w:r>
              <w:rPr>
                <w:rFonts w:hint="eastAsia"/>
                <w:sz w:val="24"/>
                <w:szCs w:val="24"/>
                <w:lang w:val="en-US" w:eastAsia="zh-CN"/>
              </w:rPr>
              <w:t>工作</w:t>
            </w:r>
            <w:r>
              <w:rPr>
                <w:rFonts w:hint="eastAsia"/>
                <w:sz w:val="24"/>
                <w:szCs w:val="24"/>
              </w:rPr>
              <w:t>时间</w:t>
            </w:r>
            <w:r>
              <w:rPr>
                <w:rFonts w:hint="eastAsia"/>
                <w:sz w:val="24"/>
                <w:szCs w:val="24"/>
                <w:lang w:val="en-US" w:eastAsia="zh-CN"/>
              </w:rPr>
              <w:t>为</w:t>
            </w:r>
            <w:r>
              <w:rPr>
                <w:rFonts w:hint="eastAsia"/>
                <w:sz w:val="24"/>
                <w:szCs w:val="24"/>
              </w:rPr>
              <w:t>330</w:t>
            </w:r>
            <w:r>
              <w:rPr>
                <w:sz w:val="24"/>
                <w:szCs w:val="24"/>
              </w:rPr>
              <w:t>天，每天工作8小时</w:t>
            </w:r>
            <w:r>
              <w:rPr>
                <w:rFonts w:hint="eastAsia"/>
                <w:sz w:val="24"/>
                <w:szCs w:val="24"/>
              </w:rPr>
              <w:t>。</w:t>
            </w:r>
          </w:p>
          <w:p>
            <w:pPr>
              <w:adjustRightInd w:val="0"/>
              <w:snapToGrid w:val="0"/>
              <w:spacing w:line="360" w:lineRule="auto"/>
              <w:jc w:val="left"/>
              <w:rPr>
                <w:rFonts w:hint="eastAsia"/>
                <w:b/>
                <w:bCs/>
                <w:sz w:val="24"/>
                <w:szCs w:val="24"/>
              </w:rPr>
            </w:pPr>
            <w:r>
              <w:rPr>
                <w:rFonts w:hint="eastAsia"/>
                <w:b/>
                <w:bCs/>
                <w:sz w:val="24"/>
                <w:szCs w:val="24"/>
                <w:lang w:val="en-US" w:eastAsia="zh-CN"/>
              </w:rPr>
              <w:t>7、</w:t>
            </w:r>
            <w:r>
              <w:rPr>
                <w:rFonts w:hint="eastAsia"/>
                <w:b/>
                <w:bCs/>
                <w:sz w:val="24"/>
                <w:szCs w:val="24"/>
              </w:rPr>
              <w:t>公用工程</w:t>
            </w:r>
          </w:p>
          <w:p>
            <w:pPr>
              <w:spacing w:line="360" w:lineRule="auto"/>
              <w:ind w:firstLine="514" w:firstLineChars="200"/>
              <w:rPr>
                <w:b/>
                <w:bCs/>
                <w:color w:val="000000"/>
                <w:spacing w:val="8"/>
                <w:sz w:val="24"/>
                <w:szCs w:val="24"/>
                <w:u w:val="none"/>
              </w:rPr>
            </w:pPr>
            <w:r>
              <w:rPr>
                <w:b/>
                <w:bCs/>
                <w:color w:val="000000"/>
                <w:spacing w:val="8"/>
                <w:sz w:val="24"/>
                <w:szCs w:val="24"/>
                <w:u w:val="none"/>
              </w:rPr>
              <w:t>（1）给水</w:t>
            </w:r>
          </w:p>
          <w:p>
            <w:pPr>
              <w:spacing w:line="360" w:lineRule="auto"/>
              <w:ind w:firstLine="512" w:firstLineChars="200"/>
              <w:rPr>
                <w:rFonts w:hint="eastAsia"/>
                <w:color w:val="000000"/>
                <w:spacing w:val="8"/>
                <w:sz w:val="24"/>
                <w:szCs w:val="24"/>
                <w:u w:val="none"/>
                <w:lang w:val="en-US" w:eastAsia="zh-CN"/>
              </w:rPr>
            </w:pPr>
            <w:r>
              <w:rPr>
                <w:rFonts w:hint="eastAsia"/>
                <w:color w:val="000000"/>
                <w:spacing w:val="8"/>
                <w:sz w:val="24"/>
                <w:szCs w:val="24"/>
                <w:u w:val="none"/>
                <w:lang w:val="en-US" w:eastAsia="zh-CN"/>
              </w:rPr>
              <w:t>本项目用水由园区供水管网供给，主要为员工生活用水、拆解车间地面清洁用水、初期雨水。</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szCs w:val="24"/>
                <w:u w:val="none"/>
                <w:shd w:val="clear" w:color="auto" w:fill="auto"/>
                <w:lang w:val="en-US" w:eastAsia="zh-CN"/>
              </w:rPr>
            </w:pPr>
            <w:r>
              <w:rPr>
                <w:rFonts w:hint="default" w:ascii="Times New Roman" w:hAnsi="Times New Roman" w:eastAsia="宋体" w:cs="Times New Roman"/>
                <w:b/>
                <w:bCs/>
                <w:i w:val="0"/>
                <w:color w:val="auto"/>
                <w:kern w:val="0"/>
                <w:sz w:val="24"/>
                <w:szCs w:val="24"/>
                <w:u w:val="none"/>
                <w:lang w:val="en-US" w:eastAsia="zh-CN" w:bidi="ar"/>
              </w:rPr>
              <w:t>①</w:t>
            </w:r>
            <w:r>
              <w:rPr>
                <w:rFonts w:hint="default" w:ascii="Times New Roman" w:hAnsi="Times New Roman" w:eastAsia="宋体" w:cs="Times New Roman"/>
                <w:b/>
                <w:bCs/>
                <w:color w:val="auto"/>
                <w:sz w:val="24"/>
                <w:szCs w:val="24"/>
                <w:u w:val="none"/>
                <w:lang w:eastAsia="zh-CN"/>
              </w:rPr>
              <w:t>员工</w:t>
            </w:r>
            <w:r>
              <w:rPr>
                <w:rFonts w:hint="default" w:ascii="Times New Roman" w:hAnsi="Times New Roman" w:eastAsia="宋体" w:cs="Times New Roman"/>
                <w:b/>
                <w:bCs/>
                <w:color w:val="auto"/>
                <w:sz w:val="24"/>
                <w:szCs w:val="24"/>
                <w:u w:val="none"/>
              </w:rPr>
              <w:t>生活用水</w:t>
            </w:r>
            <w:r>
              <w:rPr>
                <w:rFonts w:hint="default" w:ascii="Times New Roman" w:hAnsi="Times New Roman" w:eastAsia="宋体" w:cs="Times New Roman"/>
                <w:color w:val="auto"/>
                <w:sz w:val="24"/>
                <w:szCs w:val="24"/>
                <w:u w:val="none"/>
                <w:lang w:eastAsia="zh-CN"/>
              </w:rPr>
              <w:t>：</w:t>
            </w:r>
            <w:r>
              <w:rPr>
                <w:rFonts w:hint="default" w:ascii="Times New Roman" w:hAnsi="Times New Roman" w:eastAsia="宋体" w:cs="Times New Roman"/>
                <w:b w:val="0"/>
                <w:bCs w:val="0"/>
                <w:color w:val="auto"/>
                <w:sz w:val="24"/>
                <w:szCs w:val="24"/>
                <w:u w:val="none"/>
                <w:shd w:val="clear" w:color="auto" w:fill="auto"/>
                <w:lang w:val="en-US" w:eastAsia="zh-CN"/>
              </w:rPr>
              <w:t>项目劳动定员</w:t>
            </w:r>
            <w:r>
              <w:rPr>
                <w:rFonts w:hint="eastAsia" w:ascii="Times New Roman" w:hAnsi="Times New Roman" w:eastAsia="宋体" w:cs="Times New Roman"/>
                <w:b w:val="0"/>
                <w:bCs w:val="0"/>
                <w:color w:val="auto"/>
                <w:sz w:val="24"/>
                <w:szCs w:val="24"/>
                <w:highlight w:val="none"/>
                <w:u w:val="none"/>
                <w:shd w:val="clear" w:color="auto" w:fill="auto"/>
                <w:lang w:val="en-US" w:eastAsia="zh-CN"/>
              </w:rPr>
              <w:t>50</w:t>
            </w:r>
            <w:r>
              <w:rPr>
                <w:rFonts w:hint="default" w:ascii="Times New Roman" w:hAnsi="Times New Roman" w:eastAsia="宋体" w:cs="Times New Roman"/>
                <w:b w:val="0"/>
                <w:bCs w:val="0"/>
                <w:color w:val="auto"/>
                <w:sz w:val="24"/>
                <w:szCs w:val="24"/>
                <w:highlight w:val="none"/>
                <w:u w:val="none"/>
                <w:shd w:val="clear" w:color="auto" w:fill="auto"/>
                <w:lang w:val="en-US" w:eastAsia="zh-CN"/>
              </w:rPr>
              <w:t>人</w:t>
            </w:r>
            <w:r>
              <w:rPr>
                <w:rFonts w:hint="default" w:ascii="Times New Roman" w:hAnsi="Times New Roman" w:eastAsia="宋体" w:cs="Times New Roman"/>
                <w:color w:val="auto"/>
                <w:sz w:val="24"/>
                <w:szCs w:val="24"/>
                <w:highlight w:val="none"/>
                <w:u w:val="none"/>
              </w:rPr>
              <w:t>，</w:t>
            </w:r>
            <w:r>
              <w:rPr>
                <w:rFonts w:hint="eastAsia" w:ascii="Times New Roman" w:hAnsi="Times New Roman" w:cs="Times New Roman"/>
                <w:sz w:val="24"/>
                <w:highlight w:val="none"/>
                <w:u w:val="none" w:color="auto"/>
                <w:lang w:eastAsia="zh-CN"/>
              </w:rPr>
              <w:t>厂区提供</w:t>
            </w:r>
            <w:r>
              <w:rPr>
                <w:rFonts w:hint="eastAsia" w:ascii="Times New Roman" w:hAnsi="Times New Roman" w:cs="Times New Roman"/>
                <w:sz w:val="24"/>
                <w:highlight w:val="none"/>
                <w:u w:val="none" w:color="auto"/>
                <w:lang w:val="en-US" w:eastAsia="zh-CN"/>
              </w:rPr>
              <w:t>食宿</w:t>
            </w:r>
            <w:r>
              <w:rPr>
                <w:rFonts w:hint="eastAsia" w:ascii="Times New Roman" w:hAnsi="Times New Roman" w:cs="Times New Roman"/>
                <w:sz w:val="24"/>
                <w:highlight w:val="none"/>
                <w:u w:val="none" w:color="auto"/>
                <w:lang w:eastAsia="zh-CN"/>
              </w:rPr>
              <w:t>。</w:t>
            </w:r>
            <w:r>
              <w:rPr>
                <w:rFonts w:hint="default" w:ascii="Times New Roman" w:hAnsi="Times New Roman" w:eastAsia="宋体" w:cs="Times New Roman"/>
                <w:color w:val="auto"/>
                <w:sz w:val="24"/>
                <w:szCs w:val="24"/>
                <w:highlight w:val="none"/>
                <w:u w:val="none"/>
              </w:rPr>
              <w:t>在</w:t>
            </w:r>
            <w:r>
              <w:rPr>
                <w:rFonts w:hint="default" w:ascii="Times New Roman" w:hAnsi="Times New Roman" w:eastAsia="宋体" w:cs="Times New Roman"/>
                <w:color w:val="auto"/>
                <w:sz w:val="24"/>
                <w:szCs w:val="24"/>
                <w:highlight w:val="none"/>
                <w:u w:val="none"/>
                <w:lang w:eastAsia="zh-CN"/>
              </w:rPr>
              <w:t>厂区内</w:t>
            </w:r>
            <w:r>
              <w:rPr>
                <w:rFonts w:hint="default" w:ascii="Times New Roman" w:hAnsi="Times New Roman" w:eastAsia="宋体" w:cs="Times New Roman"/>
                <w:color w:val="auto"/>
                <w:sz w:val="24"/>
                <w:szCs w:val="24"/>
                <w:highlight w:val="none"/>
                <w:u w:val="none"/>
              </w:rPr>
              <w:t>食宿</w:t>
            </w:r>
            <w:r>
              <w:rPr>
                <w:rFonts w:hint="default" w:ascii="Times New Roman" w:hAnsi="Times New Roman" w:eastAsia="宋体" w:cs="Times New Roman"/>
                <w:color w:val="auto"/>
                <w:sz w:val="24"/>
                <w:szCs w:val="24"/>
                <w:u w:val="none"/>
                <w:lang w:eastAsia="zh-CN"/>
              </w:rPr>
              <w:t>生活</w:t>
            </w:r>
            <w:r>
              <w:rPr>
                <w:rFonts w:hint="default" w:ascii="Times New Roman" w:hAnsi="Times New Roman" w:eastAsia="宋体" w:cs="Times New Roman"/>
                <w:color w:val="auto"/>
                <w:sz w:val="24"/>
                <w:szCs w:val="24"/>
                <w:u w:val="none"/>
              </w:rPr>
              <w:t>用水量参照</w:t>
            </w:r>
            <w:r>
              <w:rPr>
                <w:rFonts w:hint="default" w:ascii="Times New Roman" w:hAnsi="Times New Roman" w:eastAsia="宋体" w:cs="Times New Roman"/>
                <w:color w:val="auto"/>
                <w:sz w:val="24"/>
                <w:szCs w:val="24"/>
                <w:u w:val="none"/>
                <w:lang w:eastAsia="zh-CN"/>
              </w:rPr>
              <w:t>湖南省《用水定额》</w:t>
            </w:r>
            <w:r>
              <w:rPr>
                <w:rFonts w:hint="default" w:ascii="Times New Roman" w:hAnsi="Times New Roman" w:eastAsia="宋体" w:cs="Times New Roman"/>
                <w:color w:val="auto"/>
                <w:sz w:val="24"/>
                <w:szCs w:val="24"/>
                <w:u w:val="none"/>
              </w:rPr>
              <w:t>（DB</w:t>
            </w:r>
            <w:r>
              <w:rPr>
                <w:rFonts w:hint="default" w:ascii="Times New Roman" w:hAnsi="Times New Roman" w:eastAsia="宋体" w:cs="Times New Roman"/>
                <w:color w:val="auto"/>
                <w:sz w:val="24"/>
                <w:szCs w:val="24"/>
                <w:u w:val="none"/>
                <w:lang w:val="en-US" w:eastAsia="zh-CN"/>
              </w:rPr>
              <w:t>43</w:t>
            </w:r>
            <w:r>
              <w:rPr>
                <w:rFonts w:hint="default" w:ascii="Times New Roman" w:hAnsi="Times New Roman" w:eastAsia="宋体" w:cs="Times New Roman"/>
                <w:color w:val="auto"/>
                <w:sz w:val="24"/>
                <w:szCs w:val="24"/>
                <w:u w:val="none"/>
              </w:rPr>
              <w:t>/T388-20</w:t>
            </w:r>
            <w:r>
              <w:rPr>
                <w:rFonts w:hint="default" w:ascii="Times New Roman" w:hAnsi="Times New Roman" w:eastAsia="宋体" w:cs="Times New Roman"/>
                <w:color w:val="auto"/>
                <w:sz w:val="24"/>
                <w:szCs w:val="24"/>
                <w:u w:val="none"/>
                <w:lang w:val="en-US" w:eastAsia="zh-CN"/>
              </w:rPr>
              <w:t>20</w:t>
            </w:r>
            <w:r>
              <w:rPr>
                <w:rFonts w:hint="default"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lang w:eastAsia="zh-CN"/>
              </w:rPr>
              <w:t>表</w:t>
            </w:r>
            <w:r>
              <w:rPr>
                <w:rFonts w:hint="default" w:ascii="Times New Roman" w:hAnsi="Times New Roman" w:eastAsia="宋体" w:cs="Times New Roman"/>
                <w:color w:val="auto"/>
                <w:sz w:val="24"/>
                <w:szCs w:val="24"/>
                <w:u w:val="none"/>
                <w:lang w:val="en-US" w:eastAsia="zh-CN"/>
              </w:rPr>
              <w:t>30农村居民生活用水定额</w:t>
            </w:r>
            <w:r>
              <w:rPr>
                <w:rFonts w:hint="default" w:ascii="Times New Roman" w:hAnsi="Times New Roman" w:eastAsia="宋体" w:cs="Times New Roman"/>
                <w:color w:val="auto"/>
                <w:sz w:val="24"/>
                <w:szCs w:val="24"/>
                <w:u w:val="none"/>
                <w:lang w:eastAsia="zh-CN"/>
              </w:rPr>
              <w:t>通用值</w:t>
            </w:r>
            <w:r>
              <w:rPr>
                <w:rFonts w:hint="default" w:ascii="Times New Roman" w:hAnsi="Times New Roman" w:eastAsia="宋体" w:cs="Times New Roman"/>
                <w:color w:val="auto"/>
                <w:sz w:val="24"/>
                <w:szCs w:val="24"/>
                <w:u w:val="none"/>
                <w:lang w:val="en-US" w:eastAsia="zh-CN"/>
              </w:rPr>
              <w:t>140</w:t>
            </w:r>
            <w:r>
              <w:rPr>
                <w:rFonts w:hint="default" w:ascii="Times New Roman" w:hAnsi="Times New Roman" w:eastAsia="宋体" w:cs="Times New Roman"/>
                <w:b w:val="0"/>
                <w:bCs w:val="0"/>
                <w:color w:val="auto"/>
                <w:sz w:val="24"/>
                <w:szCs w:val="24"/>
                <w:u w:val="none"/>
                <w:shd w:val="clear" w:color="auto" w:fill="auto"/>
                <w:lang w:val="en-US" w:eastAsia="zh-CN"/>
              </w:rPr>
              <w:t>L/人▪d计，则用水量为</w:t>
            </w:r>
            <w:r>
              <w:rPr>
                <w:rFonts w:hint="eastAsia" w:eastAsia="宋体"/>
                <w:sz w:val="24"/>
                <w:szCs w:val="24"/>
                <w:u w:val="none"/>
                <w:lang w:val="en-US" w:eastAsia="zh-CN"/>
              </w:rPr>
              <w:t>7</w:t>
            </w:r>
            <w:r>
              <w:rPr>
                <w:rFonts w:hint="eastAsia"/>
                <w:sz w:val="24"/>
                <w:szCs w:val="24"/>
                <w:u w:val="none"/>
              </w:rPr>
              <w:t>m</w:t>
            </w:r>
            <w:r>
              <w:rPr>
                <w:rFonts w:hint="eastAsia"/>
                <w:sz w:val="24"/>
                <w:szCs w:val="24"/>
                <w:u w:val="none"/>
                <w:vertAlign w:val="superscript"/>
              </w:rPr>
              <w:t>3</w:t>
            </w:r>
            <w:r>
              <w:rPr>
                <w:rFonts w:hint="eastAsia"/>
                <w:sz w:val="24"/>
                <w:szCs w:val="24"/>
                <w:u w:val="none"/>
              </w:rPr>
              <w:t>/d</w:t>
            </w:r>
            <w:r>
              <w:rPr>
                <w:rFonts w:hint="eastAsia"/>
                <w:sz w:val="24"/>
                <w:szCs w:val="24"/>
                <w:u w:val="none"/>
                <w:lang w:eastAsia="zh-CN"/>
              </w:rPr>
              <w:t>（</w:t>
            </w:r>
            <w:r>
              <w:rPr>
                <w:rFonts w:hint="default" w:ascii="Times New Roman" w:hAnsi="Times New Roman" w:eastAsia="宋体" w:cs="Times New Roman"/>
                <w:b w:val="0"/>
                <w:bCs w:val="0"/>
                <w:color w:val="auto"/>
                <w:sz w:val="24"/>
                <w:szCs w:val="24"/>
                <w:u w:val="none"/>
                <w:shd w:val="clear" w:color="auto" w:fill="auto"/>
                <w:lang w:val="en-US" w:eastAsia="zh-CN"/>
              </w:rPr>
              <w:t>231</w:t>
            </w:r>
            <w:r>
              <w:rPr>
                <w:rFonts w:hint="eastAsia" w:ascii="Times New Roman" w:hAnsi="Times New Roman" w:eastAsia="宋体" w:cs="Times New Roman"/>
                <w:b w:val="0"/>
                <w:bCs w:val="0"/>
                <w:color w:val="auto"/>
                <w:sz w:val="24"/>
                <w:szCs w:val="24"/>
                <w:u w:val="none"/>
                <w:shd w:val="clear" w:color="auto" w:fill="auto"/>
                <w:lang w:val="en-US" w:eastAsia="zh-CN"/>
              </w:rPr>
              <w:t>0</w:t>
            </w:r>
            <w:r>
              <w:rPr>
                <w:rFonts w:hint="default" w:ascii="Times New Roman" w:hAnsi="Times New Roman" w:eastAsia="宋体" w:cs="Times New Roman"/>
                <w:b w:val="0"/>
                <w:bCs w:val="0"/>
                <w:color w:val="auto"/>
                <w:sz w:val="24"/>
                <w:szCs w:val="24"/>
                <w:u w:val="none"/>
                <w:shd w:val="clear" w:color="auto" w:fill="auto"/>
                <w:lang w:val="en-US" w:eastAsia="zh-CN"/>
              </w:rPr>
              <w:t>m</w:t>
            </w:r>
            <w:r>
              <w:rPr>
                <w:rFonts w:hint="default" w:ascii="Times New Roman" w:hAnsi="Times New Roman" w:eastAsia="宋体" w:cs="Times New Roman"/>
                <w:b w:val="0"/>
                <w:bCs w:val="0"/>
                <w:color w:val="auto"/>
                <w:sz w:val="24"/>
                <w:szCs w:val="24"/>
                <w:u w:val="none"/>
                <w:shd w:val="clear" w:color="auto" w:fill="auto"/>
                <w:vertAlign w:val="superscript"/>
                <w:lang w:val="en-US" w:eastAsia="zh-CN"/>
              </w:rPr>
              <w:t>3</w:t>
            </w:r>
            <w:r>
              <w:rPr>
                <w:rFonts w:hint="default" w:ascii="Times New Roman" w:hAnsi="Times New Roman" w:eastAsia="宋体" w:cs="Times New Roman"/>
                <w:b w:val="0"/>
                <w:bCs w:val="0"/>
                <w:color w:val="auto"/>
                <w:sz w:val="24"/>
                <w:szCs w:val="24"/>
                <w:u w:val="none"/>
                <w:shd w:val="clear" w:color="auto" w:fill="auto"/>
                <w:lang w:val="en-US" w:eastAsia="zh-CN"/>
              </w:rPr>
              <w:t>/a</w:t>
            </w:r>
            <w:r>
              <w:rPr>
                <w:rFonts w:hint="eastAsia"/>
                <w:sz w:val="24"/>
                <w:szCs w:val="24"/>
                <w:u w:val="none"/>
                <w:lang w:eastAsia="zh-CN"/>
              </w:rPr>
              <w:t>）</w:t>
            </w:r>
            <w:r>
              <w:rPr>
                <w:rFonts w:hint="default" w:ascii="Times New Roman" w:hAnsi="Times New Roman" w:eastAsia="宋体" w:cs="Times New Roman"/>
                <w:b w:val="0"/>
                <w:bCs w:val="0"/>
                <w:color w:val="auto"/>
                <w:sz w:val="24"/>
                <w:szCs w:val="24"/>
                <w:u w:val="none"/>
                <w:shd w:val="clear" w:color="auto" w:fill="auto"/>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right="0" w:firstLine="482" w:firstLineChars="200"/>
              <w:textAlignment w:val="auto"/>
              <w:rPr>
                <w:rFonts w:hint="eastAsia"/>
                <w:lang w:val="en-US" w:eastAsia="zh-CN"/>
              </w:rPr>
            </w:pPr>
            <w:r>
              <w:rPr>
                <w:rFonts w:hint="eastAsia"/>
                <w:b/>
                <w:bCs/>
                <w:sz w:val="24"/>
                <w:szCs w:val="24"/>
                <w:u w:val="none"/>
              </w:rPr>
              <w:fldChar w:fldCharType="begin"/>
            </w:r>
            <w:r>
              <w:rPr>
                <w:rFonts w:hint="eastAsia"/>
                <w:b/>
                <w:bCs/>
                <w:sz w:val="24"/>
                <w:szCs w:val="24"/>
                <w:u w:val="none"/>
              </w:rPr>
              <w:instrText xml:space="preserve"> = 2 \* GB3 \* MERGEFORMAT </w:instrText>
            </w:r>
            <w:r>
              <w:rPr>
                <w:rFonts w:hint="eastAsia"/>
                <w:b/>
                <w:bCs/>
                <w:sz w:val="24"/>
                <w:szCs w:val="24"/>
                <w:u w:val="none"/>
              </w:rPr>
              <w:fldChar w:fldCharType="separate"/>
            </w:r>
            <w:r>
              <w:rPr>
                <w:b/>
                <w:bCs/>
                <w:sz w:val="24"/>
                <w:szCs w:val="24"/>
              </w:rPr>
              <w:t>②</w:t>
            </w:r>
            <w:r>
              <w:rPr>
                <w:rFonts w:hint="eastAsia"/>
                <w:b/>
                <w:bCs/>
                <w:sz w:val="24"/>
                <w:szCs w:val="24"/>
                <w:u w:val="none"/>
              </w:rPr>
              <w:fldChar w:fldCharType="end"/>
            </w:r>
            <w:r>
              <w:rPr>
                <w:rFonts w:hint="eastAsia"/>
                <w:b/>
                <w:bCs/>
                <w:sz w:val="24"/>
                <w:szCs w:val="24"/>
                <w:u w:val="none"/>
              </w:rPr>
              <w:t>拆解</w:t>
            </w:r>
            <w:r>
              <w:rPr>
                <w:rFonts w:hint="eastAsia"/>
                <w:b/>
                <w:bCs/>
                <w:sz w:val="24"/>
                <w:szCs w:val="24"/>
                <w:u w:val="none"/>
                <w:lang w:eastAsia="zh-CN"/>
              </w:rPr>
              <w:t>区</w:t>
            </w:r>
            <w:r>
              <w:rPr>
                <w:rFonts w:hint="eastAsia"/>
                <w:b/>
                <w:bCs/>
                <w:sz w:val="24"/>
                <w:szCs w:val="24"/>
                <w:u w:val="none"/>
              </w:rPr>
              <w:t>地面清洁</w:t>
            </w:r>
            <w:r>
              <w:rPr>
                <w:rFonts w:hint="eastAsia"/>
                <w:b/>
                <w:bCs/>
                <w:sz w:val="24"/>
                <w:szCs w:val="24"/>
                <w:u w:val="none"/>
                <w:lang w:val="en-US" w:eastAsia="zh-CN"/>
              </w:rPr>
              <w:t>用水</w:t>
            </w:r>
            <w:r>
              <w:rPr>
                <w:rFonts w:hint="eastAsia"/>
                <w:b/>
                <w:bCs/>
                <w:sz w:val="24"/>
                <w:szCs w:val="24"/>
                <w:u w:val="none"/>
                <w:lang w:eastAsia="zh-CN"/>
              </w:rPr>
              <w:t>：</w:t>
            </w:r>
            <w:r>
              <w:rPr>
                <w:rFonts w:hint="eastAsia"/>
                <w:sz w:val="24"/>
                <w:szCs w:val="24"/>
                <w:u w:val="none"/>
              </w:rPr>
              <w:t>根据设计，为保证项目拆解</w:t>
            </w:r>
            <w:r>
              <w:rPr>
                <w:rFonts w:hint="eastAsia"/>
                <w:sz w:val="24"/>
                <w:szCs w:val="24"/>
                <w:u w:val="none"/>
                <w:lang w:eastAsia="zh-CN"/>
              </w:rPr>
              <w:t>区</w:t>
            </w:r>
            <w:r>
              <w:rPr>
                <w:rFonts w:hint="eastAsia"/>
                <w:sz w:val="24"/>
                <w:szCs w:val="24"/>
                <w:u w:val="none"/>
              </w:rPr>
              <w:t>地面清洁，每天采用拖</w:t>
            </w:r>
            <w:r>
              <w:rPr>
                <w:rFonts w:hint="eastAsia"/>
                <w:sz w:val="24"/>
                <w:szCs w:val="24"/>
                <w:u w:val="none"/>
                <w:lang w:eastAsia="zh-CN"/>
              </w:rPr>
              <w:t>把</w:t>
            </w:r>
            <w:r>
              <w:rPr>
                <w:rFonts w:hint="eastAsia"/>
                <w:sz w:val="24"/>
                <w:szCs w:val="24"/>
                <w:u w:val="none"/>
              </w:rPr>
              <w:t>清洁拆解</w:t>
            </w:r>
            <w:r>
              <w:rPr>
                <w:rFonts w:hint="eastAsia"/>
                <w:sz w:val="24"/>
                <w:szCs w:val="24"/>
                <w:u w:val="none"/>
                <w:lang w:eastAsia="zh-CN"/>
              </w:rPr>
              <w:t>区</w:t>
            </w:r>
            <w:r>
              <w:rPr>
                <w:rFonts w:hint="eastAsia"/>
                <w:sz w:val="24"/>
                <w:szCs w:val="24"/>
                <w:u w:val="none"/>
              </w:rPr>
              <w:t>地面，</w:t>
            </w:r>
            <w:r>
              <w:rPr>
                <w:rFonts w:hint="eastAsia"/>
                <w:sz w:val="24"/>
                <w:szCs w:val="24"/>
                <w:u w:val="none"/>
                <w:lang w:eastAsia="zh-CN"/>
              </w:rPr>
              <w:t>再</w:t>
            </w:r>
            <w:r>
              <w:rPr>
                <w:rFonts w:hint="eastAsia"/>
                <w:sz w:val="24"/>
                <w:szCs w:val="24"/>
                <w:u w:val="none"/>
              </w:rPr>
              <w:t>统一对拖</w:t>
            </w:r>
            <w:r>
              <w:rPr>
                <w:rFonts w:hint="eastAsia"/>
                <w:sz w:val="24"/>
                <w:szCs w:val="24"/>
                <w:u w:val="none"/>
                <w:lang w:eastAsia="zh-CN"/>
              </w:rPr>
              <w:t>把</w:t>
            </w:r>
            <w:r>
              <w:rPr>
                <w:rFonts w:hint="eastAsia"/>
                <w:sz w:val="24"/>
                <w:szCs w:val="24"/>
                <w:u w:val="none"/>
              </w:rPr>
              <w:t>进行清洗，拆解</w:t>
            </w:r>
            <w:r>
              <w:rPr>
                <w:rFonts w:hint="eastAsia"/>
                <w:sz w:val="24"/>
                <w:szCs w:val="24"/>
                <w:u w:val="none"/>
                <w:lang w:eastAsia="zh-CN"/>
              </w:rPr>
              <w:t>区</w:t>
            </w:r>
            <w:r>
              <w:rPr>
                <w:rFonts w:hint="eastAsia"/>
                <w:sz w:val="24"/>
                <w:szCs w:val="24"/>
                <w:u w:val="none"/>
              </w:rPr>
              <w:t>地面清洁用水量约为1m</w:t>
            </w:r>
            <w:r>
              <w:rPr>
                <w:rFonts w:hint="eastAsia"/>
                <w:sz w:val="24"/>
                <w:szCs w:val="24"/>
                <w:u w:val="none"/>
                <w:vertAlign w:val="superscript"/>
              </w:rPr>
              <w:t>3</w:t>
            </w:r>
            <w:r>
              <w:rPr>
                <w:rFonts w:hint="eastAsia"/>
                <w:sz w:val="24"/>
                <w:szCs w:val="24"/>
                <w:u w:val="none"/>
              </w:rPr>
              <w:t>/d（33</w:t>
            </w:r>
            <w:r>
              <w:rPr>
                <w:rFonts w:hint="eastAsia"/>
                <w:sz w:val="24"/>
                <w:szCs w:val="24"/>
                <w:u w:val="none"/>
                <w:lang w:val="en-US" w:eastAsia="zh-CN"/>
              </w:rPr>
              <w:t>0</w:t>
            </w:r>
            <w:r>
              <w:rPr>
                <w:rFonts w:hint="eastAsia"/>
                <w:sz w:val="24"/>
                <w:szCs w:val="24"/>
                <w:u w:val="none"/>
              </w:rPr>
              <w:t>m</w:t>
            </w:r>
            <w:r>
              <w:rPr>
                <w:rFonts w:hint="eastAsia"/>
                <w:sz w:val="24"/>
                <w:szCs w:val="24"/>
                <w:u w:val="none"/>
                <w:vertAlign w:val="superscript"/>
              </w:rPr>
              <w:t>3</w:t>
            </w:r>
            <w:r>
              <w:rPr>
                <w:rFonts w:hint="eastAsia"/>
                <w:sz w:val="24"/>
                <w:szCs w:val="24"/>
                <w:u w:val="none"/>
              </w:rPr>
              <w:t>/a）</w:t>
            </w:r>
            <w:r>
              <w:rPr>
                <w:rFonts w:hint="eastAsia"/>
                <w:sz w:val="24"/>
                <w:szCs w:val="24"/>
                <w:u w:val="none"/>
                <w:lang w:eastAsia="zh-CN"/>
              </w:rPr>
              <w:t>，</w:t>
            </w:r>
            <w:r>
              <w:rPr>
                <w:rFonts w:hint="eastAsia" w:ascii="Times New Roman" w:hAnsi="Times New Roman" w:eastAsia="宋体" w:cs="Times New Roman"/>
                <w:sz w:val="24"/>
                <w:szCs w:val="24"/>
                <w:u w:val="none"/>
              </w:rPr>
              <w:t>废水排放系数取0.</w:t>
            </w:r>
            <w:r>
              <w:rPr>
                <w:rFonts w:hint="eastAsia" w:ascii="Times New Roman" w:hAnsi="Times New Roman" w:eastAsia="宋体" w:cs="Times New Roman"/>
                <w:sz w:val="24"/>
                <w:szCs w:val="24"/>
                <w:u w:val="none"/>
                <w:lang w:val="en-US" w:eastAsia="zh-CN"/>
              </w:rPr>
              <w:t>80</w:t>
            </w:r>
            <w:r>
              <w:rPr>
                <w:rFonts w:hint="eastAsia" w:ascii="Times New Roman" w:hAnsi="Times New Roman" w:eastAsia="宋体" w:cs="Times New Roman"/>
                <w:sz w:val="24"/>
                <w:szCs w:val="24"/>
                <w:u w:val="none"/>
              </w:rPr>
              <w:t>，则清洗废水排放量0.</w:t>
            </w:r>
            <w:r>
              <w:rPr>
                <w:rFonts w:hint="eastAsia" w:ascii="Times New Roman" w:hAnsi="Times New Roman" w:eastAsia="宋体" w:cs="Times New Roman"/>
                <w:sz w:val="24"/>
                <w:szCs w:val="24"/>
                <w:u w:val="none"/>
                <w:lang w:val="en-US" w:eastAsia="zh-CN"/>
              </w:rPr>
              <w:t>8</w:t>
            </w:r>
            <w:r>
              <w:rPr>
                <w:rFonts w:hint="eastAsia" w:ascii="Times New Roman" w:hAnsi="Times New Roman" w:eastAsia="宋体" w:cs="Times New Roman"/>
                <w:sz w:val="24"/>
                <w:szCs w:val="24"/>
                <w:u w:val="none"/>
              </w:rPr>
              <w:t>m</w:t>
            </w:r>
            <w:r>
              <w:rPr>
                <w:rFonts w:hint="eastAsia" w:ascii="Times New Roman" w:hAnsi="Times New Roman" w:eastAsia="宋体" w:cs="Times New Roman"/>
                <w:sz w:val="24"/>
                <w:szCs w:val="24"/>
                <w:u w:val="none"/>
                <w:vertAlign w:val="superscript"/>
              </w:rPr>
              <w:t>3</w:t>
            </w:r>
            <w:r>
              <w:rPr>
                <w:rFonts w:hint="eastAsia" w:ascii="Times New Roman" w:hAnsi="Times New Roman" w:eastAsia="宋体" w:cs="Times New Roman"/>
                <w:sz w:val="24"/>
                <w:szCs w:val="24"/>
                <w:u w:val="none"/>
              </w:rPr>
              <w:t>/d（</w:t>
            </w:r>
            <w:r>
              <w:rPr>
                <w:rFonts w:hint="eastAsia" w:ascii="Times New Roman" w:hAnsi="Times New Roman" w:eastAsia="宋体" w:cs="Times New Roman"/>
                <w:sz w:val="24"/>
                <w:szCs w:val="24"/>
                <w:u w:val="none"/>
                <w:lang w:val="en-US" w:eastAsia="zh-CN"/>
              </w:rPr>
              <w:t>264</w:t>
            </w:r>
            <w:r>
              <w:rPr>
                <w:rFonts w:hint="eastAsia" w:ascii="Times New Roman" w:hAnsi="Times New Roman" w:eastAsia="宋体" w:cs="Times New Roman"/>
                <w:sz w:val="24"/>
                <w:szCs w:val="24"/>
                <w:u w:val="none"/>
              </w:rPr>
              <w:t>m</w:t>
            </w:r>
            <w:r>
              <w:rPr>
                <w:rFonts w:hint="eastAsia" w:ascii="Times New Roman" w:hAnsi="Times New Roman" w:eastAsia="宋体" w:cs="Times New Roman"/>
                <w:sz w:val="24"/>
                <w:szCs w:val="24"/>
                <w:u w:val="none"/>
                <w:vertAlign w:val="superscript"/>
              </w:rPr>
              <w:t>3</w:t>
            </w:r>
            <w:r>
              <w:rPr>
                <w:rFonts w:hint="eastAsia" w:ascii="Times New Roman" w:hAnsi="Times New Roman" w:eastAsia="宋体" w:cs="Times New Roman"/>
                <w:sz w:val="24"/>
                <w:szCs w:val="24"/>
                <w:u w:val="none"/>
              </w:rPr>
              <w:t>/a）</w:t>
            </w:r>
            <w:r>
              <w:rPr>
                <w:rFonts w:hint="eastAsia"/>
                <w:lang w:val="en-US" w:eastAsia="zh-CN"/>
              </w:rPr>
              <w:t>。</w:t>
            </w:r>
          </w:p>
          <w:p>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default"/>
                <w:lang w:val="en-US" w:eastAsia="zh-CN"/>
              </w:rPr>
            </w:pPr>
            <w:r>
              <w:rPr>
                <w:rFonts w:hint="default" w:ascii="Times New Roman" w:hAnsi="Times New Roman" w:cs="Times New Roman"/>
                <w:b/>
                <w:bCs/>
                <w:lang w:val="en-US" w:eastAsia="zh-CN"/>
              </w:rPr>
              <w:fldChar w:fldCharType="begin"/>
            </w:r>
            <w:r>
              <w:rPr>
                <w:rFonts w:hint="default" w:ascii="Times New Roman" w:hAnsi="Times New Roman" w:cs="Times New Roman"/>
                <w:b/>
                <w:bCs/>
                <w:lang w:val="en-US" w:eastAsia="zh-CN"/>
              </w:rPr>
              <w:instrText xml:space="preserve"> = 3 \* GB3 \* MERGEFORMAT </w:instrText>
            </w:r>
            <w:r>
              <w:rPr>
                <w:rFonts w:hint="default" w:ascii="Times New Roman" w:hAnsi="Times New Roman" w:cs="Times New Roman"/>
                <w:b/>
                <w:bCs/>
                <w:lang w:val="en-US" w:eastAsia="zh-CN"/>
              </w:rPr>
              <w:fldChar w:fldCharType="separate"/>
            </w:r>
            <w:r>
              <w:rPr>
                <w:rFonts w:hint="default" w:ascii="Times New Roman" w:hAnsi="Times New Roman" w:cs="Times New Roman"/>
                <w:b/>
                <w:bCs/>
              </w:rPr>
              <w:t>③</w:t>
            </w:r>
            <w:r>
              <w:rPr>
                <w:rFonts w:hint="default" w:ascii="Times New Roman" w:hAnsi="Times New Roman" w:cs="Times New Roman"/>
                <w:b/>
                <w:bCs/>
                <w:lang w:val="en-US" w:eastAsia="zh-CN"/>
              </w:rPr>
              <w:fldChar w:fldCharType="end"/>
            </w:r>
            <w:r>
              <w:rPr>
                <w:rFonts w:hint="eastAsia" w:ascii="Times New Roman" w:hAnsi="Times New Roman" w:cs="Times New Roman"/>
                <w:b/>
                <w:bCs/>
                <w:sz w:val="24"/>
                <w:szCs w:val="24"/>
                <w:lang w:val="en-US" w:eastAsia="zh-CN"/>
              </w:rPr>
              <w:t>初期</w:t>
            </w:r>
            <w:r>
              <w:rPr>
                <w:rFonts w:hint="default" w:ascii="Times New Roman" w:hAnsi="Times New Roman" w:cs="Times New Roman"/>
                <w:b/>
                <w:bCs/>
                <w:lang w:val="en-US" w:eastAsia="zh-CN"/>
              </w:rPr>
              <w:t>雨水：</w:t>
            </w:r>
            <w:r>
              <w:rPr>
                <w:rFonts w:hint="default"/>
                <w:lang w:val="en-US" w:eastAsia="zh-CN"/>
              </w:rPr>
              <w:t>根据工程分析可知，</w:t>
            </w:r>
            <w:r>
              <w:rPr>
                <w:rFonts w:hint="eastAsia"/>
                <w:lang w:val="en-US" w:eastAsia="zh-CN"/>
              </w:rPr>
              <w:t>露天</w:t>
            </w:r>
            <w:r>
              <w:rPr>
                <w:rFonts w:hint="eastAsia"/>
                <w:bCs/>
                <w:sz w:val="24"/>
                <w:szCs w:val="24"/>
                <w:lang w:val="en-US" w:eastAsia="zh-CN"/>
              </w:rPr>
              <w:t>区</w:t>
            </w:r>
            <w:r>
              <w:rPr>
                <w:rFonts w:hint="eastAsia"/>
                <w:lang w:val="en-US" w:eastAsia="zh-CN"/>
              </w:rPr>
              <w:t>15</w:t>
            </w:r>
            <w:r>
              <w:rPr>
                <w:rFonts w:hint="default"/>
                <w:lang w:val="en-US" w:eastAsia="zh-CN"/>
              </w:rPr>
              <w:t>min</w:t>
            </w:r>
            <w:r>
              <w:rPr>
                <w:rFonts w:hint="default" w:ascii="Times New Roman" w:hAnsi="Times New Roman" w:eastAsia="宋体" w:cs="Times New Roman"/>
                <w:bCs/>
                <w:sz w:val="24"/>
                <w:szCs w:val="24"/>
              </w:rPr>
              <w:t>降雨污染水量</w:t>
            </w:r>
            <w:r>
              <w:rPr>
                <w:rFonts w:hint="default"/>
                <w:lang w:val="en-US" w:eastAsia="zh-CN"/>
              </w:rPr>
              <w:t>为</w:t>
            </w:r>
            <w:r>
              <w:rPr>
                <w:rFonts w:hint="eastAsia"/>
                <w:lang w:val="en-US" w:eastAsia="zh-CN"/>
              </w:rPr>
              <w:t>71.78</w:t>
            </w:r>
            <w:r>
              <w:rPr>
                <w:rFonts w:hint="default"/>
                <w:lang w:val="en-US" w:eastAsia="zh-CN"/>
              </w:rPr>
              <w:t>m</w:t>
            </w:r>
            <w:r>
              <w:rPr>
                <w:rFonts w:hint="eastAsia"/>
                <w:vertAlign w:val="superscript"/>
                <w:lang w:val="en-US" w:eastAsia="zh-CN"/>
              </w:rPr>
              <w:t>3</w:t>
            </w:r>
            <w:r>
              <w:rPr>
                <w:rFonts w:hint="default"/>
                <w:lang w:val="en-US" w:eastAsia="zh-CN"/>
              </w:rPr>
              <w:t>/次，</w:t>
            </w:r>
            <w:r>
              <w:rPr>
                <w:rFonts w:hint="eastAsia" w:ascii="Times New Roman" w:hAnsi="Times New Roman" w:eastAsia="宋体" w:cs="Times New Roman"/>
                <w:caps w:val="0"/>
                <w:spacing w:val="0"/>
                <w:w w:val="100"/>
                <w:position w:val="0"/>
                <w:sz w:val="24"/>
                <w:szCs w:val="24"/>
                <w:highlight w:val="none"/>
                <w:u w:val="none" w:color="auto"/>
              </w:rPr>
              <w:t>年均暴雨次数按</w:t>
            </w:r>
            <w:r>
              <w:rPr>
                <w:rFonts w:hint="eastAsia" w:ascii="Times New Roman" w:hAnsi="Times New Roman" w:eastAsia="宋体" w:cs="Times New Roman"/>
                <w:caps w:val="0"/>
                <w:spacing w:val="0"/>
                <w:w w:val="100"/>
                <w:position w:val="0"/>
                <w:sz w:val="24"/>
                <w:szCs w:val="24"/>
                <w:highlight w:val="none"/>
                <w:u w:val="none" w:color="auto"/>
                <w:lang w:val="en-US" w:eastAsia="zh-CN"/>
              </w:rPr>
              <w:t>2</w:t>
            </w:r>
            <w:r>
              <w:rPr>
                <w:rFonts w:hint="eastAsia" w:ascii="Times New Roman" w:hAnsi="Times New Roman" w:eastAsia="宋体" w:cs="Times New Roman"/>
                <w:caps w:val="0"/>
                <w:spacing w:val="0"/>
                <w:w w:val="100"/>
                <w:position w:val="0"/>
                <w:sz w:val="24"/>
                <w:szCs w:val="24"/>
                <w:highlight w:val="none"/>
                <w:u w:val="none" w:color="auto"/>
              </w:rPr>
              <w:t>0次计</w:t>
            </w:r>
            <w:r>
              <w:rPr>
                <w:rFonts w:hint="default"/>
                <w:lang w:val="en-US" w:eastAsia="zh-CN"/>
              </w:rPr>
              <w:t>，则本项目雨水总量为</w:t>
            </w:r>
            <w:r>
              <w:rPr>
                <w:rFonts w:hint="eastAsia"/>
                <w:lang w:val="en-US" w:eastAsia="zh-CN"/>
              </w:rPr>
              <w:t>1435.6</w:t>
            </w:r>
            <w:r>
              <w:rPr>
                <w:rFonts w:hint="default"/>
                <w:lang w:val="en-US" w:eastAsia="zh-CN"/>
              </w:rPr>
              <w:t>m</w:t>
            </w:r>
            <w:r>
              <w:rPr>
                <w:rFonts w:hint="default"/>
                <w:vertAlign w:val="superscript"/>
                <w:lang w:val="en-US" w:eastAsia="zh-CN"/>
              </w:rPr>
              <w:t>3</w:t>
            </w:r>
            <w:r>
              <w:rPr>
                <w:rFonts w:hint="default"/>
                <w:lang w:val="en-US" w:eastAsia="zh-CN"/>
              </w:rPr>
              <w:t>/a，为满足雨污水的收集处理，</w:t>
            </w:r>
            <w:r>
              <w:rPr>
                <w:rFonts w:hint="eastAsia"/>
                <w:lang w:val="en-US" w:eastAsia="zh-CN"/>
              </w:rPr>
              <w:t>本项目初期</w:t>
            </w:r>
            <w:r>
              <w:rPr>
                <w:rFonts w:hint="eastAsia" w:ascii="Times New Roman" w:hAnsi="Times New Roman" w:eastAsia="宋体" w:cs="Times New Roman"/>
                <w:bCs/>
                <w:sz w:val="24"/>
                <w:szCs w:val="24"/>
                <w:lang w:eastAsia="zh-CN"/>
              </w:rPr>
              <w:t>雨水</w:t>
            </w:r>
            <w:r>
              <w:rPr>
                <w:rFonts w:hint="eastAsia" w:ascii="Times New Roman" w:hAnsi="Times New Roman" w:eastAsia="宋体" w:cs="Times New Roman"/>
                <w:bCs/>
                <w:sz w:val="24"/>
                <w:szCs w:val="24"/>
              </w:rPr>
              <w:t>经雨水明沟收集</w:t>
            </w:r>
            <w:r>
              <w:rPr>
                <w:rFonts w:hint="eastAsia" w:ascii="Times New Roman" w:hAnsi="Times New Roman" w:eastAsia="宋体" w:cs="Times New Roman"/>
                <w:bCs/>
                <w:sz w:val="24"/>
                <w:szCs w:val="24"/>
                <w:lang w:eastAsia="zh-CN"/>
              </w:rPr>
              <w:t>，</w:t>
            </w:r>
            <w:r>
              <w:rPr>
                <w:rFonts w:hint="default"/>
                <w:lang w:val="en-US" w:eastAsia="zh-CN"/>
              </w:rPr>
              <w:t>收集的雨水进入</w:t>
            </w:r>
            <w:r>
              <w:rPr>
                <w:rFonts w:hint="eastAsia"/>
                <w:lang w:val="en-US" w:eastAsia="zh-CN"/>
              </w:rPr>
              <w:t>初期</w:t>
            </w:r>
            <w:r>
              <w:rPr>
                <w:rFonts w:hint="default"/>
                <w:lang w:val="en-US" w:eastAsia="zh-CN"/>
              </w:rPr>
              <w:t>雨水收集池通过厂内</w:t>
            </w:r>
            <w:r>
              <w:rPr>
                <w:rFonts w:hint="eastAsia" w:ascii="Times New Roman" w:hAnsi="Times New Roman" w:cs="Times New Roman"/>
                <w:color w:val="auto"/>
                <w:sz w:val="24"/>
                <w:szCs w:val="24"/>
                <w:highlight w:val="none"/>
                <w:lang w:val="en-US" w:eastAsia="zh-CN"/>
              </w:rPr>
              <w:t>隔油池+气浮机</w:t>
            </w:r>
            <w:r>
              <w:rPr>
                <w:rFonts w:hint="default"/>
                <w:lang w:val="en-US" w:eastAsia="zh-CN"/>
              </w:rPr>
              <w:t>处理</w:t>
            </w:r>
            <w:r>
              <w:rPr>
                <w:rFonts w:hint="eastAsia" w:ascii="Times New Roman" w:hAnsi="Times New Roman" w:cs="Times New Roman"/>
                <w:color w:val="auto"/>
                <w:sz w:val="24"/>
                <w:szCs w:val="24"/>
                <w:highlight w:val="none"/>
                <w:lang w:val="en-US" w:eastAsia="zh-CN"/>
              </w:rPr>
              <w:t>后</w:t>
            </w:r>
            <w:r>
              <w:rPr>
                <w:rFonts w:hint="default" w:ascii="Times New Roman" w:hAnsi="Times New Roman" w:eastAsia="宋体" w:cs="Times New Roman"/>
                <w:b w:val="0"/>
                <w:bCs w:val="0"/>
                <w:color w:val="auto"/>
                <w:sz w:val="24"/>
                <w:szCs w:val="24"/>
                <w:u w:val="none"/>
                <w:shd w:val="clear" w:color="auto" w:fill="auto"/>
                <w:lang w:val="en-US" w:eastAsia="zh-CN"/>
              </w:rPr>
              <w:t>排入</w:t>
            </w:r>
            <w:r>
              <w:rPr>
                <w:rFonts w:hint="eastAsia" w:ascii="Times New Roman" w:hAnsi="Times New Roman" w:eastAsia="宋体" w:cs="Times New Roman"/>
                <w:b w:val="0"/>
                <w:bCs w:val="0"/>
                <w:color w:val="auto"/>
                <w:sz w:val="24"/>
                <w:szCs w:val="24"/>
                <w:u w:val="none"/>
                <w:shd w:val="clear" w:color="auto" w:fill="auto"/>
                <w:lang w:val="en-US" w:eastAsia="zh-CN"/>
              </w:rPr>
              <w:t>园区污水</w:t>
            </w:r>
            <w:r>
              <w:rPr>
                <w:rFonts w:hint="default" w:ascii="Times New Roman" w:hAnsi="Times New Roman" w:eastAsia="宋体" w:cs="Times New Roman"/>
                <w:b w:val="0"/>
                <w:bCs w:val="0"/>
                <w:color w:val="auto"/>
                <w:sz w:val="24"/>
                <w:szCs w:val="24"/>
                <w:u w:val="none"/>
                <w:shd w:val="clear" w:color="auto" w:fill="auto"/>
                <w:lang w:val="en-US" w:eastAsia="zh-CN"/>
              </w:rPr>
              <w:t>管网</w:t>
            </w:r>
            <w:r>
              <w:rPr>
                <w:rFonts w:hint="eastAsia" w:ascii="Times New Roman" w:hAnsi="Times New Roman" w:eastAsia="宋体" w:cs="Times New Roman"/>
                <w:b w:val="0"/>
                <w:bCs w:val="0"/>
                <w:color w:val="auto"/>
                <w:sz w:val="24"/>
                <w:szCs w:val="24"/>
                <w:u w:val="none"/>
                <w:shd w:val="clear" w:color="auto" w:fill="auto"/>
                <w:lang w:val="en-US" w:eastAsia="zh-CN"/>
              </w:rPr>
              <w:t>。</w:t>
            </w:r>
          </w:p>
          <w:p>
            <w:pPr>
              <w:spacing w:line="360" w:lineRule="auto"/>
              <w:ind w:firstLine="482" w:firstLineChars="200"/>
              <w:rPr>
                <w:rFonts w:hint="default" w:ascii="Times New Roman" w:hAnsi="Times New Roman" w:eastAsia="宋体" w:cs="Times New Roman"/>
                <w:b/>
                <w:bCs/>
                <w:color w:val="auto"/>
                <w:sz w:val="24"/>
                <w:szCs w:val="24"/>
                <w:u w:val="none"/>
                <w:shd w:val="clear" w:color="auto" w:fill="auto"/>
                <w:lang w:val="en-US" w:eastAsia="zh-CN"/>
              </w:rPr>
            </w:pPr>
            <w:r>
              <w:rPr>
                <w:rFonts w:hint="default" w:ascii="Times New Roman" w:hAnsi="Times New Roman" w:eastAsia="宋体" w:cs="Times New Roman"/>
                <w:b/>
                <w:bCs/>
                <w:color w:val="auto"/>
                <w:sz w:val="24"/>
                <w:szCs w:val="24"/>
                <w:u w:val="none"/>
                <w:shd w:val="clear" w:color="auto" w:fill="auto"/>
                <w:lang w:val="en-US" w:eastAsia="zh-CN"/>
              </w:rPr>
              <w:t>（2）排水</w:t>
            </w:r>
            <w:r>
              <w:rPr>
                <w:rFonts w:hint="default" w:ascii="Times New Roman" w:hAnsi="Times New Roman" w:eastAsia="宋体" w:cs="Times New Roman"/>
                <w:b/>
                <w:bCs/>
                <w:color w:val="auto"/>
                <w:sz w:val="24"/>
                <w:szCs w:val="24"/>
                <w:u w:val="none"/>
                <w:shd w:val="clear" w:color="auto" w:fill="auto"/>
                <w:lang w:eastAsia="zh-CN"/>
              </w:rPr>
              <w:t>工程</w:t>
            </w:r>
          </w:p>
          <w:p>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w:t>本项目运营时的废水主要为</w:t>
            </w:r>
            <w:r>
              <w:rPr>
                <w:rFonts w:hint="eastAsia" w:ascii="Times New Roman" w:hAnsi="Times New Roman" w:cs="Times New Roman"/>
                <w:color w:val="auto"/>
                <w:sz w:val="24"/>
                <w:szCs w:val="24"/>
                <w:lang w:eastAsia="zh-CN"/>
              </w:rPr>
              <w:t>员工</w:t>
            </w:r>
            <w:r>
              <w:rPr>
                <w:rFonts w:ascii="Times New Roman" w:hAnsi="Times New Roman" w:cs="Times New Roman"/>
                <w:color w:val="auto"/>
                <w:sz w:val="24"/>
                <w:szCs w:val="24"/>
              </w:rPr>
              <w:t>产生</w:t>
            </w:r>
            <w:r>
              <w:rPr>
                <w:rFonts w:ascii="Times New Roman" w:hAnsi="Times New Roman" w:cs="Times New Roman"/>
                <w:color w:val="auto"/>
                <w:sz w:val="24"/>
                <w:szCs w:val="24"/>
                <w:highlight w:val="none"/>
              </w:rPr>
              <w:t>的生活污水</w:t>
            </w:r>
            <w:r>
              <w:rPr>
                <w:rFonts w:hint="eastAsia" w:ascii="Times New Roman" w:hAnsi="Times New Roman" w:cs="Times New Roman"/>
                <w:color w:val="auto"/>
                <w:sz w:val="24"/>
                <w:szCs w:val="24"/>
                <w:highlight w:val="none"/>
                <w:lang w:eastAsia="zh-CN"/>
              </w:rPr>
              <w:t>，拆解车间地面清洁</w:t>
            </w:r>
            <w:r>
              <w:rPr>
                <w:rFonts w:hint="eastAsia" w:ascii="Times New Roman" w:hAnsi="Times New Roman" w:cs="Times New Roman"/>
                <w:color w:val="auto"/>
                <w:sz w:val="24"/>
                <w:szCs w:val="24"/>
                <w:highlight w:val="none"/>
                <w:lang w:val="en-US" w:eastAsia="zh-CN"/>
              </w:rPr>
              <w:t>废水、初期雨水</w:t>
            </w:r>
            <w:r>
              <w:rPr>
                <w:rFonts w:ascii="Times New Roman" w:hAnsi="Times New Roman" w:cs="Times New Roman"/>
                <w:color w:val="auto"/>
                <w:sz w:val="24"/>
                <w:szCs w:val="24"/>
                <w:highlight w:val="none"/>
              </w:rPr>
              <w:t>。</w:t>
            </w:r>
          </w:p>
          <w:p>
            <w:pPr>
              <w:spacing w:line="360" w:lineRule="auto"/>
              <w:ind w:firstLine="480" w:firstLineChars="200"/>
              <w:rPr>
                <w:rFonts w:hint="default" w:ascii="Times New Roman" w:hAnsi="Times New Roman" w:eastAsia="宋体" w:cs="Times New Roman"/>
                <w:b w:val="0"/>
                <w:bCs w:val="0"/>
                <w:color w:val="auto"/>
                <w:sz w:val="24"/>
                <w:szCs w:val="24"/>
                <w:u w:val="none"/>
                <w:shd w:val="clear" w:color="auto" w:fill="auto"/>
                <w:lang w:val="en-US" w:eastAsia="zh-CN"/>
              </w:rPr>
            </w:pPr>
            <w:r>
              <w:rPr>
                <w:rFonts w:hint="default" w:ascii="Times New Roman" w:hAnsi="Times New Roman" w:eastAsia="宋体" w:cs="Times New Roman"/>
                <w:b w:val="0"/>
                <w:bCs w:val="0"/>
                <w:color w:val="auto"/>
                <w:sz w:val="24"/>
                <w:szCs w:val="24"/>
                <w:u w:val="none"/>
                <w:shd w:val="clear" w:color="auto" w:fill="auto"/>
                <w:lang w:val="en-US" w:eastAsia="zh-CN"/>
              </w:rPr>
              <w:t>本项目实行雨污分流制，</w:t>
            </w:r>
            <w:r>
              <w:rPr>
                <w:rFonts w:hint="default" w:ascii="Times New Roman" w:hAnsi="Times New Roman" w:eastAsia="宋体" w:cs="Times New Roman"/>
                <w:b w:val="0"/>
                <w:bCs w:val="0"/>
                <w:color w:val="auto"/>
                <w:sz w:val="24"/>
                <w:szCs w:val="24"/>
                <w:highlight w:val="none"/>
                <w:u w:val="none"/>
                <w:shd w:val="clear" w:color="auto" w:fill="auto"/>
                <w:lang w:val="en-US" w:eastAsia="zh-CN"/>
              </w:rPr>
              <w:t>雨水进入雨水沟排入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自然水体，最终排入渠水</w:t>
            </w:r>
            <w:r>
              <w:rPr>
                <w:rFonts w:hint="default" w:ascii="Times New Roman" w:hAnsi="Times New Roman" w:eastAsia="宋体" w:cs="Times New Roman"/>
                <w:b w:val="0"/>
                <w:bCs w:val="0"/>
                <w:color w:val="auto"/>
                <w:sz w:val="24"/>
                <w:szCs w:val="24"/>
                <w:u w:val="none"/>
                <w:shd w:val="clear" w:color="auto" w:fill="auto"/>
                <w:lang w:val="en-US" w:eastAsia="zh-CN"/>
              </w:rPr>
              <w:t>；项目所在</w:t>
            </w:r>
            <w:r>
              <w:rPr>
                <w:rFonts w:hint="eastAsia" w:ascii="Times New Roman" w:hAnsi="Times New Roman" w:eastAsia="宋体" w:cs="Times New Roman"/>
                <w:b w:val="0"/>
                <w:bCs w:val="0"/>
                <w:color w:val="auto"/>
                <w:sz w:val="24"/>
                <w:szCs w:val="24"/>
                <w:u w:val="none"/>
                <w:shd w:val="clear" w:color="auto" w:fill="auto"/>
                <w:lang w:val="en-US" w:eastAsia="zh-CN"/>
              </w:rPr>
              <w:t>靖州县工业集中区</w:t>
            </w:r>
            <w:r>
              <w:rPr>
                <w:rFonts w:hint="default" w:ascii="Times New Roman" w:hAnsi="Times New Roman" w:eastAsia="宋体" w:cs="Times New Roman"/>
                <w:b w:val="0"/>
                <w:bCs w:val="0"/>
                <w:color w:val="auto"/>
                <w:sz w:val="24"/>
                <w:szCs w:val="24"/>
                <w:u w:val="none"/>
                <w:shd w:val="clear" w:color="auto" w:fill="auto"/>
                <w:lang w:val="en-US" w:eastAsia="zh-CN"/>
              </w:rPr>
              <w:t>目前已建设配</w:t>
            </w:r>
            <w:r>
              <w:rPr>
                <w:rFonts w:hint="default" w:ascii="Times New Roman" w:hAnsi="Times New Roman" w:eastAsia="宋体" w:cs="Times New Roman"/>
                <w:b w:val="0"/>
                <w:bCs w:val="0"/>
                <w:color w:val="auto"/>
                <w:sz w:val="24"/>
                <w:szCs w:val="24"/>
                <w:highlight w:val="none"/>
                <w:u w:val="none"/>
                <w:shd w:val="clear" w:color="auto" w:fill="auto"/>
                <w:lang w:val="en-US" w:eastAsia="zh-CN"/>
              </w:rPr>
              <w:t>套的污水管网</w:t>
            </w:r>
            <w:r>
              <w:rPr>
                <w:rFonts w:hint="default" w:ascii="Times New Roman" w:hAnsi="Times New Roman" w:eastAsia="宋体" w:cs="Times New Roman"/>
                <w:b w:val="0"/>
                <w:bCs w:val="0"/>
                <w:color w:val="auto"/>
                <w:sz w:val="24"/>
                <w:szCs w:val="24"/>
                <w:u w:val="none"/>
                <w:shd w:val="clear" w:color="auto" w:fill="auto"/>
                <w:lang w:val="en-US" w:eastAsia="zh-CN"/>
              </w:rPr>
              <w:t>。生活污水产污系数按照80%计，则生活污水产生量为1848m</w:t>
            </w:r>
            <w:r>
              <w:rPr>
                <w:rFonts w:hint="default" w:ascii="Times New Roman" w:hAnsi="Times New Roman" w:eastAsia="宋体" w:cs="Times New Roman"/>
                <w:b w:val="0"/>
                <w:bCs w:val="0"/>
                <w:color w:val="auto"/>
                <w:sz w:val="24"/>
                <w:szCs w:val="24"/>
                <w:u w:val="none"/>
                <w:shd w:val="clear" w:color="auto" w:fill="auto"/>
                <w:vertAlign w:val="superscript"/>
                <w:lang w:val="en-US" w:eastAsia="zh-CN"/>
              </w:rPr>
              <w:t>3</w:t>
            </w:r>
            <w:r>
              <w:rPr>
                <w:rFonts w:hint="default" w:ascii="Times New Roman" w:hAnsi="Times New Roman" w:eastAsia="宋体" w:cs="Times New Roman"/>
                <w:b w:val="0"/>
                <w:bCs w:val="0"/>
                <w:color w:val="auto"/>
                <w:sz w:val="24"/>
                <w:szCs w:val="24"/>
                <w:u w:val="none"/>
                <w:shd w:val="clear" w:color="auto" w:fill="auto"/>
                <w:lang w:val="en-US" w:eastAsia="zh-CN"/>
              </w:rPr>
              <w:t>/a，项目生活污水经化粪池处理后排入管网，初期雨水</w:t>
            </w:r>
            <w:r>
              <w:rPr>
                <w:rFonts w:hint="eastAsia" w:ascii="Times New Roman" w:hAnsi="Times New Roman" w:eastAsia="宋体" w:cs="Times New Roman"/>
                <w:b w:val="0"/>
                <w:bCs w:val="0"/>
                <w:color w:val="auto"/>
                <w:sz w:val="24"/>
                <w:szCs w:val="24"/>
                <w:u w:val="none"/>
                <w:shd w:val="clear" w:color="auto" w:fill="auto"/>
                <w:lang w:val="en-US" w:eastAsia="zh-CN"/>
              </w:rPr>
              <w:t>+</w:t>
            </w:r>
            <w:r>
              <w:rPr>
                <w:rFonts w:hint="eastAsia" w:ascii="Times New Roman" w:hAnsi="Times New Roman" w:cs="Times New Roman"/>
                <w:color w:val="auto"/>
                <w:sz w:val="24"/>
                <w:szCs w:val="24"/>
                <w:highlight w:val="none"/>
                <w:lang w:eastAsia="zh-CN"/>
              </w:rPr>
              <w:t>拆解区地面清洁</w:t>
            </w:r>
            <w:r>
              <w:rPr>
                <w:rFonts w:hint="eastAsia" w:ascii="Times New Roman" w:hAnsi="Times New Roman" w:cs="Times New Roman"/>
                <w:color w:val="auto"/>
                <w:sz w:val="24"/>
                <w:szCs w:val="24"/>
                <w:highlight w:val="none"/>
                <w:lang w:val="en-US" w:eastAsia="zh-CN"/>
              </w:rPr>
              <w:t>废水经废水处理设施（隔油池+气浮机）处理后</w:t>
            </w:r>
            <w:r>
              <w:rPr>
                <w:rFonts w:hint="default" w:ascii="Times New Roman" w:hAnsi="Times New Roman" w:eastAsia="宋体" w:cs="Times New Roman"/>
                <w:b w:val="0"/>
                <w:bCs w:val="0"/>
                <w:color w:val="auto"/>
                <w:sz w:val="24"/>
                <w:szCs w:val="24"/>
                <w:u w:val="none"/>
                <w:shd w:val="clear" w:color="auto" w:fill="auto"/>
                <w:lang w:val="en-US" w:eastAsia="zh-CN"/>
              </w:rPr>
              <w:t>排入管网</w:t>
            </w:r>
            <w:r>
              <w:rPr>
                <w:rFonts w:hint="eastAsia" w:ascii="Times New Roman" w:hAnsi="Times New Roman" w:eastAsia="宋体" w:cs="Times New Roman"/>
                <w:b w:val="0"/>
                <w:bCs w:val="0"/>
                <w:color w:val="auto"/>
                <w:sz w:val="24"/>
                <w:szCs w:val="24"/>
                <w:u w:val="none"/>
                <w:shd w:val="clear" w:color="auto" w:fill="auto"/>
                <w:lang w:val="en-US" w:eastAsia="zh-CN"/>
              </w:rPr>
              <w:t>能满足</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靖州县工业集中区甘太污水处理厂进水水质标准及</w:t>
            </w:r>
            <w:r>
              <w:rPr>
                <w:rFonts w:hint="default" w:ascii="Times New Roman" w:hAnsi="Times New Roman" w:eastAsia="宋体" w:cs="Times New Roman"/>
                <w:b w:val="0"/>
                <w:bCs w:val="0"/>
                <w:color w:val="auto"/>
                <w:sz w:val="24"/>
                <w:szCs w:val="24"/>
                <w:u w:val="none"/>
                <w:shd w:val="clear" w:color="auto" w:fill="auto"/>
                <w:lang w:val="en-US" w:eastAsia="zh-CN"/>
              </w:rPr>
              <w:t>《污水综合排放标准》（GB8978-1996）三级标准，然后进入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default" w:ascii="Times New Roman" w:hAnsi="Times New Roman" w:eastAsia="宋体" w:cs="Times New Roman"/>
                <w:b w:val="0"/>
                <w:bCs w:val="0"/>
                <w:color w:val="auto"/>
                <w:sz w:val="24"/>
                <w:szCs w:val="24"/>
                <w:u w:val="none"/>
                <w:shd w:val="clear" w:color="auto" w:fill="auto"/>
                <w:lang w:val="en-US" w:eastAsia="zh-CN"/>
              </w:rPr>
              <w:t>处理</w:t>
            </w:r>
            <w:r>
              <w:rPr>
                <w:rFonts w:hint="eastAsia" w:ascii="Times New Roman" w:hAnsi="Times New Roman" w:eastAsia="宋体" w:cs="Times New Roman"/>
                <w:b w:val="0"/>
                <w:bCs w:val="0"/>
                <w:color w:val="auto"/>
                <w:sz w:val="24"/>
                <w:szCs w:val="24"/>
                <w:lang w:val="en-US" w:eastAsia="zh-CN"/>
              </w:rPr>
              <w:t>水质达到《城镇污水处理厂污染物排放标准》（GB18918-2002）及其修改单表1中的一级A标准后</w:t>
            </w:r>
            <w:r>
              <w:rPr>
                <w:rFonts w:hint="default" w:ascii="Times New Roman" w:hAnsi="Times New Roman" w:eastAsia="宋体" w:cs="Times New Roman"/>
                <w:b w:val="0"/>
                <w:bCs w:val="0"/>
                <w:color w:val="auto"/>
                <w:sz w:val="24"/>
                <w:szCs w:val="24"/>
                <w:u w:val="none"/>
                <w:shd w:val="clear" w:color="auto" w:fill="auto"/>
                <w:lang w:val="en-US" w:eastAsia="zh-CN"/>
              </w:rPr>
              <w:t>排</w:t>
            </w:r>
            <w:r>
              <w:rPr>
                <w:rFonts w:hint="eastAsia" w:ascii="Times New Roman" w:hAnsi="Times New Roman" w:eastAsia="宋体" w:cs="Times New Roman"/>
                <w:b w:val="0"/>
                <w:bCs w:val="0"/>
                <w:color w:val="auto"/>
                <w:sz w:val="24"/>
                <w:szCs w:val="24"/>
                <w:u w:val="none"/>
                <w:shd w:val="clear" w:color="auto" w:fill="auto"/>
                <w:lang w:val="en-US" w:eastAsia="zh-CN"/>
              </w:rPr>
              <w:t>入渠水</w:t>
            </w:r>
            <w:r>
              <w:rPr>
                <w:rFonts w:hint="default" w:ascii="Times New Roman" w:hAnsi="Times New Roman" w:eastAsia="宋体" w:cs="Times New Roman"/>
                <w:b w:val="0"/>
                <w:bCs w:val="0"/>
                <w:color w:val="auto"/>
                <w:sz w:val="24"/>
                <w:szCs w:val="24"/>
                <w:u w:val="none"/>
                <w:shd w:val="clear" w:color="auto" w:fill="auto"/>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lang w:eastAsia="zh-CN"/>
              </w:rPr>
            </w:pPr>
            <w:r>
              <w:rPr>
                <w:rFonts w:ascii="Times New Roman" w:hAnsi="Times New Roman" w:cs="Times New Roman"/>
                <w:color w:val="auto"/>
                <w:sz w:val="24"/>
                <w:szCs w:val="24"/>
                <w:highlight w:val="none"/>
                <w:u w:val="none"/>
              </w:rPr>
              <w:t>项目在营运期的废水产生情况见表</w:t>
            </w:r>
            <w:r>
              <w:rPr>
                <w:rFonts w:hint="eastAsia" w:ascii="Times New Roman" w:hAnsi="Times New Roman" w:cs="Times New Roman"/>
                <w:color w:val="auto"/>
                <w:sz w:val="24"/>
                <w:szCs w:val="24"/>
                <w:highlight w:val="none"/>
                <w:u w:val="none"/>
                <w:lang w:val="en-US" w:eastAsia="zh-CN"/>
              </w:rPr>
              <w:t>2-9</w:t>
            </w:r>
            <w:r>
              <w:rPr>
                <w:rFonts w:hint="eastAsia" w:ascii="Times New Roman" w:hAnsi="Times New Roman" w:cs="Times New Roman"/>
                <w:color w:val="auto"/>
                <w:sz w:val="24"/>
                <w:szCs w:val="24"/>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ascii="Times New Roman" w:hAnsi="Times New Roman" w:cs="Times New Roman"/>
                <w:b/>
                <w:color w:val="auto"/>
                <w:sz w:val="21"/>
                <w:szCs w:val="21"/>
                <w:u w:val="none"/>
              </w:rPr>
            </w:pPr>
            <w:r>
              <w:rPr>
                <w:rFonts w:ascii="Times New Roman" w:hAnsi="Times New Roman" w:cs="Times New Roman"/>
                <w:b/>
                <w:color w:val="auto"/>
                <w:sz w:val="21"/>
                <w:szCs w:val="21"/>
                <w:u w:val="none"/>
              </w:rPr>
              <w:t>表</w:t>
            </w:r>
            <w:r>
              <w:rPr>
                <w:rFonts w:hint="eastAsia" w:ascii="Times New Roman" w:hAnsi="Times New Roman" w:cs="Times New Roman"/>
                <w:b/>
                <w:color w:val="auto"/>
                <w:sz w:val="21"/>
                <w:szCs w:val="21"/>
                <w:u w:val="none"/>
                <w:lang w:val="en-US" w:eastAsia="zh-CN"/>
              </w:rPr>
              <w:t>2-9</w:t>
            </w:r>
            <w:r>
              <w:rPr>
                <w:rFonts w:ascii="Times New Roman" w:hAnsi="Times New Roman" w:cs="Times New Roman"/>
                <w:b/>
                <w:color w:val="auto"/>
                <w:sz w:val="21"/>
                <w:szCs w:val="21"/>
                <w:u w:val="none"/>
              </w:rPr>
              <w:t xml:space="preserve">  项目详细用水</w:t>
            </w:r>
            <w:r>
              <w:rPr>
                <w:rFonts w:hint="eastAsia" w:ascii="Times New Roman" w:hAnsi="Times New Roman" w:cs="Times New Roman"/>
                <w:b/>
                <w:color w:val="auto"/>
                <w:sz w:val="21"/>
                <w:szCs w:val="21"/>
                <w:u w:val="none"/>
                <w:lang w:eastAsia="zh-CN"/>
              </w:rPr>
              <w:t>、排水情况</w:t>
            </w:r>
            <w:r>
              <w:rPr>
                <w:rFonts w:ascii="Times New Roman" w:hAnsi="Times New Roman" w:cs="Times New Roman"/>
                <w:b/>
                <w:color w:val="auto"/>
                <w:sz w:val="21"/>
                <w:szCs w:val="21"/>
                <w:u w:val="none"/>
              </w:rPr>
              <w:t>一览表</w:t>
            </w:r>
          </w:p>
          <w:tbl>
            <w:tblPr>
              <w:tblStyle w:val="16"/>
              <w:tblW w:w="493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1363"/>
              <w:gridCol w:w="1184"/>
              <w:gridCol w:w="965"/>
              <w:gridCol w:w="1061"/>
              <w:gridCol w:w="763"/>
              <w:gridCol w:w="877"/>
              <w:gridCol w:w="877"/>
              <w:gridCol w:w="7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59" w:type="pct"/>
                  <w:tcBorders>
                    <w:tl2br w:val="nil"/>
                    <w:tr2bl w:val="nil"/>
                  </w:tcBorders>
                  <w:noWrap w:val="0"/>
                  <w:vAlign w:val="center"/>
                </w:tcPr>
                <w:p>
                  <w:pPr>
                    <w:jc w:val="center"/>
                    <w:rPr>
                      <w:rFonts w:hint="default"/>
                      <w:sz w:val="21"/>
                      <w:szCs w:val="21"/>
                    </w:rPr>
                  </w:pPr>
                  <w:r>
                    <w:rPr>
                      <w:rFonts w:hint="default"/>
                      <w:sz w:val="21"/>
                      <w:szCs w:val="21"/>
                    </w:rPr>
                    <w:t>序号</w:t>
                  </w:r>
                </w:p>
              </w:tc>
              <w:tc>
                <w:tcPr>
                  <w:tcW w:w="822" w:type="pct"/>
                  <w:tcBorders>
                    <w:tl2br w:val="nil"/>
                    <w:tr2bl w:val="nil"/>
                  </w:tcBorders>
                  <w:noWrap w:val="0"/>
                  <w:vAlign w:val="center"/>
                </w:tcPr>
                <w:p>
                  <w:pPr>
                    <w:jc w:val="center"/>
                    <w:rPr>
                      <w:rFonts w:hint="default"/>
                      <w:sz w:val="21"/>
                      <w:szCs w:val="21"/>
                    </w:rPr>
                  </w:pPr>
                  <w:r>
                    <w:rPr>
                      <w:rFonts w:hint="default"/>
                      <w:sz w:val="21"/>
                      <w:szCs w:val="21"/>
                    </w:rPr>
                    <w:t>用水项目</w:t>
                  </w:r>
                </w:p>
              </w:tc>
              <w:tc>
                <w:tcPr>
                  <w:tcW w:w="714" w:type="pct"/>
                  <w:tcBorders>
                    <w:tl2br w:val="nil"/>
                    <w:tr2bl w:val="nil"/>
                  </w:tcBorders>
                  <w:noWrap w:val="0"/>
                  <w:vAlign w:val="center"/>
                </w:tcPr>
                <w:p>
                  <w:pPr>
                    <w:jc w:val="center"/>
                    <w:rPr>
                      <w:rFonts w:hint="default"/>
                      <w:sz w:val="21"/>
                      <w:szCs w:val="21"/>
                    </w:rPr>
                  </w:pPr>
                  <w:r>
                    <w:rPr>
                      <w:rFonts w:hint="default"/>
                      <w:sz w:val="21"/>
                      <w:szCs w:val="21"/>
                    </w:rPr>
                    <w:t>用水标准</w:t>
                  </w:r>
                </w:p>
              </w:tc>
              <w:tc>
                <w:tcPr>
                  <w:tcW w:w="581" w:type="pct"/>
                  <w:tcBorders>
                    <w:tl2br w:val="nil"/>
                    <w:tr2bl w:val="nil"/>
                  </w:tcBorders>
                  <w:noWrap w:val="0"/>
                  <w:vAlign w:val="center"/>
                </w:tcPr>
                <w:p>
                  <w:pPr>
                    <w:jc w:val="center"/>
                    <w:rPr>
                      <w:rFonts w:hint="default"/>
                      <w:sz w:val="21"/>
                      <w:szCs w:val="21"/>
                    </w:rPr>
                  </w:pPr>
                  <w:r>
                    <w:rPr>
                      <w:rFonts w:hint="default"/>
                      <w:sz w:val="21"/>
                      <w:szCs w:val="21"/>
                    </w:rPr>
                    <w:t>用水规模</w:t>
                  </w:r>
                </w:p>
              </w:tc>
              <w:tc>
                <w:tcPr>
                  <w:tcW w:w="640" w:type="pct"/>
                  <w:tcBorders>
                    <w:tl2br w:val="nil"/>
                    <w:tr2bl w:val="nil"/>
                  </w:tcBorders>
                  <w:noWrap w:val="0"/>
                  <w:vAlign w:val="center"/>
                </w:tcPr>
                <w:p>
                  <w:pPr>
                    <w:jc w:val="center"/>
                    <w:rPr>
                      <w:rFonts w:hint="default"/>
                      <w:sz w:val="21"/>
                      <w:szCs w:val="21"/>
                    </w:rPr>
                  </w:pPr>
                  <w:r>
                    <w:rPr>
                      <w:rFonts w:hint="default"/>
                      <w:sz w:val="21"/>
                      <w:szCs w:val="21"/>
                      <w:lang w:eastAsia="zh-CN"/>
                    </w:rPr>
                    <w:t>年</w:t>
                  </w:r>
                  <w:r>
                    <w:rPr>
                      <w:rFonts w:hint="default"/>
                      <w:sz w:val="21"/>
                      <w:szCs w:val="21"/>
                    </w:rPr>
                    <w:t>用水量（t/</w:t>
                  </w:r>
                  <w:r>
                    <w:rPr>
                      <w:rFonts w:hint="default"/>
                      <w:sz w:val="21"/>
                      <w:szCs w:val="21"/>
                      <w:lang w:val="en-US" w:eastAsia="zh-CN"/>
                    </w:rPr>
                    <w:t>a</w:t>
                  </w:r>
                  <w:r>
                    <w:rPr>
                      <w:rFonts w:hint="default"/>
                      <w:sz w:val="21"/>
                      <w:szCs w:val="21"/>
                    </w:rPr>
                    <w:t>）</w:t>
                  </w:r>
                </w:p>
              </w:tc>
              <w:tc>
                <w:tcPr>
                  <w:tcW w:w="460" w:type="pct"/>
                  <w:tcBorders>
                    <w:tl2br w:val="nil"/>
                    <w:tr2bl w:val="nil"/>
                  </w:tcBorders>
                  <w:noWrap w:val="0"/>
                  <w:vAlign w:val="center"/>
                </w:tcPr>
                <w:p>
                  <w:pPr>
                    <w:jc w:val="center"/>
                    <w:rPr>
                      <w:rFonts w:hint="default"/>
                      <w:sz w:val="21"/>
                      <w:szCs w:val="21"/>
                      <w:lang w:val="en-US" w:eastAsia="zh-CN"/>
                    </w:rPr>
                  </w:pPr>
                  <w:r>
                    <w:rPr>
                      <w:rFonts w:hint="default"/>
                      <w:sz w:val="21"/>
                      <w:szCs w:val="21"/>
                      <w:lang w:eastAsia="zh-CN"/>
                    </w:rPr>
                    <w:t>排污系数</w:t>
                  </w:r>
                </w:p>
              </w:tc>
              <w:tc>
                <w:tcPr>
                  <w:tcW w:w="529" w:type="pct"/>
                  <w:tcBorders>
                    <w:tl2br w:val="nil"/>
                    <w:tr2bl w:val="nil"/>
                  </w:tcBorders>
                  <w:noWrap w:val="0"/>
                  <w:vAlign w:val="center"/>
                </w:tcPr>
                <w:p>
                  <w:pPr>
                    <w:jc w:val="center"/>
                    <w:rPr>
                      <w:rFonts w:hint="default"/>
                      <w:sz w:val="21"/>
                      <w:szCs w:val="21"/>
                      <w:lang w:eastAsia="zh-CN"/>
                    </w:rPr>
                  </w:pPr>
                  <w:r>
                    <w:rPr>
                      <w:rFonts w:hint="default"/>
                      <w:sz w:val="21"/>
                      <w:szCs w:val="21"/>
                      <w:lang w:eastAsia="zh-CN"/>
                    </w:rPr>
                    <w:t>废水产生量</w:t>
                  </w:r>
                  <w:r>
                    <w:rPr>
                      <w:rFonts w:hint="default"/>
                      <w:sz w:val="21"/>
                      <w:szCs w:val="21"/>
                    </w:rPr>
                    <w:t>（t/</w:t>
                  </w:r>
                  <w:r>
                    <w:rPr>
                      <w:rFonts w:hint="default"/>
                      <w:sz w:val="21"/>
                      <w:szCs w:val="21"/>
                      <w:lang w:val="en-US" w:eastAsia="zh-CN"/>
                    </w:rPr>
                    <w:t>a</w:t>
                  </w:r>
                  <w:r>
                    <w:rPr>
                      <w:rFonts w:hint="default"/>
                      <w:sz w:val="21"/>
                      <w:szCs w:val="21"/>
                    </w:rPr>
                    <w:t>）</w:t>
                  </w:r>
                </w:p>
              </w:tc>
              <w:tc>
                <w:tcPr>
                  <w:tcW w:w="529" w:type="pct"/>
                  <w:tcBorders>
                    <w:tl2br w:val="nil"/>
                    <w:tr2bl w:val="nil"/>
                  </w:tcBorders>
                  <w:noWrap w:val="0"/>
                  <w:vAlign w:val="center"/>
                </w:tcPr>
                <w:p>
                  <w:pPr>
                    <w:jc w:val="center"/>
                    <w:rPr>
                      <w:rFonts w:hint="default"/>
                      <w:sz w:val="21"/>
                      <w:szCs w:val="21"/>
                      <w:lang w:eastAsia="zh-CN"/>
                    </w:rPr>
                  </w:pPr>
                  <w:r>
                    <w:rPr>
                      <w:rFonts w:hint="default"/>
                      <w:sz w:val="21"/>
                      <w:szCs w:val="21"/>
                      <w:lang w:eastAsia="zh-CN"/>
                    </w:rPr>
                    <w:t>排水量</w:t>
                  </w:r>
                  <w:r>
                    <w:rPr>
                      <w:rFonts w:hint="default"/>
                      <w:sz w:val="21"/>
                      <w:szCs w:val="21"/>
                    </w:rPr>
                    <w:t>（t/</w:t>
                  </w:r>
                  <w:r>
                    <w:rPr>
                      <w:rFonts w:hint="default"/>
                      <w:sz w:val="21"/>
                      <w:szCs w:val="21"/>
                      <w:lang w:val="en-US" w:eastAsia="zh-CN"/>
                    </w:rPr>
                    <w:t>a</w:t>
                  </w:r>
                  <w:r>
                    <w:rPr>
                      <w:rFonts w:hint="default"/>
                      <w:sz w:val="21"/>
                      <w:szCs w:val="21"/>
                    </w:rPr>
                    <w:t>）</w:t>
                  </w:r>
                </w:p>
              </w:tc>
              <w:tc>
                <w:tcPr>
                  <w:tcW w:w="462" w:type="pct"/>
                  <w:tcBorders>
                    <w:tl2br w:val="nil"/>
                    <w:tr2bl w:val="nil"/>
                  </w:tcBorders>
                  <w:noWrap w:val="0"/>
                  <w:vAlign w:val="center"/>
                </w:tcPr>
                <w:p>
                  <w:pPr>
                    <w:jc w:val="center"/>
                    <w:rPr>
                      <w:rFonts w:hint="default"/>
                      <w:sz w:val="21"/>
                      <w:szCs w:val="21"/>
                      <w:lang w:val="en-US" w:eastAsia="zh-CN"/>
                    </w:rPr>
                  </w:pPr>
                  <w:r>
                    <w:rPr>
                      <w:rFonts w:hint="default"/>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9" w:type="pct"/>
                  <w:tcBorders>
                    <w:tl2br w:val="nil"/>
                    <w:tr2bl w:val="nil"/>
                  </w:tcBorders>
                  <w:noWrap w:val="0"/>
                  <w:vAlign w:val="center"/>
                </w:tcPr>
                <w:p>
                  <w:pPr>
                    <w:jc w:val="center"/>
                    <w:rPr>
                      <w:rFonts w:hint="default"/>
                      <w:sz w:val="21"/>
                      <w:szCs w:val="21"/>
                    </w:rPr>
                  </w:pPr>
                  <w:r>
                    <w:rPr>
                      <w:rFonts w:hint="default"/>
                      <w:sz w:val="21"/>
                      <w:szCs w:val="21"/>
                    </w:rPr>
                    <w:t>1</w:t>
                  </w:r>
                </w:p>
              </w:tc>
              <w:tc>
                <w:tcPr>
                  <w:tcW w:w="822" w:type="pct"/>
                  <w:tcBorders>
                    <w:tl2br w:val="nil"/>
                    <w:tr2bl w:val="nil"/>
                  </w:tcBorders>
                  <w:noWrap w:val="0"/>
                  <w:vAlign w:val="center"/>
                </w:tcPr>
                <w:p>
                  <w:pPr>
                    <w:jc w:val="center"/>
                    <w:rPr>
                      <w:rFonts w:hint="default"/>
                      <w:sz w:val="21"/>
                      <w:szCs w:val="21"/>
                      <w:u w:val="none"/>
                    </w:rPr>
                  </w:pPr>
                  <w:r>
                    <w:rPr>
                      <w:rFonts w:hint="default"/>
                      <w:sz w:val="21"/>
                      <w:szCs w:val="21"/>
                      <w:u w:val="none"/>
                    </w:rPr>
                    <w:t>员工生活用水</w:t>
                  </w:r>
                </w:p>
              </w:tc>
              <w:tc>
                <w:tcPr>
                  <w:tcW w:w="714" w:type="pct"/>
                  <w:tcBorders>
                    <w:tl2br w:val="nil"/>
                    <w:tr2bl w:val="nil"/>
                  </w:tcBorders>
                  <w:noWrap w:val="0"/>
                  <w:vAlign w:val="center"/>
                </w:tcPr>
                <w:p>
                  <w:pPr>
                    <w:jc w:val="center"/>
                    <w:rPr>
                      <w:rFonts w:hint="eastAsia"/>
                      <w:color w:val="auto"/>
                      <w:sz w:val="21"/>
                      <w:szCs w:val="21"/>
                      <w:u w:val="none"/>
                    </w:rPr>
                  </w:pPr>
                  <w:r>
                    <w:rPr>
                      <w:rFonts w:hint="eastAsia"/>
                      <w:color w:val="auto"/>
                      <w:sz w:val="21"/>
                      <w:szCs w:val="21"/>
                      <w:u w:val="none"/>
                      <w:lang w:val="en-US" w:eastAsia="zh-CN"/>
                    </w:rPr>
                    <w:t>140L/人▪d</w:t>
                  </w:r>
                </w:p>
              </w:tc>
              <w:tc>
                <w:tcPr>
                  <w:tcW w:w="581" w:type="pct"/>
                  <w:tcBorders>
                    <w:tl2br w:val="nil"/>
                    <w:tr2bl w:val="nil"/>
                  </w:tcBorders>
                  <w:noWrap w:val="0"/>
                  <w:vAlign w:val="center"/>
                </w:tcPr>
                <w:p>
                  <w:pPr>
                    <w:jc w:val="center"/>
                    <w:rPr>
                      <w:rFonts w:hint="eastAsia"/>
                      <w:color w:val="auto"/>
                      <w:sz w:val="21"/>
                      <w:szCs w:val="21"/>
                      <w:u w:val="none"/>
                    </w:rPr>
                  </w:pPr>
                  <w:r>
                    <w:rPr>
                      <w:rFonts w:hint="eastAsia"/>
                      <w:color w:val="auto"/>
                      <w:sz w:val="21"/>
                      <w:szCs w:val="21"/>
                      <w:u w:val="none"/>
                      <w:lang w:val="en-US" w:eastAsia="zh-CN"/>
                    </w:rPr>
                    <w:t>50</w:t>
                  </w:r>
                  <w:r>
                    <w:rPr>
                      <w:rFonts w:hint="eastAsia"/>
                      <w:color w:val="auto"/>
                      <w:sz w:val="21"/>
                      <w:szCs w:val="21"/>
                      <w:u w:val="none"/>
                    </w:rPr>
                    <w:t>人</w:t>
                  </w:r>
                </w:p>
              </w:tc>
              <w:tc>
                <w:tcPr>
                  <w:tcW w:w="640"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2310</w:t>
                  </w:r>
                </w:p>
              </w:tc>
              <w:tc>
                <w:tcPr>
                  <w:tcW w:w="460" w:type="pct"/>
                  <w:tcBorders>
                    <w:tl2br w:val="nil"/>
                    <w:tr2bl w:val="nil"/>
                  </w:tcBorders>
                  <w:noWrap w:val="0"/>
                  <w:vAlign w:val="center"/>
                </w:tcPr>
                <w:p>
                  <w:pPr>
                    <w:jc w:val="center"/>
                    <w:rPr>
                      <w:rFonts w:hint="default"/>
                      <w:color w:val="auto"/>
                      <w:sz w:val="21"/>
                      <w:szCs w:val="21"/>
                      <w:u w:val="none"/>
                      <w:lang w:val="en-US" w:eastAsia="zh-CN"/>
                    </w:rPr>
                  </w:pPr>
                  <w:r>
                    <w:rPr>
                      <w:rFonts w:hint="default"/>
                      <w:color w:val="auto"/>
                      <w:sz w:val="21"/>
                      <w:szCs w:val="21"/>
                      <w:u w:val="none"/>
                      <w:lang w:val="en-US" w:eastAsia="zh-CN"/>
                    </w:rPr>
                    <w:t>80%</w:t>
                  </w:r>
                </w:p>
              </w:tc>
              <w:tc>
                <w:tcPr>
                  <w:tcW w:w="529"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1848</w:t>
                  </w:r>
                </w:p>
              </w:tc>
              <w:tc>
                <w:tcPr>
                  <w:tcW w:w="529" w:type="pct"/>
                  <w:tcBorders>
                    <w:tl2br w:val="nil"/>
                    <w:tr2bl w:val="nil"/>
                  </w:tcBorders>
                  <w:noWrap w:val="0"/>
                  <w:vAlign w:val="center"/>
                </w:tcPr>
                <w:p>
                  <w:pPr>
                    <w:jc w:val="center"/>
                    <w:rPr>
                      <w:rFonts w:hint="default"/>
                      <w:color w:val="auto"/>
                      <w:kern w:val="2"/>
                      <w:sz w:val="21"/>
                      <w:szCs w:val="21"/>
                      <w:u w:val="none"/>
                      <w:lang w:val="en-US" w:eastAsia="zh-CN" w:bidi="ar-SA"/>
                    </w:rPr>
                  </w:pPr>
                  <w:r>
                    <w:rPr>
                      <w:rFonts w:hint="eastAsia"/>
                      <w:color w:val="auto"/>
                      <w:sz w:val="21"/>
                      <w:szCs w:val="21"/>
                      <w:u w:val="none"/>
                      <w:lang w:val="en-US" w:eastAsia="zh-CN"/>
                    </w:rPr>
                    <w:t>1848</w:t>
                  </w:r>
                </w:p>
              </w:tc>
              <w:tc>
                <w:tcPr>
                  <w:tcW w:w="462" w:type="pct"/>
                  <w:tcBorders>
                    <w:tl2br w:val="nil"/>
                    <w:tr2bl w:val="nil"/>
                  </w:tcBorders>
                  <w:noWrap w:val="0"/>
                  <w:vAlign w:val="center"/>
                </w:tcPr>
                <w:p>
                  <w:pPr>
                    <w:jc w:val="center"/>
                    <w:rPr>
                      <w:rFonts w:hint="default"/>
                      <w:sz w:val="21"/>
                      <w:szCs w:val="21"/>
                      <w:u w:val="none"/>
                      <w:lang w:val="en-US" w:eastAsia="zh-CN"/>
                    </w:rPr>
                  </w:pPr>
                  <w:r>
                    <w:rPr>
                      <w:rFonts w:hint="default"/>
                      <w:sz w:val="21"/>
                      <w:szCs w:val="21"/>
                      <w:u w:val="none"/>
                      <w:lang w:eastAsia="zh-CN"/>
                    </w:rPr>
                    <w:t>按年</w:t>
                  </w:r>
                  <w:r>
                    <w:rPr>
                      <w:rFonts w:hint="default"/>
                      <w:sz w:val="21"/>
                      <w:szCs w:val="21"/>
                      <w:u w:val="none"/>
                      <w:lang w:val="en-US" w:eastAsia="zh-CN"/>
                    </w:rPr>
                    <w:t>330天计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9" w:type="pct"/>
                  <w:tcBorders>
                    <w:tl2br w:val="nil"/>
                    <w:tr2bl w:val="nil"/>
                  </w:tcBorders>
                  <w:noWrap w:val="0"/>
                  <w:vAlign w:val="center"/>
                </w:tcPr>
                <w:p>
                  <w:pPr>
                    <w:jc w:val="center"/>
                    <w:rPr>
                      <w:rFonts w:hint="eastAsia" w:eastAsia="宋体"/>
                      <w:sz w:val="21"/>
                      <w:szCs w:val="21"/>
                      <w:lang w:val="en-US" w:eastAsia="zh-CN"/>
                    </w:rPr>
                  </w:pPr>
                  <w:r>
                    <w:rPr>
                      <w:rFonts w:hint="eastAsia"/>
                      <w:sz w:val="21"/>
                      <w:szCs w:val="21"/>
                      <w:lang w:val="en-US" w:eastAsia="zh-CN"/>
                    </w:rPr>
                    <w:t>2</w:t>
                  </w:r>
                </w:p>
              </w:tc>
              <w:tc>
                <w:tcPr>
                  <w:tcW w:w="822" w:type="pct"/>
                  <w:tcBorders>
                    <w:tl2br w:val="nil"/>
                    <w:tr2bl w:val="nil"/>
                  </w:tcBorders>
                  <w:noWrap w:val="0"/>
                  <w:vAlign w:val="center"/>
                </w:tcPr>
                <w:p>
                  <w:pPr>
                    <w:jc w:val="center"/>
                    <w:rPr>
                      <w:rFonts w:hint="default"/>
                      <w:sz w:val="21"/>
                      <w:szCs w:val="21"/>
                      <w:u w:val="none"/>
                    </w:rPr>
                  </w:pPr>
                  <w:r>
                    <w:rPr>
                      <w:rFonts w:hint="default"/>
                      <w:sz w:val="21"/>
                      <w:szCs w:val="21"/>
                      <w:u w:val="none"/>
                    </w:rPr>
                    <w:t>拆解</w:t>
                  </w:r>
                  <w:r>
                    <w:rPr>
                      <w:rFonts w:hint="eastAsia"/>
                      <w:sz w:val="21"/>
                      <w:szCs w:val="21"/>
                      <w:u w:val="none"/>
                      <w:lang w:eastAsia="zh-CN"/>
                    </w:rPr>
                    <w:t>区</w:t>
                  </w:r>
                  <w:r>
                    <w:rPr>
                      <w:rFonts w:hint="default"/>
                      <w:sz w:val="21"/>
                      <w:szCs w:val="21"/>
                      <w:u w:val="none"/>
                    </w:rPr>
                    <w:t>地面清洁</w:t>
                  </w:r>
                  <w:r>
                    <w:rPr>
                      <w:rFonts w:hint="default"/>
                      <w:sz w:val="21"/>
                      <w:szCs w:val="21"/>
                      <w:u w:val="none"/>
                      <w:lang w:val="en-US" w:eastAsia="zh-CN"/>
                    </w:rPr>
                    <w:t>用水</w:t>
                  </w:r>
                </w:p>
              </w:tc>
              <w:tc>
                <w:tcPr>
                  <w:tcW w:w="714" w:type="pct"/>
                  <w:tcBorders>
                    <w:tl2br w:val="nil"/>
                    <w:tr2bl w:val="nil"/>
                  </w:tcBorders>
                  <w:noWrap w:val="0"/>
                  <w:vAlign w:val="center"/>
                </w:tcPr>
                <w:p>
                  <w:pPr>
                    <w:jc w:val="center"/>
                    <w:rPr>
                      <w:rFonts w:hint="eastAsia"/>
                      <w:color w:val="auto"/>
                      <w:sz w:val="21"/>
                      <w:szCs w:val="21"/>
                      <w:u w:val="none"/>
                      <w:lang w:val="en-US" w:eastAsia="zh-CN"/>
                    </w:rPr>
                  </w:pPr>
                  <w:r>
                    <w:rPr>
                      <w:rFonts w:hint="eastAsia"/>
                      <w:sz w:val="21"/>
                      <w:szCs w:val="21"/>
                      <w:u w:val="none"/>
                    </w:rPr>
                    <w:t>1m</w:t>
                  </w:r>
                  <w:r>
                    <w:rPr>
                      <w:rFonts w:hint="eastAsia"/>
                      <w:sz w:val="21"/>
                      <w:szCs w:val="21"/>
                      <w:u w:val="none"/>
                      <w:vertAlign w:val="superscript"/>
                    </w:rPr>
                    <w:t>3</w:t>
                  </w:r>
                  <w:r>
                    <w:rPr>
                      <w:rFonts w:hint="eastAsia"/>
                      <w:sz w:val="21"/>
                      <w:szCs w:val="21"/>
                      <w:u w:val="none"/>
                    </w:rPr>
                    <w:t>/d</w:t>
                  </w:r>
                </w:p>
              </w:tc>
              <w:tc>
                <w:tcPr>
                  <w:tcW w:w="581"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w:t>
                  </w:r>
                </w:p>
              </w:tc>
              <w:tc>
                <w:tcPr>
                  <w:tcW w:w="640" w:type="pct"/>
                  <w:tcBorders>
                    <w:tl2br w:val="nil"/>
                    <w:tr2bl w:val="nil"/>
                  </w:tcBorders>
                  <w:noWrap w:val="0"/>
                  <w:vAlign w:val="center"/>
                </w:tcPr>
                <w:p>
                  <w:pPr>
                    <w:jc w:val="center"/>
                    <w:rPr>
                      <w:rFonts w:hint="eastAsia"/>
                      <w:color w:val="auto"/>
                      <w:sz w:val="21"/>
                      <w:szCs w:val="21"/>
                      <w:u w:val="none"/>
                      <w:lang w:val="en-US" w:eastAsia="zh-CN"/>
                    </w:rPr>
                  </w:pPr>
                  <w:r>
                    <w:rPr>
                      <w:rFonts w:hint="eastAsia"/>
                      <w:color w:val="auto"/>
                      <w:sz w:val="21"/>
                      <w:szCs w:val="21"/>
                      <w:u w:val="none"/>
                      <w:lang w:val="en-US" w:eastAsia="zh-CN"/>
                    </w:rPr>
                    <w:t>330</w:t>
                  </w:r>
                </w:p>
              </w:tc>
              <w:tc>
                <w:tcPr>
                  <w:tcW w:w="460"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80%</w:t>
                  </w:r>
                </w:p>
              </w:tc>
              <w:tc>
                <w:tcPr>
                  <w:tcW w:w="529" w:type="pct"/>
                  <w:tcBorders>
                    <w:tl2br w:val="nil"/>
                    <w:tr2bl w:val="nil"/>
                  </w:tcBorders>
                  <w:noWrap w:val="0"/>
                  <w:vAlign w:val="center"/>
                </w:tcPr>
                <w:p>
                  <w:pPr>
                    <w:jc w:val="center"/>
                    <w:rPr>
                      <w:rFonts w:hint="eastAsia"/>
                      <w:color w:val="auto"/>
                      <w:sz w:val="21"/>
                      <w:szCs w:val="21"/>
                      <w:u w:val="none"/>
                      <w:lang w:val="en-US" w:eastAsia="zh-CN"/>
                    </w:rPr>
                  </w:pPr>
                  <w:r>
                    <w:rPr>
                      <w:rFonts w:hint="eastAsia"/>
                      <w:color w:val="auto"/>
                      <w:sz w:val="21"/>
                      <w:szCs w:val="21"/>
                      <w:u w:val="none"/>
                      <w:lang w:val="en-US" w:eastAsia="zh-CN"/>
                    </w:rPr>
                    <w:t>264</w:t>
                  </w:r>
                </w:p>
              </w:tc>
              <w:tc>
                <w:tcPr>
                  <w:tcW w:w="529" w:type="pct"/>
                  <w:tcBorders>
                    <w:tl2br w:val="nil"/>
                    <w:tr2bl w:val="nil"/>
                  </w:tcBorders>
                  <w:noWrap w:val="0"/>
                  <w:vAlign w:val="center"/>
                </w:tcPr>
                <w:p>
                  <w:pPr>
                    <w:jc w:val="center"/>
                    <w:rPr>
                      <w:rFonts w:hint="default"/>
                      <w:color w:val="auto"/>
                      <w:kern w:val="2"/>
                      <w:sz w:val="21"/>
                      <w:szCs w:val="21"/>
                      <w:u w:val="none"/>
                      <w:lang w:val="en-US" w:eastAsia="zh-CN" w:bidi="ar-SA"/>
                    </w:rPr>
                  </w:pPr>
                  <w:r>
                    <w:rPr>
                      <w:rFonts w:hint="eastAsia"/>
                      <w:color w:val="auto"/>
                      <w:sz w:val="21"/>
                      <w:szCs w:val="21"/>
                      <w:u w:val="none"/>
                      <w:lang w:val="en-US" w:eastAsia="zh-CN"/>
                    </w:rPr>
                    <w:t>264</w:t>
                  </w:r>
                </w:p>
              </w:tc>
              <w:tc>
                <w:tcPr>
                  <w:tcW w:w="462" w:type="pct"/>
                  <w:tcBorders>
                    <w:tl2br w:val="nil"/>
                    <w:tr2bl w:val="nil"/>
                  </w:tcBorders>
                  <w:noWrap w:val="0"/>
                  <w:vAlign w:val="center"/>
                </w:tcPr>
                <w:p>
                  <w:pPr>
                    <w:jc w:val="center"/>
                    <w:rPr>
                      <w:rFonts w:hint="default"/>
                      <w:sz w:val="21"/>
                      <w:szCs w:val="21"/>
                      <w:u w:val="none"/>
                      <w:lang w:val="en-US" w:eastAsia="zh-CN"/>
                    </w:rPr>
                  </w:pPr>
                  <w:r>
                    <w:rPr>
                      <w:rFonts w:hint="eastAsia"/>
                      <w:sz w:val="21"/>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59" w:type="pct"/>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3</w:t>
                  </w:r>
                </w:p>
              </w:tc>
              <w:tc>
                <w:tcPr>
                  <w:tcW w:w="822" w:type="pct"/>
                  <w:tcBorders>
                    <w:tl2br w:val="nil"/>
                    <w:tr2bl w:val="nil"/>
                  </w:tcBorders>
                  <w:noWrap w:val="0"/>
                  <w:vAlign w:val="center"/>
                </w:tcPr>
                <w:p>
                  <w:pPr>
                    <w:jc w:val="center"/>
                    <w:rPr>
                      <w:rFonts w:hint="default"/>
                      <w:sz w:val="21"/>
                      <w:szCs w:val="21"/>
                      <w:u w:val="none"/>
                    </w:rPr>
                  </w:pPr>
                  <w:r>
                    <w:rPr>
                      <w:rFonts w:hint="eastAsia"/>
                      <w:sz w:val="21"/>
                      <w:szCs w:val="21"/>
                      <w:u w:val="none"/>
                      <w:lang w:val="en-US" w:eastAsia="zh-CN"/>
                    </w:rPr>
                    <w:t>初期</w:t>
                  </w:r>
                  <w:r>
                    <w:rPr>
                      <w:rFonts w:hint="default"/>
                      <w:sz w:val="21"/>
                      <w:szCs w:val="21"/>
                      <w:u w:val="none"/>
                      <w:lang w:val="en-US" w:eastAsia="zh-CN"/>
                    </w:rPr>
                    <w:t>雨水</w:t>
                  </w:r>
                </w:p>
              </w:tc>
              <w:tc>
                <w:tcPr>
                  <w:tcW w:w="714" w:type="pct"/>
                  <w:tcBorders>
                    <w:tl2br w:val="nil"/>
                    <w:tr2bl w:val="nil"/>
                  </w:tcBorders>
                  <w:noWrap w:val="0"/>
                  <w:vAlign w:val="center"/>
                </w:tcPr>
                <w:p>
                  <w:pPr>
                    <w:jc w:val="center"/>
                    <w:rPr>
                      <w:rFonts w:hint="eastAsia" w:eastAsia="宋体"/>
                      <w:kern w:val="2"/>
                      <w:sz w:val="21"/>
                      <w:szCs w:val="21"/>
                      <w:u w:val="none"/>
                      <w:lang w:val="en-US" w:eastAsia="zh-CN" w:bidi="ar-SA"/>
                    </w:rPr>
                  </w:pPr>
                  <w:r>
                    <w:rPr>
                      <w:rFonts w:hint="eastAsia"/>
                      <w:sz w:val="21"/>
                      <w:szCs w:val="21"/>
                      <w:u w:val="none"/>
                      <w:lang w:val="en-US" w:eastAsia="zh-CN"/>
                    </w:rPr>
                    <w:t>/</w:t>
                  </w:r>
                </w:p>
              </w:tc>
              <w:tc>
                <w:tcPr>
                  <w:tcW w:w="581" w:type="pct"/>
                  <w:tcBorders>
                    <w:tl2br w:val="nil"/>
                    <w:tr2bl w:val="nil"/>
                  </w:tcBorders>
                  <w:noWrap w:val="0"/>
                  <w:vAlign w:val="center"/>
                </w:tcPr>
                <w:p>
                  <w:pPr>
                    <w:jc w:val="center"/>
                    <w:rPr>
                      <w:rFonts w:hint="eastAsia"/>
                      <w:color w:val="auto"/>
                      <w:kern w:val="2"/>
                      <w:sz w:val="21"/>
                      <w:szCs w:val="21"/>
                      <w:u w:val="none"/>
                      <w:lang w:val="en-US" w:eastAsia="zh-CN" w:bidi="ar-SA"/>
                    </w:rPr>
                  </w:pPr>
                  <w:r>
                    <w:rPr>
                      <w:rFonts w:hint="eastAsia"/>
                      <w:color w:val="auto"/>
                      <w:sz w:val="21"/>
                      <w:szCs w:val="21"/>
                      <w:u w:val="none"/>
                      <w:lang w:val="en-US" w:eastAsia="zh-CN"/>
                    </w:rPr>
                    <w:t>/</w:t>
                  </w:r>
                </w:p>
              </w:tc>
              <w:tc>
                <w:tcPr>
                  <w:tcW w:w="640" w:type="pct"/>
                  <w:tcBorders>
                    <w:tl2br w:val="nil"/>
                    <w:tr2bl w:val="nil"/>
                  </w:tcBorders>
                  <w:noWrap w:val="0"/>
                  <w:vAlign w:val="center"/>
                </w:tcPr>
                <w:p>
                  <w:pPr>
                    <w:jc w:val="center"/>
                    <w:rPr>
                      <w:rFonts w:hint="eastAsia"/>
                      <w:color w:val="auto"/>
                      <w:kern w:val="2"/>
                      <w:sz w:val="21"/>
                      <w:szCs w:val="21"/>
                      <w:u w:val="none"/>
                      <w:lang w:val="en-US" w:eastAsia="zh-CN" w:bidi="ar-SA"/>
                    </w:rPr>
                  </w:pPr>
                  <w:r>
                    <w:rPr>
                      <w:rFonts w:hint="eastAsia"/>
                      <w:color w:val="auto"/>
                      <w:sz w:val="21"/>
                      <w:szCs w:val="21"/>
                      <w:u w:val="none"/>
                      <w:lang w:val="en-US" w:eastAsia="zh-CN"/>
                    </w:rPr>
                    <w:t>/</w:t>
                  </w:r>
                </w:p>
              </w:tc>
              <w:tc>
                <w:tcPr>
                  <w:tcW w:w="460" w:type="pct"/>
                  <w:tcBorders>
                    <w:tl2br w:val="nil"/>
                    <w:tr2bl w:val="nil"/>
                  </w:tcBorders>
                  <w:noWrap w:val="0"/>
                  <w:vAlign w:val="center"/>
                </w:tcPr>
                <w:p>
                  <w:pPr>
                    <w:jc w:val="center"/>
                    <w:rPr>
                      <w:rFonts w:hint="eastAsia"/>
                      <w:color w:val="auto"/>
                      <w:kern w:val="2"/>
                      <w:sz w:val="21"/>
                      <w:szCs w:val="21"/>
                      <w:u w:val="none"/>
                      <w:lang w:val="en-US" w:eastAsia="zh-CN" w:bidi="ar-SA"/>
                    </w:rPr>
                  </w:pPr>
                  <w:r>
                    <w:rPr>
                      <w:rFonts w:hint="eastAsia"/>
                      <w:color w:val="auto"/>
                      <w:sz w:val="21"/>
                      <w:szCs w:val="21"/>
                      <w:u w:val="none"/>
                      <w:lang w:val="en-US" w:eastAsia="zh-CN"/>
                    </w:rPr>
                    <w:t>/</w:t>
                  </w:r>
                </w:p>
              </w:tc>
              <w:tc>
                <w:tcPr>
                  <w:tcW w:w="529" w:type="pct"/>
                  <w:tcBorders>
                    <w:tl2br w:val="nil"/>
                    <w:tr2bl w:val="nil"/>
                  </w:tcBorders>
                  <w:noWrap w:val="0"/>
                  <w:vAlign w:val="center"/>
                </w:tcPr>
                <w:p>
                  <w:pPr>
                    <w:jc w:val="center"/>
                    <w:rPr>
                      <w:rFonts w:hint="default"/>
                      <w:color w:val="auto"/>
                      <w:kern w:val="2"/>
                      <w:sz w:val="21"/>
                      <w:szCs w:val="21"/>
                      <w:u w:val="none"/>
                      <w:lang w:val="en-US" w:eastAsia="zh-CN" w:bidi="ar-SA"/>
                    </w:rPr>
                  </w:pPr>
                  <w:r>
                    <w:rPr>
                      <w:rFonts w:hint="eastAsia"/>
                      <w:color w:val="auto"/>
                      <w:sz w:val="21"/>
                      <w:szCs w:val="21"/>
                      <w:u w:val="none"/>
                      <w:lang w:val="en-US" w:eastAsia="zh-CN"/>
                    </w:rPr>
                    <w:t>393</w:t>
                  </w:r>
                </w:p>
              </w:tc>
              <w:tc>
                <w:tcPr>
                  <w:tcW w:w="529" w:type="pct"/>
                  <w:tcBorders>
                    <w:tl2br w:val="nil"/>
                    <w:tr2bl w:val="nil"/>
                  </w:tcBorders>
                  <w:noWrap w:val="0"/>
                  <w:vAlign w:val="center"/>
                </w:tcPr>
                <w:p>
                  <w:pPr>
                    <w:jc w:val="center"/>
                    <w:rPr>
                      <w:rFonts w:hint="default"/>
                      <w:color w:val="auto"/>
                      <w:kern w:val="2"/>
                      <w:sz w:val="21"/>
                      <w:szCs w:val="21"/>
                      <w:u w:val="none"/>
                      <w:lang w:val="en-US" w:eastAsia="zh-CN" w:bidi="ar-SA"/>
                    </w:rPr>
                  </w:pPr>
                  <w:r>
                    <w:rPr>
                      <w:rFonts w:hint="eastAsia"/>
                      <w:lang w:val="en-US" w:eastAsia="zh-CN"/>
                    </w:rPr>
                    <w:t>393</w:t>
                  </w:r>
                </w:p>
              </w:tc>
              <w:tc>
                <w:tcPr>
                  <w:tcW w:w="462" w:type="pct"/>
                  <w:tcBorders>
                    <w:tl2br w:val="nil"/>
                    <w:tr2bl w:val="nil"/>
                  </w:tcBorders>
                  <w:noWrap w:val="0"/>
                  <w:vAlign w:val="center"/>
                </w:tcPr>
                <w:p>
                  <w:pPr>
                    <w:jc w:val="center"/>
                    <w:rPr>
                      <w:rFonts w:hint="eastAsia"/>
                      <w:kern w:val="2"/>
                      <w:sz w:val="21"/>
                      <w:szCs w:val="21"/>
                      <w:u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59" w:type="pct"/>
                  <w:tcBorders>
                    <w:tl2br w:val="nil"/>
                    <w:tr2bl w:val="nil"/>
                  </w:tcBorders>
                  <w:noWrap w:val="0"/>
                  <w:vAlign w:val="center"/>
                </w:tcPr>
                <w:p>
                  <w:pPr>
                    <w:jc w:val="center"/>
                    <w:rPr>
                      <w:rFonts w:hint="default"/>
                      <w:sz w:val="21"/>
                      <w:szCs w:val="21"/>
                      <w:lang w:val="en-US" w:eastAsia="zh-CN"/>
                    </w:rPr>
                  </w:pPr>
                  <w:r>
                    <w:rPr>
                      <w:rFonts w:hint="eastAsia"/>
                      <w:sz w:val="21"/>
                      <w:szCs w:val="21"/>
                      <w:lang w:val="en-US" w:eastAsia="zh-CN"/>
                    </w:rPr>
                    <w:t>4</w:t>
                  </w:r>
                </w:p>
              </w:tc>
              <w:tc>
                <w:tcPr>
                  <w:tcW w:w="2118" w:type="pct"/>
                  <w:gridSpan w:val="3"/>
                  <w:tcBorders>
                    <w:tl2br w:val="nil"/>
                    <w:tr2bl w:val="nil"/>
                  </w:tcBorders>
                  <w:noWrap w:val="0"/>
                  <w:vAlign w:val="center"/>
                </w:tcPr>
                <w:p>
                  <w:pPr>
                    <w:jc w:val="center"/>
                    <w:rPr>
                      <w:rFonts w:hint="default"/>
                      <w:color w:val="auto"/>
                      <w:sz w:val="21"/>
                      <w:szCs w:val="21"/>
                      <w:u w:val="none"/>
                    </w:rPr>
                  </w:pPr>
                  <w:r>
                    <w:rPr>
                      <w:rFonts w:hint="default"/>
                      <w:color w:val="auto"/>
                      <w:sz w:val="21"/>
                      <w:szCs w:val="21"/>
                      <w:u w:val="none"/>
                    </w:rPr>
                    <w:t>总计</w:t>
                  </w:r>
                </w:p>
              </w:tc>
              <w:tc>
                <w:tcPr>
                  <w:tcW w:w="640"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2640</w:t>
                  </w:r>
                </w:p>
              </w:tc>
              <w:tc>
                <w:tcPr>
                  <w:tcW w:w="460"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w:t>
                  </w:r>
                </w:p>
              </w:tc>
              <w:tc>
                <w:tcPr>
                  <w:tcW w:w="529" w:type="pct"/>
                  <w:tcBorders>
                    <w:tl2br w:val="nil"/>
                    <w:tr2bl w:val="nil"/>
                  </w:tcBorders>
                  <w:noWrap w:val="0"/>
                  <w:vAlign w:val="center"/>
                </w:tcPr>
                <w:p>
                  <w:pPr>
                    <w:jc w:val="center"/>
                    <w:rPr>
                      <w:rFonts w:hint="default"/>
                      <w:color w:val="auto"/>
                      <w:sz w:val="21"/>
                      <w:szCs w:val="21"/>
                      <w:u w:val="none"/>
                      <w:lang w:val="en-US" w:eastAsia="zh-CN"/>
                    </w:rPr>
                  </w:pPr>
                  <w:r>
                    <w:rPr>
                      <w:rFonts w:hint="eastAsia"/>
                      <w:color w:val="auto"/>
                      <w:sz w:val="21"/>
                      <w:szCs w:val="21"/>
                      <w:u w:val="none"/>
                      <w:lang w:val="en-US" w:eastAsia="zh-CN"/>
                    </w:rPr>
                    <w:t>2505</w:t>
                  </w:r>
                </w:p>
              </w:tc>
              <w:tc>
                <w:tcPr>
                  <w:tcW w:w="529" w:type="pct"/>
                  <w:tcBorders>
                    <w:tl2br w:val="nil"/>
                    <w:tr2bl w:val="nil"/>
                  </w:tcBorders>
                  <w:noWrap w:val="0"/>
                  <w:vAlign w:val="center"/>
                </w:tcPr>
                <w:p>
                  <w:pPr>
                    <w:jc w:val="center"/>
                    <w:rPr>
                      <w:rFonts w:hint="default"/>
                      <w:sz w:val="21"/>
                      <w:szCs w:val="21"/>
                      <w:u w:val="none"/>
                      <w:lang w:val="en-US" w:eastAsia="zh-CN"/>
                    </w:rPr>
                  </w:pPr>
                  <w:r>
                    <w:rPr>
                      <w:rFonts w:hint="eastAsia"/>
                      <w:color w:val="auto"/>
                      <w:sz w:val="21"/>
                      <w:szCs w:val="21"/>
                      <w:u w:val="none"/>
                      <w:lang w:val="en-US" w:eastAsia="zh-CN"/>
                    </w:rPr>
                    <w:t>2505</w:t>
                  </w:r>
                </w:p>
              </w:tc>
              <w:tc>
                <w:tcPr>
                  <w:tcW w:w="462" w:type="pct"/>
                  <w:tcBorders>
                    <w:tl2br w:val="nil"/>
                    <w:tr2bl w:val="nil"/>
                  </w:tcBorders>
                  <w:noWrap w:val="0"/>
                  <w:vAlign w:val="center"/>
                </w:tcPr>
                <w:p>
                  <w:pPr>
                    <w:jc w:val="center"/>
                    <w:rPr>
                      <w:rFonts w:hint="default"/>
                      <w:sz w:val="21"/>
                      <w:szCs w:val="21"/>
                      <w:u w:val="none"/>
                    </w:rPr>
                  </w:pPr>
                  <w:r>
                    <w:rPr>
                      <w:rFonts w:hint="default"/>
                      <w:sz w:val="21"/>
                      <w:szCs w:val="21"/>
                      <w:u w:val="none"/>
                    </w:rPr>
                    <w:t>/</w:t>
                  </w:r>
                </w:p>
              </w:tc>
            </w:tr>
          </w:tbl>
          <w:p>
            <w:pPr>
              <w:ind w:firstLine="480"/>
              <w:rPr>
                <w:rFonts w:hint="eastAsia" w:ascii="Times New Roman" w:hAnsi="Times New Roman" w:eastAsia="Calibri" w:cs="Times New Roman"/>
                <w:b/>
                <w:bCs/>
                <w:color w:val="auto"/>
                <w:sz w:val="24"/>
                <w:szCs w:val="24"/>
                <w:highlight w:val="none"/>
                <w:lang w:eastAsia="zh-CN"/>
              </w:rPr>
            </w:pPr>
            <w:r>
              <w:rPr>
                <w:rFonts w:ascii="Times New Roman" w:hAnsi="Times New Roman" w:cs="Times New Roman"/>
                <w:b/>
                <w:bCs/>
                <w:color w:val="auto"/>
                <w:sz w:val="24"/>
                <w:szCs w:val="24"/>
                <w:highlight w:val="none"/>
              </w:rPr>
              <w:t>项目水平衡图如下图</w:t>
            </w:r>
            <w:r>
              <w:rPr>
                <w:rFonts w:hint="eastAsia" w:ascii="Times New Roman" w:hAnsi="Times New Roman" w:cs="Times New Roman"/>
                <w:b/>
                <w:bCs/>
                <w:color w:val="auto"/>
                <w:sz w:val="24"/>
                <w:szCs w:val="24"/>
                <w:highlight w:val="none"/>
                <w:lang w:val="en-US" w:eastAsia="zh-CN"/>
              </w:rPr>
              <w:t>2</w:t>
            </w:r>
            <w:r>
              <w:rPr>
                <w:rFonts w:ascii="Times New Roman" w:hAnsi="Times New Roman" w:cs="Times New Roman"/>
                <w:b/>
                <w:bCs/>
                <w:color w:val="auto"/>
                <w:sz w:val="24"/>
                <w:szCs w:val="24"/>
                <w:highlight w:val="none"/>
              </w:rPr>
              <w:t>-1所示</w:t>
            </w: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ind w:firstLine="482" w:firstLineChars="200"/>
              <w:rPr>
                <w:rFonts w:hint="eastAsia" w:eastAsia="宋体"/>
                <w:color w:val="auto"/>
                <w:sz w:val="21"/>
                <w:lang w:eastAsia="zh-CN"/>
              </w:rPr>
            </w:pPr>
            <w:r>
              <w:rPr>
                <w:rFonts w:hint="default" w:ascii="Times New Roman" w:hAnsi="Times New Roman" w:eastAsia="宋体" w:cs="Times New Roman"/>
                <w:b/>
                <w:sz w:val="24"/>
              </w:rPr>
              <mc:AlternateContent>
                <mc:Choice Requires="wpc">
                  <w:drawing>
                    <wp:anchor distT="0" distB="0" distL="114300" distR="114300" simplePos="0" relativeHeight="251670528" behindDoc="0" locked="0" layoutInCell="1" allowOverlap="1">
                      <wp:simplePos x="0" y="0"/>
                      <wp:positionH relativeFrom="column">
                        <wp:posOffset>179705</wp:posOffset>
                      </wp:positionH>
                      <wp:positionV relativeFrom="paragraph">
                        <wp:posOffset>-95250</wp:posOffset>
                      </wp:positionV>
                      <wp:extent cx="5073650" cy="2354580"/>
                      <wp:effectExtent l="0" t="0" r="0" b="0"/>
                      <wp:wrapNone/>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直接连接符 1"/>
                              <wps:cNvCnPr/>
                              <wps:spPr>
                                <a:xfrm>
                                  <a:off x="586698" y="547358"/>
                                  <a:ext cx="700" cy="916965"/>
                                </a:xfrm>
                                <a:prstGeom prst="line">
                                  <a:avLst/>
                                </a:prstGeom>
                                <a:ln w="9525" cap="flat" cmpd="sng">
                                  <a:solidFill>
                                    <a:srgbClr val="000000"/>
                                  </a:solidFill>
                                  <a:prstDash val="solid"/>
                                  <a:headEnd type="none" w="med" len="med"/>
                                  <a:tailEnd type="none" w="med" len="med"/>
                                </a:ln>
                              </wps:spPr>
                              <wps:bodyPr upright="1"/>
                            </wps:wsp>
                            <wps:wsp>
                              <wps:cNvPr id="2" name="文本框 2"/>
                              <wps:cNvSpPr txBox="1"/>
                              <wps:spPr>
                                <a:xfrm>
                                  <a:off x="962061" y="398815"/>
                                  <a:ext cx="1024872" cy="2818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pPr>
                                    <w:r>
                                      <w:rPr>
                                        <w:rFonts w:hint="eastAsia"/>
                                        <w:lang w:val="en-US" w:eastAsia="zh-CN"/>
                                      </w:rPr>
                                      <w:t>员工</w:t>
                                    </w:r>
                                    <w:r>
                                      <w:rPr>
                                        <w:rFonts w:hint="eastAsia"/>
                                        <w:lang w:eastAsia="zh-CN"/>
                                      </w:rPr>
                                      <w:t>生活</w:t>
                                    </w:r>
                                    <w:r>
                                      <w:rPr>
                                        <w:rFonts w:hint="eastAsia"/>
                                      </w:rPr>
                                      <w:t>用水</w:t>
                                    </w:r>
                                  </w:p>
                                </w:txbxContent>
                              </wps:txbx>
                              <wps:bodyPr upright="1"/>
                            </wps:wsp>
                            <wps:wsp>
                              <wps:cNvPr id="3" name="直接连接符 3"/>
                              <wps:cNvCnPr/>
                              <wps:spPr>
                                <a:xfrm>
                                  <a:off x="589899" y="551859"/>
                                  <a:ext cx="372162" cy="0"/>
                                </a:xfrm>
                                <a:prstGeom prst="line">
                                  <a:avLst/>
                                </a:prstGeom>
                                <a:ln w="9525" cap="flat" cmpd="sng">
                                  <a:solidFill>
                                    <a:srgbClr val="000000"/>
                                  </a:solidFill>
                                  <a:prstDash val="solid"/>
                                  <a:headEnd type="none" w="med" len="med"/>
                                  <a:tailEnd type="triangle" w="med" len="med"/>
                                </a:ln>
                              </wps:spPr>
                              <wps:bodyPr upright="1"/>
                            </wps:wsp>
                            <wps:wsp>
                              <wps:cNvPr id="4" name="文本框 4"/>
                              <wps:cNvSpPr txBox="1"/>
                              <wps:spPr>
                                <a:xfrm>
                                  <a:off x="546091" y="313691"/>
                                  <a:ext cx="550592" cy="262276"/>
                                </a:xfrm>
                                <a:prstGeom prst="rect">
                                  <a:avLst/>
                                </a:prstGeom>
                                <a:noFill/>
                                <a:ln w="6350">
                                  <a:noFill/>
                                </a:ln>
                              </wps:spPr>
                              <wps:txbx>
                                <w:txbxContent>
                                  <w:p>
                                    <w:pPr>
                                      <w:rPr>
                                        <w:rFonts w:hint="default" w:eastAsia="宋体"/>
                                        <w:lang w:val="en-US" w:eastAsia="zh-CN"/>
                                      </w:rPr>
                                    </w:pPr>
                                    <w:r>
                                      <w:rPr>
                                        <w:rFonts w:hint="eastAsia" w:eastAsia="宋体"/>
                                        <w:lang w:val="en-US" w:eastAsia="zh-CN"/>
                                      </w:rPr>
                                      <w:t>2310</w:t>
                                    </w:r>
                                  </w:p>
                                </w:txbxContent>
                              </wps:txbx>
                              <wps:bodyPr upright="1"/>
                            </wps:wsp>
                            <wps:wsp>
                              <wps:cNvPr id="5" name="曲线连接符 5"/>
                              <wps:cNvCnPr/>
                              <wps:spPr>
                                <a:xfrm rot="5400000" flipH="1" flipV="1">
                                  <a:off x="1361428" y="203859"/>
                                  <a:ext cx="194333" cy="185454"/>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6" name="文本框 6"/>
                              <wps:cNvSpPr txBox="1"/>
                              <wps:spPr>
                                <a:xfrm>
                                  <a:off x="1473247" y="84424"/>
                                  <a:ext cx="725121" cy="267377"/>
                                </a:xfrm>
                                <a:prstGeom prst="rect">
                                  <a:avLst/>
                                </a:prstGeom>
                                <a:noFill/>
                                <a:ln w="6350">
                                  <a:noFill/>
                                </a:ln>
                              </wps:spPr>
                              <wps:txbx>
                                <w:txbxContent>
                                  <w:p>
                                    <w:pPr>
                                      <w:jc w:val="center"/>
                                      <w:rPr>
                                        <w:rFonts w:hint="default" w:eastAsia="宋体"/>
                                        <w:lang w:val="en-US" w:eastAsia="zh-CN"/>
                                      </w:rPr>
                                    </w:pPr>
                                    <w:r>
                                      <w:rPr>
                                        <w:rFonts w:hint="eastAsia"/>
                                        <w:sz w:val="18"/>
                                        <w:szCs w:val="18"/>
                                        <w:lang w:val="en-US" w:eastAsia="zh-CN"/>
                                      </w:rPr>
                                      <w:t>损耗</w:t>
                                    </w:r>
                                    <w:r>
                                      <w:rPr>
                                        <w:rFonts w:hint="eastAsia" w:eastAsia="宋体"/>
                                        <w:lang w:val="en-US" w:eastAsia="zh-CN"/>
                                      </w:rPr>
                                      <w:t>462</w:t>
                                    </w:r>
                                  </w:p>
                                </w:txbxContent>
                              </wps:txbx>
                              <wps:bodyPr upright="1"/>
                            </wps:wsp>
                            <wps:wsp>
                              <wps:cNvPr id="7" name="文本框 7"/>
                              <wps:cNvSpPr txBox="1"/>
                              <wps:spPr>
                                <a:xfrm>
                                  <a:off x="1946926" y="346100"/>
                                  <a:ext cx="518187" cy="247672"/>
                                </a:xfrm>
                                <a:prstGeom prst="rect">
                                  <a:avLst/>
                                </a:prstGeom>
                                <a:noFill/>
                                <a:ln w="6350">
                                  <a:noFill/>
                                </a:ln>
                              </wps:spPr>
                              <wps:txbx>
                                <w:txbxContent>
                                  <w:p>
                                    <w:pPr>
                                      <w:rPr>
                                        <w:rFonts w:hint="default" w:eastAsia="宋体"/>
                                        <w:lang w:val="en-US" w:eastAsia="zh-CN"/>
                                      </w:rPr>
                                    </w:pPr>
                                    <w:r>
                                      <w:rPr>
                                        <w:rFonts w:hint="eastAsia" w:eastAsia="宋体"/>
                                        <w:lang w:val="en-US" w:eastAsia="zh-CN"/>
                                      </w:rPr>
                                      <w:t>1848</w:t>
                                    </w:r>
                                  </w:p>
                                </w:txbxContent>
                              </wps:txbx>
                              <wps:bodyPr upright="1"/>
                            </wps:wsp>
                            <wps:wsp>
                              <wps:cNvPr id="8" name="直接连接符 8"/>
                              <wps:cNvCnPr/>
                              <wps:spPr>
                                <a:xfrm>
                                  <a:off x="577197" y="1457321"/>
                                  <a:ext cx="372162" cy="0"/>
                                </a:xfrm>
                                <a:prstGeom prst="line">
                                  <a:avLst/>
                                </a:prstGeom>
                                <a:ln w="9525" cap="flat" cmpd="sng">
                                  <a:solidFill>
                                    <a:srgbClr val="000000"/>
                                  </a:solidFill>
                                  <a:prstDash val="solid"/>
                                  <a:headEnd type="none" w="med" len="med"/>
                                  <a:tailEnd type="triangle" w="med" len="med"/>
                                </a:ln>
                              </wps:spPr>
                              <wps:bodyPr upright="1"/>
                            </wps:wsp>
                            <wps:wsp>
                              <wps:cNvPr id="9" name="曲线连接符 9"/>
                              <wps:cNvCnPr/>
                              <wps:spPr>
                                <a:xfrm rot="5400000" flipH="1" flipV="1">
                                  <a:off x="1291416" y="1112421"/>
                                  <a:ext cx="194333" cy="185454"/>
                                </a:xfrm>
                                <a:prstGeom prst="curvedConnector3">
                                  <a:avLst>
                                    <a:gd name="adj1" fmla="val 50000"/>
                                  </a:avLst>
                                </a:prstGeom>
                                <a:ln w="9525" cap="flat" cmpd="sng">
                                  <a:solidFill>
                                    <a:srgbClr val="000000"/>
                                  </a:solidFill>
                                  <a:prstDash val="dash"/>
                                  <a:headEnd type="none" w="med" len="med"/>
                                  <a:tailEnd type="triangle" w="med" len="med"/>
                                </a:ln>
                              </wps:spPr>
                              <wps:bodyPr/>
                            </wps:wsp>
                            <wps:wsp>
                              <wps:cNvPr id="10" name="文本框 10"/>
                              <wps:cNvSpPr txBox="1"/>
                              <wps:spPr>
                                <a:xfrm>
                                  <a:off x="953160" y="1310078"/>
                                  <a:ext cx="1057277" cy="42922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eastAsia="宋体"/>
                                        <w:sz w:val="21"/>
                                        <w:szCs w:val="21"/>
                                        <w:lang w:eastAsia="zh-CN"/>
                                      </w:rPr>
                                      <w:t>拆解区地面清洁用水</w:t>
                                    </w:r>
                                  </w:p>
                                </w:txbxContent>
                              </wps:txbx>
                              <wps:bodyPr upright="1"/>
                            </wps:wsp>
                            <wps:wsp>
                              <wps:cNvPr id="11" name="直接连接符 11"/>
                              <wps:cNvCnPr/>
                              <wps:spPr>
                                <a:xfrm>
                                  <a:off x="116219" y="1003390"/>
                                  <a:ext cx="463578" cy="0"/>
                                </a:xfrm>
                                <a:prstGeom prst="line">
                                  <a:avLst/>
                                </a:prstGeom>
                                <a:ln w="9525" cap="flat" cmpd="sng">
                                  <a:solidFill>
                                    <a:srgbClr val="000000"/>
                                  </a:solidFill>
                                  <a:prstDash val="solid"/>
                                  <a:headEnd type="none" w="med" len="med"/>
                                  <a:tailEnd type="triangle" w="med" len="med"/>
                                </a:ln>
                              </wps:spPr>
                              <wps:bodyPr upright="1"/>
                            </wps:wsp>
                            <wps:wsp>
                              <wps:cNvPr id="12" name="直接连接符 12"/>
                              <wps:cNvCnPr/>
                              <wps:spPr>
                                <a:xfrm>
                                  <a:off x="3074015" y="518150"/>
                                  <a:ext cx="791933" cy="700"/>
                                </a:xfrm>
                                <a:prstGeom prst="line">
                                  <a:avLst/>
                                </a:prstGeom>
                                <a:ln w="9525" cap="flat" cmpd="sng">
                                  <a:solidFill>
                                    <a:srgbClr val="000000"/>
                                  </a:solidFill>
                                  <a:prstDash val="solid"/>
                                  <a:headEnd type="none" w="med" len="med"/>
                                  <a:tailEnd type="none" w="med" len="med"/>
                                </a:ln>
                              </wps:spPr>
                              <wps:bodyPr upright="1"/>
                            </wps:wsp>
                            <wps:wsp>
                              <wps:cNvPr id="13" name="文本框 13"/>
                              <wps:cNvSpPr txBox="1"/>
                              <wps:spPr>
                                <a:xfrm>
                                  <a:off x="3537593" y="823638"/>
                                  <a:ext cx="1280815" cy="4686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sz w:val="21"/>
                                        <w:szCs w:val="21"/>
                                        <w:highlight w:val="none"/>
                                      </w:rPr>
                                    </w:pPr>
                                    <w:r>
                                      <w:rPr>
                                        <w:rFonts w:hint="eastAsia" w:ascii="Times New Roman" w:hAnsi="Times New Roman" w:cs="Times New Roman"/>
                                        <w:b w:val="0"/>
                                        <w:bCs w:val="0"/>
                                        <w:color w:val="auto"/>
                                        <w:sz w:val="21"/>
                                        <w:szCs w:val="21"/>
                                        <w:highlight w:val="none"/>
                                        <w:u w:val="none"/>
                                        <w:lang w:eastAsia="zh-CN"/>
                                      </w:rPr>
                                      <w:t>靖州县工业集中区甘太污水处理厂</w:t>
                                    </w:r>
                                  </w:p>
                                  <w:p>
                                    <w:pPr>
                                      <w:rPr>
                                        <w:rFonts w:hint="eastAsia"/>
                                        <w:lang w:eastAsia="zh-CN"/>
                                      </w:rPr>
                                    </w:pPr>
                                  </w:p>
                                </w:txbxContent>
                              </wps:txbx>
                              <wps:bodyPr upright="1"/>
                            </wps:wsp>
                            <wps:wsp>
                              <wps:cNvPr id="14" name="文本框 14"/>
                              <wps:cNvSpPr txBox="1"/>
                              <wps:spPr>
                                <a:xfrm>
                                  <a:off x="2383799" y="355003"/>
                                  <a:ext cx="678214" cy="2990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化粪池</w:t>
                                    </w:r>
                                  </w:p>
                                </w:txbxContent>
                              </wps:txbx>
                              <wps:bodyPr upright="1"/>
                            </wps:wsp>
                            <wps:wsp>
                              <wps:cNvPr id="15" name="直接连接符 15"/>
                              <wps:cNvCnPr/>
                              <wps:spPr>
                                <a:xfrm>
                                  <a:off x="1976731" y="553760"/>
                                  <a:ext cx="396967" cy="7602"/>
                                </a:xfrm>
                                <a:prstGeom prst="line">
                                  <a:avLst/>
                                </a:prstGeom>
                                <a:ln w="9525" cap="flat" cmpd="sng">
                                  <a:solidFill>
                                    <a:srgbClr val="000000"/>
                                  </a:solidFill>
                                  <a:prstDash val="solid"/>
                                  <a:headEnd type="none" w="med" len="med"/>
                                  <a:tailEnd type="triangle" w="med" len="med"/>
                                </a:ln>
                              </wps:spPr>
                              <wps:bodyPr upright="1"/>
                            </wps:wsp>
                            <wps:wsp>
                              <wps:cNvPr id="16" name="文本框 16"/>
                              <wps:cNvSpPr txBox="1"/>
                              <wps:spPr>
                                <a:xfrm>
                                  <a:off x="63511" y="808333"/>
                                  <a:ext cx="596900" cy="266777"/>
                                </a:xfrm>
                                <a:prstGeom prst="rect">
                                  <a:avLst/>
                                </a:prstGeom>
                                <a:noFill/>
                                <a:ln w="6350">
                                  <a:noFill/>
                                </a:ln>
                              </wps:spPr>
                              <wps:txbx>
                                <w:txbxContent>
                                  <w:p>
                                    <w:pPr>
                                      <w:jc w:val="center"/>
                                      <w:rPr>
                                        <w:rFonts w:hint="default" w:eastAsia="宋体"/>
                                        <w:lang w:val="en-US" w:eastAsia="zh-CN"/>
                                      </w:rPr>
                                    </w:pPr>
                                    <w:r>
                                      <w:rPr>
                                        <w:rFonts w:hint="eastAsia" w:eastAsia="宋体"/>
                                        <w:lang w:val="en-US" w:eastAsia="zh-CN"/>
                                      </w:rPr>
                                      <w:t>2640</w:t>
                                    </w:r>
                                  </w:p>
                                </w:txbxContent>
                              </wps:txbx>
                              <wps:bodyPr upright="1"/>
                            </wps:wsp>
                            <wps:wsp>
                              <wps:cNvPr id="17" name="文本框 17"/>
                              <wps:cNvSpPr txBox="1"/>
                              <wps:spPr>
                                <a:xfrm>
                                  <a:off x="1389433" y="992487"/>
                                  <a:ext cx="607702" cy="266777"/>
                                </a:xfrm>
                                <a:prstGeom prst="rect">
                                  <a:avLst/>
                                </a:prstGeom>
                                <a:noFill/>
                                <a:ln w="6350">
                                  <a:noFill/>
                                </a:ln>
                              </wps:spPr>
                              <wps:txbx>
                                <w:txbxContent>
                                  <w:p>
                                    <w:pPr>
                                      <w:jc w:val="center"/>
                                      <w:rPr>
                                        <w:rFonts w:hint="default" w:eastAsia="宋体"/>
                                        <w:lang w:val="en-US" w:eastAsia="zh-CN"/>
                                      </w:rPr>
                                    </w:pPr>
                                    <w:r>
                                      <w:rPr>
                                        <w:rFonts w:hint="eastAsia"/>
                                        <w:sz w:val="18"/>
                                        <w:szCs w:val="18"/>
                                        <w:lang w:val="en-US" w:eastAsia="zh-CN"/>
                                      </w:rPr>
                                      <w:t>损耗</w:t>
                                    </w:r>
                                    <w:r>
                                      <w:rPr>
                                        <w:rFonts w:hint="eastAsia" w:eastAsia="宋体"/>
                                        <w:lang w:val="en-US" w:eastAsia="zh-CN"/>
                                      </w:rPr>
                                      <w:t>66</w:t>
                                    </w:r>
                                  </w:p>
                                </w:txbxContent>
                              </wps:txbx>
                              <wps:bodyPr upright="1"/>
                            </wps:wsp>
                            <wps:wsp>
                              <wps:cNvPr id="18" name="文本框 18"/>
                              <wps:cNvSpPr txBox="1"/>
                              <wps:spPr>
                                <a:xfrm>
                                  <a:off x="590599" y="1223653"/>
                                  <a:ext cx="546091" cy="254073"/>
                                </a:xfrm>
                                <a:prstGeom prst="rect">
                                  <a:avLst/>
                                </a:prstGeom>
                                <a:noFill/>
                                <a:ln w="6350">
                                  <a:noFill/>
                                </a:ln>
                              </wps:spPr>
                              <wps:txbx>
                                <w:txbxContent>
                                  <w:p>
                                    <w:pPr>
                                      <w:rPr>
                                        <w:rFonts w:hint="default" w:eastAsia="宋体"/>
                                        <w:lang w:val="en-US" w:eastAsia="zh-CN"/>
                                      </w:rPr>
                                    </w:pPr>
                                    <w:r>
                                      <w:rPr>
                                        <w:rFonts w:hint="eastAsia" w:eastAsia="宋体"/>
                                        <w:lang w:val="en-US" w:eastAsia="zh-CN"/>
                                      </w:rPr>
                                      <w:t>330</w:t>
                                    </w:r>
                                  </w:p>
                                </w:txbxContent>
                              </wps:txbx>
                              <wps:bodyPr upright="1"/>
                            </wps:wsp>
                            <wps:wsp>
                              <wps:cNvPr id="19" name="直接连接符 19"/>
                              <wps:cNvCnPr/>
                              <wps:spPr>
                                <a:xfrm>
                                  <a:off x="2013637" y="1521539"/>
                                  <a:ext cx="393666" cy="0"/>
                                </a:xfrm>
                                <a:prstGeom prst="line">
                                  <a:avLst/>
                                </a:prstGeom>
                                <a:ln w="9525" cap="flat" cmpd="sng">
                                  <a:solidFill>
                                    <a:srgbClr val="000000"/>
                                  </a:solidFill>
                                  <a:prstDash val="solid"/>
                                  <a:headEnd type="none" w="med" len="med"/>
                                  <a:tailEnd type="triangle" w="med" len="med"/>
                                </a:ln>
                              </wps:spPr>
                              <wps:bodyPr upright="1"/>
                            </wps:wsp>
                            <wps:wsp>
                              <wps:cNvPr id="20" name="文本框 20"/>
                              <wps:cNvSpPr txBox="1"/>
                              <wps:spPr>
                                <a:xfrm>
                                  <a:off x="2418105" y="1330284"/>
                                  <a:ext cx="878847" cy="82743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bCs/>
                                        <w:szCs w:val="21"/>
                                        <w:u w:val="none"/>
                                      </w:rPr>
                                    </w:pPr>
                                  </w:p>
                                  <w:p>
                                    <w:pPr>
                                      <w:rPr>
                                        <w:rFonts w:hint="default"/>
                                        <w:lang w:val="en-US" w:eastAsia="zh-CN"/>
                                      </w:rPr>
                                    </w:pPr>
                                    <w:r>
                                      <w:rPr>
                                        <w:rFonts w:hint="eastAsia"/>
                                        <w:bCs/>
                                        <w:szCs w:val="21"/>
                                        <w:u w:val="none"/>
                                      </w:rPr>
                                      <w:t>废水处理</w:t>
                                    </w:r>
                                    <w:r>
                                      <w:rPr>
                                        <w:rFonts w:hint="eastAsia"/>
                                        <w:bCs/>
                                        <w:szCs w:val="21"/>
                                        <w:u w:val="none"/>
                                        <w:lang w:val="en-US" w:eastAsia="zh-CN"/>
                                      </w:rPr>
                                      <w:t>设施（隔油池+气浮机）</w:t>
                                    </w:r>
                                  </w:p>
                                </w:txbxContent>
                              </wps:txbx>
                              <wps:bodyPr upright="1"/>
                            </wps:wsp>
                            <wps:wsp>
                              <wps:cNvPr id="21" name="直接连接符 21"/>
                              <wps:cNvCnPr/>
                              <wps:spPr>
                                <a:xfrm flipV="1">
                                  <a:off x="3299453" y="1552648"/>
                                  <a:ext cx="571496" cy="0"/>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a:off x="3877950" y="520050"/>
                                  <a:ext cx="4501" cy="295285"/>
                                </a:xfrm>
                                <a:prstGeom prst="line">
                                  <a:avLst/>
                                </a:prstGeom>
                                <a:ln w="9525" cap="flat" cmpd="sng">
                                  <a:solidFill>
                                    <a:srgbClr val="000000"/>
                                  </a:solidFill>
                                  <a:prstDash val="solid"/>
                                  <a:headEnd type="none" w="med" len="med"/>
                                  <a:tailEnd type="triangle" w="med" len="med"/>
                                </a:ln>
                              </wps:spPr>
                              <wps:bodyPr upright="1"/>
                            </wps:wsp>
                            <wps:wsp>
                              <wps:cNvPr id="23" name="直接连接符 23"/>
                              <wps:cNvCnPr/>
                              <wps:spPr>
                                <a:xfrm flipV="1">
                                  <a:off x="3878650" y="1305577"/>
                                  <a:ext cx="8901" cy="255274"/>
                                </a:xfrm>
                                <a:prstGeom prst="line">
                                  <a:avLst/>
                                </a:prstGeom>
                                <a:ln w="9525" cap="flat" cmpd="sng">
                                  <a:solidFill>
                                    <a:srgbClr val="000000"/>
                                  </a:solidFill>
                                  <a:prstDash val="solid"/>
                                  <a:headEnd type="none" w="med" len="med"/>
                                  <a:tailEnd type="triangle" w="med" len="med"/>
                                </a:ln>
                              </wps:spPr>
                              <wps:bodyPr upright="1"/>
                            </wps:wsp>
                            <wps:wsp>
                              <wps:cNvPr id="24" name="文本框 24"/>
                              <wps:cNvSpPr txBox="1"/>
                              <wps:spPr>
                                <a:xfrm>
                                  <a:off x="2014237" y="1306877"/>
                                  <a:ext cx="428572" cy="241270"/>
                                </a:xfrm>
                                <a:prstGeom prst="rect">
                                  <a:avLst/>
                                </a:prstGeom>
                                <a:noFill/>
                                <a:ln w="6350">
                                  <a:noFill/>
                                </a:ln>
                              </wps:spPr>
                              <wps:txbx>
                                <w:txbxContent>
                                  <w:p>
                                    <w:pPr>
                                      <w:rPr>
                                        <w:rFonts w:hint="default" w:eastAsia="宋体"/>
                                        <w:lang w:val="en-US" w:eastAsia="zh-CN"/>
                                      </w:rPr>
                                    </w:pPr>
                                    <w:r>
                                      <w:rPr>
                                        <w:rFonts w:hint="eastAsia" w:eastAsia="宋体"/>
                                        <w:lang w:val="en-US" w:eastAsia="zh-CN"/>
                                      </w:rPr>
                                      <w:t>264</w:t>
                                    </w:r>
                                  </w:p>
                                </w:txbxContent>
                              </wps:txbx>
                              <wps:bodyPr upright="1"/>
                            </wps:wsp>
                            <wps:wsp>
                              <wps:cNvPr id="25" name="文本框 25"/>
                              <wps:cNvSpPr txBox="1"/>
                              <wps:spPr>
                                <a:xfrm>
                                  <a:off x="970263" y="1789417"/>
                                  <a:ext cx="1044575" cy="39691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sz w:val="21"/>
                                        <w:szCs w:val="21"/>
                                        <w:u w:val="none"/>
                                        <w:lang w:val="en-US" w:eastAsia="zh-CN"/>
                                      </w:rPr>
                                      <w:t>初期</w:t>
                                    </w:r>
                                    <w:r>
                                      <w:rPr>
                                        <w:rFonts w:hint="default"/>
                                        <w:sz w:val="21"/>
                                        <w:szCs w:val="21"/>
                                        <w:u w:val="none"/>
                                        <w:lang w:val="en-US" w:eastAsia="zh-CN"/>
                                      </w:rPr>
                                      <w:t>雨水</w:t>
                                    </w:r>
                                  </w:p>
                                </w:txbxContent>
                              </wps:txbx>
                              <wps:bodyPr upright="1"/>
                            </wps:wsp>
                            <wps:wsp>
                              <wps:cNvPr id="26" name="文本框 26"/>
                              <wps:cNvSpPr txBox="1"/>
                              <wps:spPr>
                                <a:xfrm>
                                  <a:off x="2027540" y="1827528"/>
                                  <a:ext cx="419070" cy="228566"/>
                                </a:xfrm>
                                <a:prstGeom prst="rect">
                                  <a:avLst/>
                                </a:prstGeom>
                                <a:noFill/>
                                <a:ln w="6350">
                                  <a:noFill/>
                                </a:ln>
                              </wps:spPr>
                              <wps:txbx>
                                <w:txbxContent>
                                  <w:p>
                                    <w:pPr>
                                      <w:rPr>
                                        <w:rFonts w:hint="default" w:eastAsia="宋体"/>
                                        <w:lang w:val="en-US" w:eastAsia="zh-CN"/>
                                      </w:rPr>
                                    </w:pPr>
                                    <w:r>
                                      <w:rPr>
                                        <w:rFonts w:hint="eastAsia" w:eastAsia="宋体"/>
                                        <w:lang w:val="en-US" w:eastAsia="zh-CN"/>
                                      </w:rPr>
                                      <w:t>393</w:t>
                                    </w:r>
                                  </w:p>
                                </w:txbxContent>
                              </wps:txbx>
                              <wps:bodyPr upright="1"/>
                            </wps:wsp>
                            <wps:wsp>
                              <wps:cNvPr id="27" name="直接连接符 27"/>
                              <wps:cNvCnPr/>
                              <wps:spPr>
                                <a:xfrm>
                                  <a:off x="2008536" y="2027586"/>
                                  <a:ext cx="393666" cy="0"/>
                                </a:xfrm>
                                <a:prstGeom prst="line">
                                  <a:avLst/>
                                </a:prstGeom>
                                <a:ln w="9525" cap="flat" cmpd="sng">
                                  <a:solidFill>
                                    <a:srgbClr val="000000"/>
                                  </a:solidFill>
                                  <a:prstDash val="solid"/>
                                  <a:headEnd type="none" w="med" len="med"/>
                                  <a:tailEnd type="triangle" w="med" len="med"/>
                                </a:ln>
                              </wps:spPr>
                              <wps:bodyPr upright="1"/>
                            </wps:wsp>
                            <wps:wsp>
                              <wps:cNvPr id="28" name="文本框 28"/>
                              <wps:cNvSpPr txBox="1"/>
                              <wps:spPr>
                                <a:xfrm>
                                  <a:off x="3341960" y="1360793"/>
                                  <a:ext cx="476280" cy="228666"/>
                                </a:xfrm>
                                <a:prstGeom prst="rect">
                                  <a:avLst/>
                                </a:prstGeom>
                                <a:noFill/>
                                <a:ln w="6350">
                                  <a:noFill/>
                                </a:ln>
                              </wps:spPr>
                              <wps:txbx>
                                <w:txbxContent>
                                  <w:p>
                                    <w:pPr>
                                      <w:rPr>
                                        <w:rFonts w:hint="default" w:eastAsia="宋体"/>
                                        <w:lang w:val="en-US" w:eastAsia="zh-CN"/>
                                      </w:rPr>
                                    </w:pPr>
                                    <w:r>
                                      <w:rPr>
                                        <w:rFonts w:hint="eastAsia" w:eastAsia="宋体"/>
                                        <w:lang w:val="en-US" w:eastAsia="zh-CN"/>
                                      </w:rPr>
                                      <w:t>657</w:t>
                                    </w:r>
                                  </w:p>
                                </w:txbxContent>
                              </wps:txbx>
                              <wps:bodyPr upright="1"/>
                            </wps:wsp>
                          </wpc:wpc>
                        </a:graphicData>
                      </a:graphic>
                    </wp:anchor>
                  </w:drawing>
                </mc:Choice>
                <mc:Fallback>
                  <w:pict>
                    <v:group id="_x0000_s1026" o:spid="_x0000_s1026" o:spt="203" style="position:absolute;left:0pt;margin-left:14.15pt;margin-top:-7.5pt;height:185.4pt;width:399.5pt;z-index:251670528;mso-width-relative:page;mso-height-relative:page;" coordsize="5073650,2354580" editas="canvas" o:gfxdata="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">
                      <o:lock v:ext="edit" aspectratio="f"/>
                      <v:shape id="_x0000_s1026" o:spid="_x0000_s1026" style="position:absolute;left:0;top:0;height:2354580;width:5073650;" filled="f" stroked="f" coordsize="21600,21600" o:gfxdata="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">
                        <v:fill on="f" focussize="0,0"/>
                        <v:stroke on="f"/>
                        <v:imagedata o:title=""/>
                        <o:lock v:ext="edit" aspectratio="t"/>
                      </v:shape>
                      <v:line id="_x0000_s1026" o:spid="_x0000_s1026" o:spt="20" style="position:absolute;left:586698;top:547358;height:916965;width:700;" filled="f" stroked="t" coordsize="21600,21600" o:gfxdata="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R9SZ2AAAAAoBAAAPAAAAAAAAAAEAIAAAACIAAABkcnMvZG93&#10;bnJldi54bWxQSwECFAAUAAAACACHTuJAP3cAeAACAADvAwAADgAAAAAAAAABACAAAAAnAQAAZHJz&#10;L2Uyb0RvYy54bWxQSwUGAAAAAAYABgBZAQAAmQUAAAAA&#10;">
                        <v:fill on="f" focussize="0,0"/>
                        <v:stroke color="#000000" joinstyle="round"/>
                        <v:imagedata o:title=""/>
                        <o:lock v:ext="edit" aspectratio="f"/>
                      </v:line>
                      <v:shape id="_x0000_s1026" o:spid="_x0000_s1026" o:spt="202" type="#_x0000_t202" style="position:absolute;left:962061;top:398815;height:281881;width:1024872;" fillcolor="#FFFFFF" filled="t" stroked="t" coordsize="21600,21600" o:gfxdata="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PVEhj1wAAAAoBAAAPAAAAAAAA&#10;AAEAIAAAACIAAABkcnMvZG93bnJldi54bWxQSwECFAAUAAAACACHTuJAATngmxMCAABABAAADgAA&#10;AAAAAAABACAAAAAmAQAAZHJzL2Uyb0RvYy54bWxQSwUGAAAAAAYABgBZAQAAqwUAAAAA&#10;">
                        <v:fill on="t" focussize="0,0"/>
                        <v:stroke weight="0.5pt" color="#000000" joinstyle="miter"/>
                        <v:imagedata o:title=""/>
                        <o:lock v:ext="edit" aspectratio="f"/>
                        <v:textbox>
                          <w:txbxContent>
                            <w:p>
                              <w:pPr>
                                <w:jc w:val="center"/>
                              </w:pPr>
                              <w:r>
                                <w:rPr>
                                  <w:rFonts w:hint="eastAsia"/>
                                  <w:lang w:val="en-US" w:eastAsia="zh-CN"/>
                                </w:rPr>
                                <w:t>员工</w:t>
                              </w:r>
                              <w:r>
                                <w:rPr>
                                  <w:rFonts w:hint="eastAsia"/>
                                  <w:lang w:eastAsia="zh-CN"/>
                                </w:rPr>
                                <w:t>生活</w:t>
                              </w:r>
                              <w:r>
                                <w:rPr>
                                  <w:rFonts w:hint="eastAsia"/>
                                </w:rPr>
                                <w:t>用水</w:t>
                              </w:r>
                            </w:p>
                          </w:txbxContent>
                        </v:textbox>
                      </v:shape>
                      <v:line id="_x0000_s1026" o:spid="_x0000_s1026" o:spt="20" style="position:absolute;left:589899;top:551859;height:0;width:372162;"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Ossl2wAAAAoBAAAPAAAAAAAAAAEAIAAA&#10;ACIAAABkcnMvZG93bnJldi54bWxQSwECFAAUAAAACACHTuJA7M6omQkCAADxAwAADgAAAAAAAAAB&#10;ACAAAAAqAQAAZHJzL2Uyb0RvYy54bWxQSwUGAAAAAAYABgBZAQAApQUAAAAA&#10;">
                        <v:fill on="f" focussize="0,0"/>
                        <v:stroke color="#000000" joinstyle="round" endarrow="block"/>
                        <v:imagedata o:title=""/>
                        <o:lock v:ext="edit" aspectratio="f"/>
                      </v:line>
                      <v:shape id="_x0000_s1026" o:spid="_x0000_s1026" o:spt="202" type="#_x0000_t202" style="position:absolute;left:546091;top:313691;height:262276;width:550592;"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79GL2gAAAAoBAAAPAAAAAAAAAAEAIAAAACIAAABkcnMvZG93bnJldi54&#10;bWxQSwECFAAUAAAACACHTuJAQHsSzL8BAABgAwAADgAAAAAAAAABACAAAAApAQAAZHJzL2Uyb0Rv&#10;Yy54bWxQSwUGAAAAAAYABgBZAQAAWg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2310</w:t>
                              </w:r>
                            </w:p>
                          </w:txbxContent>
                        </v:textbox>
                      </v:shape>
                      <v:shape id="_x0000_s1026" o:spid="_x0000_s1026" o:spt="38" type="#_x0000_t38" style="position:absolute;left:1361428;top:203859;flip:x y;height:185454;width:194333;rotation:5898240f;" filled="f" stroked="t" coordsize="21600,21600" o:gfxdata="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tS097XAAAACgEAAA8AAAAAAAAAAQAgAAAAIgAAAGRycy9kb3du&#10;cmV2LnhtbFBLAQIUABQAAAAIAIdO4kBCX2SUOQIAAEUEAAAOAAAAAAAAAAEAIAAAACYBAABkcnMv&#10;ZTJvRG9jLnhtbFBLBQYAAAAABgAGAFkBAADRBQAAAAA=&#10;" adj="10800">
                        <v:fill on="f" focussize="0,0"/>
                        <v:stroke color="#000000" joinstyle="round" dashstyle="dash" endarrow="block"/>
                        <v:imagedata o:title=""/>
                        <o:lock v:ext="edit" aspectratio="f"/>
                      </v:shape>
                      <v:shape id="_x0000_s1026" o:spid="_x0000_s1026" o:spt="202" type="#_x0000_t202" style="position:absolute;left:1473247;top:84424;height:267377;width:725121;"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bv0YvaAAAACgEAAA8AAAAAAAAAAQAgAAAAIgAAAGRycy9kb3ducmV2Lnht&#10;bFBLAQIUABQAAAAIAIdO4kDoGO/ivgEAAGADAAAOAAAAAAAAAAEAIAAAACkBAABkcnMvZTJvRG9j&#10;LnhtbFBLBQYAAAAABgAGAFkBAABZBQAAAAA=&#10;">
                        <v:fill on="f" focussize="0,0"/>
                        <v:stroke on="f" weight="0.5pt"/>
                        <v:imagedata o:title=""/>
                        <o:lock v:ext="edit" aspectratio="f"/>
                        <v:textbox>
                          <w:txbxContent>
                            <w:p>
                              <w:pPr>
                                <w:jc w:val="center"/>
                                <w:rPr>
                                  <w:rFonts w:hint="default" w:eastAsia="宋体"/>
                                  <w:lang w:val="en-US" w:eastAsia="zh-CN"/>
                                </w:rPr>
                              </w:pPr>
                              <w:r>
                                <w:rPr>
                                  <w:rFonts w:hint="eastAsia"/>
                                  <w:sz w:val="18"/>
                                  <w:szCs w:val="18"/>
                                  <w:lang w:val="en-US" w:eastAsia="zh-CN"/>
                                </w:rPr>
                                <w:t>损耗</w:t>
                              </w:r>
                              <w:r>
                                <w:rPr>
                                  <w:rFonts w:hint="eastAsia" w:eastAsia="宋体"/>
                                  <w:lang w:val="en-US" w:eastAsia="zh-CN"/>
                                </w:rPr>
                                <w:t>462</w:t>
                              </w:r>
                            </w:p>
                          </w:txbxContent>
                        </v:textbox>
                      </v:shape>
                      <v:shape id="_x0000_s1026" o:spid="_x0000_s1026" o:spt="202" type="#_x0000_t202" style="position:absolute;left:1946926;top:346100;height:247672;width:518187;"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m79GL2gAAAAoBAAAPAAAAAAAAAAEAIAAAACIAAABkcnMvZG93bnJldi54&#10;bWxQSwECFAAUAAAACACHTuJA7KUxkr8BAABhAwAADgAAAAAAAAABACAAAAApAQAAZHJzL2Uyb0Rv&#10;Yy54bWxQSwUGAAAAAAYABgBZAQAAWg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1848</w:t>
                              </w:r>
                            </w:p>
                          </w:txbxContent>
                        </v:textbox>
                      </v:shape>
                      <v:line id="_x0000_s1026" o:spid="_x0000_s1026" o:spt="20" style="position:absolute;left:577197;top:1457321;height:0;width:372162;"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TrLJdsAAAAKAQAADwAAAAAAAAABACAA&#10;AAAiAAAAZHJzL2Rvd25yZXYueG1sUEsBAhQAFAAAAAgAh07iQCQOI0EKAgAA8gMAAA4AAAAAAAAA&#10;AQAgAAAAKgEAAGRycy9lMm9Eb2MueG1sUEsFBgAAAAAGAAYAWQEAAKYFAAAAAA==&#10;">
                        <v:fill on="f" focussize="0,0"/>
                        <v:stroke color="#000000" joinstyle="round" endarrow="block"/>
                        <v:imagedata o:title=""/>
                        <o:lock v:ext="edit" aspectratio="f"/>
                      </v:line>
                      <v:shape id="_x0000_s1026" o:spid="_x0000_s1026" o:spt="38" type="#_x0000_t38" style="position:absolute;left:1291416;top:1112421;flip:x y;height:185454;width:194333;rotation:5898240f;" filled="f" stroked="t" coordsize="21600,21600" o:gfxdata="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y1LT3tcAAAAKAQAADwAAAAAAAAABACAAAAAiAAAAZHJzL2Rvd25y&#10;ZXYueG1sUEsBAhQAFAAAAAgAh07iQOy4SwU4AgAARgQAAA4AAAAAAAAAAQAgAAAAJgEAAGRycy9l&#10;Mm9Eb2MueG1sUEsFBgAAAAAGAAYAWQEAANAFAAAAAA==&#10;" adj="10800">
                        <v:fill on="f" focussize="0,0"/>
                        <v:stroke color="#000000" joinstyle="round" dashstyle="dash" endarrow="block"/>
                        <v:imagedata o:title=""/>
                        <o:lock v:ext="edit" aspectratio="f"/>
                      </v:shape>
                      <v:shape id="_x0000_s1026" o:spid="_x0000_s1026" o:spt="202" type="#_x0000_t202" style="position:absolute;left:953160;top:1310078;height:429224;width:1057277;" fillcolor="#FFFFFF" filled="t" stroked="t" coordsize="21600,21600" o:gfxdata="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9USGPXAAAACgEAAA8AAAAA&#10;AAAAAQAgAAAAIgAAAGRycy9kb3ducmV2LnhtbFBLAQIUABQAAAAIAIdO4kB7gSl4FQIAAEMEAAAO&#10;AAAAAAAAAAEAIAAAACYBAABkcnMvZTJvRG9jLnhtbFBLBQYAAAAABgAGAFkBAACtBQAAAAA=&#10;">
                        <v:fill on="t" focussize="0,0"/>
                        <v:stroke weight="0.5pt" color="#000000" joinstyle="miter"/>
                        <v:imagedata o:title=""/>
                        <o:lock v:ext="edit" aspectratio="f"/>
                        <v:textbox>
                          <w:txbxContent>
                            <w:p>
                              <w:pPr>
                                <w:jc w:val="center"/>
                                <w:rPr>
                                  <w:rFonts w:hint="eastAsia" w:eastAsia="宋体"/>
                                  <w:sz w:val="21"/>
                                  <w:szCs w:val="21"/>
                                  <w:lang w:eastAsia="zh-CN"/>
                                </w:rPr>
                              </w:pPr>
                              <w:r>
                                <w:rPr>
                                  <w:rFonts w:hint="eastAsia" w:eastAsia="宋体"/>
                                  <w:sz w:val="21"/>
                                  <w:szCs w:val="21"/>
                                  <w:lang w:eastAsia="zh-CN"/>
                                </w:rPr>
                                <w:t>拆解区地面清洁用水</w:t>
                              </w:r>
                            </w:p>
                          </w:txbxContent>
                        </v:textbox>
                      </v:shape>
                      <v:line id="_x0000_s1026" o:spid="_x0000_s1026" o:spt="20" style="position:absolute;left:116219;top:1003390;height:0;width:463578;"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E6yyXbAAAACgEAAA8AAAAAAAAAAQAgAAAA&#10;IgAAAGRycy9kb3ducmV2LnhtbFBLAQIUABQAAAAIAIdO4kAW0+0QCAIAAPQDAAAOAAAAAAAAAAEA&#10;IAAAACoBAABkcnMvZTJvRG9jLnhtbFBLBQYAAAAABgAGAFkBAACkBQAAAAA=&#10;">
                        <v:fill on="f" focussize="0,0"/>
                        <v:stroke color="#000000" joinstyle="round" endarrow="block"/>
                        <v:imagedata o:title=""/>
                        <o:lock v:ext="edit" aspectratio="f"/>
                      </v:line>
                      <v:line id="_x0000_s1026" o:spid="_x0000_s1026" o:spt="20" style="position:absolute;left:3074015;top:518150;height:700;width:791933;" filled="f" stroked="t" coordsize="21600,21600" o:gfxdata="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iR9SZ2AAAAAoBAAAPAAAAAAAAAAEAIAAAACIAAABk&#10;cnMvZG93bnJldi54bWxQSwECFAAUAAAACACHTuJAw6TupAYCAADyAwAADgAAAAAAAAABACAAAAAn&#10;AQAAZHJzL2Uyb0RvYy54bWxQSwUGAAAAAAYABgBZAQAAnwUAAAAA&#10;">
                        <v:fill on="f" focussize="0,0"/>
                        <v:stroke color="#000000" joinstyle="round"/>
                        <v:imagedata o:title=""/>
                        <o:lock v:ext="edit" aspectratio="f"/>
                      </v:line>
                      <v:shape id="_x0000_s1026" o:spid="_x0000_s1026" o:spt="202" type="#_x0000_t202" style="position:absolute;left:3537593;top:823638;height:468635;width:1280815;" fillcolor="#FFFFFF" filled="t" stroked="t" coordsize="21600,21600" o:gfxdata="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1RIY9cAAAAKAQAADwAAAAAA&#10;AAABACAAAAAiAAAAZHJzL2Rvd25yZXYueG1sUEsBAhQAFAAAAAgAh07iQEyvof4UAgAAQwQAAA4A&#10;AAAAAAAAAQAgAAAAJgEAAGRycy9lMm9Eb2MueG1sUEsFBgAAAAAGAAYAWQEAAKwFAAAAAA==&#10;">
                        <v:fill on="t" focussize="0,0"/>
                        <v:stroke weight="0.5pt" color="#000000" joinstyle="miter"/>
                        <v:imagedata o:title=""/>
                        <o:lock v:ext="edit" aspectratio="f"/>
                        <v:textbox>
                          <w:txbxContent>
                            <w:p>
                              <w:pPr>
                                <w:jc w:val="center"/>
                                <w:rPr>
                                  <w:sz w:val="21"/>
                                  <w:szCs w:val="21"/>
                                  <w:highlight w:val="none"/>
                                </w:rPr>
                              </w:pPr>
                              <w:r>
                                <w:rPr>
                                  <w:rFonts w:hint="eastAsia" w:ascii="Times New Roman" w:hAnsi="Times New Roman" w:cs="Times New Roman"/>
                                  <w:b w:val="0"/>
                                  <w:bCs w:val="0"/>
                                  <w:color w:val="auto"/>
                                  <w:sz w:val="21"/>
                                  <w:szCs w:val="21"/>
                                  <w:highlight w:val="none"/>
                                  <w:u w:val="none"/>
                                  <w:lang w:eastAsia="zh-CN"/>
                                </w:rPr>
                                <w:t>靖州县工业集中区甘太污水处理厂</w:t>
                              </w:r>
                            </w:p>
                            <w:p>
                              <w:pPr>
                                <w:rPr>
                                  <w:rFonts w:hint="eastAsia"/>
                                  <w:lang w:eastAsia="zh-CN"/>
                                </w:rPr>
                              </w:pPr>
                            </w:p>
                          </w:txbxContent>
                        </v:textbox>
                      </v:shape>
                      <v:shape id="_x0000_s1026" o:spid="_x0000_s1026" o:spt="202" type="#_x0000_t202" style="position:absolute;left:2383799;top:355003;height:299086;width:678214;" fillcolor="#FFFFFF" filled="t" stroked="t" coordsize="21600,21600" o:gfxdata="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1RIY9cAAAAKAQAADwAAAAAA&#10;AAABACAAAAAiAAAAZHJzL2Rvd25yZXYueG1sUEsBAhQAFAAAAAgAh07iQIbUz3sUAgAAQgQAAA4A&#10;AAAAAAAAAQAgAAAAJgEAAGRycy9lMm9Eb2MueG1sUEsFBgAAAAAGAAYAWQEAAKw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化粪池</w:t>
                              </w:r>
                            </w:p>
                          </w:txbxContent>
                        </v:textbox>
                      </v:shape>
                      <v:line id="_x0000_s1026" o:spid="_x0000_s1026" o:spt="20" style="position:absolute;left:1976731;top:553760;height:7602;width:396967;"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Ossl2wAAAAoBAAAPAAAAAAAAAAEAIAAA&#10;ACIAAABkcnMvZG93bnJldi54bWxQSwECFAAUAAAACACHTuJANspThQkCAAD3AwAADgAAAAAAAAAB&#10;ACAAAAAqAQAAZHJzL2Uyb0RvYy54bWxQSwUGAAAAAAYABgBZAQAApQUAAAAA&#10;">
                        <v:fill on="f" focussize="0,0"/>
                        <v:stroke color="#000000" joinstyle="round" endarrow="block"/>
                        <v:imagedata o:title=""/>
                        <o:lock v:ext="edit" aspectratio="f"/>
                      </v:line>
                      <v:shape id="_x0000_s1026" o:spid="_x0000_s1026" o:spt="202" type="#_x0000_t202" style="position:absolute;left:63511;top:808333;height:266777;width:596900;"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u/Ri9oAAAAKAQAADwAAAAAAAAABACAAAAAiAAAAZHJzL2Rvd25yZXYueG1s&#10;UEsBAhQAFAAAAAgAh07iQBeiYLK9AQAAYQMAAA4AAAAAAAAAAQAgAAAAKQEAAGRycy9lMm9Eb2Mu&#10;eG1sUEsFBgAAAAAGAAYAWQEAAFgFAAAAAA==&#10;">
                        <v:fill on="f"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2640</w:t>
                              </w:r>
                            </w:p>
                          </w:txbxContent>
                        </v:textbox>
                      </v:shape>
                      <v:shape id="_x0000_s1026" o:spid="_x0000_s1026" o:spt="202" type="#_x0000_t202" style="position:absolute;left:1389433;top:992487;height:266777;width:607702;"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v0YvaAAAACgEAAA8AAAAAAAAAAQAgAAAAIgAAAGRycy9kb3ducmV2&#10;LnhtbFBLAQIUABQAAAAIAIdO4kBhM4SXwQEAAGMDAAAOAAAAAAAAAAEAIAAAACkBAABkcnMvZTJv&#10;RG9jLnhtbFBLBQYAAAAABgAGAFkBAABcBQAAAAA=&#10;">
                        <v:fill on="f" focussize="0,0"/>
                        <v:stroke on="f" weight="0.5pt"/>
                        <v:imagedata o:title=""/>
                        <o:lock v:ext="edit" aspectratio="f"/>
                        <v:textbox>
                          <w:txbxContent>
                            <w:p>
                              <w:pPr>
                                <w:jc w:val="center"/>
                                <w:rPr>
                                  <w:rFonts w:hint="default" w:eastAsia="宋体"/>
                                  <w:lang w:val="en-US" w:eastAsia="zh-CN"/>
                                </w:rPr>
                              </w:pPr>
                              <w:r>
                                <w:rPr>
                                  <w:rFonts w:hint="eastAsia"/>
                                  <w:sz w:val="18"/>
                                  <w:szCs w:val="18"/>
                                  <w:lang w:val="en-US" w:eastAsia="zh-CN"/>
                                </w:rPr>
                                <w:t>损耗</w:t>
                              </w:r>
                              <w:r>
                                <w:rPr>
                                  <w:rFonts w:hint="eastAsia" w:eastAsia="宋体"/>
                                  <w:lang w:val="en-US" w:eastAsia="zh-CN"/>
                                </w:rPr>
                                <w:t>66</w:t>
                              </w:r>
                            </w:p>
                          </w:txbxContent>
                        </v:textbox>
                      </v:shape>
                      <v:shape id="_x0000_s1026" o:spid="_x0000_s1026" o:spt="202" type="#_x0000_t202" style="position:absolute;left:590599;top:1223653;height:254073;width:546091;"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u/Ri9oAAAAKAQAADwAAAAAAAAABACAAAAAiAAAAZHJzL2Rvd25yZXYu&#10;eG1sUEsBAhQAFAAAAAgAh07iQIilk6HAAQAAYwMAAA4AAAAAAAAAAQAgAAAAKQEAAGRycy9lMm9E&#10;b2MueG1sUEsFBgAAAAAGAAYAWQEAAFsFA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330</w:t>
                              </w:r>
                            </w:p>
                          </w:txbxContent>
                        </v:textbox>
                      </v:shape>
                      <v:line id="_x0000_s1026" o:spid="_x0000_s1026" o:spt="20" style="position:absolute;left:2013637;top:1521539;height:0;width:393666;"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E6yyXbAAAACgEAAA8AAAAAAAAAAQAg&#10;AAAAIgAAAGRycy9kb3ducmV2LnhtbFBLAQIUABQAAAAIAIdO4kAVHPsICwIAAPUDAAAOAAAAAAAA&#10;AAEAIAAAACoBAABkcnMvZTJvRG9jLnhtbFBLBQYAAAAABgAGAFkBAACnBQAAAAA=&#10;">
                        <v:fill on="f" focussize="0,0"/>
                        <v:stroke color="#000000" joinstyle="round" endarrow="block"/>
                        <v:imagedata o:title=""/>
                        <o:lock v:ext="edit" aspectratio="f"/>
                      </v:line>
                      <v:shape id="_x0000_s1026" o:spid="_x0000_s1026" o:spt="202" type="#_x0000_t202" style="position:absolute;left:2418105;top:1330284;height:827439;width:878847;" fillcolor="#FFFFFF" filled="t" stroked="t" coordsize="21600,21600" o:gfxdata="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VEhj1wAAAAoBAAAPAAAA&#10;AAAAAAEAIAAAACIAAABkcnMvZG93bnJldi54bWxQSwECFAAUAAAACACHTuJAf49fpBYCAABDBAAA&#10;DgAAAAAAAAABACAAAAAmAQAAZHJzL2Uyb0RvYy54bWxQSwUGAAAAAAYABgBZAQAArgUAAAAA&#10;">
                        <v:fill on="t" focussize="0,0"/>
                        <v:stroke weight="0.5pt" color="#000000" joinstyle="miter"/>
                        <v:imagedata o:title=""/>
                        <o:lock v:ext="edit" aspectratio="f"/>
                        <v:textbox>
                          <w:txbxContent>
                            <w:p>
                              <w:pPr>
                                <w:rPr>
                                  <w:rFonts w:hint="eastAsia"/>
                                  <w:bCs/>
                                  <w:szCs w:val="21"/>
                                  <w:u w:val="none"/>
                                </w:rPr>
                              </w:pPr>
                            </w:p>
                            <w:p>
                              <w:pPr>
                                <w:rPr>
                                  <w:rFonts w:hint="default"/>
                                  <w:lang w:val="en-US" w:eastAsia="zh-CN"/>
                                </w:rPr>
                              </w:pPr>
                              <w:r>
                                <w:rPr>
                                  <w:rFonts w:hint="eastAsia"/>
                                  <w:bCs/>
                                  <w:szCs w:val="21"/>
                                  <w:u w:val="none"/>
                                </w:rPr>
                                <w:t>废水处理</w:t>
                              </w:r>
                              <w:r>
                                <w:rPr>
                                  <w:rFonts w:hint="eastAsia"/>
                                  <w:bCs/>
                                  <w:szCs w:val="21"/>
                                  <w:u w:val="none"/>
                                  <w:lang w:val="en-US" w:eastAsia="zh-CN"/>
                                </w:rPr>
                                <w:t>设施（隔油池+气浮机）</w:t>
                              </w:r>
                            </w:p>
                          </w:txbxContent>
                        </v:textbox>
                      </v:shape>
                      <v:line id="_x0000_s1026" o:spid="_x0000_s1026" o:spt="20" style="position:absolute;left:3299453;top:1552648;flip:y;height:0;width:571496;" filled="f" stroked="t" coordsize="21600,21600" o:gfxdata="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27yy1wAAAAoBAAAPAAAAAAAAAAEAIAAA&#10;ACIAAABkcnMvZG93bnJldi54bWxQSwECFAAUAAAACACHTuJAXkLudw0CAAD7AwAADgAAAAAAAAAB&#10;ACAAAAAmAQAAZHJzL2Uyb0RvYy54bWxQSwUGAAAAAAYABgBZAQAApQUAAAAA&#10;">
                        <v:fill on="f" focussize="0,0"/>
                        <v:stroke color="#000000" joinstyle="round"/>
                        <v:imagedata o:title=""/>
                        <o:lock v:ext="edit" aspectratio="f"/>
                      </v:line>
                      <v:line id="_x0000_s1026" o:spid="_x0000_s1026" o:spt="20" style="position:absolute;left:3877950;top:520050;height:295285;width:4501;"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hOssl2wAAAAoBAAAPAAAAAAAAAAEAIAAA&#10;ACIAAABkcnMvZG93bnJldi54bWxQSwECFAAUAAAACACHTuJAC3zczAkCAAD3AwAADgAAAAAAAAAB&#10;ACAAAAAqAQAAZHJzL2Uyb0RvYy54bWxQSwUGAAAAAAYABgBZAQAApQUAAAAA&#10;">
                        <v:fill on="f" focussize="0,0"/>
                        <v:stroke color="#000000" joinstyle="round" endarrow="block"/>
                        <v:imagedata o:title=""/>
                        <o:lock v:ext="edit" aspectratio="f"/>
                      </v:line>
                      <v:line id="_x0000_s1026" o:spid="_x0000_s1026" o:spt="20" style="position:absolute;left:3878650;top:1305577;flip:y;height:255274;width:8901;" filled="f" stroked="t" coordsize="21600,21600" o:gfxdata="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ycmjaAAAACgEAAA8A&#10;AAAAAAAAAQAgAAAAIgAAAGRycy9kb3ducmV2LnhtbFBLAQIUABQAAAAIAIdO4kCQ4CEsFQIAAAIE&#10;AAAOAAAAAAAAAAEAIAAAACkBAABkcnMvZTJvRG9jLnhtbFBLBQYAAAAABgAGAFkBAACwBQAAAAA=&#10;">
                        <v:fill on="f" focussize="0,0"/>
                        <v:stroke color="#000000" joinstyle="round" endarrow="block"/>
                        <v:imagedata o:title=""/>
                        <o:lock v:ext="edit" aspectratio="f"/>
                      </v:line>
                      <v:shape id="_x0000_s1026" o:spid="_x0000_s1026" o:spt="202" type="#_x0000_t202" style="position:absolute;left:2014237;top:1306877;height:241270;width:428572;"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m79GL2gAAAAoBAAAPAAAAAAAAAAEAIAAAACIAAABkcnMvZG93bnJl&#10;di54bWxQSwECFAAUAAAACACHTuJAiLdV+sIBAABkAwAADgAAAAAAAAABACAAAAApAQAAZHJzL2Uy&#10;b0RvYy54bWxQSwUGAAAAAAYABgBZAQAAXQU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264</w:t>
                              </w:r>
                            </w:p>
                          </w:txbxContent>
                        </v:textbox>
                      </v:shape>
                      <v:shape id="_x0000_s1026" o:spid="_x0000_s1026" o:spt="202" type="#_x0000_t202" style="position:absolute;left:970263;top:1789417;height:396915;width:1044575;" fillcolor="#FFFFFF" filled="t" stroked="t" coordsize="21600,21600" o:gfxdata="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9USGPXAAAACgEAAA8A&#10;AAAAAAAAAQAgAAAAIgAAAGRycy9kb3ducmV2LnhtbFBLAQIUABQAAAAIAIdO4kBQr5+3GAIAAEME&#10;AAAOAAAAAAAAAAEAIAAAACYBAABkcnMvZTJvRG9jLnhtbFBLBQYAAAAABgAGAFkBAACwBQAAAAA=&#10;">
                        <v:fill on="t" focussize="0,0"/>
                        <v:stroke weight="0.5pt" color="#000000" joinstyle="miter"/>
                        <v:imagedata o:title=""/>
                        <o:lock v:ext="edit" aspectratio="f"/>
                        <v:textbox>
                          <w:txbxContent>
                            <w:p>
                              <w:pPr>
                                <w:jc w:val="center"/>
                                <w:rPr>
                                  <w:rFonts w:hint="default"/>
                                  <w:lang w:val="en-US" w:eastAsia="zh-CN"/>
                                </w:rPr>
                              </w:pPr>
                              <w:r>
                                <w:rPr>
                                  <w:rFonts w:hint="eastAsia"/>
                                  <w:sz w:val="21"/>
                                  <w:szCs w:val="21"/>
                                  <w:u w:val="none"/>
                                  <w:lang w:val="en-US" w:eastAsia="zh-CN"/>
                                </w:rPr>
                                <w:t>初期</w:t>
                              </w:r>
                              <w:r>
                                <w:rPr>
                                  <w:rFonts w:hint="default"/>
                                  <w:sz w:val="21"/>
                                  <w:szCs w:val="21"/>
                                  <w:u w:val="none"/>
                                  <w:lang w:val="en-US" w:eastAsia="zh-CN"/>
                                </w:rPr>
                                <w:t>雨水</w:t>
                              </w:r>
                            </w:p>
                          </w:txbxContent>
                        </v:textbox>
                      </v:shape>
                      <v:shape id="_x0000_s1026" o:spid="_x0000_s1026" o:spt="202" type="#_x0000_t202" style="position:absolute;left:2027540;top:1827528;height:228566;width:419070;"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v0YvaAAAACgEAAA8AAAAAAAAAAQAgAAAAIgAAAGRycy9kb3ducmV2&#10;LnhtbFBLAQIUABQAAAAIAIdO4kBr0rsZwQEAAGQDAAAOAAAAAAAAAAEAIAAAACkBAABkcnMvZTJv&#10;RG9jLnhtbFBLBQYAAAAABgAGAFkBAABcBQ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393</w:t>
                              </w:r>
                            </w:p>
                          </w:txbxContent>
                        </v:textbox>
                      </v:shape>
                      <v:line id="_x0000_s1026" o:spid="_x0000_s1026" o:spt="20" style="position:absolute;left:2008536;top:2027586;height:0;width:393666;" filled="f" stroked="t" coordsize="21600,21600" o:gfxdata="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E6yyXbAAAACgEAAA8AAAAAAAAAAQAg&#10;AAAAIgAAAGRycy9kb3ducmV2LnhtbFBLAQIUABQAAAAIAIdO4kBkaijlCwIAAPUDAAAOAAAAAAAA&#10;AAEAIAAAACoBAABkcnMvZTJvRG9jLnhtbFBLBQYAAAAABgAGAFkBAACnBQAAAAA=&#10;">
                        <v:fill on="f" focussize="0,0"/>
                        <v:stroke color="#000000" joinstyle="round" endarrow="block"/>
                        <v:imagedata o:title=""/>
                        <o:lock v:ext="edit" aspectratio="f"/>
                      </v:line>
                      <v:shape id="_x0000_s1026" o:spid="_x0000_s1026" o:spt="202" type="#_x0000_t202" style="position:absolute;left:3341960;top:1360793;height:228666;width:476280;" filled="f" stroked="f" coordsize="21600,21600" o:gfxdata="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v0YvaAAAACgEAAA8AAAAAAAAAAQAgAAAAIgAAAGRycy9kb3ducmV2&#10;LnhtbFBLAQIUABQAAAAIAIdO4kD9edhbwQEAAGQDAAAOAAAAAAAAAAEAIAAAACkBAABkcnMvZTJv&#10;RG9jLnhtbFBLBQYAAAAABgAGAFkBAABcBQAAAAA=&#10;">
                        <v:fill on="f" focussize="0,0"/>
                        <v:stroke on="f" weight="0.5pt"/>
                        <v:imagedata o:title=""/>
                        <o:lock v:ext="edit" aspectratio="f"/>
                        <v:textbox>
                          <w:txbxContent>
                            <w:p>
                              <w:pPr>
                                <w:rPr>
                                  <w:rFonts w:hint="default" w:eastAsia="宋体"/>
                                  <w:lang w:val="en-US" w:eastAsia="zh-CN"/>
                                </w:rPr>
                              </w:pPr>
                              <w:r>
                                <w:rPr>
                                  <w:rFonts w:hint="eastAsia" w:eastAsia="宋体"/>
                                  <w:lang w:val="en-US" w:eastAsia="zh-CN"/>
                                </w:rPr>
                                <w:t>657</w:t>
                              </w:r>
                            </w:p>
                          </w:txbxContent>
                        </v:textbox>
                      </v:shape>
                    </v:group>
                  </w:pict>
                </mc:Fallback>
              </mc:AlternateContent>
            </w: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ind w:firstLine="420" w:firstLineChars="200"/>
              <w:rPr>
                <w:rFonts w:hint="eastAsia" w:eastAsia="宋体"/>
                <w:color w:val="auto"/>
                <w:sz w:val="21"/>
                <w:lang w:eastAsia="zh-CN"/>
              </w:rPr>
            </w:pPr>
          </w:p>
          <w:p>
            <w:pPr>
              <w:pStyle w:val="33"/>
              <w:rPr>
                <w:rFonts w:hint="eastAsia"/>
                <w:lang w:eastAsia="zh-CN"/>
              </w:rPr>
            </w:pPr>
          </w:p>
          <w:p>
            <w:pPr>
              <w:spacing w:line="360" w:lineRule="auto"/>
              <w:jc w:val="center"/>
              <w:textAlignment w:val="auto"/>
              <w:rPr>
                <w:rFonts w:ascii="Times New Roman" w:hAnsi="Times New Roman" w:cs="Times New Roman"/>
                <w:b/>
                <w:bCs/>
                <w:color w:val="auto"/>
                <w:sz w:val="21"/>
                <w:szCs w:val="21"/>
                <w:u w:val="none"/>
              </w:rPr>
            </w:pPr>
          </w:p>
          <w:p>
            <w:pPr>
              <w:pStyle w:val="4"/>
              <w:rPr>
                <w:rFonts w:ascii="Times New Roman" w:hAnsi="Times New Roman" w:cs="Times New Roman"/>
                <w:b/>
                <w:bCs/>
                <w:color w:val="auto"/>
                <w:sz w:val="21"/>
                <w:szCs w:val="21"/>
                <w:u w:val="none"/>
              </w:rPr>
            </w:pPr>
          </w:p>
          <w:p>
            <w:pPr>
              <w:spacing w:line="360" w:lineRule="auto"/>
              <w:jc w:val="center"/>
              <w:textAlignment w:val="auto"/>
              <w:rPr>
                <w:rFonts w:ascii="Times New Roman" w:hAnsi="Times New Roman" w:cs="Times New Roman"/>
                <w:b/>
                <w:bCs/>
                <w:color w:val="auto"/>
                <w:sz w:val="21"/>
                <w:szCs w:val="21"/>
                <w:u w:val="none"/>
              </w:rPr>
            </w:pPr>
          </w:p>
          <w:p>
            <w:pPr>
              <w:spacing w:line="360" w:lineRule="auto"/>
              <w:jc w:val="center"/>
              <w:textAlignment w:val="auto"/>
              <w:rPr>
                <w:rFonts w:hint="default" w:ascii="Times New Roman" w:hAnsi="Times New Roman" w:eastAsia="宋体" w:cs="Times New Roman"/>
                <w:b w:val="0"/>
                <w:bCs w:val="0"/>
                <w:color w:val="auto"/>
                <w:sz w:val="21"/>
                <w:szCs w:val="21"/>
                <w:u w:val="none"/>
                <w:shd w:val="clear" w:color="auto" w:fill="auto"/>
                <w:lang w:val="en-US" w:eastAsia="zh-CN"/>
              </w:rPr>
            </w:pPr>
            <w:r>
              <w:rPr>
                <w:rFonts w:ascii="Times New Roman" w:hAnsi="Times New Roman" w:cs="Times New Roman"/>
                <w:b/>
                <w:bCs/>
                <w:color w:val="auto"/>
                <w:sz w:val="21"/>
                <w:szCs w:val="21"/>
                <w:u w:val="none"/>
              </w:rPr>
              <w:t>图</w:t>
            </w:r>
            <w:r>
              <w:rPr>
                <w:rFonts w:hint="eastAsia" w:ascii="Times New Roman" w:hAnsi="Times New Roman" w:cs="Times New Roman"/>
                <w:b/>
                <w:bCs/>
                <w:color w:val="auto"/>
                <w:sz w:val="21"/>
                <w:szCs w:val="21"/>
                <w:u w:val="none"/>
                <w:lang w:val="en-US" w:eastAsia="zh-CN"/>
              </w:rPr>
              <w:t>2</w:t>
            </w:r>
            <w:r>
              <w:rPr>
                <w:rFonts w:ascii="Times New Roman" w:hAnsi="Times New Roman" w:cs="Times New Roman"/>
                <w:b/>
                <w:bCs/>
                <w:color w:val="auto"/>
                <w:sz w:val="21"/>
                <w:szCs w:val="21"/>
                <w:u w:val="none"/>
              </w:rPr>
              <w:t xml:space="preserve">-1 </w:t>
            </w:r>
            <w:r>
              <w:rPr>
                <w:rFonts w:ascii="Times New Roman" w:hAnsi="Times New Roman" w:cs="Times New Roman"/>
                <w:b/>
                <w:bCs/>
                <w:color w:val="auto"/>
                <w:sz w:val="21"/>
                <w:szCs w:val="21"/>
                <w:highlight w:val="none"/>
                <w:u w:val="none"/>
              </w:rPr>
              <w:t xml:space="preserve">项目水平衡图 </w:t>
            </w:r>
            <w:r>
              <w:rPr>
                <w:rFonts w:ascii="Times New Roman" w:hAnsi="Times New Roman" w:cs="Times New Roman"/>
                <w:b/>
                <w:bCs/>
                <w:color w:val="auto"/>
                <w:sz w:val="21"/>
                <w:szCs w:val="21"/>
                <w:u w:val="none"/>
              </w:rPr>
              <w:t>单位：t/</w:t>
            </w:r>
            <w:r>
              <w:rPr>
                <w:rFonts w:hint="eastAsia" w:ascii="Times New Roman" w:hAnsi="Times New Roman" w:cs="Times New Roman"/>
                <w:b/>
                <w:bCs/>
                <w:color w:val="auto"/>
                <w:sz w:val="21"/>
                <w:szCs w:val="21"/>
                <w:u w:val="none"/>
                <w:lang w:val="en-US" w:eastAsia="zh-CN"/>
              </w:rPr>
              <w:t>a</w:t>
            </w:r>
          </w:p>
          <w:p>
            <w:pPr>
              <w:spacing w:line="360" w:lineRule="auto"/>
              <w:ind w:firstLine="480"/>
              <w:rPr>
                <w:rFonts w:hint="default" w:ascii="Times New Roman" w:hAnsi="Times New Roman" w:eastAsia="宋体" w:cs="Times New Roman"/>
                <w:b/>
                <w:bCs/>
                <w:color w:val="auto"/>
                <w:sz w:val="24"/>
                <w:szCs w:val="24"/>
                <w:u w:val="none"/>
                <w:shd w:val="clear" w:color="auto" w:fill="auto"/>
                <w:lang w:val="en-US" w:eastAsia="zh-CN"/>
              </w:rPr>
            </w:pPr>
            <w:r>
              <w:rPr>
                <w:rFonts w:hint="default" w:ascii="Times New Roman" w:hAnsi="Times New Roman" w:eastAsia="宋体" w:cs="Times New Roman"/>
                <w:b/>
                <w:bCs/>
                <w:color w:val="auto"/>
                <w:sz w:val="24"/>
                <w:szCs w:val="24"/>
                <w:u w:val="none"/>
                <w:shd w:val="clear" w:color="auto" w:fill="auto"/>
                <w:lang w:val="en-US" w:eastAsia="zh-CN"/>
              </w:rPr>
              <w:t>（3）供电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u w:val="none"/>
                <w:shd w:val="clear" w:color="auto" w:fill="auto"/>
                <w:lang w:val="en-US" w:eastAsia="zh-CN"/>
              </w:rPr>
            </w:pPr>
            <w:r>
              <w:rPr>
                <w:rFonts w:hint="default" w:ascii="Times New Roman" w:hAnsi="Times New Roman" w:eastAsia="宋体" w:cs="Times New Roman"/>
                <w:b w:val="0"/>
                <w:bCs w:val="0"/>
                <w:color w:val="auto"/>
                <w:sz w:val="24"/>
                <w:szCs w:val="24"/>
                <w:u w:val="none"/>
                <w:shd w:val="clear" w:color="auto" w:fill="auto"/>
                <w:lang w:val="en-US" w:eastAsia="zh-CN"/>
              </w:rPr>
              <w:t>本工程供电来源于</w:t>
            </w:r>
            <w:r>
              <w:rPr>
                <w:rFonts w:hint="eastAsia" w:ascii="Times New Roman" w:hAnsi="Times New Roman" w:eastAsia="宋体" w:cs="Times New Roman"/>
                <w:b w:val="0"/>
                <w:bCs w:val="0"/>
                <w:color w:val="auto"/>
                <w:sz w:val="24"/>
                <w:szCs w:val="24"/>
                <w:u w:val="none"/>
                <w:shd w:val="clear" w:color="auto" w:fill="auto"/>
                <w:lang w:val="en-US" w:eastAsia="zh-CN"/>
              </w:rPr>
              <w:t>园区</w:t>
            </w:r>
            <w:r>
              <w:rPr>
                <w:rFonts w:hint="default" w:ascii="Times New Roman" w:hAnsi="Times New Roman" w:eastAsia="宋体" w:cs="Times New Roman"/>
                <w:b w:val="0"/>
                <w:bCs w:val="0"/>
                <w:color w:val="auto"/>
                <w:sz w:val="24"/>
                <w:szCs w:val="24"/>
                <w:u w:val="none"/>
                <w:shd w:val="clear" w:color="auto" w:fill="auto"/>
                <w:lang w:val="en-US" w:eastAsia="zh-CN"/>
              </w:rPr>
              <w:t>电网。</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shd w:val="clear" w:color="auto" w:fill="auto"/>
                <w:lang w:val="en-US" w:eastAsia="zh-CN"/>
              </w:rPr>
            </w:pPr>
            <w:r>
              <w:rPr>
                <w:rFonts w:hint="eastAsia" w:ascii="Times New Roman" w:hAnsi="Times New Roman" w:eastAsia="宋体" w:cs="Times New Roman"/>
                <w:b/>
                <w:bCs/>
                <w:color w:val="auto"/>
                <w:sz w:val="24"/>
                <w:szCs w:val="24"/>
                <w:u w:val="none"/>
                <w:shd w:val="clear" w:color="auto" w:fill="auto"/>
                <w:lang w:val="en-US" w:eastAsia="zh-CN"/>
              </w:rPr>
              <w:t>（4）供热方式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sz w:val="24"/>
                <w:szCs w:val="24"/>
                <w:u w:val="none"/>
                <w:shd w:val="clear" w:color="auto" w:fill="auto"/>
                <w:lang w:val="en-US" w:eastAsia="zh-CN"/>
              </w:rPr>
            </w:pPr>
            <w:r>
              <w:rPr>
                <w:rFonts w:hint="eastAsia" w:ascii="Times New Roman" w:hAnsi="Times New Roman" w:eastAsia="宋体" w:cs="Times New Roman"/>
                <w:b w:val="0"/>
                <w:bCs w:val="0"/>
                <w:color w:val="auto"/>
                <w:sz w:val="24"/>
                <w:szCs w:val="24"/>
                <w:u w:val="none"/>
                <w:shd w:val="clear" w:color="auto" w:fill="auto"/>
                <w:lang w:val="en-US" w:eastAsia="zh-CN"/>
              </w:rPr>
              <w:t>本项目</w:t>
            </w:r>
            <w:r>
              <w:rPr>
                <w:rFonts w:hint="default" w:ascii="Times New Roman" w:hAnsi="Times New Roman" w:eastAsia="宋体" w:cs="Times New Roman"/>
                <w:b w:val="0"/>
                <w:bCs w:val="0"/>
                <w:color w:val="auto"/>
                <w:sz w:val="24"/>
                <w:szCs w:val="24"/>
                <w:u w:val="none"/>
                <w:shd w:val="clear" w:color="auto" w:fill="auto"/>
                <w:lang w:val="en-US" w:eastAsia="zh-CN"/>
              </w:rPr>
              <w:t>不设置锅炉、中央空调等集中供热系统，专用电供暖，办公生活区设置独立式单体空调</w:t>
            </w:r>
            <w:r>
              <w:rPr>
                <w:rFonts w:hint="eastAsia" w:ascii="Times New Roman" w:hAnsi="Times New Roman" w:eastAsia="宋体" w:cs="Times New Roman"/>
                <w:b w:val="0"/>
                <w:bCs w:val="0"/>
                <w:color w:val="auto"/>
                <w:sz w:val="24"/>
                <w:szCs w:val="24"/>
                <w:u w:val="none"/>
                <w:shd w:val="clear" w:color="auto" w:fill="auto"/>
                <w:lang w:val="en-US" w:eastAsia="zh-CN"/>
              </w:rPr>
              <w:t>。</w:t>
            </w:r>
          </w:p>
          <w:p>
            <w:pPr>
              <w:adjustRightInd w:val="0"/>
              <w:snapToGrid w:val="0"/>
              <w:spacing w:line="360" w:lineRule="auto"/>
              <w:jc w:val="left"/>
              <w:rPr>
                <w:rFonts w:hint="eastAsia" w:ascii="Times New Roman" w:hAnsi="Times New Roman" w:eastAsia="宋体" w:cs="Times New Roman"/>
                <w:b/>
                <w:bCs/>
                <w:color w:val="auto"/>
                <w:sz w:val="24"/>
                <w:szCs w:val="24"/>
                <w:shd w:val="clear" w:color="auto" w:fill="auto"/>
                <w:lang w:eastAsia="zh-CN"/>
              </w:rPr>
            </w:pPr>
            <w:r>
              <w:rPr>
                <w:rFonts w:hint="eastAsia" w:ascii="Times New Roman" w:hAnsi="Times New Roman" w:eastAsia="宋体" w:cs="Times New Roman"/>
                <w:b/>
                <w:bCs/>
                <w:color w:val="auto"/>
                <w:sz w:val="24"/>
                <w:szCs w:val="24"/>
                <w:shd w:val="clear" w:color="auto" w:fill="auto"/>
                <w:lang w:val="en-US" w:eastAsia="zh-CN"/>
              </w:rPr>
              <w:t>8、</w:t>
            </w:r>
            <w:r>
              <w:rPr>
                <w:rFonts w:hint="eastAsia" w:ascii="Times New Roman" w:hAnsi="Times New Roman" w:eastAsia="宋体" w:cs="Times New Roman"/>
                <w:b/>
                <w:bCs/>
                <w:color w:val="auto"/>
                <w:sz w:val="24"/>
                <w:szCs w:val="24"/>
                <w:shd w:val="clear" w:color="auto" w:fill="auto"/>
                <w:lang w:eastAsia="zh-CN"/>
              </w:rPr>
              <w:t>施工期工艺流程</w:t>
            </w:r>
            <w:r>
              <w:rPr>
                <w:rFonts w:hint="eastAsia" w:ascii="Times New Roman" w:hAnsi="Times New Roman" w:eastAsia="宋体" w:cs="Times New Roman"/>
                <w:b/>
                <w:bCs/>
                <w:sz w:val="24"/>
                <w:szCs w:val="24"/>
                <w:u w:val="none"/>
              </w:rPr>
              <w:t>及产物节点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Style w:val="34"/>
                <w:rFonts w:hint="eastAsia" w:eastAsia="宋体"/>
                <w:b w:val="0"/>
                <w:color w:val="auto"/>
                <w:sz w:val="24"/>
                <w:szCs w:val="24"/>
                <w:u w:val="none"/>
                <w:lang w:val="en-US" w:eastAsia="zh-CN"/>
              </w:rPr>
            </w:pPr>
            <w:r>
              <w:rPr>
                <w:rFonts w:hint="default" w:ascii="Times New Roman" w:hAnsi="Times New Roman" w:eastAsia="宋体" w:cs="Times New Roman"/>
                <w:color w:val="auto"/>
                <w:sz w:val="24"/>
                <w:szCs w:val="24"/>
                <w:u w:val="none"/>
                <w:vertAlign w:val="baseline"/>
                <w:lang w:eastAsia="zh-CN"/>
              </w:rPr>
              <w:t>本项目施工期建设内容主要为</w:t>
            </w:r>
            <w:r>
              <w:rPr>
                <w:rFonts w:hint="eastAsia" w:ascii="Times New Roman" w:hAnsi="Times New Roman" w:eastAsia="宋体" w:cs="Times New Roman"/>
                <w:color w:val="auto"/>
                <w:sz w:val="24"/>
                <w:szCs w:val="24"/>
                <w:u w:val="none"/>
                <w:vertAlign w:val="baseline"/>
                <w:lang w:val="en-US" w:eastAsia="zh-CN"/>
              </w:rPr>
              <w:t>2</w:t>
            </w:r>
            <w:r>
              <w:rPr>
                <w:rFonts w:hint="default" w:ascii="Times New Roman" w:hAnsi="Times New Roman" w:eastAsia="宋体" w:cs="Times New Roman"/>
                <w:color w:val="auto"/>
                <w:sz w:val="24"/>
                <w:szCs w:val="24"/>
                <w:u w:val="none"/>
                <w:vertAlign w:val="baseline"/>
                <w:lang w:eastAsia="zh-CN"/>
              </w:rPr>
              <w:t>栋厂房</w:t>
            </w:r>
            <w:r>
              <w:rPr>
                <w:rFonts w:hint="eastAsia" w:ascii="Times New Roman" w:hAnsi="Times New Roman" w:eastAsia="宋体" w:cs="Times New Roman"/>
                <w:color w:val="auto"/>
                <w:sz w:val="24"/>
                <w:szCs w:val="24"/>
                <w:u w:val="none"/>
                <w:vertAlign w:val="baseline"/>
                <w:lang w:val="en-US" w:eastAsia="zh-CN"/>
              </w:rPr>
              <w:t>、1栋办公楼</w:t>
            </w:r>
            <w:r>
              <w:rPr>
                <w:rFonts w:hint="default" w:ascii="Times New Roman" w:hAnsi="Times New Roman" w:eastAsia="宋体" w:cs="Times New Roman"/>
                <w:color w:val="auto"/>
                <w:sz w:val="24"/>
                <w:szCs w:val="24"/>
                <w:u w:val="none"/>
                <w:vertAlign w:val="baseline"/>
                <w:lang w:eastAsia="zh-CN"/>
              </w:rPr>
              <w:t>及其配套设施</w:t>
            </w:r>
            <w:r>
              <w:rPr>
                <w:rFonts w:hint="eastAsia" w:ascii="Times New Roman" w:hAnsi="Times New Roman" w:eastAsia="宋体" w:cs="Times New Roman"/>
                <w:color w:val="auto"/>
                <w:sz w:val="24"/>
                <w:szCs w:val="24"/>
                <w:u w:val="none"/>
                <w:vertAlign w:val="baseline"/>
                <w:lang w:eastAsia="zh-CN"/>
              </w:rPr>
              <w:t>等</w:t>
            </w:r>
            <w:r>
              <w:rPr>
                <w:rFonts w:hint="default" w:ascii="Times New Roman" w:hAnsi="Times New Roman" w:eastAsia="宋体" w:cs="Times New Roman"/>
                <w:color w:val="auto"/>
                <w:sz w:val="24"/>
                <w:szCs w:val="24"/>
                <w:u w:val="none"/>
                <w:vertAlign w:val="baseline"/>
                <w:lang w:val="en-US" w:eastAsia="zh-CN"/>
              </w:rPr>
              <w:t>，施工内容主要为</w:t>
            </w:r>
            <w:r>
              <w:rPr>
                <w:rFonts w:hint="default" w:ascii="Times New Roman" w:hAnsi="Times New Roman" w:eastAsia="宋体" w:cs="Times New Roman"/>
                <w:color w:val="auto"/>
                <w:sz w:val="24"/>
                <w:szCs w:val="32"/>
                <w:u w:val="none"/>
              </w:rPr>
              <w:t>场地挖方和平整、开挖基槽、铺设管线、回填基坑、地基处理、</w:t>
            </w:r>
            <w:r>
              <w:rPr>
                <w:rFonts w:hint="default" w:ascii="Times New Roman" w:hAnsi="Times New Roman" w:eastAsia="宋体" w:cs="Times New Roman"/>
                <w:color w:val="auto"/>
                <w:sz w:val="24"/>
                <w:szCs w:val="32"/>
                <w:u w:val="none"/>
                <w:lang w:eastAsia="zh-CN"/>
              </w:rPr>
              <w:t>厂房</w:t>
            </w:r>
            <w:r>
              <w:rPr>
                <w:rFonts w:hint="default" w:ascii="Times New Roman" w:hAnsi="Times New Roman" w:eastAsia="宋体" w:cs="Times New Roman"/>
                <w:color w:val="auto"/>
                <w:sz w:val="24"/>
                <w:szCs w:val="32"/>
                <w:u w:val="none"/>
              </w:rPr>
              <w:t>建筑施工、绿化工程、设备安装、扫尾工程，工程竣工经验收合格后投入使用</w:t>
            </w:r>
            <w:r>
              <w:rPr>
                <w:rFonts w:hint="eastAsia" w:ascii="Times New Roman" w:hAnsi="Times New Roman" w:eastAsia="宋体" w:cs="Times New Roman"/>
                <w:color w:val="auto"/>
                <w:sz w:val="24"/>
                <w:szCs w:val="24"/>
                <w:lang w:val="en-US" w:eastAsia="zh-CN"/>
              </w:rPr>
              <w:t>。</w:t>
            </w:r>
            <w:r>
              <w:rPr>
                <w:rStyle w:val="34"/>
                <w:rFonts w:hint="eastAsia" w:eastAsia="宋体"/>
                <w:b w:val="0"/>
                <w:color w:val="auto"/>
                <w:sz w:val="24"/>
                <w:szCs w:val="24"/>
                <w:u w:val="none"/>
                <w:lang w:eastAsia="zh-CN"/>
              </w:rPr>
              <w:t>施工期</w:t>
            </w:r>
            <w:r>
              <w:rPr>
                <w:rStyle w:val="34"/>
                <w:rFonts w:eastAsia="宋体"/>
                <w:b w:val="0"/>
                <w:color w:val="auto"/>
                <w:sz w:val="24"/>
                <w:szCs w:val="24"/>
                <w:u w:val="none"/>
              </w:rPr>
              <w:t>将产生噪声、废气、固废、施工废水、生活污水等污染物。项目建设流程及污染物排放节点详见图</w:t>
            </w:r>
            <w:r>
              <w:rPr>
                <w:rStyle w:val="34"/>
                <w:rFonts w:hint="eastAsia" w:eastAsia="宋体"/>
                <w:b w:val="0"/>
                <w:color w:val="auto"/>
                <w:sz w:val="24"/>
                <w:szCs w:val="24"/>
                <w:u w:val="none"/>
                <w:lang w:val="en-US" w:eastAsia="zh-CN"/>
              </w:rPr>
              <w:t>2-2：</w:t>
            </w:r>
          </w:p>
          <w:p>
            <w:pPr>
              <w:adjustRightInd w:val="0"/>
              <w:snapToGrid w:val="0"/>
              <w:spacing w:line="360" w:lineRule="auto"/>
              <w:ind w:firstLine="420" w:firstLineChars="200"/>
              <w:jc w:val="center"/>
              <w:rPr>
                <w:rFonts w:ascii="Times New Roman" w:hAnsi="Times New Roman" w:cs="Times New Roman"/>
                <w:color w:val="auto"/>
                <w:u w:val="none"/>
              </w:rPr>
            </w:pPr>
            <w:r>
              <w:rPr>
                <w:rFonts w:ascii="Times New Roman" w:hAnsi="Times New Roman" w:cs="Times New Roman"/>
                <w:color w:val="auto"/>
                <w:u w:val="none"/>
              </w:rPr>
              <w:object>
                <v:shape id="_x0000_i1025" o:spt="75" type="#_x0000_t75" style="height:195.55pt;width:256.5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p>
          <w:p>
            <w:pPr>
              <w:adjustRightInd w:val="0"/>
              <w:snapToGrid w:val="0"/>
              <w:spacing w:line="360" w:lineRule="auto"/>
              <w:jc w:val="center"/>
              <w:rPr>
                <w:bCs/>
                <w:szCs w:val="21"/>
              </w:rPr>
            </w:pPr>
            <w:r>
              <w:rPr>
                <w:rStyle w:val="34"/>
                <w:rFonts w:eastAsia="宋体"/>
                <w:color w:val="auto"/>
                <w:sz w:val="21"/>
                <w:szCs w:val="21"/>
                <w:u w:val="none"/>
              </w:rPr>
              <w:t>图</w:t>
            </w:r>
            <w:r>
              <w:rPr>
                <w:rStyle w:val="34"/>
                <w:rFonts w:hint="eastAsia" w:eastAsia="宋体"/>
                <w:color w:val="auto"/>
                <w:sz w:val="21"/>
                <w:szCs w:val="21"/>
                <w:u w:val="none"/>
                <w:lang w:val="en-US" w:eastAsia="zh-CN"/>
              </w:rPr>
              <w:t>2-2</w:t>
            </w:r>
            <w:r>
              <w:rPr>
                <w:rStyle w:val="34"/>
                <w:rFonts w:eastAsia="宋体"/>
                <w:color w:val="auto"/>
                <w:sz w:val="21"/>
                <w:szCs w:val="21"/>
                <w:u w:val="none"/>
              </w:rPr>
              <w:t xml:space="preserve"> 项目施工流程及产污节点图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5" w:hRule="atLeast"/>
          <w:jc w:val="center"/>
        </w:trPr>
        <w:tc>
          <w:tcPr>
            <w:tcW w:w="730" w:type="dxa"/>
            <w:noWrap w:val="0"/>
            <w:vAlign w:val="center"/>
          </w:tcPr>
          <w:p>
            <w:pPr>
              <w:pStyle w:val="13"/>
              <w:adjustRightInd w:val="0"/>
              <w:snapToGrid w:val="0"/>
              <w:spacing w:before="0" w:beforeAutospacing="0" w:after="0" w:afterAutospacing="0"/>
              <w:jc w:val="center"/>
              <w:rPr>
                <w:rFonts w:ascii="Times New Roman" w:hAnsi="Times New Roman"/>
                <w:sz w:val="21"/>
                <w:szCs w:val="21"/>
                <w:lang w:val="en-US" w:eastAsia="zh-CN"/>
              </w:rPr>
            </w:pPr>
            <w:r>
              <w:rPr>
                <w:rFonts w:ascii="Times New Roman"/>
                <w:sz w:val="21"/>
                <w:szCs w:val="21"/>
                <w:lang w:val="en-US" w:eastAsia="zh-CN"/>
              </w:rPr>
              <w:t>工艺流程和产排污环节</w:t>
            </w:r>
          </w:p>
        </w:tc>
        <w:tc>
          <w:tcPr>
            <w:tcW w:w="8330" w:type="dxa"/>
            <w:noWrap w:val="0"/>
            <w:vAlign w:val="top"/>
          </w:tcPr>
          <w:p>
            <w:pPr>
              <w:numPr>
                <w:ilvl w:val="0"/>
                <w:numId w:val="0"/>
              </w:numPr>
              <w:adjustRightInd w:val="0"/>
              <w:snapToGrid w:val="0"/>
              <w:spacing w:line="360" w:lineRule="auto"/>
              <w:jc w:val="left"/>
              <w:rPr>
                <w:rFonts w:hint="eastAsia"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val="en-US" w:eastAsia="zh-CN"/>
              </w:rPr>
              <w:t>9、</w:t>
            </w:r>
            <w:r>
              <w:rPr>
                <w:rFonts w:hint="eastAsia" w:ascii="Times New Roman" w:hAnsi="Times New Roman" w:eastAsia="宋体" w:cs="Times New Roman"/>
                <w:b/>
                <w:bCs/>
                <w:sz w:val="24"/>
                <w:szCs w:val="24"/>
                <w:u w:val="none"/>
                <w:lang w:eastAsia="zh-CN"/>
              </w:rPr>
              <w:t>运营</w:t>
            </w:r>
            <w:r>
              <w:rPr>
                <w:rFonts w:hint="eastAsia" w:ascii="Times New Roman" w:hAnsi="Times New Roman" w:eastAsia="宋体" w:cs="Times New Roman"/>
                <w:b/>
                <w:bCs/>
                <w:sz w:val="24"/>
                <w:szCs w:val="24"/>
                <w:u w:val="none"/>
              </w:rPr>
              <w:t>期工艺流程及产物节点</w:t>
            </w:r>
          </w:p>
          <w:p>
            <w:pPr>
              <w:pStyle w:val="4"/>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textAlignment w:val="auto"/>
              <w:rPr>
                <w:rFonts w:hint="default" w:eastAsia="宋体"/>
                <w:b/>
                <w:bCs/>
                <w:sz w:val="24"/>
                <w:szCs w:val="24"/>
                <w:lang w:val="en-US" w:eastAsia="zh-CN"/>
              </w:rPr>
            </w:pPr>
            <w:r>
              <w:rPr>
                <w:rFonts w:hint="eastAsia"/>
                <w:b/>
                <w:bCs/>
                <w:sz w:val="24"/>
                <w:szCs w:val="24"/>
                <w:lang w:val="en-US" w:eastAsia="zh-CN"/>
              </w:rPr>
              <w:t>1</w:t>
            </w:r>
            <w:r>
              <w:rPr>
                <w:rFonts w:hint="eastAsia"/>
                <w:b/>
                <w:bCs/>
                <w:sz w:val="24"/>
                <w:szCs w:val="24"/>
                <w:lang w:eastAsia="zh-CN"/>
              </w:rPr>
              <w:t>）</w:t>
            </w:r>
            <w:r>
              <w:rPr>
                <w:rFonts w:hint="eastAsia"/>
                <w:b/>
                <w:bCs/>
                <w:sz w:val="24"/>
                <w:szCs w:val="24"/>
                <w:lang w:val="en-US" w:eastAsia="zh-CN"/>
              </w:rPr>
              <w:t>报废机动车拆解工艺流程</w:t>
            </w:r>
          </w:p>
          <w:p>
            <w:pPr>
              <w:spacing w:line="360" w:lineRule="auto"/>
              <w:ind w:firstLine="518" w:firstLineChars="247"/>
              <w:rPr>
                <w:sz w:val="24"/>
                <w:szCs w:val="24"/>
                <w:u w:val="none"/>
              </w:rPr>
            </w:pPr>
            <w:r>
              <w:drawing>
                <wp:anchor distT="0" distB="0" distL="114300" distR="114300" simplePos="0" relativeHeight="251660288" behindDoc="1" locked="0" layoutInCell="1" allowOverlap="1">
                  <wp:simplePos x="0" y="0"/>
                  <wp:positionH relativeFrom="column">
                    <wp:posOffset>215265</wp:posOffset>
                  </wp:positionH>
                  <wp:positionV relativeFrom="paragraph">
                    <wp:posOffset>793115</wp:posOffset>
                  </wp:positionV>
                  <wp:extent cx="5206365" cy="7105015"/>
                  <wp:effectExtent l="0" t="0" r="13335" b="635"/>
                  <wp:wrapNone/>
                  <wp:docPr id="7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3"/>
                          <pic:cNvPicPr>
                            <a:picLocks noChangeAspect="1"/>
                          </pic:cNvPicPr>
                        </pic:nvPicPr>
                        <pic:blipFill>
                          <a:blip r:embed="rId20"/>
                          <a:stretch>
                            <a:fillRect/>
                          </a:stretch>
                        </pic:blipFill>
                        <pic:spPr>
                          <a:xfrm>
                            <a:off x="0" y="0"/>
                            <a:ext cx="5206365" cy="7105015"/>
                          </a:xfrm>
                          <a:prstGeom prst="rect">
                            <a:avLst/>
                          </a:prstGeom>
                          <a:noFill/>
                          <a:ln>
                            <a:noFill/>
                          </a:ln>
                        </pic:spPr>
                      </pic:pic>
                    </a:graphicData>
                  </a:graphic>
                </wp:anchor>
              </w:drawing>
            </w:r>
            <w:r>
              <w:rPr>
                <w:rFonts w:hint="eastAsia"/>
                <w:sz w:val="24"/>
                <w:szCs w:val="24"/>
                <w:u w:val="none"/>
              </w:rPr>
              <w:t>项目生产任务是对</w:t>
            </w:r>
            <w:r>
              <w:rPr>
                <w:rFonts w:hint="eastAsia"/>
                <w:sz w:val="24"/>
                <w:szCs w:val="24"/>
                <w:u w:val="none"/>
                <w:lang w:eastAsia="zh-CN"/>
              </w:rPr>
              <w:t>报废机动车</w:t>
            </w:r>
            <w:r>
              <w:rPr>
                <w:rFonts w:hint="eastAsia"/>
                <w:sz w:val="24"/>
                <w:szCs w:val="24"/>
                <w:u w:val="none"/>
              </w:rPr>
              <w:t>进行拆解、无害化处理与资源回收。根据《</w:t>
            </w:r>
            <w:r>
              <w:rPr>
                <w:rFonts w:hint="eastAsia"/>
                <w:sz w:val="24"/>
                <w:szCs w:val="24"/>
                <w:u w:val="none"/>
                <w:lang w:eastAsia="zh-CN"/>
              </w:rPr>
              <w:t>报废机动车</w:t>
            </w:r>
            <w:r>
              <w:rPr>
                <w:rFonts w:hint="eastAsia"/>
                <w:sz w:val="24"/>
                <w:szCs w:val="24"/>
                <w:u w:val="none"/>
              </w:rPr>
              <w:t>回收拆解企业技术规范》(GB 2218-2008）和</w:t>
            </w:r>
            <w:r>
              <w:rPr>
                <w:rFonts w:hint="eastAsia"/>
                <w:sz w:val="24"/>
                <w:szCs w:val="24"/>
                <w:u w:val="none"/>
                <w:lang w:val="en-US" w:eastAsia="zh-CN"/>
              </w:rPr>
              <w:t>《报废机动车拆解企业污染控制技术规范》（HJ348-2022）</w:t>
            </w:r>
            <w:r>
              <w:rPr>
                <w:rFonts w:hint="eastAsia"/>
                <w:sz w:val="24"/>
                <w:szCs w:val="24"/>
                <w:u w:val="none"/>
              </w:rPr>
              <w:t>的要求进行拆解</w:t>
            </w:r>
            <w:r>
              <w:rPr>
                <w:rFonts w:hint="eastAsia"/>
                <w:sz w:val="24"/>
                <w:szCs w:val="24"/>
                <w:u w:val="none"/>
                <w:lang w:eastAsia="zh-CN"/>
              </w:rPr>
              <w:t>。</w:t>
            </w:r>
            <w:r>
              <w:rPr>
                <w:sz w:val="24"/>
                <w:szCs w:val="24"/>
                <w:u w:val="none"/>
              </w:rPr>
              <w:t>工艺流程图如下图所示：</w:t>
            </w:r>
          </w:p>
          <w:p>
            <w:pPr>
              <w:adjustRightInd w:val="0"/>
              <w:snapToGrid w:val="0"/>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jc w:val="center"/>
              <w:rPr>
                <w:b/>
                <w:bCs/>
                <w:u w:val="none"/>
              </w:rPr>
            </w:pPr>
          </w:p>
          <w:p>
            <w:pPr>
              <w:pStyle w:val="15"/>
              <w:ind w:left="0" w:leftChars="0" w:firstLine="0" w:firstLineChars="0"/>
              <w:jc w:val="center"/>
              <w:rPr>
                <w:rFonts w:hint="eastAsia" w:ascii="Times New Roman" w:hAnsi="Times New Roman" w:eastAsia="宋体" w:cs="Times New Roman"/>
                <w:b/>
                <w:bCs/>
                <w:sz w:val="24"/>
                <w:szCs w:val="24"/>
                <w:u w:val="none"/>
                <w:lang w:eastAsia="zh-CN"/>
              </w:rPr>
            </w:pPr>
            <w:r>
              <w:rPr>
                <w:b/>
                <w:bCs/>
                <w:u w:val="none"/>
              </w:rPr>
              <w:t>图</w:t>
            </w:r>
            <w:r>
              <w:rPr>
                <w:rFonts w:hint="eastAsia"/>
                <w:b/>
                <w:bCs/>
                <w:u w:val="none"/>
                <w:lang w:val="en-US" w:eastAsia="zh-CN"/>
              </w:rPr>
              <w:t>2-3</w:t>
            </w:r>
            <w:r>
              <w:rPr>
                <w:b/>
                <w:bCs/>
                <w:u w:val="none"/>
              </w:rPr>
              <w:t xml:space="preserve"> </w:t>
            </w:r>
            <w:r>
              <w:rPr>
                <w:rFonts w:hint="eastAsia"/>
                <w:b/>
                <w:bCs/>
                <w:u w:val="none"/>
                <w:lang w:eastAsia="zh-CN"/>
              </w:rPr>
              <w:t>报废燃油汽车拆解工艺流程</w:t>
            </w:r>
            <w:r>
              <w:rPr>
                <w:b/>
                <w:bCs/>
                <w:u w:val="none"/>
              </w:rPr>
              <w:t>及产污节点图</w:t>
            </w:r>
          </w:p>
          <w:p>
            <w:pPr>
              <w:spacing w:line="360" w:lineRule="auto"/>
              <w:ind w:firstLine="482" w:firstLineChars="200"/>
              <w:rPr>
                <w:rFonts w:hint="eastAsia" w:ascii="Times New Roman" w:hAnsi="Times New Roman" w:eastAsia="宋体" w:cs="Times New Roman"/>
                <w:b/>
                <w:bCs/>
                <w:sz w:val="24"/>
                <w:szCs w:val="24"/>
                <w:u w:val="none"/>
              </w:rPr>
            </w:pPr>
            <w:r>
              <w:rPr>
                <w:rFonts w:hint="eastAsia" w:ascii="Times New Roman" w:hAnsi="Times New Roman" w:eastAsia="宋体" w:cs="Times New Roman"/>
                <w:b/>
                <w:bCs/>
                <w:sz w:val="24"/>
                <w:szCs w:val="24"/>
                <w:u w:val="none"/>
                <w:lang w:eastAsia="zh-CN"/>
              </w:rPr>
              <w:t>报废燃油汽车拆解</w:t>
            </w:r>
            <w:r>
              <w:rPr>
                <w:rFonts w:hint="eastAsia" w:ascii="Times New Roman" w:hAnsi="Times New Roman" w:eastAsia="宋体" w:cs="Times New Roman"/>
                <w:b/>
                <w:bCs/>
                <w:sz w:val="24"/>
                <w:szCs w:val="24"/>
                <w:u w:val="none"/>
              </w:rPr>
              <w:t>工艺流程</w:t>
            </w:r>
            <w:r>
              <w:rPr>
                <w:rFonts w:hint="eastAsia" w:ascii="Times New Roman" w:hAnsi="Times New Roman" w:eastAsia="宋体" w:cs="Times New Roman"/>
                <w:b/>
                <w:bCs/>
                <w:sz w:val="24"/>
                <w:szCs w:val="24"/>
                <w:u w:val="none"/>
                <w:lang w:eastAsia="zh-CN"/>
              </w:rPr>
              <w:t>如下</w:t>
            </w:r>
            <w:r>
              <w:rPr>
                <w:rFonts w:hint="eastAsia" w:ascii="Times New Roman" w:hAnsi="Times New Roman" w:eastAsia="宋体" w:cs="Times New Roman"/>
                <w:b/>
                <w:bCs/>
                <w:sz w:val="24"/>
                <w:szCs w:val="24"/>
                <w:u w:val="none"/>
              </w:rPr>
              <w:t>：</w:t>
            </w:r>
          </w:p>
          <w:p>
            <w:pPr>
              <w:spacing w:line="360" w:lineRule="auto"/>
              <w:ind w:firstLine="482" w:firstLineChars="200"/>
              <w:rPr>
                <w:rFonts w:hint="eastAsia" w:ascii="Times New Roman" w:hAnsi="Times New Roman" w:eastAsia="宋体" w:cs="Times New Roman"/>
                <w:b/>
                <w:bCs/>
                <w:sz w:val="24"/>
                <w:szCs w:val="24"/>
                <w:u w:val="none"/>
                <w:lang w:eastAsia="zh-CN"/>
              </w:rPr>
            </w:pPr>
            <w:r>
              <w:rPr>
                <w:rFonts w:hint="eastAsia" w:ascii="Times New Roman" w:hAnsi="Times New Roman" w:eastAsia="宋体" w:cs="Times New Roman"/>
                <w:b/>
                <w:bCs/>
                <w:sz w:val="24"/>
                <w:szCs w:val="24"/>
                <w:u w:val="none"/>
                <w:lang w:eastAsia="zh-CN"/>
              </w:rPr>
              <w:t>（1）检查和登记</w:t>
            </w:r>
          </w:p>
          <w:p>
            <w:pPr>
              <w:spacing w:line="360" w:lineRule="auto"/>
              <w:ind w:firstLine="480" w:firstLineChars="200"/>
              <w:rPr>
                <w:rFonts w:hint="eastAsia" w:ascii="Times New Roman" w:hAnsi="Times New Roman" w:eastAsia="宋体" w:cs="Times New Roman"/>
                <w:sz w:val="24"/>
                <w:szCs w:val="24"/>
                <w:u w:val="none"/>
                <w:lang w:eastAsia="zh-CN"/>
              </w:rPr>
            </w:pPr>
            <w:r>
              <w:rPr>
                <w:rFonts w:hint="eastAsia" w:ascii="Times New Roman" w:hAnsi="Times New Roman" w:eastAsia="宋体" w:cs="Times New Roman"/>
                <w:sz w:val="24"/>
                <w:szCs w:val="24"/>
                <w:u w:val="none"/>
                <w:lang w:eastAsia="zh-CN"/>
              </w:rPr>
              <w:t>①将报废机动车所有人（单位）名称、有效证件号码、牌照号码、车型、品牌型号、车身颜色、重量、发动机号和/或动力蓄电池编码、车辆识别代号（或车架号）、出厂年份、接收或收购日期等主要信息及报废机动车车身照片按要求录入“全国汽车流通信息管理系统”。相关信息记录至少保存3年。</w:t>
            </w:r>
          </w:p>
          <w:p>
            <w:pPr>
              <w:spacing w:line="360" w:lineRule="auto"/>
              <w:ind w:firstLine="480" w:firstLineChars="200"/>
              <w:rPr>
                <w:rFonts w:hint="eastAsia" w:ascii="Times New Roman" w:hAnsi="Times New Roman" w:eastAsia="宋体" w:cs="Times New Roman"/>
                <w:sz w:val="24"/>
                <w:szCs w:val="24"/>
                <w:u w:val="none"/>
                <w:lang w:eastAsia="zh-CN"/>
              </w:rPr>
            </w:pPr>
            <w:r>
              <w:rPr>
                <w:rFonts w:hint="eastAsia" w:ascii="Times New Roman" w:hAnsi="Times New Roman" w:eastAsia="宋体" w:cs="Times New Roman"/>
                <w:sz w:val="24"/>
                <w:szCs w:val="24"/>
                <w:u w:val="none"/>
                <w:lang w:eastAsia="zh-CN"/>
              </w:rPr>
              <w:t>②检查报废机动车发动机/动力蓄电池、散热器、变速器、差速器、油箱等总成部件的密封、破损情况。对于出现泄漏的总成部件，应采用适当的方式收集泄漏的液体或封住泄漏处，防止废液渗入地下。对于出现动力蓄电池破损、裸露电极头和线束等存在漏电风险的电动汽车，应及时采用适当的方式进行绝缘处理。</w:t>
            </w:r>
          </w:p>
          <w:p>
            <w:pPr>
              <w:spacing w:line="360" w:lineRule="auto"/>
              <w:ind w:firstLine="480" w:firstLineChars="200"/>
              <w:rPr>
                <w:rFonts w:hint="eastAsia" w:ascii="Times New Roman" w:hAnsi="Times New Roman" w:eastAsia="宋体" w:cs="Times New Roman"/>
                <w:sz w:val="24"/>
                <w:szCs w:val="24"/>
                <w:u w:val="none"/>
                <w:lang w:eastAsia="zh-CN"/>
              </w:rPr>
            </w:pPr>
            <w:r>
              <w:rPr>
                <w:rFonts w:hint="eastAsia" w:ascii="Times New Roman" w:hAnsi="Times New Roman" w:eastAsia="宋体" w:cs="Times New Roman"/>
                <w:sz w:val="24"/>
                <w:szCs w:val="24"/>
                <w:u w:val="none"/>
                <w:lang w:eastAsia="zh-CN"/>
              </w:rPr>
              <w:t>③将报废机动车的机动车登记证书、号牌、行驶证交公安机关交通管理部门办理注销登记。</w:t>
            </w:r>
          </w:p>
          <w:p>
            <w:pPr>
              <w:spacing w:line="360" w:lineRule="auto"/>
              <w:ind w:firstLine="480"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sz w:val="24"/>
                <w:szCs w:val="24"/>
                <w:u w:val="none"/>
                <w:lang w:eastAsia="zh-CN"/>
              </w:rPr>
              <w:t>④向报废机动车车主发放《报废机动车回收证明》及有关注销书面材料。</w:t>
            </w:r>
          </w:p>
          <w:p>
            <w:pPr>
              <w:adjustRightInd w:val="0"/>
              <w:snapToGrid w:val="0"/>
              <w:spacing w:line="360" w:lineRule="auto"/>
              <w:ind w:firstLine="482" w:firstLineChars="200"/>
              <w:rPr>
                <w:rFonts w:hint="eastAsia" w:ascii="Times New Roman" w:hAnsi="Times New Roman" w:eastAsia="宋体" w:cs="Times New Roman"/>
                <w:bCs/>
                <w:sz w:val="24"/>
                <w:szCs w:val="24"/>
              </w:rPr>
            </w:pPr>
            <w:r>
              <w:rPr>
                <w:rFonts w:hint="eastAsia" w:ascii="Times New Roman" w:hAnsi="Times New Roman" w:eastAsia="宋体" w:cs="Times New Roman"/>
                <w:b/>
                <w:bCs w:val="0"/>
                <w:sz w:val="24"/>
                <w:szCs w:val="24"/>
                <w:lang w:eastAsia="zh-CN"/>
              </w:rPr>
              <w:t>（</w:t>
            </w:r>
            <w:r>
              <w:rPr>
                <w:rFonts w:hint="eastAsia" w:ascii="Times New Roman" w:hAnsi="Times New Roman" w:eastAsia="宋体" w:cs="Times New Roman"/>
                <w:b/>
                <w:bCs w:val="0"/>
                <w:sz w:val="24"/>
                <w:szCs w:val="24"/>
                <w:lang w:val="en-US" w:eastAsia="zh-CN"/>
              </w:rPr>
              <w:t>2</w:t>
            </w:r>
            <w:r>
              <w:rPr>
                <w:rFonts w:hint="eastAsia" w:ascii="Times New Roman" w:hAnsi="Times New Roman" w:eastAsia="宋体" w:cs="Times New Roman"/>
                <w:b/>
                <w:bCs w:val="0"/>
                <w:sz w:val="24"/>
                <w:szCs w:val="24"/>
                <w:lang w:eastAsia="zh-CN"/>
              </w:rPr>
              <w:t>）报废机动车</w:t>
            </w:r>
            <w:r>
              <w:rPr>
                <w:rFonts w:hint="eastAsia" w:ascii="Times New Roman" w:hAnsi="Times New Roman" w:eastAsia="宋体" w:cs="Times New Roman"/>
                <w:b/>
                <w:bCs w:val="0"/>
                <w:sz w:val="24"/>
                <w:szCs w:val="24"/>
              </w:rPr>
              <w:t>临时贮存</w:t>
            </w:r>
          </w:p>
          <w:p>
            <w:pPr>
              <w:adjustRightInd w:val="0"/>
              <w:snapToGrid w:val="0"/>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lang w:eastAsia="zh-CN"/>
              </w:rPr>
              <w:t>报废机动车</w:t>
            </w:r>
            <w:r>
              <w:rPr>
                <w:rFonts w:hint="eastAsia" w:ascii="Times New Roman" w:hAnsi="Times New Roman" w:eastAsia="宋体" w:cs="Times New Roman"/>
                <w:bCs/>
                <w:sz w:val="24"/>
                <w:szCs w:val="24"/>
              </w:rPr>
              <w:t>临时存储要求如下：</w:t>
            </w:r>
          </w:p>
          <w:p>
            <w:pPr>
              <w:adjustRightInd w:val="0"/>
              <w:snapToGrid w:val="0"/>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sz w:val="24"/>
                <w:szCs w:val="24"/>
                <w:u w:val="none"/>
                <w:lang w:eastAsia="zh-CN"/>
              </w:rPr>
              <w:t>①</w:t>
            </w:r>
            <w:r>
              <w:rPr>
                <w:rFonts w:hint="eastAsia" w:ascii="Times New Roman" w:hAnsi="Times New Roman" w:eastAsia="宋体" w:cs="Times New Roman"/>
                <w:bCs/>
                <w:sz w:val="24"/>
                <w:szCs w:val="24"/>
                <w:lang w:eastAsia="zh-CN"/>
              </w:rPr>
              <w:t>报废机动车</w:t>
            </w:r>
            <w:r>
              <w:rPr>
                <w:rFonts w:hint="eastAsia" w:ascii="Times New Roman" w:hAnsi="Times New Roman" w:eastAsia="宋体" w:cs="Times New Roman"/>
                <w:bCs/>
                <w:sz w:val="24"/>
                <w:szCs w:val="24"/>
              </w:rPr>
              <w:t>停放区车辆一般单个停放，不堆积。如需要叠放，应使上下车辆的重心尽量重合，以防掉落，且叠放时外侧高度不超过3m，内侧高度不超过4.5m；对大型车辆应单层平置。如果为框架结构，要考虑其承重安全性，做到结构合理，可靠性好，并且能够合理装卸，而对存储高度没有限制。</w:t>
            </w:r>
          </w:p>
          <w:p>
            <w:pPr>
              <w:adjustRightInd w:val="0"/>
              <w:snapToGrid w:val="0"/>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sz w:val="24"/>
                <w:szCs w:val="24"/>
                <w:u w:val="none"/>
                <w:lang w:eastAsia="zh-CN"/>
              </w:rPr>
              <w:t>②</w:t>
            </w:r>
            <w:r>
              <w:rPr>
                <w:rFonts w:hint="eastAsia" w:ascii="Times New Roman" w:hAnsi="Times New Roman" w:eastAsia="宋体" w:cs="Times New Roman"/>
                <w:bCs/>
                <w:sz w:val="24"/>
                <w:szCs w:val="24"/>
              </w:rPr>
              <w:t>应与其他废弃物分开存储。</w:t>
            </w:r>
          </w:p>
          <w:p>
            <w:pPr>
              <w:adjustRightInd w:val="0"/>
              <w:snapToGrid w:val="0"/>
              <w:spacing w:line="360" w:lineRule="auto"/>
              <w:ind w:firstLine="480" w:firstLineChars="200"/>
              <w:rPr>
                <w:rFonts w:hint="eastAsia" w:ascii="Times New Roman" w:hAnsi="Times New Roman" w:eastAsia="宋体" w:cs="Times New Roman"/>
                <w:bCs/>
                <w:sz w:val="24"/>
                <w:szCs w:val="24"/>
              </w:rPr>
            </w:pPr>
            <w:r>
              <w:rPr>
                <w:rFonts w:hint="eastAsia" w:ascii="Times New Roman" w:hAnsi="Times New Roman" w:eastAsia="宋体" w:cs="Times New Roman"/>
                <w:sz w:val="24"/>
                <w:szCs w:val="24"/>
                <w:u w:val="none"/>
                <w:lang w:eastAsia="zh-CN"/>
              </w:rPr>
              <w:t>③</w:t>
            </w:r>
            <w:r>
              <w:rPr>
                <w:rFonts w:hint="eastAsia" w:ascii="Times New Roman" w:hAnsi="Times New Roman" w:eastAsia="宋体" w:cs="Times New Roman"/>
                <w:bCs/>
                <w:sz w:val="24"/>
                <w:szCs w:val="24"/>
              </w:rPr>
              <w:t>接受或收购</w:t>
            </w:r>
            <w:r>
              <w:rPr>
                <w:rFonts w:hint="eastAsia" w:ascii="Times New Roman" w:hAnsi="Times New Roman" w:eastAsia="宋体" w:cs="Times New Roman"/>
                <w:bCs/>
                <w:sz w:val="24"/>
                <w:szCs w:val="24"/>
                <w:lang w:eastAsia="zh-CN"/>
              </w:rPr>
              <w:t>报废机动车</w:t>
            </w:r>
            <w:r>
              <w:rPr>
                <w:rFonts w:hint="eastAsia" w:ascii="Times New Roman" w:hAnsi="Times New Roman" w:eastAsia="宋体" w:cs="Times New Roman"/>
                <w:bCs/>
                <w:sz w:val="24"/>
                <w:szCs w:val="24"/>
              </w:rPr>
              <w:t>后，在三个月内将其拆解完毕。对有渗液现象的</w:t>
            </w:r>
            <w:r>
              <w:rPr>
                <w:rFonts w:hint="eastAsia" w:ascii="Times New Roman" w:hAnsi="Times New Roman" w:eastAsia="宋体" w:cs="Times New Roman"/>
                <w:bCs/>
                <w:sz w:val="24"/>
                <w:szCs w:val="24"/>
                <w:lang w:eastAsia="zh-CN"/>
              </w:rPr>
              <w:t>报废机动车</w:t>
            </w:r>
            <w:r>
              <w:rPr>
                <w:rFonts w:hint="eastAsia" w:ascii="Times New Roman" w:hAnsi="Times New Roman" w:eastAsia="宋体" w:cs="Times New Roman"/>
                <w:bCs/>
                <w:sz w:val="24"/>
                <w:szCs w:val="24"/>
              </w:rPr>
              <w:t>应立即进入拆解车间进行拆解。</w:t>
            </w:r>
          </w:p>
          <w:p>
            <w:pPr>
              <w:spacing w:line="360" w:lineRule="auto"/>
              <w:ind w:firstLine="482" w:firstLineChars="200"/>
              <w:rPr>
                <w:rFonts w:hint="eastAsia" w:ascii="Times New Roman" w:hAnsi="Times New Roman"/>
                <w:b/>
                <w:bCs/>
                <w:sz w:val="24"/>
                <w:szCs w:val="24"/>
                <w:u w:val="none"/>
              </w:rPr>
            </w:pPr>
            <w:r>
              <w:rPr>
                <w:rFonts w:hint="eastAsia" w:ascii="Times New Roman" w:hAnsi="Times New Roman"/>
                <w:b/>
                <w:bCs/>
                <w:sz w:val="24"/>
                <w:szCs w:val="24"/>
                <w:u w:val="none"/>
                <w:lang w:eastAsia="zh-CN"/>
              </w:rPr>
              <w:t>（</w:t>
            </w:r>
            <w:r>
              <w:rPr>
                <w:rFonts w:hint="eastAsia" w:ascii="Times New Roman" w:hAnsi="Times New Roman"/>
                <w:b/>
                <w:bCs/>
                <w:sz w:val="24"/>
                <w:szCs w:val="24"/>
                <w:u w:val="none"/>
                <w:lang w:val="en-US" w:eastAsia="zh-CN"/>
              </w:rPr>
              <w:t>3</w:t>
            </w:r>
            <w:r>
              <w:rPr>
                <w:rFonts w:hint="eastAsia" w:ascii="Times New Roman" w:hAnsi="Times New Roman"/>
                <w:b/>
                <w:bCs/>
                <w:sz w:val="24"/>
                <w:szCs w:val="24"/>
                <w:u w:val="none"/>
                <w:lang w:eastAsia="zh-CN"/>
              </w:rPr>
              <w:t>）拆解预处理</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拆解前的预处理工序主要对废油液、汽车空调制冷剂、机动车蓄电池、油箱、安全气囊、催化系统等进行拆除和回收。</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①抽取废油和废液</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采用油液抽排设备将车内残余的燃油（汽油或者柴油）进行抽排，存放在设备自带的密闭的储存装置内，在抽排工序下方设置凹槽，其余油液（机油、制动液、变速箱油、液压油、防冻液）打开阀门或钻孔后，经自流进入凹槽放置的收集装置内进行收集。</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②抽取制冷剂</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由于回收的汽车有不同种类的制冷剂（R134，R134a等），项目使用制冷剂回收装置收集汽车空调制冷剂，并根据不同的制冷剂分类储存。回收的过程中，设备通过专用连接管路与报废车辆空调系统的表管进行连接，设备另一连接管与制冷剂储存钢瓶连接，分别打开两个连接管阀门，抽完后断开与表管和回收罐的连接，完成制冷剂的抽取工作。从汽车上抽取的制冷剂不进行进一步处理，用专用容器收集。</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③拆除蓄电池</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a.断掉汽车总电源开关；</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b.用扳手拆除蓄电池负极的接线端子，并将负极端子用绝缘材料包扎，扣好负极柱帽；</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c.用扳手拆除蓄电池正极接线端子，扣好正极柱帽；</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d.用扳手拆除蓄电池固定支架；</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e.人工取出蓄电池装入专用耐酸容器中，蓄电池从汽车拆除后不会再进一步拆解、放电，直接送至危废暂存间暂存。</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④人工拆下油箱，拆除机油滤清器。</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⑤拆除安全气囊组件后引爆</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人工对有安全气囊系统的报废机动车先拆除安全气囊系统，拆除后再采用安全气囊引爆装置引爆。</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安全气囊主要化学成分包括：叠氮化钠、硝酸钾和二氧化硅。引爆时，首先叠氮化钠分解为钠和氮气的混合成分。然后，金属钠和硝酸钾反应释放更多的氮气并形成氧化钾和氧化钠，这些氧化物会立即与二氧化硅结合，形成无害的硅酸钠玻璃，氮气则充进气囊。</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采用专用设备进行气囊的引爆，从报废机动车拆下的气囊置于引爆容器内，使用电子引爆器进行引爆，引爆容器为封闭箱式装置，可起到阻隔噪声作用，且可有效保证车间内操作人员安全。充气剂为叠氮化钠（NaN</w:t>
            </w:r>
            <w:r>
              <w:rPr>
                <w:rFonts w:hint="eastAsia" w:ascii="Times New Roman" w:hAnsi="Times New Roman"/>
                <w:b w:val="0"/>
                <w:bCs w:val="0"/>
                <w:sz w:val="24"/>
                <w:szCs w:val="24"/>
                <w:u w:val="none"/>
                <w:vertAlign w:val="subscript"/>
                <w:lang w:val="en-US" w:eastAsia="zh-CN"/>
              </w:rPr>
              <w:t>3</w:t>
            </w:r>
            <w:r>
              <w:rPr>
                <w:rFonts w:hint="eastAsia" w:ascii="Times New Roman" w:hAnsi="Times New Roman"/>
                <w:b w:val="0"/>
                <w:bCs w:val="0"/>
                <w:sz w:val="24"/>
                <w:szCs w:val="24"/>
                <w:u w:val="none"/>
                <w:lang w:val="en-US" w:eastAsia="zh-CN"/>
              </w:rPr>
              <w:t>），在近乎爆炸的化学反应快速发生的同时，会产生大量无害的以氮气为主的气体，将气囊充气至饱满的状态。同时在充气剂点燃的过程之中，电子引爆器总成中的金属网罩可冷却快速膨胀的气体，随即气囊可由设计好的小排气口排气，排出的气体主要成分为氮气，对空气环境影响较小。引爆后的安全气囊不再具有环境风险，可作为一般的尼龙材料外售。</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安全气囊的引爆过程见图：</w:t>
            </w:r>
          </w:p>
          <w:p>
            <w:pPr>
              <w:pStyle w:val="4"/>
              <w:ind w:left="540" w:hanging="540" w:hangingChars="300"/>
              <w:rPr>
                <w:rFonts w:hint="eastAsia" w:ascii="Times New Roman" w:hAnsi="Times New Roman"/>
                <w:b w:val="0"/>
                <w:bCs w:val="0"/>
                <w:sz w:val="24"/>
                <w:szCs w:val="24"/>
                <w:u w:val="none"/>
                <w:lang w:val="en-US" w:eastAsia="zh-CN"/>
              </w:rPr>
            </w:pPr>
            <w:r>
              <w:drawing>
                <wp:inline distT="0" distB="0" distL="114300" distR="114300">
                  <wp:extent cx="5397500" cy="2188845"/>
                  <wp:effectExtent l="0" t="0" r="12700" b="190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1"/>
                          <a:stretch>
                            <a:fillRect/>
                          </a:stretch>
                        </pic:blipFill>
                        <pic:spPr>
                          <a:xfrm>
                            <a:off x="0" y="0"/>
                            <a:ext cx="5397500" cy="2188845"/>
                          </a:xfrm>
                          <a:prstGeom prst="rect">
                            <a:avLst/>
                          </a:prstGeom>
                          <a:noFill/>
                          <a:ln>
                            <a:noFill/>
                          </a:ln>
                        </pic:spPr>
                      </pic:pic>
                    </a:graphicData>
                  </a:graphic>
                </wp:inline>
              </w:drawing>
            </w:r>
            <w:r>
              <w:rPr>
                <w:rFonts w:hint="eastAsia" w:ascii="Times New Roman" w:hAnsi="Times New Roman"/>
                <w:b w:val="0"/>
                <w:bCs w:val="0"/>
                <w:sz w:val="24"/>
                <w:szCs w:val="24"/>
                <w:u w:val="none"/>
                <w:lang w:val="en-US" w:eastAsia="zh-CN"/>
              </w:rPr>
              <w:t>⑥拆除催化转化器。</w:t>
            </w:r>
          </w:p>
          <w:p>
            <w:pPr>
              <w:spacing w:line="360" w:lineRule="auto"/>
              <w:ind w:firstLine="482" w:firstLineChars="200"/>
              <w:rPr>
                <w:rFonts w:hint="eastAsia"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（4）拆解</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报废机动车预处理完毕之后，拆解工序主要对机动车进行拆解回收钢铁、有色金属、塑料、橡胶、玻璃等材料，不对发动机、变速器、电子元器件、蓄电池、尾气净化装置等进行深度拆解，拆解过程按照汽车生产企业所提供的拆解信息或拆解手册进行合理拆解，没有拆解手册的，参照同类其他车辆的规定拆解。</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其主要拆解工作流程如下：</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①拆除玻璃。</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②拆除消声器、转向锁总成、停车装置、倒车雷达及电子控制模块。</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③拆除车轮并拆下轮胎。</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④拆除能有效回收的含金属铜、铝、镁的部件。</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⑤拆除能有效回收的大型塑料件（保险杠、仪表板、液体容器等）。</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⑥拆除橡胶制品部件。</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⑦拆解其它有关总成和其他零部件，并符合相关法规要求。</w:t>
            </w:r>
          </w:p>
          <w:p>
            <w:pPr>
              <w:spacing w:line="360" w:lineRule="auto"/>
              <w:ind w:firstLine="482" w:firstLineChars="200"/>
              <w:rPr>
                <w:rFonts w:hint="eastAsia"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（5）分类存储和管理</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对拆解下来的零部件进行分类，分别储存于成品库、危险废物仓库、一般工业固体废物仓库。</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①使用专用密闭容器存储废液，防止废液挥发，并交给合法的废液回收处理企业。</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②拆解后废弃物的储存严格按照GB18599和GB18597 要求执行，对存储的各种零部件、材料、废弃物的容器进行标识，避免混合、混放。</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③对拆解后的所有的材料、废弃物进行分类存储和标识，含有害物质的部件标明有害物质的种类。</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④危险废物交由具有相应资质的单位进行处理处置。</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⑤制定报废机动车拆解台账登记制度，建立详实完整的报废机动车回收拆解档案和数据库，对回收的报废机动车逐车登记。如实记录每批报废机动车的来源、类型、重量（数量），接受、拆解、贮存、处置的时间，运输单位的名称和联系方式，拆解得到的产品和不可回收利用的废物的数量和去向。对于事故车辆等，还应包括车辆破损情况、缺失部件等详细信息，并留存相应照片。档案和数据库的保存期不少于3年。拆解报废后的发动机号码、车架号码的拓印膜、照片等资料完整留存备查。</w:t>
            </w:r>
          </w:p>
          <w:p>
            <w:pPr>
              <w:spacing w:line="360" w:lineRule="auto"/>
              <w:ind w:firstLine="482" w:firstLineChars="200"/>
              <w:rPr>
                <w:rFonts w:hint="eastAsia" w:ascii="Times New Roman" w:hAnsi="Times New Roman"/>
                <w:b/>
                <w:bCs/>
                <w:sz w:val="24"/>
                <w:szCs w:val="24"/>
                <w:u w:val="none"/>
                <w:lang w:val="en-US" w:eastAsia="zh-CN"/>
              </w:rPr>
            </w:pPr>
            <w:r>
              <w:rPr>
                <w:rFonts w:hint="eastAsia" w:ascii="Times New Roman" w:hAnsi="Times New Roman"/>
                <w:b/>
                <w:bCs/>
                <w:sz w:val="24"/>
                <w:szCs w:val="24"/>
                <w:u w:val="none"/>
                <w:lang w:val="en-US" w:eastAsia="zh-CN"/>
              </w:rPr>
              <w:t>（6）拆解深度</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根据《报废机动车回收管理办法》（国务院令715号，2019年6月1日起实施）相关规定，扩建后，项目报废机动车拆解深度如下：</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①发动机根据行业相关规定，从汽车上拆除下来后，先进行泄油处理（废油液全部进入专用收集容器内）。根据相关标准，对具备再制造条件的发动机直接作为产品，储存在仓库，按照国家有关规定出售给具有再制造能力的企业经过再制造予以循环利用；对不具备再制造条件的，项目使用液压剪进行剪断，剪断后再通过金属压块机压扁压实。</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②根据相关标准，对具备再制造条件的方向机、变速器、前后桥、车架直接作为产品，储存在仓库，按照国家有关规定出售给具有再制造能力的企业经过再制造予以循环利用；其余不具备再制造条件方向机、变速器、前后桥、车架等拆除后，用剪切的方式将其破坏为废钢，剪切时剪切设备运营时会产生噪声。</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③蓄电池、尾气净化装置和各种电器从汽车上拆除后，不再进行拆解，将尽快委托有资质的单位统一进行收集、处置。</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④拆解下的油箱、淋水箱、油管等零部件不进一步清洗。</w:t>
            </w:r>
          </w:p>
          <w:p>
            <w:pPr>
              <w:spacing w:line="360" w:lineRule="auto"/>
              <w:ind w:firstLine="480" w:firstLineChars="200"/>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⑤电路板拆除后不进行进一步拆解，因此，电路板上的废电容器不单独收集和处置。</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360" w:firstLineChars="200"/>
              <w:textAlignment w:val="auto"/>
              <w:rPr>
                <w:rFonts w:hint="eastAsia"/>
                <w:sz w:val="24"/>
                <w:szCs w:val="24"/>
              </w:rPr>
            </w:pPr>
            <w:r>
              <w:rPr>
                <w:rFonts w:hint="eastAsia"/>
              </w:rPr>
              <w:t xml:space="preserve"> </w:t>
            </w:r>
            <w:r>
              <w:rPr>
                <w:rFonts w:hint="eastAsia"/>
                <w:b/>
                <w:bCs/>
                <w:sz w:val="24"/>
                <w:szCs w:val="24"/>
              </w:rPr>
              <w:t>（7）压实打包</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360" w:firstLineChars="200"/>
              <w:textAlignment w:val="auto"/>
              <w:rPr>
                <w:rFonts w:hint="eastAsia" w:eastAsia="宋体"/>
                <w:sz w:val="24"/>
                <w:szCs w:val="24"/>
                <w:lang w:val="en-US" w:eastAsia="zh-CN"/>
              </w:rPr>
            </w:pPr>
            <w:r>
              <w:drawing>
                <wp:anchor distT="0" distB="0" distL="114300" distR="114300" simplePos="0" relativeHeight="251661312" behindDoc="1" locked="0" layoutInCell="1" allowOverlap="1">
                  <wp:simplePos x="0" y="0"/>
                  <wp:positionH relativeFrom="column">
                    <wp:posOffset>159385</wp:posOffset>
                  </wp:positionH>
                  <wp:positionV relativeFrom="paragraph">
                    <wp:posOffset>496570</wp:posOffset>
                  </wp:positionV>
                  <wp:extent cx="4988560" cy="5971540"/>
                  <wp:effectExtent l="0" t="0" r="2540" b="10160"/>
                  <wp:wrapNone/>
                  <wp:docPr id="6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4"/>
                          <pic:cNvPicPr>
                            <a:picLocks noChangeAspect="1"/>
                          </pic:cNvPicPr>
                        </pic:nvPicPr>
                        <pic:blipFill>
                          <a:blip r:embed="rId22"/>
                          <a:stretch>
                            <a:fillRect/>
                          </a:stretch>
                        </pic:blipFill>
                        <pic:spPr>
                          <a:xfrm>
                            <a:off x="0" y="0"/>
                            <a:ext cx="4988560" cy="5971540"/>
                          </a:xfrm>
                          <a:prstGeom prst="rect">
                            <a:avLst/>
                          </a:prstGeom>
                          <a:noFill/>
                          <a:ln>
                            <a:noFill/>
                          </a:ln>
                        </pic:spPr>
                      </pic:pic>
                    </a:graphicData>
                  </a:graphic>
                </wp:anchor>
              </w:drawing>
            </w:r>
            <w:r>
              <w:rPr>
                <w:rFonts w:hint="eastAsia"/>
                <w:sz w:val="24"/>
                <w:szCs w:val="24"/>
                <w:lang w:eastAsia="zh-CN"/>
              </w:rPr>
              <w:t>报废燃油汽车</w:t>
            </w:r>
            <w:r>
              <w:rPr>
                <w:rFonts w:hint="eastAsia"/>
                <w:sz w:val="24"/>
                <w:szCs w:val="24"/>
              </w:rPr>
              <w:t>经液压剪解体后的钢铁材料送至金属压块机进行压实处理，挤压成一定规格的钢块，然后使用金属打包机进行打包。</w:t>
            </w:r>
          </w:p>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r>
              <w:drawing>
                <wp:anchor distT="0" distB="0" distL="114300" distR="114300" simplePos="0" relativeHeight="251662336" behindDoc="1" locked="0" layoutInCell="1" allowOverlap="1">
                  <wp:simplePos x="0" y="0"/>
                  <wp:positionH relativeFrom="column">
                    <wp:posOffset>4398645</wp:posOffset>
                  </wp:positionH>
                  <wp:positionV relativeFrom="paragraph">
                    <wp:posOffset>181610</wp:posOffset>
                  </wp:positionV>
                  <wp:extent cx="942975" cy="952500"/>
                  <wp:effectExtent l="0" t="0" r="9525" b="0"/>
                  <wp:wrapNone/>
                  <wp:docPr id="6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5"/>
                          <pic:cNvPicPr>
                            <a:picLocks noChangeAspect="1"/>
                          </pic:cNvPicPr>
                        </pic:nvPicPr>
                        <pic:blipFill>
                          <a:blip r:embed="rId23"/>
                          <a:stretch>
                            <a:fillRect/>
                          </a:stretch>
                        </pic:blipFill>
                        <pic:spPr>
                          <a:xfrm>
                            <a:off x="0" y="0"/>
                            <a:ext cx="942975" cy="952500"/>
                          </a:xfrm>
                          <a:prstGeom prst="rect">
                            <a:avLst/>
                          </a:prstGeom>
                          <a:noFill/>
                          <a:ln>
                            <a:noFill/>
                          </a:ln>
                        </pic:spPr>
                      </pic:pic>
                    </a:graphicData>
                  </a:graphic>
                </wp:anchor>
              </w:drawing>
            </w: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jc w:val="center"/>
              <w:rPr>
                <w:rFonts w:hint="eastAsia" w:ascii="Times New Roman" w:hAnsi="Times New Roman" w:eastAsia="宋体"/>
                <w:b/>
                <w:bCs/>
                <w:u w:val="none"/>
                <w:lang w:eastAsia="zh-CN"/>
              </w:rPr>
            </w:pPr>
          </w:p>
          <w:p>
            <w:pPr>
              <w:pStyle w:val="15"/>
              <w:ind w:left="0" w:leftChars="0" w:firstLine="0" w:firstLineChars="0"/>
              <w:jc w:val="center"/>
              <w:rPr>
                <w:b/>
                <w:bCs/>
                <w:u w:val="none"/>
              </w:rPr>
            </w:pPr>
            <w:r>
              <w:rPr>
                <w:rFonts w:hint="eastAsia" w:ascii="Times New Roman" w:hAnsi="Times New Roman" w:eastAsia="宋体"/>
                <w:b/>
                <w:bCs/>
                <w:u w:val="none"/>
                <w:lang w:eastAsia="zh-CN"/>
              </w:rPr>
              <w:t>图</w:t>
            </w:r>
            <w:r>
              <w:rPr>
                <w:rFonts w:hint="eastAsia" w:ascii="Times New Roman" w:hAnsi="Times New Roman" w:eastAsia="宋体"/>
                <w:b/>
                <w:bCs/>
                <w:u w:val="none"/>
                <w:lang w:val="en-US" w:eastAsia="zh-CN"/>
              </w:rPr>
              <w:t xml:space="preserve">2-4 </w:t>
            </w:r>
            <w:r>
              <w:rPr>
                <w:rFonts w:hint="eastAsia"/>
                <w:b/>
                <w:bCs/>
                <w:u w:val="none"/>
                <w:lang w:eastAsia="zh-CN"/>
              </w:rPr>
              <w:t>报废新能源汽车拆解工艺流程</w:t>
            </w:r>
            <w:r>
              <w:rPr>
                <w:b/>
                <w:bCs/>
                <w:u w:val="none"/>
              </w:rPr>
              <w:t>及产污节点图</w:t>
            </w:r>
          </w:p>
          <w:p>
            <w:pPr>
              <w:spacing w:line="360" w:lineRule="auto"/>
              <w:ind w:firstLine="482" w:firstLineChars="200"/>
              <w:rPr>
                <w:rFonts w:hint="eastAsia" w:ascii="Times New Roman" w:hAnsi="Times New Roman"/>
                <w:b/>
                <w:bCs/>
                <w:sz w:val="24"/>
                <w:szCs w:val="24"/>
                <w:u w:val="none"/>
                <w:lang w:eastAsia="zh-CN"/>
              </w:rPr>
            </w:pPr>
            <w:r>
              <w:rPr>
                <w:rFonts w:hint="eastAsia" w:ascii="Times New Roman" w:hAnsi="Times New Roman"/>
                <w:b/>
                <w:bCs/>
                <w:sz w:val="24"/>
                <w:szCs w:val="24"/>
                <w:u w:val="none"/>
                <w:lang w:val="en-US" w:eastAsia="zh-CN"/>
              </w:rPr>
              <w:t>报废</w:t>
            </w:r>
            <w:r>
              <w:rPr>
                <w:rFonts w:hint="eastAsia" w:ascii="Times New Roman" w:hAnsi="Times New Roman"/>
                <w:b/>
                <w:bCs/>
                <w:sz w:val="24"/>
                <w:szCs w:val="24"/>
                <w:u w:val="none"/>
              </w:rPr>
              <w:t>新能源汽车拆解</w:t>
            </w:r>
            <w:r>
              <w:rPr>
                <w:rFonts w:hint="eastAsia" w:ascii="Times New Roman" w:hAnsi="Times New Roman"/>
                <w:b/>
                <w:bCs/>
                <w:sz w:val="24"/>
                <w:szCs w:val="24"/>
                <w:u w:val="none"/>
                <w:lang w:eastAsia="zh-CN"/>
              </w:rPr>
              <w:t>工艺</w:t>
            </w:r>
            <w:r>
              <w:rPr>
                <w:rFonts w:hint="eastAsia" w:ascii="Times New Roman" w:hAnsi="Times New Roman"/>
                <w:b/>
                <w:bCs/>
                <w:sz w:val="24"/>
                <w:szCs w:val="24"/>
                <w:u w:val="none"/>
              </w:rPr>
              <w:t>流程</w:t>
            </w:r>
            <w:r>
              <w:rPr>
                <w:rFonts w:hint="eastAsia" w:ascii="Times New Roman" w:hAnsi="Times New Roman"/>
                <w:b/>
                <w:bCs/>
                <w:sz w:val="24"/>
                <w:szCs w:val="24"/>
                <w:u w:val="none"/>
                <w:lang w:eastAsia="zh-CN"/>
              </w:rPr>
              <w:t>如下：</w:t>
            </w:r>
          </w:p>
          <w:p>
            <w:pPr>
              <w:spacing w:line="360" w:lineRule="auto"/>
              <w:ind w:firstLine="482" w:firstLineChars="200"/>
              <w:rPr>
                <w:rFonts w:hint="eastAsia" w:ascii="Times New Roman" w:hAnsi="Times New Roman" w:eastAsia="宋体" w:cs="Times New Roman"/>
                <w:b/>
                <w:bCs/>
                <w:sz w:val="24"/>
                <w:szCs w:val="24"/>
                <w:u w:val="none"/>
                <w:lang w:eastAsia="zh-CN"/>
              </w:rPr>
            </w:pPr>
            <w:r>
              <w:rPr>
                <w:rFonts w:hint="eastAsia" w:ascii="Times New Roman" w:hAnsi="Times New Roman" w:eastAsia="宋体" w:cs="Times New Roman"/>
                <w:b/>
                <w:bCs/>
                <w:sz w:val="24"/>
                <w:szCs w:val="24"/>
                <w:u w:val="none"/>
                <w:lang w:eastAsia="zh-CN"/>
              </w:rPr>
              <w:t>（1）检查和登记</w:t>
            </w:r>
          </w:p>
          <w:p>
            <w:pPr>
              <w:spacing w:line="360" w:lineRule="auto"/>
              <w:ind w:firstLine="480" w:firstLineChars="200"/>
              <w:rPr>
                <w:rFonts w:hint="eastAsia" w:ascii="Times New Roman" w:hAnsi="Times New Roman" w:eastAsia="宋体" w:cs="Times New Roman"/>
                <w:sz w:val="24"/>
                <w:szCs w:val="24"/>
                <w:u w:val="none"/>
                <w:lang w:eastAsia="zh-CN"/>
              </w:rPr>
            </w:pPr>
            <w:r>
              <w:rPr>
                <w:rFonts w:hint="eastAsia" w:ascii="Times New Roman" w:hAnsi="Times New Roman" w:eastAsia="宋体" w:cs="Times New Roman"/>
                <w:sz w:val="24"/>
                <w:szCs w:val="24"/>
                <w:u w:val="none"/>
                <w:lang w:eastAsia="zh-CN"/>
              </w:rPr>
              <w:t>①将报废机动车所有人（单位）名称、有效证件号码、牌照号码、车型、品牌型号、车身颜色、重量、发动机号和/或动力蓄电池编码、车辆识别代号（或车架号）、出厂年份、接收或收购日期等主要信息及报废机动车车身照片按要求录入“全国汽车流通信息管理系统”。相关信息记录至少保存3年。</w:t>
            </w:r>
          </w:p>
          <w:p>
            <w:pPr>
              <w:spacing w:line="360" w:lineRule="auto"/>
              <w:ind w:firstLine="480" w:firstLineChars="200"/>
              <w:rPr>
                <w:rFonts w:hint="eastAsia" w:ascii="Times New Roman" w:hAnsi="Times New Roman" w:eastAsia="宋体" w:cs="Times New Roman"/>
                <w:sz w:val="24"/>
                <w:szCs w:val="24"/>
                <w:u w:val="none"/>
                <w:lang w:eastAsia="zh-CN"/>
              </w:rPr>
            </w:pPr>
            <w:r>
              <w:rPr>
                <w:rFonts w:hint="eastAsia" w:ascii="Times New Roman" w:hAnsi="Times New Roman" w:eastAsia="宋体" w:cs="Times New Roman"/>
                <w:sz w:val="24"/>
                <w:szCs w:val="24"/>
                <w:u w:val="none"/>
                <w:lang w:eastAsia="zh-CN"/>
              </w:rPr>
              <w:t>②检查电动汽车动力蓄电池和驱动电机等部件的密封和破损情况。对于出现动力蓄电池破损、电极头和线束裸露等存在漏电风险的，应采用适当的方式进行绝缘处理。对于出现废液泄露的部件，采用吸附棉进行吸附，对泄漏部位采用密封胶进行封堵，防止废液渗入地下。</w:t>
            </w:r>
          </w:p>
          <w:p>
            <w:pPr>
              <w:spacing w:line="360" w:lineRule="auto"/>
              <w:ind w:firstLine="480" w:firstLineChars="200"/>
              <w:rPr>
                <w:rFonts w:hint="eastAsia" w:ascii="Times New Roman" w:hAnsi="Times New Roman" w:eastAsia="宋体" w:cs="Times New Roman"/>
                <w:sz w:val="24"/>
                <w:szCs w:val="24"/>
                <w:u w:val="none"/>
                <w:lang w:eastAsia="zh-CN"/>
              </w:rPr>
            </w:pPr>
            <w:r>
              <w:rPr>
                <w:rFonts w:hint="eastAsia" w:ascii="Times New Roman" w:hAnsi="Times New Roman" w:eastAsia="宋体" w:cs="Times New Roman"/>
                <w:sz w:val="24"/>
                <w:szCs w:val="24"/>
                <w:u w:val="none"/>
                <w:lang w:eastAsia="zh-CN"/>
              </w:rPr>
              <w:t>③将报废机动车的机动车登记证书、号牌、行驶证交公安机关交通管理部门办理注销登记。</w:t>
            </w:r>
          </w:p>
          <w:p>
            <w:pPr>
              <w:spacing w:line="360" w:lineRule="auto"/>
              <w:ind w:firstLine="480" w:firstLineChars="200"/>
              <w:rPr>
                <w:rFonts w:hint="eastAsia" w:ascii="Times New Roman" w:hAnsi="Times New Roman" w:eastAsia="宋体" w:cs="Times New Roman"/>
                <w:b/>
                <w:bCs w:val="0"/>
                <w:sz w:val="24"/>
                <w:szCs w:val="24"/>
                <w:lang w:eastAsia="zh-CN"/>
              </w:rPr>
            </w:pPr>
            <w:r>
              <w:rPr>
                <w:rFonts w:hint="eastAsia" w:ascii="Times New Roman" w:hAnsi="Times New Roman" w:eastAsia="宋体" w:cs="Times New Roman"/>
                <w:sz w:val="24"/>
                <w:szCs w:val="24"/>
                <w:u w:val="none"/>
                <w:lang w:eastAsia="zh-CN"/>
              </w:rPr>
              <w:t>④向报废机动车车主发放《报废机动车回收证明》及有关注销书面材料。</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b/>
                <w:bCs/>
                <w:sz w:val="24"/>
                <w:szCs w:val="24"/>
              </w:rPr>
            </w:pPr>
            <w:r>
              <w:rPr>
                <w:rFonts w:hint="eastAsia"/>
                <w:sz w:val="24"/>
                <w:szCs w:val="24"/>
              </w:rPr>
              <w:t xml:space="preserve"> </w:t>
            </w:r>
            <w:r>
              <w:rPr>
                <w:rFonts w:hint="eastAsia"/>
                <w:b/>
                <w:bCs/>
                <w:sz w:val="24"/>
                <w:szCs w:val="24"/>
              </w:rPr>
              <w:t>（2）报废电动汽车存储</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①电动汽车在动力蓄电池未拆卸前不允许叠放。</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②电动汽车在动力蓄电池未拆卸前应单独贮存，并采取防火、防水、绝缘、隔热等安全保障措施。电动汽车中的事故车以及发生动力蓄电池破损的车辆应隔离贮存。</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③电动汽车中事故车以及发生动力蓄电池破损的车辆应隔离贮存。</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b/>
                <w:bCs/>
                <w:sz w:val="24"/>
                <w:szCs w:val="24"/>
              </w:rPr>
            </w:pPr>
            <w:r>
              <w:rPr>
                <w:rFonts w:hint="eastAsia"/>
                <w:b/>
                <w:bCs/>
                <w:sz w:val="24"/>
                <w:szCs w:val="24"/>
              </w:rPr>
              <w:t>（3）拆解预处理</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①检查车身有无漏液、有无带电。</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②检查动力蓄电池布局和安装位置，确认诊断接口是否完好。</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③对动力蓄电池电压、温度等参数进行检测，评估其安全状态。</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④断开动力蓄电池高压回路。</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⑤在室内拆解预处理平台上使用防静电工具排空存留在车内的废液，并使用专用容器分类回收。</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⑥使用防静电专门设备回收汽车空调制冷剂。</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⑦抽取废液：打开阀门或钻孔，油液（制动液、变速箱油、液压油、防冻液）经自流进入凹槽放置的收集装置内进行收集。</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⑧抽取制冷剂</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由于回收的汽车有不同种类的制冷剂（R134，R134a等），项目使用制冷剂回收装置收集汽车空调制冷剂，并根据不同的制冷剂分类储存。回收的过程中，设备通过专用连接管路与报废车辆空调系统的表管进行连接，设备另一连接管与制冷剂储存钢瓶连接，分别打开两个连接管阀门，抽完后断开与表管和回收罐的连接，完成制冷剂的抽取工作。从汽车上抽取的制冷剂不进行进一步处理，用专用容器收集。</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⑨拆除安全气囊组件后引爆，与“传统燃料机动车操作流程”一致。</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⑩拆除催化转化器。</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b/>
                <w:bCs/>
                <w:sz w:val="24"/>
                <w:szCs w:val="24"/>
              </w:rPr>
            </w:pPr>
            <w:r>
              <w:rPr>
                <w:rFonts w:hint="eastAsia"/>
                <w:b/>
                <w:bCs/>
                <w:sz w:val="24"/>
                <w:szCs w:val="24"/>
              </w:rPr>
              <w:t>（4）拆解</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①拆卸动力蓄电池阻挡部件，如引擎盖、行李箱盖、车门等。</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②断开电压线束（电缆）；采用相应方式拆卸不同安装位置的动力蓄电池。</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③收集采用液冷结构方式散热的动力蓄电池包（组）内的冷却液。</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④对拆卸下的动力蓄电池线束接头、正负极片等外露线束和金属物进行绝缘处理，并在其明显位置处贴上标签，标明绝缘状况。</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⑤收集驱动电机总成内残余冷却液后，拆除驱动电机。</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⑥拆除消声器、转向锁总成、停车装置、倒车雷达及电子控制模块。</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⑦拆除车轮并拆下轮胎。</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⑧拆除能有效回收的含金属铜、铝、镁的部件；拆除能有效回收的大型塑料件（保险杠、仪表板、液体容器等）。</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⑨拆除橡胶制品部件。</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rPr>
              <w:t>⑩拆解其它有关总成和其他零部件，并符合相关法规要求。</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rPr>
            </w:pPr>
            <w:r>
              <w:rPr>
                <w:rFonts w:hint="eastAsia"/>
                <w:sz w:val="24"/>
                <w:szCs w:val="24"/>
              </w:rPr>
              <w:t>拆解过程按从外到里，分成车身外观件拆除、车内装拆除和总成拆除三个部分。</w:t>
            </w:r>
            <w:r>
              <w:rPr>
                <w:rFonts w:hint="eastAsia"/>
              </w:rPr>
              <w:t xml:space="preserve"> </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sz w:val="24"/>
                <w:szCs w:val="24"/>
              </w:rPr>
            </w:pPr>
            <w:r>
              <w:rPr>
                <w:rFonts w:hint="eastAsia"/>
                <w:b/>
                <w:bCs/>
                <w:sz w:val="24"/>
                <w:szCs w:val="24"/>
              </w:rPr>
              <w:t>（</w:t>
            </w:r>
            <w:r>
              <w:rPr>
                <w:rFonts w:hint="eastAsia"/>
                <w:b/>
                <w:bCs/>
                <w:sz w:val="24"/>
                <w:szCs w:val="24"/>
                <w:lang w:val="en-US" w:eastAsia="zh-CN"/>
              </w:rPr>
              <w:t>5</w:t>
            </w:r>
            <w:r>
              <w:rPr>
                <w:rFonts w:hint="eastAsia"/>
                <w:b/>
                <w:bCs/>
                <w:sz w:val="24"/>
                <w:szCs w:val="24"/>
              </w:rPr>
              <w:t>）压实打包</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rPr>
            </w:pPr>
            <w:r>
              <w:rPr>
                <w:rFonts w:hint="eastAsia"/>
                <w:sz w:val="24"/>
                <w:szCs w:val="24"/>
                <w:lang w:eastAsia="zh-CN"/>
              </w:rPr>
              <w:t>报废燃油汽车</w:t>
            </w:r>
            <w:r>
              <w:rPr>
                <w:rFonts w:hint="eastAsia"/>
                <w:sz w:val="24"/>
                <w:szCs w:val="24"/>
              </w:rPr>
              <w:t>经液压剪解体后的钢铁材料送至金属压块机进行压实处理，挤压成一定规格的钢块，然后使用金属打包机进行打包。</w:t>
            </w:r>
          </w:p>
          <w:p>
            <w:pPr>
              <w:pStyle w:val="4"/>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textAlignment w:val="auto"/>
              <w:rPr>
                <w:rFonts w:hint="default" w:eastAsia="宋体"/>
                <w:b/>
                <w:bCs/>
                <w:sz w:val="24"/>
                <w:szCs w:val="24"/>
                <w:lang w:val="en-US" w:eastAsia="zh-CN"/>
              </w:rPr>
            </w:pPr>
            <w:r>
              <w:rPr>
                <w:rFonts w:hint="eastAsia"/>
                <w:b/>
                <w:bCs/>
                <w:sz w:val="24"/>
                <w:szCs w:val="24"/>
                <w:lang w:val="en-US" w:eastAsia="zh-CN"/>
              </w:rPr>
              <w:t>2</w:t>
            </w:r>
            <w:r>
              <w:rPr>
                <w:rFonts w:hint="eastAsia"/>
                <w:b/>
                <w:bCs/>
                <w:sz w:val="24"/>
                <w:szCs w:val="24"/>
                <w:lang w:eastAsia="zh-CN"/>
              </w:rPr>
              <w:t>）</w:t>
            </w:r>
            <w:r>
              <w:rPr>
                <w:rFonts w:hint="eastAsia"/>
                <w:b/>
                <w:bCs/>
                <w:sz w:val="24"/>
                <w:szCs w:val="24"/>
                <w:lang w:val="en-US" w:eastAsia="zh-CN"/>
              </w:rPr>
              <w:t>废钢铁加工工艺流程</w:t>
            </w: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r>
              <w:rPr>
                <w:rFonts w:hint="default" w:ascii="Times New Roman" w:hAnsi="Times New Roman" w:eastAsia="宋体" w:cs="Times New Roman"/>
                <w:b/>
                <w:sz w:val="24"/>
                <w:szCs w:val="24"/>
                <w:lang w:val="en-US"/>
              </w:rPr>
              <mc:AlternateContent>
                <mc:Choice Requires="wpc">
                  <w:drawing>
                    <wp:anchor distT="0" distB="0" distL="114300" distR="114300" simplePos="0" relativeHeight="251669504" behindDoc="0" locked="0" layoutInCell="1" allowOverlap="1">
                      <wp:simplePos x="0" y="0"/>
                      <wp:positionH relativeFrom="column">
                        <wp:posOffset>-46990</wp:posOffset>
                      </wp:positionH>
                      <wp:positionV relativeFrom="paragraph">
                        <wp:posOffset>-224155</wp:posOffset>
                      </wp:positionV>
                      <wp:extent cx="5253990" cy="3508375"/>
                      <wp:effectExtent l="0" t="0" r="0" b="0"/>
                      <wp:wrapNone/>
                      <wp:docPr id="51" name="画布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 name="文本框 30"/>
                              <wps:cNvSpPr txBox="1"/>
                              <wps:spPr>
                                <a:xfrm>
                                  <a:off x="2162166" y="1144251"/>
                                  <a:ext cx="764630" cy="26098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原料仓库</w:t>
                                    </w:r>
                                  </w:p>
                                </w:txbxContent>
                              </wps:txbx>
                              <wps:bodyPr upright="1"/>
                            </wps:wsp>
                            <wps:wsp>
                              <wps:cNvPr id="31" name="文本框 31"/>
                              <wps:cNvSpPr txBox="1"/>
                              <wps:spPr>
                                <a:xfrm>
                                  <a:off x="2150164" y="1697420"/>
                                  <a:ext cx="794335" cy="2729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sz w:val="21"/>
                                        <w:szCs w:val="21"/>
                                        <w:lang w:eastAsia="zh-CN"/>
                                      </w:rPr>
                                    </w:pPr>
                                    <w:r>
                                      <w:rPr>
                                        <w:rFonts w:hint="default" w:ascii="Times New Roman" w:hAnsi="Times New Roman" w:cs="Times New Roman"/>
                                        <w:color w:val="auto"/>
                                        <w:sz w:val="21"/>
                                        <w:szCs w:val="21"/>
                                        <w:u w:val="none"/>
                                        <w:lang w:val="en-US" w:eastAsia="zh-CN"/>
                                      </w:rPr>
                                      <w:t>磁选分类</w:t>
                                    </w:r>
                                  </w:p>
                                </w:txbxContent>
                              </wps:txbx>
                              <wps:bodyPr upright="1"/>
                            </wps:wsp>
                            <wps:wsp>
                              <wps:cNvPr id="32" name="直接连接符 32"/>
                              <wps:cNvCnPr/>
                              <wps:spPr>
                                <a:xfrm>
                                  <a:off x="2541931" y="1409732"/>
                                  <a:ext cx="7001" cy="278085"/>
                                </a:xfrm>
                                <a:prstGeom prst="line">
                                  <a:avLst/>
                                </a:prstGeom>
                                <a:ln w="9525" cap="flat" cmpd="sng">
                                  <a:solidFill>
                                    <a:srgbClr val="000000"/>
                                  </a:solidFill>
                                  <a:prstDash val="solid"/>
                                  <a:headEnd type="none" w="med" len="med"/>
                                  <a:tailEnd type="triangle" w="med" len="med"/>
                                </a:ln>
                              </wps:spPr>
                              <wps:bodyPr upright="1"/>
                            </wps:wsp>
                            <wps:wsp>
                              <wps:cNvPr id="33" name="文本框 33"/>
                              <wps:cNvSpPr txBox="1"/>
                              <wps:spPr>
                                <a:xfrm>
                                  <a:off x="2172368" y="49515"/>
                                  <a:ext cx="678815" cy="26478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废钢铁</w:t>
                                    </w:r>
                                  </w:p>
                                </w:txbxContent>
                              </wps:txbx>
                              <wps:bodyPr upright="1"/>
                            </wps:wsp>
                            <wps:wsp>
                              <wps:cNvPr id="34" name="文本框 34"/>
                              <wps:cNvSpPr txBox="1"/>
                              <wps:spPr>
                                <a:xfrm>
                                  <a:off x="2115158" y="574676"/>
                                  <a:ext cx="907454" cy="290189"/>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放射性检测</w:t>
                                    </w:r>
                                  </w:p>
                                </w:txbxContent>
                              </wps:txbx>
                              <wps:bodyPr upright="1"/>
                            </wps:wsp>
                            <wps:wsp>
                              <wps:cNvPr id="35" name="直接连接符 35"/>
                              <wps:cNvCnPr/>
                              <wps:spPr>
                                <a:xfrm>
                                  <a:off x="2522227" y="880770"/>
                                  <a:ext cx="1300" cy="255278"/>
                                </a:xfrm>
                                <a:prstGeom prst="line">
                                  <a:avLst/>
                                </a:prstGeom>
                                <a:ln w="9525" cap="flat" cmpd="sng">
                                  <a:solidFill>
                                    <a:srgbClr val="000000"/>
                                  </a:solidFill>
                                  <a:prstDash val="solid"/>
                                  <a:headEnd type="none" w="med" len="med"/>
                                  <a:tailEnd type="triangle" w="med" len="med"/>
                                </a:ln>
                              </wps:spPr>
                              <wps:bodyPr upright="1"/>
                            </wps:wsp>
                            <wps:wsp>
                              <wps:cNvPr id="36" name="直接连接符 36"/>
                              <wps:cNvCnPr/>
                              <wps:spPr>
                                <a:xfrm>
                                  <a:off x="2515926" y="325800"/>
                                  <a:ext cx="2500" cy="240674"/>
                                </a:xfrm>
                                <a:prstGeom prst="line">
                                  <a:avLst/>
                                </a:prstGeom>
                                <a:ln w="9525" cap="flat" cmpd="sng">
                                  <a:solidFill>
                                    <a:srgbClr val="000000"/>
                                  </a:solidFill>
                                  <a:prstDash val="solid"/>
                                  <a:headEnd type="none" w="med" len="med"/>
                                  <a:tailEnd type="triangle" w="med" len="med"/>
                                </a:ln>
                              </wps:spPr>
                              <wps:bodyPr upright="1"/>
                            </wps:wsp>
                            <wps:wsp>
                              <wps:cNvPr id="37" name="直接连接符 37"/>
                              <wps:cNvCnPr/>
                              <wps:spPr>
                                <a:xfrm flipH="1">
                                  <a:off x="1400237" y="2786454"/>
                                  <a:ext cx="3801" cy="365112"/>
                                </a:xfrm>
                                <a:prstGeom prst="line">
                                  <a:avLst/>
                                </a:prstGeom>
                                <a:ln w="9525" cap="flat" cmpd="sng">
                                  <a:solidFill>
                                    <a:srgbClr val="000000"/>
                                  </a:solidFill>
                                  <a:prstDash val="solid"/>
                                  <a:headEnd type="none" w="med" len="med"/>
                                  <a:tailEnd type="none" w="med" len="med"/>
                                </a:ln>
                              </wps:spPr>
                              <wps:bodyPr upright="1"/>
                            </wps:wsp>
                            <wps:wsp>
                              <wps:cNvPr id="38" name="直接连接符 38"/>
                              <wps:cNvCnPr/>
                              <wps:spPr>
                                <a:xfrm>
                                  <a:off x="1388135" y="2216779"/>
                                  <a:ext cx="0" cy="266782"/>
                                </a:xfrm>
                                <a:prstGeom prst="line">
                                  <a:avLst/>
                                </a:prstGeom>
                                <a:ln w="9525" cap="flat" cmpd="sng">
                                  <a:solidFill>
                                    <a:srgbClr val="000000"/>
                                  </a:solidFill>
                                  <a:prstDash val="solid"/>
                                  <a:headEnd type="none" w="med" len="med"/>
                                  <a:tailEnd type="triangle" w="med" len="med"/>
                                </a:ln>
                              </wps:spPr>
                              <wps:bodyPr upright="1"/>
                            </wps:wsp>
                            <wps:wsp>
                              <wps:cNvPr id="39" name="直接连接符 39"/>
                              <wps:cNvCnPr/>
                              <wps:spPr>
                                <a:xfrm flipH="1">
                                  <a:off x="2532429" y="1966002"/>
                                  <a:ext cx="6301" cy="237473"/>
                                </a:xfrm>
                                <a:prstGeom prst="line">
                                  <a:avLst/>
                                </a:prstGeom>
                                <a:ln w="9525" cap="flat" cmpd="sng">
                                  <a:solidFill>
                                    <a:srgbClr val="000000"/>
                                  </a:solidFill>
                                  <a:prstDash val="solid"/>
                                  <a:headEnd type="none" w="med" len="med"/>
                                  <a:tailEnd type="none" w="med" len="med"/>
                                </a:ln>
                              </wps:spPr>
                              <wps:bodyPr upright="1"/>
                            </wps:wsp>
                            <wps:wsp>
                              <wps:cNvPr id="40" name="直接连接符 40"/>
                              <wps:cNvCnPr/>
                              <wps:spPr>
                                <a:xfrm flipV="1">
                                  <a:off x="1383034" y="2207977"/>
                                  <a:ext cx="2616243" cy="7602"/>
                                </a:xfrm>
                                <a:prstGeom prst="line">
                                  <a:avLst/>
                                </a:prstGeom>
                                <a:ln w="9525" cap="flat" cmpd="sng">
                                  <a:solidFill>
                                    <a:srgbClr val="000000"/>
                                  </a:solidFill>
                                  <a:prstDash val="solid"/>
                                  <a:headEnd type="none" w="med" len="med"/>
                                  <a:tailEnd type="none" w="med" len="med"/>
                                </a:ln>
                              </wps:spPr>
                              <wps:bodyPr upright="1"/>
                            </wps:wsp>
                            <wps:wsp>
                              <wps:cNvPr id="41" name="直接连接符 41"/>
                              <wps:cNvCnPr/>
                              <wps:spPr>
                                <a:xfrm>
                                  <a:off x="3996777" y="2216779"/>
                                  <a:ext cx="0" cy="266782"/>
                                </a:xfrm>
                                <a:prstGeom prst="line">
                                  <a:avLst/>
                                </a:prstGeom>
                                <a:ln w="9525" cap="flat" cmpd="sng">
                                  <a:solidFill>
                                    <a:srgbClr val="000000"/>
                                  </a:solidFill>
                                  <a:prstDash val="solid"/>
                                  <a:headEnd type="none" w="med" len="med"/>
                                  <a:tailEnd type="triangle" w="med" len="med"/>
                                </a:ln>
                              </wps:spPr>
                              <wps:bodyPr upright="1"/>
                            </wps:wsp>
                            <wps:wsp>
                              <wps:cNvPr id="42" name="文本框 42"/>
                              <wps:cNvSpPr txBox="1"/>
                              <wps:spPr>
                                <a:xfrm>
                                  <a:off x="1095986" y="2494964"/>
                                  <a:ext cx="755028" cy="281986"/>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eastAsia="宋体"/>
                                        <w:lang w:val="en-US" w:eastAsia="zh-CN"/>
                                      </w:rPr>
                                      <w:t>剪切加工</w:t>
                                    </w:r>
                                  </w:p>
                                </w:txbxContent>
                              </wps:txbx>
                              <wps:bodyPr upright="1"/>
                            </wps:wsp>
                            <wps:wsp>
                              <wps:cNvPr id="43" name="文本框 43"/>
                              <wps:cNvSpPr txBox="1"/>
                              <wps:spPr>
                                <a:xfrm>
                                  <a:off x="3629015" y="2493664"/>
                                  <a:ext cx="762029" cy="2952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eastAsia="宋体"/>
                                        <w:lang w:val="en-US" w:eastAsia="zh-CN"/>
                                      </w:rPr>
                                      <w:t>压缩打包</w:t>
                                    </w:r>
                                  </w:p>
                                </w:txbxContent>
                              </wps:txbx>
                              <wps:bodyPr upright="1"/>
                            </wps:wsp>
                            <wps:wsp>
                              <wps:cNvPr id="44" name="文本框 44"/>
                              <wps:cNvSpPr txBox="1"/>
                              <wps:spPr>
                                <a:xfrm>
                                  <a:off x="2341297" y="3001020"/>
                                  <a:ext cx="762029" cy="29219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成品</w:t>
                                    </w:r>
                                  </w:p>
                                </w:txbxContent>
                              </wps:txbx>
                              <wps:bodyPr upright="1"/>
                            </wps:wsp>
                            <wps:wsp>
                              <wps:cNvPr id="45" name="直接连接符 45"/>
                              <wps:cNvCnPr/>
                              <wps:spPr>
                                <a:xfrm flipV="1">
                                  <a:off x="1410339" y="3136961"/>
                                  <a:ext cx="920156" cy="3201"/>
                                </a:xfrm>
                                <a:prstGeom prst="line">
                                  <a:avLst/>
                                </a:prstGeom>
                                <a:ln w="9525" cap="flat" cmpd="sng">
                                  <a:solidFill>
                                    <a:srgbClr val="000000"/>
                                  </a:solidFill>
                                  <a:prstDash val="solid"/>
                                  <a:headEnd type="none" w="med" len="med"/>
                                  <a:tailEnd type="triangle" w="med" len="med"/>
                                </a:ln>
                              </wps:spPr>
                              <wps:bodyPr upright="1"/>
                            </wps:wsp>
                            <wps:wsp>
                              <wps:cNvPr id="46" name="直接连接符 46"/>
                              <wps:cNvCnPr/>
                              <wps:spPr>
                                <a:xfrm flipH="1">
                                  <a:off x="4011380" y="2802959"/>
                                  <a:ext cx="0" cy="355609"/>
                                </a:xfrm>
                                <a:prstGeom prst="line">
                                  <a:avLst/>
                                </a:prstGeom>
                                <a:ln w="9525" cap="flat" cmpd="sng">
                                  <a:solidFill>
                                    <a:srgbClr val="000000"/>
                                  </a:solidFill>
                                  <a:prstDash val="solid"/>
                                  <a:headEnd type="none" w="med" len="med"/>
                                  <a:tailEnd type="none" w="med" len="med"/>
                                </a:ln>
                              </wps:spPr>
                              <wps:bodyPr upright="1"/>
                            </wps:wsp>
                            <wps:wsp>
                              <wps:cNvPr id="47" name="直接连接符 47"/>
                              <wps:cNvCnPr/>
                              <wps:spPr>
                                <a:xfrm flipH="1">
                                  <a:off x="3121729" y="3161069"/>
                                  <a:ext cx="896552" cy="7002"/>
                                </a:xfrm>
                                <a:prstGeom prst="line">
                                  <a:avLst/>
                                </a:prstGeom>
                                <a:ln w="9525" cap="flat" cmpd="sng">
                                  <a:solidFill>
                                    <a:srgbClr val="000000"/>
                                  </a:solidFill>
                                  <a:prstDash val="solid"/>
                                  <a:headEnd type="none" w="med" len="med"/>
                                  <a:tailEnd type="triangle" w="med" len="med"/>
                                </a:ln>
                              </wps:spPr>
                              <wps:bodyPr upright="1"/>
                            </wps:wsp>
                            <wps:wsp>
                              <wps:cNvPr id="48" name="直接连接符 48"/>
                              <wps:cNvCnPr/>
                              <wps:spPr>
                                <a:xfrm>
                                  <a:off x="1847813" y="2639709"/>
                                  <a:ext cx="269246" cy="600"/>
                                </a:xfrm>
                                <a:prstGeom prst="line">
                                  <a:avLst/>
                                </a:prstGeom>
                                <a:ln w="12700" cap="flat" cmpd="sng">
                                  <a:solidFill>
                                    <a:srgbClr val="000000"/>
                                  </a:solidFill>
                                  <a:prstDash val="dash"/>
                                  <a:headEnd type="none" w="med" len="med"/>
                                  <a:tailEnd type="triangle" w="med" len="med"/>
                                </a:ln>
                              </wps:spPr>
                              <wps:bodyPr upright="1"/>
                            </wps:wsp>
                            <wps:wsp>
                              <wps:cNvPr id="49" name="直接连接符 49"/>
                              <wps:cNvCnPr/>
                              <wps:spPr>
                                <a:xfrm>
                                  <a:off x="2959701" y="1824959"/>
                                  <a:ext cx="266745" cy="0"/>
                                </a:xfrm>
                                <a:prstGeom prst="line">
                                  <a:avLst/>
                                </a:prstGeom>
                                <a:ln w="12700" cap="flat" cmpd="sng">
                                  <a:solidFill>
                                    <a:srgbClr val="000000"/>
                                  </a:solidFill>
                                  <a:prstDash val="dash"/>
                                  <a:headEnd type="none" w="med" len="med"/>
                                  <a:tailEnd type="triangle" w="med" len="med"/>
                                </a:ln>
                              </wps:spPr>
                              <wps:bodyPr upright="1"/>
                            </wps:wsp>
                            <wps:wsp>
                              <wps:cNvPr id="50" name="文本框 50"/>
                              <wps:cNvSpPr txBox="1"/>
                              <wps:spPr>
                                <a:xfrm>
                                  <a:off x="3150234" y="1685917"/>
                                  <a:ext cx="561295" cy="320098"/>
                                </a:xfrm>
                                <a:prstGeom prst="rect">
                                  <a:avLst/>
                                </a:prstGeom>
                                <a:noFill/>
                                <a:ln w="6350">
                                  <a:noFill/>
                                </a:ln>
                              </wps:spPr>
                              <wps:txbx>
                                <w:txbxContent>
                                  <w:p>
                                    <w:pPr>
                                      <w:rPr>
                                        <w:rFonts w:hint="eastAsia" w:eastAsia="宋体"/>
                                        <w:u w:val="single"/>
                                        <w:lang w:val="en-US" w:eastAsia="zh-CN"/>
                                      </w:rPr>
                                    </w:pPr>
                                    <w:r>
                                      <w:rPr>
                                        <w:rFonts w:hint="eastAsia" w:eastAsia="宋体"/>
                                        <w:u w:val="single"/>
                                        <w:lang w:val="en-US" w:eastAsia="zh-CN"/>
                                      </w:rPr>
                                      <w:t>固废</w:t>
                                    </w:r>
                                  </w:p>
                                </w:txbxContent>
                              </wps:txbx>
                              <wps:bodyPr upright="1"/>
                            </wps:wsp>
                          </wpc:wpc>
                        </a:graphicData>
                      </a:graphic>
                    </wp:anchor>
                  </w:drawing>
                </mc:Choice>
                <mc:Fallback>
                  <w:pict>
                    <v:group id="_x0000_s1026" o:spid="_x0000_s1026" o:spt="203" style="position:absolute;left:0pt;margin-left:-3.7pt;margin-top:-17.65pt;height:276.25pt;width:413.7pt;z-index:251669504;mso-width-relative:page;mso-height-relative:page;" coordsize="5253990,3508375" editas="canvas" o:gfxdata="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AAAAAGRycy9QSwECFAAUAAAACACH&#10;TuJAl1wlqNsAAAAKAQAADwAAAAAAAAABACAAAAAiAAAAZHJzL2Rvd25yZXYueG1sUEsBAhQAFAAA&#10;AAgAh07iQHF2xCBgBgAAxzAAAA4AAAAAAAAAAQAgAAAAKgEAAGRycy9lMm9Eb2MueG1sUEsFBgAA&#10;AAAGAAYAWQEAAPwJAAAAAA==&#10;">
                      <o:lock v:ext="edit" aspectratio="f"/>
                      <v:shape id="_x0000_s1026" o:spid="_x0000_s1026" style="position:absolute;left:0;top:0;height:3508375;width:5253990;" filled="f" stroked="f" coordsize="21600,21600" o:gfxdata="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">
                        <v:fill on="f" focussize="0,0"/>
                        <v:stroke on="f"/>
                        <v:imagedata o:title=""/>
                        <o:lock v:ext="edit" aspectratio="t"/>
                      </v:shape>
                      <v:shape id="_x0000_s1026" o:spid="_x0000_s1026" o:spt="202" type="#_x0000_t202" style="position:absolute;left:2162166;top:1144251;height:260980;width:764630;"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8N+9NcAAAAKAQAADwAA&#10;AAAAAAABACAAAAAiAAAAZHJzL2Rvd25yZXYueG1sUEsBAhQAFAAAAAgAh07iQJh3s0YXAgAAQwQA&#10;AA4AAAAAAAAAAQAgAAAAJgEAAGRycy9lMm9Eb2MueG1sUEsFBgAAAAAGAAYAWQEAAK8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原料仓库</w:t>
                              </w:r>
                            </w:p>
                          </w:txbxContent>
                        </v:textbox>
                      </v:shape>
                      <v:shape id="_x0000_s1026" o:spid="_x0000_s1026" o:spt="202" type="#_x0000_t202" style="position:absolute;left:2150164;top:1697420;height:272984;width:794335;"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8N+9NcAAAAKAQAADwAA&#10;AAAAAAABACAAAAAiAAAAZHJzL2Rvd25yZXYueG1sUEsBAhQAFAAAAAgAh07iQK390pUXAgAAQwQA&#10;AA4AAAAAAAAAAQAgAAAAJgEAAGRycy9lMm9Eb2MueG1sUEsFBgAAAAAGAAYAWQEAAK8FAAAAAA==&#10;">
                        <v:fill on="t" focussize="0,0"/>
                        <v:stroke weight="0.5pt" color="#000000" joinstyle="miter"/>
                        <v:imagedata o:title=""/>
                        <o:lock v:ext="edit" aspectratio="f"/>
                        <v:textbox>
                          <w:txbxContent>
                            <w:p>
                              <w:pPr>
                                <w:jc w:val="center"/>
                                <w:rPr>
                                  <w:rFonts w:hint="eastAsia"/>
                                  <w:sz w:val="21"/>
                                  <w:szCs w:val="21"/>
                                  <w:lang w:eastAsia="zh-CN"/>
                                </w:rPr>
                              </w:pPr>
                              <w:r>
                                <w:rPr>
                                  <w:rFonts w:hint="default" w:ascii="Times New Roman" w:hAnsi="Times New Roman" w:cs="Times New Roman"/>
                                  <w:color w:val="auto"/>
                                  <w:sz w:val="21"/>
                                  <w:szCs w:val="21"/>
                                  <w:u w:val="none"/>
                                  <w:lang w:val="en-US" w:eastAsia="zh-CN"/>
                                </w:rPr>
                                <w:t>磁选分类</w:t>
                              </w:r>
                            </w:p>
                          </w:txbxContent>
                        </v:textbox>
                      </v:shape>
                      <v:line id="_x0000_s1026" o:spid="_x0000_s1026" o:spt="20" style="position:absolute;left:2541931;top:1409732;height:278085;width:7001;" filled="f" stroked="t" coordsize="21600,21600" o:gfxdata="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rf2y2wAAAAoBAAAPAAAAAAAAAAEA&#10;IAAAACIAAABkcnMvZG93bnJldi54bWxQSwECFAAUAAAACACHTuJAADxw6AwCAAD4AwAADgAAAAAA&#10;AAABACAAAAAqAQAAZHJzL2Uyb0RvYy54bWxQSwUGAAAAAAYABgBZAQAAqAUAAAAA&#10;">
                        <v:fill on="f" focussize="0,0"/>
                        <v:stroke color="#000000" joinstyle="round" endarrow="block"/>
                        <v:imagedata o:title=""/>
                        <o:lock v:ext="edit" aspectratio="f"/>
                      </v:line>
                      <v:shape id="_x0000_s1026" o:spid="_x0000_s1026" o:spt="202" type="#_x0000_t202" style="position:absolute;left:2172368;top:49515;height:264781;width:678815;"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8N+9NcAAAAKAQAADwAA&#10;AAAAAAABACAAAAAiAAAAZHJzL2Rvd25yZXYueG1sUEsBAhQAFAAAAAgAh07iQGdhTOMXAgAAQQQA&#10;AA4AAAAAAAAAAQAgAAAAJgEAAGRycy9lMm9Eb2MueG1sUEsFBgAAAAAGAAYAWQEAAK8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废钢铁</w:t>
                              </w:r>
                            </w:p>
                          </w:txbxContent>
                        </v:textbox>
                      </v:shape>
                      <v:shape id="_x0000_s1026" o:spid="_x0000_s1026" o:spt="202" type="#_x0000_t202" style="position:absolute;left:2115158;top:574676;height:290189;width:907454;"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8N+9NcAAAAKAQAADwAA&#10;AAAAAAABACAAAAAiAAAAZHJzL2Rvd25yZXYueG1sUEsBAhQAFAAAAAgAh07iQMyqMY8XAgAAQgQA&#10;AA4AAAAAAAAAAQAgAAAAJgEAAGRycy9lMm9Eb2MueG1sUEsFBgAAAAAGAAYAWQEAAK8FAAAAAA==&#10;">
                        <v:fill on="t" focussize="0,0"/>
                        <v:stroke weight="0.5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放射性检测</w:t>
                              </w:r>
                            </w:p>
                          </w:txbxContent>
                        </v:textbox>
                      </v:shape>
                      <v:line id="_x0000_s1026" o:spid="_x0000_s1026" o:spt="20" style="position:absolute;left:2522227;top:880770;height:255278;width:1300;" filled="f" stroked="t" coordsize="21600,21600" o:gfxdata="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rf2y2wAAAAoBAAAPAAAAAAAAAAEAIAAA&#10;ACIAAABkcnMvZG93bnJldi54bWxQSwECFAAUAAAACACHTuJAL5ujVgkCAAD3AwAADgAAAAAAAAAB&#10;ACAAAAAqAQAAZHJzL2Uyb0RvYy54bWxQSwUGAAAAAAYABgBZAQAApQUAAAAA&#10;">
                        <v:fill on="f" focussize="0,0"/>
                        <v:stroke color="#000000" joinstyle="round" endarrow="block"/>
                        <v:imagedata o:title=""/>
                        <o:lock v:ext="edit" aspectratio="f"/>
                      </v:line>
                      <v:line id="_x0000_s1026" o:spid="_x0000_s1026" o:spt="20" style="position:absolute;left:2515926;top:325800;height:240674;width:2500;" filled="f" stroked="t" coordsize="21600,21600" o:gfxdata="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t/bLbAAAACgEAAA8AAAAAAAAAAQAgAAAA&#10;IgAAAGRycy9kb3ducmV2LnhtbFBLAQIUABQAAAAIAIdO4kAIb2DoCAIAAPcDAAAOAAAAAAAAAAEA&#10;IAAAACoBAABkcnMvZTJvRG9jLnhtbFBLBQYAAAAABgAGAFkBAACkBQAAAAA=&#10;">
                        <v:fill on="f" focussize="0,0"/>
                        <v:stroke color="#000000" joinstyle="round" endarrow="block"/>
                        <v:imagedata o:title=""/>
                        <o:lock v:ext="edit" aspectratio="f"/>
                      </v:line>
                      <v:line id="_x0000_s1026" o:spid="_x0000_s1026" o:spt="20" style="position:absolute;left:1400237;top:2786454;flip:x;height:365112;width:3801;" filled="f" stroked="t" coordsize="21600,21600" o:gfxdata="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MiiXYAAAACgEAAA8AAAAAAAAAAQAgAAAA&#10;IgAAAGRycy9kb3ducmV2LnhtbFBLAQIUABQAAAAIAIdO4kAEKk3hCwIAAP4DAAAOAAAAAAAAAAEA&#10;IAAAACcBAABkcnMvZTJvRG9jLnhtbFBLBQYAAAAABgAGAFkBAACkBQAAAAA=&#10;">
                        <v:fill on="f" focussize="0,0"/>
                        <v:stroke color="#000000" joinstyle="round"/>
                        <v:imagedata o:title=""/>
                        <o:lock v:ext="edit" aspectratio="f"/>
                      </v:line>
                      <v:line id="_x0000_s1026" o:spid="_x0000_s1026" o:spt="20" style="position:absolute;left:1388135;top:2216779;height:266782;width:0;" filled="f" stroked="t" coordsize="21600,21600" o:gfxdata="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a39stsAAAAKAQAADwAAAAAAAAABACAA&#10;AAAiAAAAZHJzL2Rvd25yZXYueG1sUEsBAhQAFAAAAAgAh07iQEk/0oUKAgAA9QMAAA4AAAAAAAAA&#10;AQAgAAAAKgEAAGRycy9lMm9Eb2MueG1sUEsFBgAAAAAGAAYAWQEAAKYFAAAAAA==&#10;">
                        <v:fill on="f" focussize="0,0"/>
                        <v:stroke color="#000000" joinstyle="round" endarrow="block"/>
                        <v:imagedata o:title=""/>
                        <o:lock v:ext="edit" aspectratio="f"/>
                      </v:line>
                      <v:line id="_x0000_s1026" o:spid="_x0000_s1026" o:spt="20" style="position:absolute;left:2532429;top:1966002;flip:x;height:237473;width:6301;" filled="f" stroked="t" coordsize="21600,21600" o:gfxdata="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EyKJdgAAAAKAQAADwAAAAAAAAABACAA&#10;AAAiAAAAZHJzL2Rvd25yZXYueG1sUEsBAhQAFAAAAAgAh07iQAAmrbkNAgAA/gMAAA4AAAAAAAAA&#10;AQAgAAAAJwEAAGRycy9lMm9Eb2MueG1sUEsFBgAAAAAGAAYAWQEAAKYFAAAAAA==&#10;">
                        <v:fill on="f" focussize="0,0"/>
                        <v:stroke color="#000000" joinstyle="round"/>
                        <v:imagedata o:title=""/>
                        <o:lock v:ext="edit" aspectratio="f"/>
                      </v:line>
                      <v:line id="_x0000_s1026" o:spid="_x0000_s1026" o:spt="20" style="position:absolute;left:1383034;top:2207977;flip:y;height:7602;width:2616243;" filled="f" stroked="t" coordsize="21600,21600" o:gfxdata="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MiiXYAAAACgEAAA8AAAAAAAAAAQAg&#10;AAAAIgAAAGRycy9kb3ducmV2LnhtbFBLAQIUABQAAAAIAIdO4kA/NW3YDgIAAP8DAAAOAAAAAAAA&#10;AAEAIAAAACcBAABkcnMvZTJvRG9jLnhtbFBLBQYAAAAABgAGAFkBAACnBQAAAAA=&#10;">
                        <v:fill on="f" focussize="0,0"/>
                        <v:stroke color="#000000" joinstyle="round"/>
                        <v:imagedata o:title=""/>
                        <o:lock v:ext="edit" aspectratio="f"/>
                      </v:line>
                      <v:line id="_x0000_s1026" o:spid="_x0000_s1026" o:spt="20" style="position:absolute;left:3996777;top:2216779;height:266782;width:0;" filled="f" stroked="t" coordsize="21600,21600" o:gfxdata="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t/bLbAAAACgEAAA8AAAAAAAAAAQAgAAAA&#10;IgAAAGRycy9kb3ducmV2LnhtbFBLAQIUABQAAAAIAIdO4kAZsSOoCAIAAPUDAAAOAAAAAAAAAAEA&#10;IAAAACoBAABkcnMvZTJvRG9jLnhtbFBLBQYAAAAABgAGAFkBAACkBQAAAAA=&#10;">
                        <v:fill on="f" focussize="0,0"/>
                        <v:stroke color="#000000" joinstyle="round" endarrow="block"/>
                        <v:imagedata o:title=""/>
                        <o:lock v:ext="edit" aspectratio="f"/>
                      </v:line>
                      <v:shape id="_x0000_s1026" o:spid="_x0000_s1026" o:spt="202" type="#_x0000_t202" style="position:absolute;left:1095986;top:2494964;height:281986;width:755028;"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vDfvTXAAAACgEAAA8AAAAA&#10;AAAAAQAgAAAAIgAAAGRycy9kb3ducmV2LnhtbFBLAQIUABQAAAAIAIdO4kACqt4wFQIAAEMEAAAO&#10;AAAAAAAAAAEAIAAAACYBAABkcnMvZTJvRG9jLnhtbFBLBQYAAAAABgAGAFkBAACtBQAAAAA=&#10;">
                        <v:fill on="t" focussize="0,0"/>
                        <v:stroke weight="0.5pt" color="#000000" joinstyle="miter"/>
                        <v:imagedata o:title=""/>
                        <o:lock v:ext="edit" aspectratio="f"/>
                        <v:textbox>
                          <w:txbxContent>
                            <w:p>
                              <w:pPr>
                                <w:rPr>
                                  <w:rFonts w:hint="eastAsia" w:eastAsia="宋体"/>
                                  <w:lang w:val="en-US" w:eastAsia="zh-CN"/>
                                </w:rPr>
                              </w:pPr>
                              <w:r>
                                <w:rPr>
                                  <w:rFonts w:hint="eastAsia" w:eastAsia="宋体"/>
                                  <w:lang w:val="en-US" w:eastAsia="zh-CN"/>
                                </w:rPr>
                                <w:t>剪切加工</w:t>
                              </w:r>
                            </w:p>
                          </w:txbxContent>
                        </v:textbox>
                      </v:shape>
                      <v:shape id="_x0000_s1026" o:spid="_x0000_s1026" o:spt="202" type="#_x0000_t202" style="position:absolute;left:3629015;top:2493664;height:295290;width:762029;"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7w3701wAAAAoBAAAPAAAA&#10;AAAAAAEAIAAAACIAAABkcnMvZG93bnJldi54bWxQSwECFAAUAAAACACHTuJAacW5BBYCAABDBAAA&#10;DgAAAAAAAAABACAAAAAmAQAAZHJzL2Uyb0RvYy54bWxQSwUGAAAAAAYABgBZAQAArgUAAAAA&#10;">
                        <v:fill on="t" focussize="0,0"/>
                        <v:stroke weight="0.5pt" color="#000000" joinstyle="miter"/>
                        <v:imagedata o:title=""/>
                        <o:lock v:ext="edit" aspectratio="f"/>
                        <v:textbox>
                          <w:txbxContent>
                            <w:p>
                              <w:pPr>
                                <w:rPr>
                                  <w:rFonts w:hint="eastAsia" w:eastAsia="宋体"/>
                                  <w:lang w:val="en-US" w:eastAsia="zh-CN"/>
                                </w:rPr>
                              </w:pPr>
                              <w:r>
                                <w:rPr>
                                  <w:rFonts w:hint="eastAsia" w:eastAsia="宋体"/>
                                  <w:lang w:val="en-US" w:eastAsia="zh-CN"/>
                                </w:rPr>
                                <w:t>压缩打包</w:t>
                              </w:r>
                            </w:p>
                          </w:txbxContent>
                        </v:textbox>
                      </v:shape>
                      <v:shape id="_x0000_s1026" o:spid="_x0000_s1026" o:spt="202" type="#_x0000_t202" style="position:absolute;left:2341297;top:3001020;height:292190;width:762029;" fillcolor="#FFFFFF" filled="t" stroked="t" coordsize="21600,21600" o:gfxdata="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DfvTXAAAACgEAAA8A&#10;AAAAAAAAAQAgAAAAIgAAAGRycy9kb3ducmV2LnhtbFBLAQIUABQAAAAIAIdO4kC0R3XlGAIAAEME&#10;AAAOAAAAAAAAAAEAIAAAACYBAABkcnMvZTJvRG9jLnhtbFBLBQYAAAAABgAGAFkBAACwBQAAAAA=&#10;">
                        <v:fill on="t" focussize="0,0"/>
                        <v:stroke weight="0.5pt"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成品</w:t>
                              </w:r>
                            </w:p>
                          </w:txbxContent>
                        </v:textbox>
                      </v:shape>
                      <v:line id="_x0000_s1026" o:spid="_x0000_s1026" o:spt="20" style="position:absolute;left:1410339;top:3136961;flip:y;height:3201;width:920156;" filled="f" stroked="t" coordsize="21600,21600" o:gfxdata="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6VE/9sAAAAKAQAADwAAAAAA&#10;AAABACAAAAAiAAAAZHJzL2Rvd25yZXYueG1sUEsBAhQAFAAAAAgAh07iQJQZYIAQAgAAAgQAAA4A&#10;AAAAAAAAAQAgAAAAKgEAAGRycy9lMm9Eb2MueG1sUEsFBgAAAAAGAAYAWQEAAKwFAAAAAA==&#10;">
                        <v:fill on="f" focussize="0,0"/>
                        <v:stroke color="#000000" joinstyle="round" endarrow="block"/>
                        <v:imagedata o:title=""/>
                        <o:lock v:ext="edit" aspectratio="f"/>
                      </v:line>
                      <v:line id="_x0000_s1026" o:spid="_x0000_s1026" o:spt="20" style="position:absolute;left:4011380;top:2802959;flip:x;height:355609;width:0;" filled="f" stroked="t" coordsize="21600,21600" o:gfxdata="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BMiiXYAAAACgEAAA8AAAAAAAAAAQAgAAAA&#10;IgAAAGRycy9kb3ducmV2LnhtbFBLAQIUABQAAAAIAIdO4kA8AX6oCwIAAPsDAAAOAAAAAAAAAAEA&#10;IAAAACcBAABkcnMvZTJvRG9jLnhtbFBLBQYAAAAABgAGAFkBAACkBQAAAAA=&#10;">
                        <v:fill on="f" focussize="0,0"/>
                        <v:stroke color="#000000" joinstyle="round"/>
                        <v:imagedata o:title=""/>
                        <o:lock v:ext="edit" aspectratio="f"/>
                      </v:line>
                      <v:line id="_x0000_s1026" o:spid="_x0000_s1026" o:spt="20" style="position:absolute;left:3121729;top:3161069;flip:x;height:7002;width:896552;" filled="f" stroked="t" coordsize="21600,21600" o:gfxdata="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lRP/bAAAACgEAAA8A&#10;AAAAAAAAAQAgAAAAIgAAAGRycy9kb3ducmV2LnhtbFBLAQIUABQAAAAIAIdO4kD/yIztFAIAAAIE&#10;AAAOAAAAAAAAAAEAIAAAACoBAABkcnMvZTJvRG9jLnhtbFBLBQYAAAAABgAGAFkBAACwBQAAAAA=&#10;">
                        <v:fill on="f" focussize="0,0"/>
                        <v:stroke color="#000000" joinstyle="round" endarrow="block"/>
                        <v:imagedata o:title=""/>
                        <o:lock v:ext="edit" aspectratio="f"/>
                      </v:line>
                      <v:line id="_x0000_s1026" o:spid="_x0000_s1026" o:spt="20" style="position:absolute;left:1847813;top:2639709;height:600;width:269246;" filled="f" stroked="t" coordsize="21600,21600" o:gfxdata="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cJQ42wAAAAoBAAAPAAAAAAAA&#10;AAEAIAAAACIAAABkcnMvZG93bnJldi54bWxQSwECFAAUAAAACACHTuJAHgWiWA8CAAD3AwAADgAA&#10;AAAAAAABACAAAAAqAQAAZHJzL2Uyb0RvYy54bWxQSwUGAAAAAAYABgBZAQAAqwUAAAAA&#10;">
                        <v:fill on="f" focussize="0,0"/>
                        <v:stroke weight="1pt" color="#000000" joinstyle="round" dashstyle="dash" endarrow="block"/>
                        <v:imagedata o:title=""/>
                        <o:lock v:ext="edit" aspectratio="f"/>
                      </v:line>
                      <v:line id="_x0000_s1026" o:spid="_x0000_s1026" o:spt="20" style="position:absolute;left:2959701;top:1824959;height:0;width:266745;" filled="f" stroked="t" coordsize="21600,21600" o:gfxdata="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hwlDjbAAAACgEAAA8AAAAAAAAAAQAg&#10;AAAAIgAAAGRycy9kb3ducmV2LnhtbFBLAQIUABQAAAAIAIdO4kDZ1KeACwIAAPUDAAAOAAAAAAAA&#10;AAEAIAAAACoBAABkcnMvZTJvRG9jLnhtbFBLBQYAAAAABgAGAFkBAACnBQAAAAA=&#10;">
                        <v:fill on="f" focussize="0,0"/>
                        <v:stroke weight="1pt" color="#000000" joinstyle="round" dashstyle="dash" endarrow="block"/>
                        <v:imagedata o:title=""/>
                        <o:lock v:ext="edit" aspectratio="f"/>
                      </v:line>
                      <v:shape id="_x0000_s1026" o:spid="_x0000_s1026" o:spt="202" type="#_x0000_t202" style="position:absolute;left:3150234;top:1685917;height:320098;width:561295;" filled="f" stroked="f" coordsize="21600,21600" o:gfxdata="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J45xzbAAAACgEAAA8AAAAAAAAAAQAgAAAAIgAAAGRycy9kb3ducmV2&#10;LnhtbFBLAQIUABQAAAAIAIdO4kB1kMaawAEAAGQDAAAOAAAAAAAAAAEAIAAAACoBAABkcnMvZTJv&#10;RG9jLnhtbFBLBQYAAAAABgAGAFkBAABcBQAAAAA=&#10;">
                        <v:fill on="f" focussize="0,0"/>
                        <v:stroke on="f" weight="0.5pt"/>
                        <v:imagedata o:title=""/>
                        <o:lock v:ext="edit" aspectratio="f"/>
                        <v:textbox>
                          <w:txbxContent>
                            <w:p>
                              <w:pPr>
                                <w:rPr>
                                  <w:rFonts w:hint="eastAsia" w:eastAsia="宋体"/>
                                  <w:u w:val="single"/>
                                  <w:lang w:val="en-US" w:eastAsia="zh-CN"/>
                                </w:rPr>
                              </w:pPr>
                              <w:r>
                                <w:rPr>
                                  <w:rFonts w:hint="eastAsia" w:eastAsia="宋体"/>
                                  <w:u w:val="single"/>
                                  <w:lang w:val="en-US" w:eastAsia="zh-CN"/>
                                </w:rPr>
                                <w:t>固废</w:t>
                              </w:r>
                            </w:p>
                          </w:txbxContent>
                        </v:textbox>
                      </v:shape>
                    </v:group>
                  </w:pict>
                </mc:Fallback>
              </mc:AlternateContent>
            </w: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tabs>
                <w:tab w:val="left" w:pos="567"/>
              </w:tabs>
              <w:spacing w:line="360" w:lineRule="auto"/>
              <w:ind w:left="420" w:leftChars="200"/>
              <w:rPr>
                <w:rFonts w:hint="eastAsia" w:ascii="Times New Roman" w:hAnsi="Times New Roman" w:eastAsia="宋体" w:cs="Times New Roman"/>
                <w:b/>
                <w:bCs w:val="0"/>
                <w:szCs w:val="21"/>
              </w:rPr>
            </w:pPr>
          </w:p>
          <w:p>
            <w:pPr>
              <w:pStyle w:val="15"/>
              <w:ind w:left="0" w:leftChars="0" w:firstLine="0" w:firstLineChars="0"/>
              <w:jc w:val="center"/>
              <w:rPr>
                <w:rFonts w:hint="eastAsia" w:ascii="Times New Roman" w:hAnsi="Times New Roman" w:eastAsia="宋体"/>
                <w:b/>
                <w:bCs/>
                <w:u w:val="none"/>
                <w:lang w:eastAsia="zh-CN"/>
              </w:rPr>
            </w:pPr>
          </w:p>
          <w:p>
            <w:pPr>
              <w:pStyle w:val="15"/>
              <w:ind w:left="0" w:leftChars="0" w:firstLine="0" w:firstLineChars="0"/>
              <w:jc w:val="center"/>
              <w:rPr>
                <w:rFonts w:hint="eastAsia" w:ascii="Times New Roman" w:hAnsi="Times New Roman" w:eastAsia="宋体"/>
                <w:b/>
                <w:bCs/>
                <w:u w:val="none"/>
                <w:lang w:eastAsia="zh-CN"/>
              </w:rPr>
            </w:pPr>
            <w:r>
              <mc:AlternateContent>
                <mc:Choice Requires="wps">
                  <w:drawing>
                    <wp:anchor distT="0" distB="0" distL="114300" distR="114300" simplePos="0" relativeHeight="251675648" behindDoc="0" locked="0" layoutInCell="1" allowOverlap="1">
                      <wp:simplePos x="0" y="0"/>
                      <wp:positionH relativeFrom="column">
                        <wp:posOffset>1981200</wp:posOffset>
                      </wp:positionH>
                      <wp:positionV relativeFrom="paragraph">
                        <wp:posOffset>132080</wp:posOffset>
                      </wp:positionV>
                      <wp:extent cx="659765" cy="43307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659765" cy="433070"/>
                              </a:xfrm>
                              <a:prstGeom prst="rect">
                                <a:avLst/>
                              </a:prstGeom>
                              <a:noFill/>
                              <a:ln w="6350">
                                <a:noFill/>
                              </a:ln>
                            </wps:spPr>
                            <wps:txbx>
                              <w:txbxContent>
                                <w:p>
                                  <w:pPr>
                                    <w:rPr>
                                      <w:rFonts w:hint="eastAsia" w:eastAsia="宋体"/>
                                      <w:u w:val="single"/>
                                      <w:lang w:val="en-US" w:eastAsia="zh-CN"/>
                                    </w:rPr>
                                  </w:pPr>
                                  <w:r>
                                    <w:rPr>
                                      <w:rFonts w:hint="eastAsia" w:eastAsia="宋体"/>
                                      <w:u w:val="single"/>
                                      <w:lang w:val="en-US" w:eastAsia="zh-CN"/>
                                    </w:rPr>
                                    <w:t>颗粒物、噪声</w:t>
                                  </w:r>
                                </w:p>
                              </w:txbxContent>
                            </wps:txbx>
                            <wps:bodyPr upright="1"/>
                          </wps:wsp>
                        </a:graphicData>
                      </a:graphic>
                    </wp:anchor>
                  </w:drawing>
                </mc:Choice>
                <mc:Fallback>
                  <w:pict>
                    <v:shape id="_x0000_s1026" o:spid="_x0000_s1026" o:spt="202" type="#_x0000_t202" style="position:absolute;left:0pt;margin-left:156pt;margin-top:10.4pt;height:34.1pt;width:51.95pt;z-index:251675648;mso-width-relative:page;mso-height-relative:page;" filled="f" stroked="f" coordsize="21600,21600" o:gfxdata="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KsX9NoAAAAJAQAADwAAAAAAAAABACAAAAAiAAAAZHJzL2Rvd25yZXYueG1sUEsBAhQA&#10;FAAAAAgAh07iQLg4wb23AQAAWAMAAA4AAAAAAAAAAQAgAAAAKQEAAGRycy9lMm9Eb2MueG1sUEsF&#10;BgAAAAAGAAYAWQEAAFIFAAAAAA==&#10;">
                      <v:fill on="f" focussize="0,0"/>
                      <v:stroke on="f" weight="0.5pt"/>
                      <v:imagedata o:title=""/>
                      <o:lock v:ext="edit" aspectratio="f"/>
                      <v:textbox>
                        <w:txbxContent>
                          <w:p>
                            <w:pPr>
                              <w:rPr>
                                <w:rFonts w:hint="eastAsia" w:eastAsia="宋体"/>
                                <w:u w:val="single"/>
                                <w:lang w:val="en-US" w:eastAsia="zh-CN"/>
                              </w:rPr>
                            </w:pPr>
                            <w:r>
                              <w:rPr>
                                <w:rFonts w:hint="eastAsia" w:eastAsia="宋体"/>
                                <w:u w:val="single"/>
                                <w:lang w:val="en-US" w:eastAsia="zh-CN"/>
                              </w:rPr>
                              <w:t>颗粒物、噪声</w:t>
                            </w:r>
                          </w:p>
                        </w:txbxContent>
                      </v:textbox>
                    </v:shape>
                  </w:pict>
                </mc:Fallback>
              </mc:AlternateContent>
            </w:r>
          </w:p>
          <w:p>
            <w:pPr>
              <w:pStyle w:val="15"/>
              <w:ind w:left="0" w:leftChars="0" w:firstLine="0" w:firstLineChars="0"/>
              <w:jc w:val="center"/>
              <w:rPr>
                <w:rFonts w:hint="eastAsia" w:ascii="Times New Roman" w:hAnsi="Times New Roman" w:eastAsia="宋体"/>
                <w:b/>
                <w:bCs/>
                <w:u w:val="none"/>
                <w:lang w:eastAsia="zh-CN"/>
              </w:rPr>
            </w:pPr>
          </w:p>
          <w:p>
            <w:pPr>
              <w:pStyle w:val="15"/>
              <w:ind w:left="0" w:leftChars="0" w:firstLine="0" w:firstLineChars="0"/>
              <w:jc w:val="center"/>
              <w:rPr>
                <w:rFonts w:hint="eastAsia" w:ascii="Times New Roman" w:hAnsi="Times New Roman" w:eastAsia="宋体"/>
                <w:b/>
                <w:bCs/>
                <w:u w:val="none"/>
                <w:lang w:eastAsia="zh-CN"/>
              </w:rPr>
            </w:pPr>
          </w:p>
          <w:p>
            <w:pPr>
              <w:pStyle w:val="15"/>
              <w:ind w:left="0" w:leftChars="0" w:firstLine="0" w:firstLineChars="0"/>
              <w:jc w:val="center"/>
              <w:rPr>
                <w:rFonts w:hint="eastAsia" w:ascii="Times New Roman" w:hAnsi="Times New Roman" w:eastAsia="宋体"/>
                <w:b/>
                <w:bCs/>
                <w:u w:val="none"/>
                <w:lang w:eastAsia="zh-CN"/>
              </w:rPr>
            </w:pPr>
          </w:p>
          <w:p>
            <w:pPr>
              <w:pStyle w:val="15"/>
              <w:ind w:left="0" w:leftChars="0" w:firstLine="0" w:firstLineChars="0"/>
              <w:jc w:val="center"/>
              <w:rPr>
                <w:rFonts w:hint="eastAsia" w:ascii="Times New Roman" w:hAnsi="Times New Roman" w:eastAsia="宋体"/>
                <w:b/>
                <w:bCs/>
                <w:u w:val="none"/>
                <w:lang w:eastAsia="zh-CN"/>
              </w:rPr>
            </w:pPr>
          </w:p>
          <w:p>
            <w:pPr>
              <w:pStyle w:val="15"/>
              <w:ind w:left="0" w:leftChars="0" w:firstLine="0" w:firstLineChars="0"/>
              <w:jc w:val="center"/>
              <w:rPr>
                <w:rFonts w:hint="default" w:ascii="Times New Roman" w:hAnsi="Times New Roman" w:cs="Times New Roman"/>
                <w:color w:val="auto"/>
                <w:sz w:val="24"/>
                <w:szCs w:val="24"/>
                <w:u w:val="single"/>
                <w:lang w:val="en-US" w:eastAsia="zh-CN"/>
              </w:rPr>
            </w:pPr>
            <w:r>
              <w:rPr>
                <w:rFonts w:hint="eastAsia" w:ascii="Times New Roman" w:hAnsi="Times New Roman" w:eastAsia="宋体"/>
                <w:b/>
                <w:bCs/>
                <w:u w:val="single"/>
                <w:lang w:eastAsia="zh-CN"/>
              </w:rPr>
              <w:t>图</w:t>
            </w:r>
            <w:r>
              <w:rPr>
                <w:rFonts w:hint="eastAsia" w:ascii="Times New Roman" w:hAnsi="Times New Roman" w:eastAsia="宋体"/>
                <w:b/>
                <w:bCs/>
                <w:u w:val="single"/>
                <w:lang w:val="en-US" w:eastAsia="zh-CN"/>
              </w:rPr>
              <w:t xml:space="preserve">2-5 </w:t>
            </w:r>
            <w:r>
              <w:rPr>
                <w:rFonts w:hint="eastAsia"/>
                <w:b/>
                <w:bCs/>
                <w:u w:val="single"/>
                <w:lang w:val="en-US" w:eastAsia="zh-CN"/>
              </w:rPr>
              <w:t>废钢铁加工</w:t>
            </w:r>
            <w:r>
              <w:rPr>
                <w:rFonts w:hint="eastAsia"/>
                <w:b/>
                <w:bCs/>
                <w:u w:val="single"/>
                <w:lang w:eastAsia="zh-CN"/>
              </w:rPr>
              <w:t>工艺流程</w:t>
            </w:r>
            <w:r>
              <w:rPr>
                <w:b/>
                <w:bCs/>
                <w:u w:val="single"/>
              </w:rPr>
              <w:t>及产污节点图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①放射性检测：废钢运输进厂后用放射性检测仪进行辐射检测，当原料辐射检测超标时，运输车辆原路退回，并上报辐射管理相关部门由有资质的单位进行处理</w:t>
            </w:r>
            <w:r>
              <w:rPr>
                <w:rFonts w:hint="eastAsia" w:ascii="Times New Roman" w:hAnsi="Times New Roman" w:cs="Times New Roman"/>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②原料仓库：经辐射检测合格的废钢由运输车辆运至车间内的原料仓库，通过行吊</w:t>
            </w:r>
            <w:r>
              <w:rPr>
                <w:rFonts w:hint="eastAsia" w:ascii="Times New Roman" w:hAnsi="Times New Roman" w:cs="Times New Roman"/>
                <w:color w:val="auto"/>
                <w:sz w:val="24"/>
                <w:szCs w:val="24"/>
                <w:u w:val="none"/>
                <w:lang w:val="en-US" w:eastAsia="zh-CN"/>
              </w:rPr>
              <w:t>进行</w:t>
            </w:r>
            <w:r>
              <w:rPr>
                <w:rFonts w:hint="default" w:ascii="Times New Roman" w:hAnsi="Times New Roman" w:cs="Times New Roman"/>
                <w:color w:val="auto"/>
                <w:sz w:val="24"/>
                <w:szCs w:val="24"/>
                <w:u w:val="none"/>
                <w:lang w:val="en-US" w:eastAsia="zh-CN"/>
              </w:rPr>
              <w:t>卸料</w:t>
            </w:r>
            <w:r>
              <w:rPr>
                <w:rFonts w:hint="eastAsia" w:ascii="Times New Roman" w:hAnsi="Times New Roman" w:cs="Times New Roman"/>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③磁选分类：用磁选机进行磁选并分类</w:t>
            </w:r>
            <w:r>
              <w:rPr>
                <w:rFonts w:hint="eastAsia" w:ascii="Times New Roman" w:hAnsi="Times New Roman" w:cs="Times New Roman"/>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④剪切加工：</w:t>
            </w:r>
            <w:r>
              <w:rPr>
                <w:rFonts w:hint="eastAsia" w:ascii="Times New Roman" w:hAnsi="Times New Roman" w:cs="Times New Roman"/>
                <w:color w:val="auto"/>
                <w:sz w:val="24"/>
                <w:szCs w:val="24"/>
                <w:u w:val="none"/>
                <w:lang w:val="en-US" w:eastAsia="zh-CN"/>
              </w:rPr>
              <w:t>分选出大块的废钢，用门式剪切机</w:t>
            </w:r>
            <w:r>
              <w:rPr>
                <w:rFonts w:hint="default" w:ascii="Times New Roman" w:hAnsi="Times New Roman" w:cs="Times New Roman"/>
                <w:color w:val="auto"/>
                <w:sz w:val="24"/>
                <w:szCs w:val="24"/>
                <w:u w:val="none"/>
                <w:lang w:val="en-US" w:eastAsia="zh-CN"/>
              </w:rPr>
              <w:t>加工</w:t>
            </w:r>
            <w:r>
              <w:rPr>
                <w:rFonts w:hint="eastAsia" w:ascii="Times New Roman" w:hAnsi="Times New Roman" w:cs="Times New Roman"/>
                <w:color w:val="auto"/>
                <w:sz w:val="24"/>
                <w:szCs w:val="24"/>
                <w:u w:val="none"/>
                <w:lang w:val="en-US" w:eastAsia="zh-CN"/>
              </w:rPr>
              <w:t>成小块后送至</w:t>
            </w:r>
            <w:r>
              <w:rPr>
                <w:rFonts w:hint="default" w:ascii="Times New Roman" w:hAnsi="Times New Roman" w:cs="Times New Roman"/>
                <w:color w:val="auto"/>
                <w:sz w:val="24"/>
                <w:szCs w:val="24"/>
                <w:u w:val="none"/>
                <w:lang w:val="en-US" w:eastAsia="zh-CN"/>
              </w:rPr>
              <w:t>金属打包机</w:t>
            </w:r>
            <w:r>
              <w:rPr>
                <w:rFonts w:hint="eastAsia" w:ascii="Times New Roman" w:hAnsi="Times New Roman" w:cs="Times New Roman"/>
                <w:color w:val="auto"/>
                <w:sz w:val="24"/>
                <w:szCs w:val="24"/>
                <w:u w:val="none"/>
                <w:lang w:val="en-US" w:eastAsia="zh-CN"/>
              </w:rPr>
              <w:t>进行打包；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⑤压缩打包：</w:t>
            </w:r>
            <w:r>
              <w:rPr>
                <w:rFonts w:hint="eastAsia" w:ascii="Times New Roman" w:hAnsi="Times New Roman" w:cs="Times New Roman"/>
                <w:color w:val="auto"/>
                <w:sz w:val="24"/>
                <w:szCs w:val="24"/>
                <w:u w:val="none"/>
                <w:lang w:val="en-US" w:eastAsia="zh-CN"/>
              </w:rPr>
              <w:t>分选出的小块废钢，直接用金属打包机</w:t>
            </w:r>
            <w:r>
              <w:rPr>
                <w:rFonts w:hint="default" w:ascii="Times New Roman" w:hAnsi="Times New Roman" w:cs="Times New Roman"/>
                <w:color w:val="auto"/>
                <w:sz w:val="24"/>
                <w:szCs w:val="24"/>
                <w:u w:val="none"/>
                <w:lang w:val="en-US" w:eastAsia="zh-CN"/>
              </w:rPr>
              <w:t>将废钢压制成废钢压缩包</w:t>
            </w:r>
            <w:r>
              <w:rPr>
                <w:rFonts w:hint="eastAsia" w:ascii="Times New Roman" w:hAnsi="Times New Roman" w:cs="Times New Roman"/>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lang w:val="en-US" w:eastAsia="zh-CN"/>
              </w:rPr>
            </w:pPr>
            <w:r>
              <w:rPr>
                <w:rFonts w:hint="eastAsia" w:ascii="宋体" w:hAnsi="宋体" w:eastAsia="宋体" w:cs="宋体"/>
                <w:color w:val="auto"/>
                <w:sz w:val="24"/>
                <w:szCs w:val="24"/>
                <w:u w:val="none"/>
                <w:lang w:val="en-US" w:eastAsia="zh-CN"/>
              </w:rPr>
              <w:t>⑥</w:t>
            </w:r>
            <w:r>
              <w:rPr>
                <w:rFonts w:hint="eastAsia" w:ascii="Times New Roman" w:hAnsi="Times New Roman" w:cs="Times New Roman"/>
                <w:color w:val="auto"/>
                <w:sz w:val="24"/>
                <w:szCs w:val="24"/>
                <w:u w:val="none"/>
                <w:lang w:val="en-US" w:eastAsia="zh-CN"/>
              </w:rPr>
              <w:t>成品：将打包好的废钢压缩包</w:t>
            </w:r>
            <w:r>
              <w:rPr>
                <w:rFonts w:hint="default" w:ascii="Times New Roman" w:hAnsi="Times New Roman" w:cs="Times New Roman"/>
                <w:color w:val="auto"/>
                <w:sz w:val="24"/>
                <w:szCs w:val="24"/>
                <w:u w:val="none"/>
                <w:lang w:val="en-US" w:eastAsia="zh-CN"/>
              </w:rPr>
              <w:t>再由行吊至车间内成品区堆存，等待出货。</w:t>
            </w:r>
          </w:p>
          <w:p>
            <w:pPr>
              <w:tabs>
                <w:tab w:val="left" w:pos="567"/>
              </w:tabs>
              <w:spacing w:line="360" w:lineRule="auto"/>
              <w:rPr>
                <w:rFonts w:hint="eastAsia" w:ascii="Times New Roman" w:hAnsi="Times New Roman" w:eastAsia="宋体" w:cs="Times New Roman"/>
                <w:b/>
                <w:bCs w:val="0"/>
                <w:sz w:val="24"/>
                <w:szCs w:val="24"/>
              </w:rPr>
            </w:pPr>
            <w:r>
              <w:rPr>
                <w:rFonts w:hint="eastAsia" w:ascii="Times New Roman" w:hAnsi="Times New Roman" w:eastAsia="宋体" w:cs="Times New Roman"/>
                <w:b/>
                <w:bCs w:val="0"/>
                <w:sz w:val="24"/>
                <w:szCs w:val="24"/>
                <w:lang w:val="en-US" w:eastAsia="zh-CN"/>
              </w:rPr>
              <w:t>10、</w:t>
            </w:r>
            <w:r>
              <w:rPr>
                <w:rFonts w:hint="eastAsia" w:ascii="Times New Roman" w:hAnsi="Times New Roman" w:eastAsia="宋体" w:cs="Times New Roman"/>
                <w:b/>
                <w:bCs w:val="0"/>
                <w:sz w:val="24"/>
                <w:szCs w:val="24"/>
              </w:rPr>
              <w:t>运营期污染工序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10</w:t>
            </w:r>
            <w:r>
              <w:rPr>
                <w:rFonts w:hint="default" w:ascii="Times New Roman" w:hAnsi="Times New Roman" w:cs="Times New Roman"/>
                <w:b/>
                <w:bCs/>
                <w:color w:val="auto"/>
                <w:sz w:val="21"/>
                <w:szCs w:val="21"/>
                <w:lang w:val="en-US" w:eastAsia="zh-CN"/>
              </w:rPr>
              <w:t xml:space="preserve"> 项目主要污染物产生环节一览表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628"/>
              <w:gridCol w:w="1810"/>
              <w:gridCol w:w="1664"/>
              <w:gridCol w:w="1471"/>
              <w:gridCol w:w="2203"/>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类别</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产生环节</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污染物</w:t>
                  </w:r>
                  <w:r>
                    <w:rPr>
                      <w:rFonts w:hint="eastAsia" w:ascii="Times New Roman" w:hAnsi="Times New Roman" w:cs="Times New Roman"/>
                      <w:color w:val="auto"/>
                      <w:sz w:val="21"/>
                      <w:szCs w:val="21"/>
                      <w:lang w:val="en-US" w:eastAsia="zh-CN"/>
                    </w:rPr>
                    <w:t>名称</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主要污染因子</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废钢加工</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剪切</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金属粉尘</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eastAsia="宋体"/>
                      <w:sz w:val="21"/>
                      <w:szCs w:val="21"/>
                      <w:u w:val="none"/>
                      <w:lang w:val="en-US" w:eastAsia="zh-CN"/>
                    </w:rPr>
                    <w:t>集尘罩+布袋除尘器+15m高排气筒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磁选</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塑料、木块、纤维等杂质</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交由环卫部门清运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除尘装置</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颗粒物</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设备润滑、液压</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废机油、废液压油</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u w:val="none" w:color="auto"/>
                      <w:lang w:val="en-US" w:eastAsia="zh-CN"/>
                    </w:rPr>
                    <w:t>HW08</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256" w:hRule="atLeas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剪切工序</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噪声</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Leq(A)</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u w:val="none" w:color="auto"/>
                      <w:lang w:val="en-US" w:eastAsia="zh-CN"/>
                    </w:rPr>
                    <w:t>厂房隔声、合理布局、消声、基础减振等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报废机动车拆解</w:t>
                  </w:r>
                </w:p>
              </w:tc>
              <w:tc>
                <w:tcPr>
                  <w:tcW w:w="3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废气</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拆解剪切工序</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粉尘</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颗粒物</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车间通风措施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抽取废油液</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有机废气</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经集气罩+活性炭吸附装置+15米高排气筒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安全气囊引爆</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颗粒物</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颗粒物</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经爆破自带收尘系统过滤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抽取制冷剂</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制冷剂废气</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氟利昂、氢氟碳化物</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经专门的制冷剂回收装置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486" w:hRule="atLeas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废水</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办公生活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生活污水</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COD、BOD</w:t>
                  </w:r>
                  <w:r>
                    <w:rPr>
                      <w:rFonts w:hint="default" w:ascii="Times New Roman" w:hAnsi="Times New Roman" w:cs="Times New Roman"/>
                      <w:color w:val="auto"/>
                      <w:sz w:val="21"/>
                      <w:szCs w:val="21"/>
                      <w:vertAlign w:val="subscript"/>
                      <w:lang w:val="en-US" w:eastAsia="zh-CN"/>
                    </w:rPr>
                    <w:t>5</w:t>
                  </w:r>
                  <w:r>
                    <w:rPr>
                      <w:rFonts w:hint="default" w:ascii="Times New Roman" w:hAnsi="Times New Roman" w:cs="Times New Roman"/>
                      <w:color w:val="auto"/>
                      <w:sz w:val="21"/>
                      <w:szCs w:val="21"/>
                      <w:lang w:val="en-US" w:eastAsia="zh-CN"/>
                    </w:rPr>
                    <w:t>、SS、NH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-N、动植物油</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隔油池+化粪池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426" w:hRule="atLeas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拆解区</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bCs/>
                      <w:sz w:val="21"/>
                      <w:szCs w:val="21"/>
                      <w:u w:val="none"/>
                    </w:rPr>
                    <w:t>拆解</w:t>
                  </w:r>
                  <w:r>
                    <w:rPr>
                      <w:rFonts w:hint="eastAsia"/>
                      <w:bCs/>
                      <w:sz w:val="21"/>
                      <w:szCs w:val="21"/>
                      <w:u w:val="none"/>
                      <w:lang w:eastAsia="zh-CN"/>
                    </w:rPr>
                    <w:t>区</w:t>
                  </w:r>
                  <w:r>
                    <w:rPr>
                      <w:rFonts w:hint="eastAsia"/>
                      <w:bCs/>
                      <w:sz w:val="21"/>
                      <w:szCs w:val="21"/>
                      <w:u w:val="none"/>
                    </w:rPr>
                    <w:t>地面</w:t>
                  </w:r>
                  <w:r>
                    <w:rPr>
                      <w:rFonts w:hint="eastAsia"/>
                      <w:bCs/>
                      <w:sz w:val="21"/>
                      <w:szCs w:val="21"/>
                      <w:u w:val="none"/>
                      <w:lang w:val="en-US" w:eastAsia="zh-CN"/>
                    </w:rPr>
                    <w:t>清洁</w:t>
                  </w:r>
                  <w:r>
                    <w:rPr>
                      <w:rFonts w:hint="eastAsia"/>
                      <w:bCs/>
                      <w:sz w:val="21"/>
                      <w:szCs w:val="21"/>
                      <w:u w:val="none"/>
                    </w:rPr>
                    <w:t>废水</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COD、SS、石油类</w:t>
                  </w:r>
                </w:p>
              </w:tc>
              <w:tc>
                <w:tcPr>
                  <w:tcW w:w="13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Calibri" w:hAnsi="Calibri" w:eastAsia="宋体" w:cs="Times New Roman"/>
                      <w:sz w:val="21"/>
                      <w:szCs w:val="21"/>
                      <w:lang w:val="en-US" w:eastAsia="zh-CN"/>
                    </w:rPr>
                    <w:t>收集池+</w:t>
                  </w:r>
                  <w:r>
                    <w:rPr>
                      <w:rFonts w:hint="eastAsia" w:ascii="Calibri" w:hAnsi="Calibri" w:eastAsia="宋体" w:cs="Times New Roman"/>
                      <w:sz w:val="21"/>
                      <w:szCs w:val="21"/>
                      <w:lang w:eastAsia="zh-CN"/>
                    </w:rPr>
                    <w:t>废水处理</w:t>
                  </w:r>
                  <w:r>
                    <w:rPr>
                      <w:rFonts w:hint="eastAsia" w:ascii="Calibri" w:hAnsi="Calibri" w:eastAsia="宋体" w:cs="Times New Roman"/>
                      <w:sz w:val="21"/>
                      <w:szCs w:val="21"/>
                      <w:lang w:val="en-US" w:eastAsia="zh-CN"/>
                    </w:rPr>
                    <w:t>设施（隔油池+气浮机）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trHeight w:val="426" w:hRule="atLeas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2065"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初期雨水</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COD、SS、石油类</w:t>
                  </w:r>
                </w:p>
              </w:tc>
              <w:tc>
                <w:tcPr>
                  <w:tcW w:w="13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Calibri" w:hAnsi="Calibri"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固废</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检查和登记工序</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废含油抹布手套</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HW49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抽取废油液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废油液</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HW08</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抽取制冷剂、冷却液、尿素液</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废制冷剂、废冷却液、废尿素液</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拆除蓄电池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废铅蓄电池 </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HW31</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拆除油箱</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废油箱</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HW49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拆除汽油滤清器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废滤清器 </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HW49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拆除安全气囊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废安全气囊（已引爆）</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拆除催化系统</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废催化转化器 </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HW50</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拆除玻璃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废玻璃</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拆除消声器、转向消声器、转向锁总成停车装置、倒车雷达及电子控制模块等、拆解有关总成和其它零部件</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可利用零部件 </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不可利用零部件</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拆除车轮轮胎、拆解有关总成和其它零部件</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废轮胎</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废钢铁 </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拆除金属零部件</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废金属</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拆除塑料</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废塑料</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拆除橡胶制品部件 </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废橡胶</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废气处理装置</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废活性炭</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HW49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废水处理设施</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污泥</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HW49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拆解有关总成和其它零部件</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废线路板、电容器</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HW49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废电线电缆</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含汞废物（开关等）</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HW29</w:t>
                  </w:r>
                  <w:r>
                    <w:rPr>
                      <w:rFonts w:hint="eastAsia"/>
                      <w:sz w:val="21"/>
                      <w:szCs w:val="21"/>
                      <w:u w:val="none" w:color="auto"/>
                      <w:lang w:val="en-US" w:eastAsia="zh-CN"/>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pct"/>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员工生活办公</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生活垃圾</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3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u w:val="none" w:color="auto"/>
                      <w:lang w:val="en-US" w:eastAsia="zh-CN" w:bidi="ar-SA"/>
                    </w:rPr>
                  </w:pPr>
                  <w:r>
                    <w:rPr>
                      <w:rFonts w:hint="default" w:ascii="Times New Roman" w:hAnsi="Times New Roman" w:eastAsia="宋体" w:cs="Times New Roman"/>
                      <w:b w:val="0"/>
                      <w:bCs w:val="0"/>
                      <w:color w:val="auto"/>
                      <w:sz w:val="21"/>
                      <w:szCs w:val="21"/>
                      <w:highlight w:val="none"/>
                      <w:u w:val="none" w:color="auto"/>
                    </w:rPr>
                    <w:t>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1076"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拆解工序、安全气囊引爆等</w:t>
                  </w:r>
                </w:p>
              </w:tc>
              <w:tc>
                <w:tcPr>
                  <w:tcW w:w="9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噪声</w:t>
                  </w:r>
                </w:p>
              </w:tc>
              <w:tc>
                <w:tcPr>
                  <w:tcW w:w="8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Leq(A)</w:t>
                  </w:r>
                </w:p>
              </w:tc>
              <w:tc>
                <w:tcPr>
                  <w:tcW w:w="1318"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厂房隔声、合理布局、消声、基础减振等</w:t>
                  </w:r>
                </w:p>
              </w:tc>
            </w:tr>
          </w:tbl>
          <w:p>
            <w:pPr>
              <w:adjustRightInd w:val="0"/>
              <w:snapToGrid w:val="0"/>
              <w:spacing w:line="360" w:lineRule="auto"/>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2" w:hRule="atLeast"/>
          <w:jc w:val="center"/>
        </w:trPr>
        <w:tc>
          <w:tcPr>
            <w:tcW w:w="730" w:type="dxa"/>
            <w:noWrap w:val="0"/>
            <w:vAlign w:val="center"/>
          </w:tcPr>
          <w:p>
            <w:pPr>
              <w:pStyle w:val="13"/>
              <w:adjustRightInd w:val="0"/>
              <w:snapToGrid w:val="0"/>
              <w:spacing w:before="0" w:beforeAutospacing="0" w:after="0" w:afterAutospacing="0"/>
              <w:jc w:val="center"/>
              <w:rPr>
                <w:rFonts w:ascii="Times New Roman" w:hAnsi="Times New Roman"/>
                <w:sz w:val="21"/>
                <w:szCs w:val="21"/>
                <w:lang w:val="en-US" w:eastAsia="zh-CN"/>
              </w:rPr>
            </w:pPr>
            <w:r>
              <w:rPr>
                <w:rFonts w:ascii="Times New Roman"/>
                <w:bCs/>
                <w:kern w:val="2"/>
                <w:sz w:val="21"/>
                <w:szCs w:val="21"/>
                <w:lang w:val="en-US" w:eastAsia="zh-CN"/>
              </w:rPr>
              <w:t>与项目有关的原有环境污染问题</w:t>
            </w:r>
          </w:p>
        </w:tc>
        <w:tc>
          <w:tcPr>
            <w:tcW w:w="833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2"/>
                <w:sz w:val="24"/>
                <w:szCs w:val="24"/>
                <w:u w:val="none"/>
                <w:shd w:val="clear" w:color="auto" w:fill="auto"/>
                <w:lang w:val="en-US" w:eastAsia="zh-CN" w:bidi="ar-SA"/>
              </w:rPr>
            </w:pPr>
            <w:r>
              <w:rPr>
                <w:rFonts w:hint="eastAsia" w:ascii="Times New Roman" w:hAnsi="Times New Roman" w:cs="Times New Roman"/>
                <w:b/>
                <w:bCs/>
                <w:color w:val="auto"/>
                <w:kern w:val="2"/>
                <w:sz w:val="24"/>
                <w:szCs w:val="24"/>
                <w:lang w:val="en-US" w:eastAsia="zh-CN"/>
              </w:rPr>
              <w:t>11、</w:t>
            </w:r>
            <w:r>
              <w:rPr>
                <w:rFonts w:hint="default" w:ascii="Times New Roman" w:hAnsi="Times New Roman" w:cs="Times New Roman"/>
                <w:b/>
                <w:bCs/>
                <w:color w:val="auto"/>
                <w:kern w:val="2"/>
                <w:sz w:val="24"/>
                <w:szCs w:val="24"/>
              </w:rPr>
              <w:t>与项目有关的原有环境污染问题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u w:val="single"/>
                <w:shd w:val="clear" w:color="auto" w:fill="auto"/>
                <w:lang w:val="en-US" w:eastAsia="zh-CN" w:bidi="ar-SA"/>
              </w:rPr>
            </w:pPr>
            <w:r>
              <w:rPr>
                <w:rFonts w:hint="default" w:ascii="Times New Roman" w:hAnsi="Times New Roman" w:eastAsia="宋体" w:cs="Times New Roman"/>
                <w:b w:val="0"/>
                <w:bCs w:val="0"/>
                <w:color w:val="auto"/>
                <w:kern w:val="2"/>
                <w:sz w:val="24"/>
                <w:szCs w:val="24"/>
                <w:u w:val="single"/>
                <w:shd w:val="clear" w:color="auto" w:fill="auto"/>
                <w:lang w:val="en-US" w:eastAsia="zh-CN" w:bidi="ar-SA"/>
              </w:rPr>
              <w:t>本项目为新建项目，选址于</w:t>
            </w:r>
            <w:r>
              <w:rPr>
                <w:rFonts w:hint="eastAsia" w:ascii="Times New Roman" w:hAnsi="Times New Roman" w:eastAsia="宋体" w:cs="Times New Roman"/>
                <w:b w:val="0"/>
                <w:bCs w:val="0"/>
                <w:color w:val="auto"/>
                <w:kern w:val="2"/>
                <w:sz w:val="24"/>
                <w:szCs w:val="24"/>
                <w:u w:val="single"/>
                <w:shd w:val="clear" w:color="auto" w:fill="auto"/>
                <w:lang w:val="en-US" w:eastAsia="zh-CN" w:bidi="ar-SA"/>
              </w:rPr>
              <w:t>怀化市</w:t>
            </w:r>
            <w:r>
              <w:rPr>
                <w:rFonts w:hint="default" w:ascii="Times New Roman" w:hAnsi="Times New Roman" w:eastAsia="宋体" w:cs="Times New Roman"/>
                <w:b w:val="0"/>
                <w:bCs w:val="0"/>
                <w:color w:val="auto"/>
                <w:kern w:val="2"/>
                <w:sz w:val="24"/>
                <w:szCs w:val="24"/>
                <w:u w:val="single"/>
                <w:shd w:val="clear" w:color="auto" w:fill="auto"/>
                <w:lang w:val="en-US" w:eastAsia="zh-CN" w:bidi="ar-SA"/>
              </w:rPr>
              <w:t>靖州苗族侗族自治县工业集中区甘太综合加工园，项目</w:t>
            </w:r>
            <w:r>
              <w:rPr>
                <w:rFonts w:hint="eastAsia" w:ascii="Times New Roman" w:hAnsi="Times New Roman" w:eastAsia="宋体" w:cs="Times New Roman"/>
                <w:b w:val="0"/>
                <w:bCs w:val="0"/>
                <w:color w:val="auto"/>
                <w:kern w:val="2"/>
                <w:sz w:val="24"/>
                <w:szCs w:val="24"/>
                <w:u w:val="single"/>
                <w:shd w:val="clear" w:color="auto" w:fill="auto"/>
                <w:lang w:val="en-US" w:eastAsia="zh-CN" w:bidi="ar-SA"/>
              </w:rPr>
              <w:t>购买甘太工业园的</w:t>
            </w:r>
            <w:r>
              <w:rPr>
                <w:rFonts w:hint="default" w:ascii="Times New Roman" w:hAnsi="Times New Roman" w:eastAsia="宋体" w:cs="Times New Roman"/>
                <w:b w:val="0"/>
                <w:bCs w:val="0"/>
                <w:color w:val="auto"/>
                <w:kern w:val="2"/>
                <w:sz w:val="24"/>
                <w:szCs w:val="24"/>
                <w:u w:val="single"/>
                <w:shd w:val="clear" w:color="auto" w:fill="auto"/>
                <w:lang w:val="en-US" w:eastAsia="zh-CN" w:bidi="ar-SA"/>
              </w:rPr>
              <w:t>土地建设</w:t>
            </w:r>
            <w:r>
              <w:rPr>
                <w:rFonts w:hint="eastAsia" w:ascii="Times New Roman" w:hAnsi="Times New Roman" w:eastAsia="宋体" w:cs="Times New Roman"/>
                <w:b w:val="0"/>
                <w:bCs w:val="0"/>
                <w:color w:val="auto"/>
                <w:kern w:val="2"/>
                <w:sz w:val="24"/>
                <w:szCs w:val="24"/>
                <w:u w:val="single"/>
                <w:shd w:val="clear" w:color="auto" w:fill="auto"/>
                <w:lang w:val="en-US" w:eastAsia="zh-CN" w:bidi="ar-SA"/>
              </w:rPr>
              <w:t>，属于二类工业用地，土地为闲置地块</w:t>
            </w:r>
            <w:r>
              <w:rPr>
                <w:rFonts w:hint="default" w:ascii="Times New Roman" w:hAnsi="Times New Roman" w:eastAsia="宋体" w:cs="Times New Roman"/>
                <w:b w:val="0"/>
                <w:bCs w:val="0"/>
                <w:color w:val="auto"/>
                <w:kern w:val="2"/>
                <w:sz w:val="24"/>
                <w:szCs w:val="24"/>
                <w:u w:val="single"/>
                <w:shd w:val="clear" w:color="auto" w:fill="auto"/>
                <w:lang w:val="en-US" w:eastAsia="zh-CN" w:bidi="ar-SA"/>
              </w:rPr>
              <w:t>。</w:t>
            </w:r>
            <w:r>
              <w:rPr>
                <w:rFonts w:hint="eastAsia" w:ascii="Times New Roman" w:hAnsi="Times New Roman" w:eastAsia="宋体" w:cs="Times New Roman"/>
                <w:color w:val="000000"/>
                <w:sz w:val="24"/>
                <w:szCs w:val="24"/>
                <w:u w:val="single"/>
                <w:lang w:val="en-US" w:eastAsia="zh-CN"/>
              </w:rPr>
              <w:t>西北</w:t>
            </w:r>
            <w:r>
              <w:rPr>
                <w:rFonts w:hint="default" w:ascii="Times New Roman" w:hAnsi="Times New Roman" w:eastAsia="宋体" w:cs="Times New Roman"/>
                <w:color w:val="000000"/>
                <w:sz w:val="24"/>
                <w:szCs w:val="24"/>
                <w:u w:val="single"/>
                <w:lang w:val="en-US" w:eastAsia="zh-CN"/>
              </w:rPr>
              <w:t>侧为甘太1#路</w:t>
            </w:r>
            <w:r>
              <w:rPr>
                <w:rFonts w:hint="eastAsia" w:ascii="Times New Roman" w:hAnsi="Times New Roman" w:eastAsia="宋体" w:cs="Times New Roman"/>
                <w:color w:val="000000"/>
                <w:sz w:val="24"/>
                <w:szCs w:val="24"/>
                <w:u w:val="single"/>
                <w:lang w:val="en-US" w:eastAsia="zh-CN"/>
              </w:rPr>
              <w:t>，东北侧为湖南优质种业有限公司，</w:t>
            </w:r>
            <w:r>
              <w:rPr>
                <w:rFonts w:hint="eastAsia"/>
                <w:sz w:val="24"/>
                <w:szCs w:val="24"/>
                <w:u w:val="single"/>
                <w:lang w:val="en-US" w:eastAsia="zh-CN"/>
              </w:rPr>
              <w:t>东南侧为园区未开发利用地，</w:t>
            </w:r>
            <w:r>
              <w:rPr>
                <w:rFonts w:hint="eastAsia" w:ascii="Times New Roman" w:hAnsi="Times New Roman" w:eastAsia="宋体" w:cs="Times New Roman"/>
                <w:color w:val="000000"/>
                <w:sz w:val="24"/>
                <w:szCs w:val="24"/>
                <w:u w:val="single"/>
                <w:lang w:val="en-US" w:eastAsia="zh-CN"/>
              </w:rPr>
              <w:t>西南侧</w:t>
            </w:r>
            <w:r>
              <w:rPr>
                <w:rFonts w:hint="eastAsia"/>
                <w:sz w:val="24"/>
                <w:szCs w:val="24"/>
                <w:u w:val="single"/>
                <w:lang w:val="en-US" w:eastAsia="zh-CN"/>
              </w:rPr>
              <w:t>旗家庄散户居民点</w:t>
            </w:r>
            <w:r>
              <w:rPr>
                <w:rFonts w:hint="default" w:ascii="Times New Roman" w:hAnsi="Times New Roman" w:eastAsia="宋体" w:cs="Times New Roman"/>
                <w:b w:val="0"/>
                <w:bCs w:val="0"/>
                <w:color w:val="auto"/>
                <w:kern w:val="2"/>
                <w:sz w:val="24"/>
                <w:szCs w:val="24"/>
                <w:u w:val="single"/>
                <w:shd w:val="clear" w:color="auto" w:fill="auto"/>
                <w:lang w:val="en-US" w:eastAsia="zh-CN" w:bidi="ar-SA"/>
              </w:rPr>
              <w:t>。该地块在本项目</w:t>
            </w:r>
            <w:r>
              <w:rPr>
                <w:rFonts w:hint="eastAsia" w:ascii="Times New Roman" w:hAnsi="Times New Roman" w:eastAsia="宋体" w:cs="Times New Roman"/>
                <w:b w:val="0"/>
                <w:bCs w:val="0"/>
                <w:color w:val="auto"/>
                <w:kern w:val="2"/>
                <w:sz w:val="24"/>
                <w:szCs w:val="24"/>
                <w:u w:val="single"/>
                <w:shd w:val="clear" w:color="auto" w:fill="auto"/>
                <w:lang w:val="en-US" w:eastAsia="zh-CN" w:bidi="ar-SA"/>
              </w:rPr>
              <w:t>购买</w:t>
            </w:r>
            <w:r>
              <w:rPr>
                <w:rFonts w:hint="default" w:ascii="Times New Roman" w:hAnsi="Times New Roman" w:eastAsia="宋体" w:cs="Times New Roman"/>
                <w:b w:val="0"/>
                <w:bCs w:val="0"/>
                <w:color w:val="auto"/>
                <w:kern w:val="2"/>
                <w:sz w:val="24"/>
                <w:szCs w:val="24"/>
                <w:u w:val="single"/>
                <w:shd w:val="clear" w:color="auto" w:fill="auto"/>
                <w:lang w:val="en-US" w:eastAsia="zh-CN" w:bidi="ar-SA"/>
              </w:rPr>
              <w:t>之前闲置，无遗留环境问题。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2"/>
                <w:sz w:val="24"/>
                <w:szCs w:val="24"/>
                <w:u w:val="none"/>
                <w:shd w:val="clear" w:color="auto" w:fill="auto"/>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pPr>
          </w:p>
        </w:tc>
      </w:tr>
    </w:tbl>
    <w:p>
      <w:pPr>
        <w:rPr>
          <w:snapToGrid w:val="0"/>
        </w:rPr>
        <w:sectPr>
          <w:pgSz w:w="11906" w:h="16838"/>
          <w:pgMar w:top="1418" w:right="1531" w:bottom="1418"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3"/>
        <w:keepNext w:val="0"/>
        <w:keepLines w:val="0"/>
        <w:pageBreakBefore w:val="0"/>
        <w:widowControl/>
        <w:kinsoku/>
        <w:wordWrap/>
        <w:overflowPunct/>
        <w:topLinePunct w:val="0"/>
        <w:autoSpaceDE/>
        <w:autoSpaceDN/>
        <w:bidi w:val="0"/>
        <w:adjustRightInd/>
        <w:snapToGrid/>
        <w:spacing w:before="0" w:beforeAutospacing="0" w:after="157" w:afterLines="50" w:afterAutospacing="0" w:line="360" w:lineRule="auto"/>
        <w:jc w:val="center"/>
        <w:textAlignment w:val="auto"/>
        <w:outlineLvl w:val="0"/>
        <w:rPr>
          <w:rFonts w:ascii="Times New Roman" w:hAnsi="Times New Roman" w:eastAsia="黑体"/>
          <w:snapToGrid w:val="0"/>
          <w:sz w:val="30"/>
          <w:szCs w:val="30"/>
        </w:rPr>
      </w:pPr>
      <w:bookmarkStart w:id="5" w:name="_Toc78811929"/>
      <w:r>
        <w:rPr>
          <w:rFonts w:ascii="Times New Roman" w:hAnsi="黑体" w:eastAsia="黑体"/>
          <w:snapToGrid w:val="0"/>
          <w:sz w:val="30"/>
          <w:szCs w:val="30"/>
        </w:rPr>
        <w:t>三、区域环境质量现状、环境保护目标及评价标准</w:t>
      </w:r>
      <w:bookmarkEnd w:id="5"/>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800" w:type="dxa"/>
            <w:noWrap w:val="0"/>
            <w:vAlign w:val="center"/>
          </w:tcPr>
          <w:p>
            <w:pPr>
              <w:adjustRightInd w:val="0"/>
              <w:snapToGrid w:val="0"/>
              <w:jc w:val="center"/>
              <w:rPr>
                <w:kern w:val="0"/>
                <w:szCs w:val="21"/>
              </w:rPr>
            </w:pPr>
            <w:r>
              <w:rPr>
                <w:rFonts w:hAnsi="宋体"/>
                <w:kern w:val="0"/>
                <w:szCs w:val="21"/>
              </w:rPr>
              <w:t>区域</w:t>
            </w:r>
          </w:p>
          <w:p>
            <w:pPr>
              <w:adjustRightInd w:val="0"/>
              <w:snapToGrid w:val="0"/>
              <w:jc w:val="center"/>
              <w:rPr>
                <w:kern w:val="0"/>
                <w:szCs w:val="21"/>
              </w:rPr>
            </w:pPr>
            <w:r>
              <w:rPr>
                <w:rFonts w:hAnsi="宋体"/>
                <w:kern w:val="0"/>
                <w:szCs w:val="21"/>
              </w:rPr>
              <w:t>环境</w:t>
            </w:r>
          </w:p>
          <w:p>
            <w:pPr>
              <w:adjustRightInd w:val="0"/>
              <w:snapToGrid w:val="0"/>
              <w:jc w:val="center"/>
              <w:rPr>
                <w:kern w:val="0"/>
                <w:szCs w:val="21"/>
              </w:rPr>
            </w:pPr>
            <w:r>
              <w:rPr>
                <w:rFonts w:hAnsi="宋体"/>
                <w:kern w:val="0"/>
                <w:szCs w:val="21"/>
              </w:rPr>
              <w:t>质量</w:t>
            </w:r>
          </w:p>
          <w:p>
            <w:pPr>
              <w:adjustRightInd w:val="0"/>
              <w:snapToGrid w:val="0"/>
              <w:jc w:val="center"/>
              <w:rPr>
                <w:kern w:val="0"/>
                <w:szCs w:val="21"/>
              </w:rPr>
            </w:pPr>
            <w:r>
              <w:rPr>
                <w:rFonts w:hAnsi="宋体"/>
                <w:kern w:val="0"/>
                <w:szCs w:val="21"/>
              </w:rPr>
              <w:t>现状</w:t>
            </w:r>
          </w:p>
        </w:tc>
        <w:tc>
          <w:tcPr>
            <w:tcW w:w="8190" w:type="dxa"/>
            <w:noWrap w:val="0"/>
            <w:vAlign w:val="center"/>
          </w:tcPr>
          <w:p>
            <w:pPr>
              <w:numPr>
                <w:ilvl w:val="0"/>
                <w:numId w:val="4"/>
              </w:numPr>
              <w:adjustRightInd w:val="0"/>
              <w:snapToGrid w:val="0"/>
              <w:spacing w:line="336" w:lineRule="auto"/>
              <w:ind w:firstLine="482" w:firstLineChars="200"/>
              <w:jc w:val="left"/>
              <w:rPr>
                <w:b/>
                <w:sz w:val="24"/>
                <w:szCs w:val="24"/>
              </w:rPr>
            </w:pPr>
            <w:r>
              <w:rPr>
                <w:b/>
                <w:sz w:val="24"/>
                <w:szCs w:val="24"/>
              </w:rPr>
              <w:t>环境空气质量现状调查与评价</w:t>
            </w:r>
          </w:p>
          <w:p>
            <w:pPr>
              <w:keepNext w:val="0"/>
              <w:keepLines w:val="0"/>
              <w:pageBreakBefore w:val="0"/>
              <w:widowControl/>
              <w:kinsoku/>
              <w:wordWrap/>
              <w:overflowPunct/>
              <w:topLinePunct w:val="0"/>
              <w:autoSpaceDE/>
              <w:autoSpaceDN/>
              <w:bidi w:val="0"/>
              <w:adjustRightInd/>
              <w:snapToGrid/>
              <w:spacing w:before="62" w:beforeLines="20" w:line="360" w:lineRule="auto"/>
              <w:ind w:firstLine="482" w:firstLineChars="200"/>
              <w:jc w:val="both"/>
              <w:textAlignment w:val="auto"/>
              <w:rPr>
                <w:rFonts w:hint="eastAsia"/>
              </w:rPr>
            </w:pPr>
            <w:r>
              <w:rPr>
                <w:rFonts w:hint="eastAsia" w:ascii="Times New Roman" w:hAnsi="Times New Roman" w:cs="Times New Roman"/>
                <w:b/>
                <w:bCs/>
                <w:color w:val="auto"/>
                <w:sz w:val="24"/>
                <w:szCs w:val="24"/>
                <w:u w:val="none"/>
                <w:lang w:val="en-US" w:eastAsia="zh-CN"/>
              </w:rPr>
              <w:t>1.1基本污染物环境空气质量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根据《环境影响评价技术导则 大气环境》（HJ2.2-2018）中要求，项目所在区域达标判定，优先采用国家或地方生态环境主管部门公开发布的评价基准年环境质量公告或环境质量报告中的数据或结论。本项目引用怀化市环境监测站发布的《2020年环境空气质量年报》中靖州县的监测数据，具体达标判定监测数据及评价结果见下表。</w:t>
            </w:r>
          </w:p>
          <w:p>
            <w:pPr>
              <w:ind w:firstLine="482"/>
              <w:jc w:val="center"/>
              <w:rPr>
                <w:b/>
                <w:bCs/>
              </w:rPr>
            </w:pPr>
            <w:r>
              <w:rPr>
                <w:b/>
                <w:bCs/>
              </w:rPr>
              <w:t>表3-1  2020年怀化市靖州县环境空气质量现状评价表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609"/>
              <w:gridCol w:w="1185"/>
              <w:gridCol w:w="1232"/>
              <w:gridCol w:w="1168"/>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26" w:type="pct"/>
                  <w:tcBorders>
                    <w:tl2br w:val="nil"/>
                    <w:tr2bl w:val="nil"/>
                  </w:tcBorders>
                  <w:noWrap w:val="0"/>
                  <w:vAlign w:val="center"/>
                </w:tcPr>
                <w:p>
                  <w:pPr>
                    <w:bidi w:val="0"/>
                    <w:jc w:val="center"/>
                  </w:pPr>
                  <w:r>
                    <w:t>评价因子</w:t>
                  </w:r>
                </w:p>
              </w:tc>
              <w:tc>
                <w:tcPr>
                  <w:tcW w:w="1010" w:type="pct"/>
                  <w:tcBorders>
                    <w:tl2br w:val="nil"/>
                    <w:tr2bl w:val="nil"/>
                  </w:tcBorders>
                  <w:noWrap w:val="0"/>
                  <w:vAlign w:val="center"/>
                </w:tcPr>
                <w:p>
                  <w:pPr>
                    <w:bidi w:val="0"/>
                    <w:jc w:val="center"/>
                  </w:pPr>
                  <w:r>
                    <w:t>平均时段</w:t>
                  </w:r>
                </w:p>
              </w:tc>
              <w:tc>
                <w:tcPr>
                  <w:tcW w:w="744" w:type="pct"/>
                  <w:tcBorders>
                    <w:tl2br w:val="nil"/>
                    <w:tr2bl w:val="nil"/>
                  </w:tcBorders>
                  <w:noWrap w:val="0"/>
                  <w:vAlign w:val="center"/>
                </w:tcPr>
                <w:p>
                  <w:pPr>
                    <w:bidi w:val="0"/>
                    <w:jc w:val="center"/>
                  </w:pPr>
                  <w:r>
                    <w:t>现状浓度</w:t>
                  </w:r>
                </w:p>
              </w:tc>
              <w:tc>
                <w:tcPr>
                  <w:tcW w:w="773" w:type="pct"/>
                  <w:tcBorders>
                    <w:tl2br w:val="nil"/>
                    <w:tr2bl w:val="nil"/>
                  </w:tcBorders>
                  <w:noWrap w:val="0"/>
                  <w:vAlign w:val="center"/>
                </w:tcPr>
                <w:p>
                  <w:pPr>
                    <w:bidi w:val="0"/>
                    <w:jc w:val="center"/>
                  </w:pPr>
                  <w:r>
                    <w:t>标准限值</w:t>
                  </w:r>
                </w:p>
              </w:tc>
              <w:tc>
                <w:tcPr>
                  <w:tcW w:w="733" w:type="pct"/>
                  <w:tcBorders>
                    <w:tl2br w:val="nil"/>
                    <w:tr2bl w:val="nil"/>
                  </w:tcBorders>
                  <w:noWrap w:val="0"/>
                  <w:vAlign w:val="center"/>
                </w:tcPr>
                <w:p>
                  <w:pPr>
                    <w:bidi w:val="0"/>
                    <w:jc w:val="center"/>
                  </w:pPr>
                  <w:r>
                    <w:t>占标率/%</w:t>
                  </w:r>
                </w:p>
              </w:tc>
              <w:tc>
                <w:tcPr>
                  <w:tcW w:w="811" w:type="pct"/>
                  <w:tcBorders>
                    <w:tl2br w:val="nil"/>
                    <w:tr2bl w:val="nil"/>
                  </w:tcBorders>
                  <w:noWrap w:val="0"/>
                  <w:vAlign w:val="center"/>
                </w:tcPr>
                <w:p>
                  <w:pPr>
                    <w:bidi w:val="0"/>
                    <w:jc w:val="center"/>
                  </w:pPr>
                  <w: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926" w:type="pct"/>
                  <w:tcBorders>
                    <w:tl2br w:val="nil"/>
                    <w:tr2bl w:val="nil"/>
                  </w:tcBorders>
                  <w:noWrap w:val="0"/>
                  <w:vAlign w:val="center"/>
                </w:tcPr>
                <w:p>
                  <w:pPr>
                    <w:bidi w:val="0"/>
                    <w:jc w:val="center"/>
                  </w:pPr>
                  <w:r>
                    <w:t>SO2（μg/m</w:t>
                  </w:r>
                  <w:r>
                    <w:rPr>
                      <w:vertAlign w:val="superscript"/>
                    </w:rPr>
                    <w:t>3</w:t>
                  </w:r>
                  <w:r>
                    <w:t>）</w:t>
                  </w:r>
                </w:p>
              </w:tc>
              <w:tc>
                <w:tcPr>
                  <w:tcW w:w="1010" w:type="pct"/>
                  <w:tcBorders>
                    <w:tl2br w:val="nil"/>
                    <w:tr2bl w:val="nil"/>
                  </w:tcBorders>
                  <w:noWrap w:val="0"/>
                  <w:vAlign w:val="center"/>
                </w:tcPr>
                <w:p>
                  <w:pPr>
                    <w:bidi w:val="0"/>
                    <w:jc w:val="center"/>
                  </w:pPr>
                  <w:r>
                    <w:t>年平均浓度</w:t>
                  </w:r>
                </w:p>
              </w:tc>
              <w:tc>
                <w:tcPr>
                  <w:tcW w:w="744" w:type="pct"/>
                  <w:tcBorders>
                    <w:tl2br w:val="nil"/>
                    <w:tr2bl w:val="nil"/>
                  </w:tcBorders>
                  <w:noWrap w:val="0"/>
                  <w:vAlign w:val="center"/>
                </w:tcPr>
                <w:p>
                  <w:pPr>
                    <w:bidi w:val="0"/>
                    <w:jc w:val="center"/>
                  </w:pPr>
                  <w:r>
                    <w:t>9</w:t>
                  </w:r>
                </w:p>
              </w:tc>
              <w:tc>
                <w:tcPr>
                  <w:tcW w:w="773" w:type="pct"/>
                  <w:tcBorders>
                    <w:tl2br w:val="nil"/>
                    <w:tr2bl w:val="nil"/>
                  </w:tcBorders>
                  <w:noWrap w:val="0"/>
                  <w:vAlign w:val="center"/>
                </w:tcPr>
                <w:p>
                  <w:pPr>
                    <w:bidi w:val="0"/>
                    <w:jc w:val="center"/>
                  </w:pPr>
                  <w:r>
                    <w:t>60</w:t>
                  </w:r>
                </w:p>
              </w:tc>
              <w:tc>
                <w:tcPr>
                  <w:tcW w:w="733" w:type="pct"/>
                  <w:tcBorders>
                    <w:tl2br w:val="nil"/>
                    <w:tr2bl w:val="nil"/>
                  </w:tcBorders>
                  <w:noWrap w:val="0"/>
                  <w:vAlign w:val="center"/>
                </w:tcPr>
                <w:p>
                  <w:pPr>
                    <w:bidi w:val="0"/>
                    <w:jc w:val="center"/>
                  </w:pPr>
                  <w:r>
                    <w:t>15</w:t>
                  </w:r>
                </w:p>
              </w:tc>
              <w:tc>
                <w:tcPr>
                  <w:tcW w:w="811" w:type="pct"/>
                  <w:tcBorders>
                    <w:tl2br w:val="nil"/>
                    <w:tr2bl w:val="nil"/>
                  </w:tcBorders>
                  <w:noWrap w:val="0"/>
                  <w:vAlign w:val="center"/>
                </w:tcPr>
                <w:p>
                  <w:pPr>
                    <w:bidi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26" w:type="pct"/>
                  <w:tcBorders>
                    <w:tl2br w:val="nil"/>
                    <w:tr2bl w:val="nil"/>
                  </w:tcBorders>
                  <w:noWrap w:val="0"/>
                  <w:vAlign w:val="center"/>
                </w:tcPr>
                <w:p>
                  <w:pPr>
                    <w:bidi w:val="0"/>
                    <w:jc w:val="center"/>
                  </w:pPr>
                  <w:r>
                    <w:t>NO2（μg/m</w:t>
                  </w:r>
                  <w:r>
                    <w:rPr>
                      <w:vertAlign w:val="superscript"/>
                    </w:rPr>
                    <w:t>3</w:t>
                  </w:r>
                  <w:r>
                    <w:t>）</w:t>
                  </w:r>
                </w:p>
              </w:tc>
              <w:tc>
                <w:tcPr>
                  <w:tcW w:w="1010" w:type="pct"/>
                  <w:tcBorders>
                    <w:tl2br w:val="nil"/>
                    <w:tr2bl w:val="nil"/>
                  </w:tcBorders>
                  <w:noWrap w:val="0"/>
                  <w:vAlign w:val="center"/>
                </w:tcPr>
                <w:p>
                  <w:pPr>
                    <w:bidi w:val="0"/>
                    <w:jc w:val="center"/>
                  </w:pPr>
                  <w:r>
                    <w:t>年平均浓度</w:t>
                  </w:r>
                </w:p>
              </w:tc>
              <w:tc>
                <w:tcPr>
                  <w:tcW w:w="744" w:type="pct"/>
                  <w:tcBorders>
                    <w:tl2br w:val="nil"/>
                    <w:tr2bl w:val="nil"/>
                  </w:tcBorders>
                  <w:noWrap w:val="0"/>
                  <w:vAlign w:val="center"/>
                </w:tcPr>
                <w:p>
                  <w:pPr>
                    <w:bidi w:val="0"/>
                    <w:jc w:val="center"/>
                  </w:pPr>
                  <w:r>
                    <w:t>8</w:t>
                  </w:r>
                </w:p>
              </w:tc>
              <w:tc>
                <w:tcPr>
                  <w:tcW w:w="773" w:type="pct"/>
                  <w:tcBorders>
                    <w:tl2br w:val="nil"/>
                    <w:tr2bl w:val="nil"/>
                  </w:tcBorders>
                  <w:noWrap w:val="0"/>
                  <w:vAlign w:val="center"/>
                </w:tcPr>
                <w:p>
                  <w:pPr>
                    <w:bidi w:val="0"/>
                    <w:jc w:val="center"/>
                  </w:pPr>
                  <w:r>
                    <w:t>40</w:t>
                  </w:r>
                </w:p>
              </w:tc>
              <w:tc>
                <w:tcPr>
                  <w:tcW w:w="733" w:type="pct"/>
                  <w:tcBorders>
                    <w:tl2br w:val="nil"/>
                    <w:tr2bl w:val="nil"/>
                  </w:tcBorders>
                  <w:noWrap w:val="0"/>
                  <w:vAlign w:val="center"/>
                </w:tcPr>
                <w:p>
                  <w:pPr>
                    <w:bidi w:val="0"/>
                    <w:jc w:val="center"/>
                  </w:pPr>
                  <w:r>
                    <w:t>20</w:t>
                  </w:r>
                </w:p>
              </w:tc>
              <w:tc>
                <w:tcPr>
                  <w:tcW w:w="811" w:type="pct"/>
                  <w:tcBorders>
                    <w:tl2br w:val="nil"/>
                    <w:tr2bl w:val="nil"/>
                  </w:tcBorders>
                  <w:noWrap w:val="0"/>
                  <w:vAlign w:val="center"/>
                </w:tcPr>
                <w:p>
                  <w:pPr>
                    <w:bidi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26" w:type="pct"/>
                  <w:tcBorders>
                    <w:tl2br w:val="nil"/>
                    <w:tr2bl w:val="nil"/>
                  </w:tcBorders>
                  <w:noWrap w:val="0"/>
                  <w:vAlign w:val="center"/>
                </w:tcPr>
                <w:p>
                  <w:pPr>
                    <w:bidi w:val="0"/>
                    <w:jc w:val="center"/>
                  </w:pPr>
                  <w:r>
                    <w:t>PM10（μg/m</w:t>
                  </w:r>
                  <w:r>
                    <w:rPr>
                      <w:vertAlign w:val="superscript"/>
                    </w:rPr>
                    <w:t>3</w:t>
                  </w:r>
                  <w:r>
                    <w:t>）</w:t>
                  </w:r>
                </w:p>
              </w:tc>
              <w:tc>
                <w:tcPr>
                  <w:tcW w:w="1010" w:type="pct"/>
                  <w:tcBorders>
                    <w:tl2br w:val="nil"/>
                    <w:tr2bl w:val="nil"/>
                  </w:tcBorders>
                  <w:noWrap w:val="0"/>
                  <w:vAlign w:val="center"/>
                </w:tcPr>
                <w:p>
                  <w:pPr>
                    <w:bidi w:val="0"/>
                    <w:jc w:val="center"/>
                  </w:pPr>
                  <w:r>
                    <w:t>年平均浓度</w:t>
                  </w:r>
                </w:p>
              </w:tc>
              <w:tc>
                <w:tcPr>
                  <w:tcW w:w="744" w:type="pct"/>
                  <w:tcBorders>
                    <w:tl2br w:val="nil"/>
                    <w:tr2bl w:val="nil"/>
                  </w:tcBorders>
                  <w:noWrap w:val="0"/>
                  <w:vAlign w:val="center"/>
                </w:tcPr>
                <w:p>
                  <w:pPr>
                    <w:bidi w:val="0"/>
                    <w:jc w:val="center"/>
                  </w:pPr>
                  <w:r>
                    <w:t>40</w:t>
                  </w:r>
                </w:p>
              </w:tc>
              <w:tc>
                <w:tcPr>
                  <w:tcW w:w="773" w:type="pct"/>
                  <w:tcBorders>
                    <w:tl2br w:val="nil"/>
                    <w:tr2bl w:val="nil"/>
                  </w:tcBorders>
                  <w:noWrap w:val="0"/>
                  <w:vAlign w:val="center"/>
                </w:tcPr>
                <w:p>
                  <w:pPr>
                    <w:bidi w:val="0"/>
                    <w:jc w:val="center"/>
                  </w:pPr>
                  <w:r>
                    <w:t>70</w:t>
                  </w:r>
                </w:p>
              </w:tc>
              <w:tc>
                <w:tcPr>
                  <w:tcW w:w="733" w:type="pct"/>
                  <w:tcBorders>
                    <w:tl2br w:val="nil"/>
                    <w:tr2bl w:val="nil"/>
                  </w:tcBorders>
                  <w:noWrap w:val="0"/>
                  <w:vAlign w:val="center"/>
                </w:tcPr>
                <w:p>
                  <w:pPr>
                    <w:bidi w:val="0"/>
                    <w:jc w:val="center"/>
                  </w:pPr>
                  <w:r>
                    <w:t>57.1</w:t>
                  </w:r>
                </w:p>
              </w:tc>
              <w:tc>
                <w:tcPr>
                  <w:tcW w:w="811" w:type="pct"/>
                  <w:tcBorders>
                    <w:tl2br w:val="nil"/>
                    <w:tr2bl w:val="nil"/>
                  </w:tcBorders>
                  <w:noWrap w:val="0"/>
                  <w:vAlign w:val="center"/>
                </w:tcPr>
                <w:p>
                  <w:pPr>
                    <w:bidi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26" w:type="pct"/>
                  <w:tcBorders>
                    <w:tl2br w:val="nil"/>
                    <w:tr2bl w:val="nil"/>
                  </w:tcBorders>
                  <w:noWrap w:val="0"/>
                  <w:vAlign w:val="center"/>
                </w:tcPr>
                <w:p>
                  <w:pPr>
                    <w:bidi w:val="0"/>
                    <w:jc w:val="center"/>
                  </w:pPr>
                  <w:r>
                    <w:t>PM2.5（μg/m</w:t>
                  </w:r>
                  <w:r>
                    <w:rPr>
                      <w:vertAlign w:val="superscript"/>
                    </w:rPr>
                    <w:t>3</w:t>
                  </w:r>
                  <w:r>
                    <w:t>）</w:t>
                  </w:r>
                </w:p>
              </w:tc>
              <w:tc>
                <w:tcPr>
                  <w:tcW w:w="1010" w:type="pct"/>
                  <w:tcBorders>
                    <w:tl2br w:val="nil"/>
                    <w:tr2bl w:val="nil"/>
                  </w:tcBorders>
                  <w:noWrap w:val="0"/>
                  <w:vAlign w:val="center"/>
                </w:tcPr>
                <w:p>
                  <w:pPr>
                    <w:bidi w:val="0"/>
                    <w:jc w:val="center"/>
                  </w:pPr>
                  <w:r>
                    <w:t>年平均浓度</w:t>
                  </w:r>
                </w:p>
              </w:tc>
              <w:tc>
                <w:tcPr>
                  <w:tcW w:w="744" w:type="pct"/>
                  <w:tcBorders>
                    <w:tl2br w:val="nil"/>
                    <w:tr2bl w:val="nil"/>
                  </w:tcBorders>
                  <w:noWrap w:val="0"/>
                  <w:vAlign w:val="center"/>
                </w:tcPr>
                <w:p>
                  <w:pPr>
                    <w:bidi w:val="0"/>
                    <w:jc w:val="center"/>
                  </w:pPr>
                  <w:r>
                    <w:t>26</w:t>
                  </w:r>
                </w:p>
              </w:tc>
              <w:tc>
                <w:tcPr>
                  <w:tcW w:w="773" w:type="pct"/>
                  <w:tcBorders>
                    <w:tl2br w:val="nil"/>
                    <w:tr2bl w:val="nil"/>
                  </w:tcBorders>
                  <w:noWrap w:val="0"/>
                  <w:vAlign w:val="center"/>
                </w:tcPr>
                <w:p>
                  <w:pPr>
                    <w:bidi w:val="0"/>
                    <w:jc w:val="center"/>
                  </w:pPr>
                  <w:r>
                    <w:t>35</w:t>
                  </w:r>
                </w:p>
              </w:tc>
              <w:tc>
                <w:tcPr>
                  <w:tcW w:w="733" w:type="pct"/>
                  <w:tcBorders>
                    <w:tl2br w:val="nil"/>
                    <w:tr2bl w:val="nil"/>
                  </w:tcBorders>
                  <w:noWrap w:val="0"/>
                  <w:vAlign w:val="center"/>
                </w:tcPr>
                <w:p>
                  <w:pPr>
                    <w:bidi w:val="0"/>
                    <w:jc w:val="center"/>
                  </w:pPr>
                  <w:r>
                    <w:t>74.3</w:t>
                  </w:r>
                </w:p>
              </w:tc>
              <w:tc>
                <w:tcPr>
                  <w:tcW w:w="811" w:type="pct"/>
                  <w:tcBorders>
                    <w:tl2br w:val="nil"/>
                    <w:tr2bl w:val="nil"/>
                  </w:tcBorders>
                  <w:noWrap w:val="0"/>
                  <w:vAlign w:val="center"/>
                </w:tcPr>
                <w:p>
                  <w:pPr>
                    <w:bidi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6" w:type="pct"/>
                  <w:tcBorders>
                    <w:tl2br w:val="nil"/>
                    <w:tr2bl w:val="nil"/>
                  </w:tcBorders>
                  <w:noWrap w:val="0"/>
                  <w:vAlign w:val="center"/>
                </w:tcPr>
                <w:p>
                  <w:pPr>
                    <w:bidi w:val="0"/>
                    <w:jc w:val="center"/>
                  </w:pPr>
                  <w:r>
                    <w:t>CO（mg/m</w:t>
                  </w:r>
                  <w:r>
                    <w:rPr>
                      <w:vertAlign w:val="superscript"/>
                    </w:rPr>
                    <w:t>3</w:t>
                  </w:r>
                  <w:r>
                    <w:t>）</w:t>
                  </w:r>
                </w:p>
              </w:tc>
              <w:tc>
                <w:tcPr>
                  <w:tcW w:w="1010" w:type="pct"/>
                  <w:tcBorders>
                    <w:tl2br w:val="nil"/>
                    <w:tr2bl w:val="nil"/>
                  </w:tcBorders>
                  <w:noWrap w:val="0"/>
                  <w:vAlign w:val="center"/>
                </w:tcPr>
                <w:p>
                  <w:pPr>
                    <w:bidi w:val="0"/>
                    <w:jc w:val="center"/>
                  </w:pPr>
                  <w:r>
                    <w:t>百分位数日平均质量浓度</w:t>
                  </w:r>
                </w:p>
              </w:tc>
              <w:tc>
                <w:tcPr>
                  <w:tcW w:w="744" w:type="pct"/>
                  <w:tcBorders>
                    <w:tl2br w:val="nil"/>
                    <w:tr2bl w:val="nil"/>
                  </w:tcBorders>
                  <w:noWrap w:val="0"/>
                  <w:vAlign w:val="center"/>
                </w:tcPr>
                <w:p>
                  <w:pPr>
                    <w:bidi w:val="0"/>
                    <w:jc w:val="center"/>
                  </w:pPr>
                  <w:r>
                    <w:t>0.9</w:t>
                  </w:r>
                </w:p>
              </w:tc>
              <w:tc>
                <w:tcPr>
                  <w:tcW w:w="773" w:type="pct"/>
                  <w:tcBorders>
                    <w:tl2br w:val="nil"/>
                    <w:tr2bl w:val="nil"/>
                  </w:tcBorders>
                  <w:noWrap w:val="0"/>
                  <w:vAlign w:val="center"/>
                </w:tcPr>
                <w:p>
                  <w:pPr>
                    <w:bidi w:val="0"/>
                    <w:jc w:val="center"/>
                  </w:pPr>
                  <w:r>
                    <w:t>4</w:t>
                  </w:r>
                </w:p>
              </w:tc>
              <w:tc>
                <w:tcPr>
                  <w:tcW w:w="733" w:type="pct"/>
                  <w:tcBorders>
                    <w:tl2br w:val="nil"/>
                    <w:tr2bl w:val="nil"/>
                  </w:tcBorders>
                  <w:noWrap w:val="0"/>
                  <w:vAlign w:val="center"/>
                </w:tcPr>
                <w:p>
                  <w:pPr>
                    <w:bidi w:val="0"/>
                    <w:jc w:val="center"/>
                  </w:pPr>
                  <w:r>
                    <w:t>22.5</w:t>
                  </w:r>
                </w:p>
              </w:tc>
              <w:tc>
                <w:tcPr>
                  <w:tcW w:w="811" w:type="pct"/>
                  <w:tcBorders>
                    <w:tl2br w:val="nil"/>
                    <w:tr2bl w:val="nil"/>
                  </w:tcBorders>
                  <w:noWrap w:val="0"/>
                  <w:vAlign w:val="center"/>
                </w:tcPr>
                <w:p>
                  <w:pPr>
                    <w:bidi w:val="0"/>
                    <w:jc w:val="cente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6" w:type="pct"/>
                  <w:tcBorders>
                    <w:tl2br w:val="nil"/>
                    <w:tr2bl w:val="nil"/>
                  </w:tcBorders>
                  <w:noWrap w:val="0"/>
                  <w:vAlign w:val="center"/>
                </w:tcPr>
                <w:p>
                  <w:pPr>
                    <w:bidi w:val="0"/>
                    <w:jc w:val="center"/>
                  </w:pPr>
                  <w:r>
                    <w:t>O3（μg/m</w:t>
                  </w:r>
                  <w:r>
                    <w:rPr>
                      <w:vertAlign w:val="superscript"/>
                    </w:rPr>
                    <w:t>3</w:t>
                  </w:r>
                  <w:r>
                    <w:t>）</w:t>
                  </w:r>
                </w:p>
              </w:tc>
              <w:tc>
                <w:tcPr>
                  <w:tcW w:w="1010" w:type="pct"/>
                  <w:tcBorders>
                    <w:tl2br w:val="nil"/>
                    <w:tr2bl w:val="nil"/>
                  </w:tcBorders>
                  <w:noWrap w:val="0"/>
                  <w:vAlign w:val="center"/>
                </w:tcPr>
                <w:p>
                  <w:pPr>
                    <w:bidi w:val="0"/>
                    <w:jc w:val="center"/>
                  </w:pPr>
                  <w:r>
                    <w:t>百分位数8h平均质量浓度</w:t>
                  </w:r>
                </w:p>
              </w:tc>
              <w:tc>
                <w:tcPr>
                  <w:tcW w:w="744" w:type="pct"/>
                  <w:tcBorders>
                    <w:tl2br w:val="nil"/>
                    <w:tr2bl w:val="nil"/>
                  </w:tcBorders>
                  <w:noWrap w:val="0"/>
                  <w:vAlign w:val="center"/>
                </w:tcPr>
                <w:p>
                  <w:pPr>
                    <w:bidi w:val="0"/>
                    <w:jc w:val="center"/>
                  </w:pPr>
                  <w:r>
                    <w:t>106</w:t>
                  </w:r>
                </w:p>
              </w:tc>
              <w:tc>
                <w:tcPr>
                  <w:tcW w:w="773" w:type="pct"/>
                  <w:tcBorders>
                    <w:tl2br w:val="nil"/>
                    <w:tr2bl w:val="nil"/>
                  </w:tcBorders>
                  <w:noWrap w:val="0"/>
                  <w:vAlign w:val="center"/>
                </w:tcPr>
                <w:p>
                  <w:pPr>
                    <w:bidi w:val="0"/>
                    <w:jc w:val="center"/>
                  </w:pPr>
                  <w:r>
                    <w:t>160</w:t>
                  </w:r>
                </w:p>
              </w:tc>
              <w:tc>
                <w:tcPr>
                  <w:tcW w:w="733" w:type="pct"/>
                  <w:tcBorders>
                    <w:tl2br w:val="nil"/>
                    <w:tr2bl w:val="nil"/>
                  </w:tcBorders>
                  <w:noWrap w:val="0"/>
                  <w:vAlign w:val="center"/>
                </w:tcPr>
                <w:p>
                  <w:pPr>
                    <w:bidi w:val="0"/>
                    <w:jc w:val="center"/>
                  </w:pPr>
                  <w:r>
                    <w:t>66.3</w:t>
                  </w:r>
                </w:p>
              </w:tc>
              <w:tc>
                <w:tcPr>
                  <w:tcW w:w="811" w:type="pct"/>
                  <w:tcBorders>
                    <w:tl2br w:val="nil"/>
                    <w:tr2bl w:val="nil"/>
                  </w:tcBorders>
                  <w:noWrap w:val="0"/>
                  <w:vAlign w:val="center"/>
                </w:tcPr>
                <w:p>
                  <w:pPr>
                    <w:bidi w:val="0"/>
                    <w:jc w:val="center"/>
                  </w:pPr>
                  <w:r>
                    <w:t>达标</w:t>
                  </w:r>
                </w:p>
              </w:tc>
            </w:tr>
          </w:tbl>
          <w:p>
            <w:pPr>
              <w:adjustRightInd w:val="0"/>
              <w:snapToGrid w:val="0"/>
              <w:spacing w:line="360" w:lineRule="auto"/>
              <w:ind w:firstLine="480" w:firstLineChars="200"/>
              <w:jc w:val="left"/>
              <w:rPr>
                <w:sz w:val="24"/>
                <w:szCs w:val="24"/>
              </w:rPr>
            </w:pPr>
            <w:r>
              <w:rPr>
                <w:sz w:val="24"/>
                <w:szCs w:val="24"/>
              </w:rPr>
              <w:t>根据《环境影响评价技术导则大气环境》（HJ2.2-2018）第6.4.1.1条“城市环境空气质量达标情况评价指标为SO</w:t>
            </w:r>
            <w:r>
              <w:rPr>
                <w:sz w:val="24"/>
                <w:szCs w:val="24"/>
                <w:vertAlign w:val="subscript"/>
              </w:rPr>
              <w:t>2</w:t>
            </w:r>
            <w:r>
              <w:rPr>
                <w:sz w:val="24"/>
                <w:szCs w:val="24"/>
              </w:rPr>
              <w:t>、NO</w:t>
            </w:r>
            <w:r>
              <w:rPr>
                <w:sz w:val="24"/>
                <w:szCs w:val="24"/>
                <w:vertAlign w:val="subscript"/>
              </w:rPr>
              <w:t>2</w:t>
            </w:r>
            <w:r>
              <w:rPr>
                <w:sz w:val="24"/>
                <w:szCs w:val="24"/>
              </w:rPr>
              <w:t>、PM</w:t>
            </w:r>
            <w:r>
              <w:rPr>
                <w:sz w:val="24"/>
                <w:szCs w:val="24"/>
                <w:vertAlign w:val="subscript"/>
              </w:rPr>
              <w:t>10</w:t>
            </w:r>
            <w:r>
              <w:rPr>
                <w:sz w:val="24"/>
                <w:szCs w:val="24"/>
              </w:rPr>
              <w:t>、PM</w:t>
            </w:r>
            <w:r>
              <w:rPr>
                <w:sz w:val="24"/>
                <w:szCs w:val="24"/>
                <w:vertAlign w:val="subscript"/>
              </w:rPr>
              <w:t>2.5</w:t>
            </w:r>
            <w:r>
              <w:rPr>
                <w:sz w:val="24"/>
                <w:szCs w:val="24"/>
              </w:rPr>
              <w:t>、CO和O</w:t>
            </w:r>
            <w:r>
              <w:rPr>
                <w:sz w:val="24"/>
                <w:szCs w:val="24"/>
                <w:vertAlign w:val="subscript"/>
              </w:rPr>
              <w:t>3</w:t>
            </w:r>
            <w:r>
              <w:rPr>
                <w:sz w:val="24"/>
                <w:szCs w:val="24"/>
              </w:rPr>
              <w:t>，六项污染物全部达标即为城市环境空气质量达标”。根据表3-1，本项目所在区域为环境空气质量达标区。</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1.2特征污染物</w:t>
            </w:r>
            <w:r>
              <w:rPr>
                <w:rFonts w:hint="eastAsia" w:ascii="Times New Roman" w:hAnsi="Times New Roman" w:eastAsia="宋体" w:cs="Times New Roman"/>
                <w:b/>
                <w:bCs/>
                <w:color w:val="auto"/>
                <w:sz w:val="24"/>
                <w:szCs w:val="24"/>
                <w:lang w:val="en-US" w:eastAsia="zh-CN"/>
              </w:rPr>
              <w:t>环境空气现状监测</w:t>
            </w:r>
          </w:p>
          <w:p>
            <w:pPr>
              <w:spacing w:line="360" w:lineRule="auto"/>
              <w:ind w:firstLine="480" w:firstLineChars="200"/>
              <w:rPr>
                <w:rFonts w:hint="eastAsia"/>
                <w:sz w:val="24"/>
                <w:szCs w:val="24"/>
              </w:rPr>
            </w:pPr>
            <w:r>
              <w:rPr>
                <w:rFonts w:hint="eastAsia"/>
                <w:sz w:val="24"/>
                <w:szCs w:val="24"/>
              </w:rPr>
              <w:t>为了解项目评价区域内大气其他污染物环境质量现状，本次环评委托湖南谱实检测技术有限公司对评价区域内大气其他污染物进行了监测。</w:t>
            </w:r>
          </w:p>
          <w:p>
            <w:pPr>
              <w:spacing w:line="360" w:lineRule="auto"/>
              <w:ind w:firstLine="480" w:firstLineChars="200"/>
              <w:rPr>
                <w:rFonts w:hint="eastAsia"/>
                <w:sz w:val="24"/>
                <w:szCs w:val="24"/>
              </w:rPr>
            </w:pPr>
            <w:r>
              <w:rPr>
                <w:rFonts w:hint="eastAsia"/>
                <w:sz w:val="24"/>
                <w:szCs w:val="24"/>
              </w:rPr>
              <w:t>1）监测因子：</w:t>
            </w:r>
            <w:r>
              <w:rPr>
                <w:rFonts w:hint="eastAsia"/>
                <w:sz w:val="24"/>
                <w:szCs w:val="24"/>
                <w:lang w:eastAsia="zh-CN"/>
              </w:rPr>
              <w:t>非甲烷总烃、氟化物</w:t>
            </w:r>
            <w:r>
              <w:rPr>
                <w:rFonts w:hint="eastAsia"/>
                <w:sz w:val="24"/>
                <w:szCs w:val="24"/>
                <w:lang w:val="en-US" w:eastAsia="zh-CN"/>
              </w:rPr>
              <w:t>、TSP</w:t>
            </w:r>
            <w:r>
              <w:rPr>
                <w:rFonts w:hint="eastAsia"/>
                <w:sz w:val="24"/>
                <w:szCs w:val="24"/>
              </w:rPr>
              <w:t>。</w:t>
            </w:r>
          </w:p>
          <w:p>
            <w:pPr>
              <w:spacing w:line="360" w:lineRule="auto"/>
              <w:ind w:firstLine="480" w:firstLineChars="200"/>
              <w:rPr>
                <w:rFonts w:hint="eastAsia"/>
                <w:sz w:val="24"/>
                <w:szCs w:val="24"/>
              </w:rPr>
            </w:pPr>
            <w:r>
              <w:rPr>
                <w:rFonts w:hint="eastAsia"/>
                <w:sz w:val="24"/>
                <w:szCs w:val="24"/>
              </w:rPr>
              <w:t>2）监测点位</w:t>
            </w:r>
            <w:r>
              <w:rPr>
                <w:rFonts w:hint="eastAsia"/>
                <w:sz w:val="24"/>
                <w:szCs w:val="24"/>
                <w:lang w:eastAsia="zh-CN"/>
              </w:rPr>
              <w:t>及</w:t>
            </w:r>
            <w:r>
              <w:rPr>
                <w:rFonts w:hint="eastAsia"/>
                <w:sz w:val="24"/>
                <w:szCs w:val="24"/>
              </w:rPr>
              <w:t>监测时间：</w:t>
            </w:r>
          </w:p>
          <w:p>
            <w:pPr>
              <w:jc w:val="center"/>
              <w:rPr>
                <w:rFonts w:hint="eastAsia"/>
              </w:rPr>
            </w:pPr>
            <w:r>
              <w:rPr>
                <w:rFonts w:hint="default"/>
                <w:b/>
                <w:lang w:val="en-US" w:eastAsia="zh-CN"/>
              </w:rPr>
              <w:t>表3-</w:t>
            </w:r>
            <w:r>
              <w:rPr>
                <w:rFonts w:hint="eastAsia"/>
                <w:b/>
                <w:lang w:val="en-US" w:eastAsia="zh-CN"/>
              </w:rPr>
              <w:t>2</w:t>
            </w:r>
            <w:r>
              <w:rPr>
                <w:rFonts w:hint="default"/>
                <w:b/>
                <w:lang w:val="en-US" w:eastAsia="zh-CN"/>
              </w:rPr>
              <w:t xml:space="preserve">  环境空气监测点位及监测时间一览表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3100"/>
              <w:gridCol w:w="1450"/>
              <w:gridCol w:w="1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eastAsia="宋体"/>
                      <w:b/>
                      <w:bCs/>
                      <w:sz w:val="21"/>
                      <w:szCs w:val="21"/>
                      <w:vertAlign w:val="baseline"/>
                      <w:lang w:val="en-US" w:eastAsia="zh-CN"/>
                    </w:rPr>
                  </w:pPr>
                  <w:r>
                    <w:rPr>
                      <w:rFonts w:hint="eastAsia" w:hAnsi="宋体"/>
                      <w:b/>
                      <w:bCs/>
                      <w:sz w:val="21"/>
                      <w:szCs w:val="21"/>
                    </w:rPr>
                    <w:t>监测点名称</w:t>
                  </w:r>
                </w:p>
              </w:tc>
              <w:tc>
                <w:tcPr>
                  <w:tcW w:w="3100"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default" w:eastAsia="宋体"/>
                      <w:b/>
                      <w:bCs/>
                      <w:sz w:val="21"/>
                      <w:szCs w:val="21"/>
                      <w:vertAlign w:val="baseline"/>
                      <w:lang w:val="en-US" w:eastAsia="zh-CN"/>
                    </w:rPr>
                  </w:pPr>
                  <w:r>
                    <w:rPr>
                      <w:rFonts w:hint="eastAsia"/>
                      <w:b/>
                      <w:bCs/>
                      <w:sz w:val="21"/>
                      <w:szCs w:val="21"/>
                      <w:vertAlign w:val="baseline"/>
                      <w:lang w:val="en-US" w:eastAsia="zh-CN"/>
                    </w:rPr>
                    <w:t>监测项目</w:t>
                  </w:r>
                </w:p>
              </w:tc>
              <w:tc>
                <w:tcPr>
                  <w:tcW w:w="1450"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eastAsia="宋体"/>
                      <w:b/>
                      <w:bCs/>
                      <w:sz w:val="21"/>
                      <w:szCs w:val="21"/>
                      <w:vertAlign w:val="baseline"/>
                      <w:lang w:eastAsia="zh-CN"/>
                    </w:rPr>
                  </w:pPr>
                  <w:r>
                    <w:rPr>
                      <w:rFonts w:hint="eastAsia"/>
                      <w:b/>
                      <w:bCs/>
                      <w:sz w:val="21"/>
                      <w:szCs w:val="21"/>
                      <w:vertAlign w:val="baseline"/>
                      <w:lang w:eastAsia="zh-CN"/>
                    </w:rPr>
                    <w:t>监测频次</w:t>
                  </w:r>
                </w:p>
              </w:tc>
              <w:tc>
                <w:tcPr>
                  <w:tcW w:w="1783"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eastAsia="宋体"/>
                      <w:b/>
                      <w:bCs/>
                      <w:sz w:val="21"/>
                      <w:szCs w:val="21"/>
                      <w:vertAlign w:val="baseline"/>
                      <w:lang w:eastAsia="zh-CN"/>
                    </w:rPr>
                  </w:pPr>
                  <w:r>
                    <w:rPr>
                      <w:rFonts w:hint="eastAsia"/>
                      <w:b/>
                      <w:bCs/>
                      <w:sz w:val="21"/>
                      <w:szCs w:val="21"/>
                      <w:vertAlign w:val="baseline"/>
                      <w:lang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631" w:type="dxa"/>
                  <w:vMerge w:val="restart"/>
                  <w:noWrap w:val="0"/>
                  <w:vAlign w:val="center"/>
                </w:tcPr>
                <w:p>
                  <w:pPr>
                    <w:keepNext w:val="0"/>
                    <w:keepLines w:val="0"/>
                    <w:pageBreakBefore w:val="0"/>
                    <w:kinsoku/>
                    <w:wordWrap/>
                    <w:overflowPunct/>
                    <w:topLinePunct w:val="0"/>
                    <w:autoSpaceDE/>
                    <w:autoSpaceDN/>
                    <w:bidi w:val="0"/>
                    <w:adjustRightInd/>
                    <w:spacing w:line="360" w:lineRule="auto"/>
                    <w:ind w:right="0"/>
                    <w:jc w:val="center"/>
                    <w:textAlignment w:val="auto"/>
                    <w:rPr>
                      <w:rFonts w:hint="eastAsia"/>
                      <w:sz w:val="21"/>
                      <w:szCs w:val="21"/>
                      <w:vertAlign w:val="baseline"/>
                    </w:rPr>
                  </w:pPr>
                  <w:r>
                    <w:rPr>
                      <w:rFonts w:hint="eastAsia"/>
                      <w:sz w:val="21"/>
                      <w:szCs w:val="21"/>
                      <w:lang w:val="en-US" w:eastAsia="zh-CN"/>
                    </w:rPr>
                    <w:t>G1</w:t>
                  </w:r>
                  <w:r>
                    <w:rPr>
                      <w:rFonts w:hint="eastAsia"/>
                      <w:sz w:val="21"/>
                      <w:szCs w:val="21"/>
                    </w:rPr>
                    <w:t>厂界西南侧（下风向</w:t>
                  </w:r>
                  <w:r>
                    <w:rPr>
                      <w:rFonts w:hint="eastAsia"/>
                      <w:sz w:val="21"/>
                      <w:szCs w:val="21"/>
                      <w:lang w:eastAsia="zh-CN"/>
                    </w:rPr>
                    <w:t>）</w:t>
                  </w:r>
                </w:p>
              </w:tc>
              <w:tc>
                <w:tcPr>
                  <w:tcW w:w="3100"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eastAsia="宋体"/>
                      <w:sz w:val="21"/>
                      <w:szCs w:val="21"/>
                      <w:vertAlign w:val="baseline"/>
                      <w:lang w:eastAsia="zh-CN"/>
                    </w:rPr>
                  </w:pPr>
                  <w:r>
                    <w:rPr>
                      <w:rFonts w:hint="eastAsia"/>
                      <w:sz w:val="21"/>
                      <w:szCs w:val="21"/>
                      <w:vertAlign w:val="baseline"/>
                      <w:lang w:eastAsia="zh-CN"/>
                    </w:rPr>
                    <w:t>非甲烷总烃（一次值）氟化物（</w:t>
                  </w:r>
                  <w:r>
                    <w:rPr>
                      <w:rFonts w:hint="eastAsia"/>
                      <w:sz w:val="21"/>
                      <w:szCs w:val="21"/>
                      <w:vertAlign w:val="baseline"/>
                      <w:lang w:val="en-US" w:eastAsia="zh-CN"/>
                    </w:rPr>
                    <w:t>1小时平均值</w:t>
                  </w:r>
                  <w:r>
                    <w:rPr>
                      <w:rFonts w:hint="eastAsia"/>
                      <w:sz w:val="21"/>
                      <w:szCs w:val="21"/>
                      <w:vertAlign w:val="baseline"/>
                      <w:lang w:eastAsia="zh-CN"/>
                    </w:rPr>
                    <w:t>）</w:t>
                  </w:r>
                </w:p>
              </w:tc>
              <w:tc>
                <w:tcPr>
                  <w:tcW w:w="1450"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4次/天，3天</w:t>
                  </w:r>
                </w:p>
              </w:tc>
              <w:tc>
                <w:tcPr>
                  <w:tcW w:w="1783" w:type="dxa"/>
                  <w:vMerge w:val="restart"/>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sz w:val="21"/>
                      <w:szCs w:val="21"/>
                      <w:vertAlign w:val="baseline"/>
                    </w:rPr>
                  </w:pPr>
                  <w:r>
                    <w:rPr>
                      <w:rFonts w:hint="eastAsia"/>
                      <w:sz w:val="21"/>
                      <w:szCs w:val="21"/>
                      <w:vertAlign w:val="baseline"/>
                    </w:rPr>
                    <w:t>202</w:t>
                  </w:r>
                  <w:r>
                    <w:rPr>
                      <w:rFonts w:hint="eastAsia"/>
                      <w:sz w:val="21"/>
                      <w:szCs w:val="21"/>
                      <w:vertAlign w:val="baseline"/>
                      <w:lang w:val="en-US" w:eastAsia="zh-CN"/>
                    </w:rPr>
                    <w:t>2</w:t>
                  </w:r>
                  <w:r>
                    <w:rPr>
                      <w:rFonts w:hint="eastAsia"/>
                      <w:sz w:val="21"/>
                      <w:szCs w:val="21"/>
                      <w:vertAlign w:val="baseline"/>
                    </w:rPr>
                    <w:t>年</w:t>
                  </w:r>
                  <w:r>
                    <w:rPr>
                      <w:rFonts w:hint="eastAsia"/>
                      <w:sz w:val="21"/>
                      <w:szCs w:val="21"/>
                      <w:vertAlign w:val="baseline"/>
                      <w:lang w:val="en-US" w:eastAsia="zh-CN"/>
                    </w:rPr>
                    <w:t>05</w:t>
                  </w:r>
                  <w:r>
                    <w:rPr>
                      <w:rFonts w:hint="eastAsia"/>
                      <w:sz w:val="21"/>
                      <w:szCs w:val="21"/>
                      <w:vertAlign w:val="baseline"/>
                    </w:rPr>
                    <w:t>月</w:t>
                  </w:r>
                  <w:r>
                    <w:rPr>
                      <w:rFonts w:hint="eastAsia"/>
                      <w:sz w:val="21"/>
                      <w:szCs w:val="21"/>
                      <w:vertAlign w:val="baseline"/>
                      <w:lang w:val="en-US" w:eastAsia="zh-CN"/>
                    </w:rPr>
                    <w:t>25</w:t>
                  </w:r>
                  <w:r>
                    <w:rPr>
                      <w:rFonts w:hint="eastAsia"/>
                      <w:sz w:val="21"/>
                      <w:szCs w:val="21"/>
                      <w:vertAlign w:val="baseline"/>
                    </w:rPr>
                    <w:t>日</w:t>
                  </w:r>
                  <w:r>
                    <w:rPr>
                      <w:rFonts w:hint="eastAsia"/>
                      <w:sz w:val="21"/>
                      <w:szCs w:val="21"/>
                      <w:vertAlign w:val="baseline"/>
                      <w:lang w:val="en-US" w:eastAsia="zh-CN"/>
                    </w:rPr>
                    <w:t>-05月27日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dxa"/>
                  <w:vMerge w:val="continue"/>
                  <w:noWrap w:val="0"/>
                  <w:vAlign w:val="center"/>
                </w:tcPr>
                <w:p>
                  <w:pPr>
                    <w:keepNext w:val="0"/>
                    <w:keepLines w:val="0"/>
                    <w:pageBreakBefore w:val="0"/>
                    <w:kinsoku/>
                    <w:wordWrap/>
                    <w:overflowPunct/>
                    <w:topLinePunct w:val="0"/>
                    <w:autoSpaceDE/>
                    <w:autoSpaceDN/>
                    <w:bidi w:val="0"/>
                    <w:adjustRightInd/>
                    <w:spacing w:line="360" w:lineRule="auto"/>
                    <w:ind w:right="0"/>
                    <w:jc w:val="center"/>
                    <w:textAlignment w:val="auto"/>
                    <w:rPr>
                      <w:rFonts w:hint="eastAsia"/>
                      <w:sz w:val="21"/>
                      <w:szCs w:val="21"/>
                      <w:lang w:val="en-US" w:eastAsia="zh-CN"/>
                    </w:rPr>
                  </w:pPr>
                </w:p>
              </w:tc>
              <w:tc>
                <w:tcPr>
                  <w:tcW w:w="3100"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sz w:val="21"/>
                      <w:szCs w:val="21"/>
                      <w:vertAlign w:val="baseline"/>
                    </w:rPr>
                  </w:pPr>
                  <w:r>
                    <w:rPr>
                      <w:rFonts w:hint="eastAsia"/>
                      <w:sz w:val="21"/>
                      <w:szCs w:val="21"/>
                      <w:vertAlign w:val="baseline"/>
                    </w:rPr>
                    <w:t>总悬浮颗粒物（24 小时平均值）</w:t>
                  </w:r>
                </w:p>
              </w:tc>
              <w:tc>
                <w:tcPr>
                  <w:tcW w:w="1450" w:type="dxa"/>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1次/天，3天</w:t>
                  </w:r>
                </w:p>
              </w:tc>
              <w:tc>
                <w:tcPr>
                  <w:tcW w:w="1783" w:type="dxa"/>
                  <w:vMerge w:val="continue"/>
                  <w:noWrap w:val="0"/>
                  <w:vAlign w:val="center"/>
                </w:tcPr>
                <w:p>
                  <w:pPr>
                    <w:pStyle w:val="4"/>
                    <w:keepNext w:val="0"/>
                    <w:keepLines w:val="0"/>
                    <w:pageBreakBefore w:val="0"/>
                    <w:kinsoku/>
                    <w:wordWrap/>
                    <w:overflowPunct/>
                    <w:topLinePunct w:val="0"/>
                    <w:autoSpaceDE/>
                    <w:autoSpaceDN/>
                    <w:bidi w:val="0"/>
                    <w:adjustRightInd/>
                    <w:spacing w:before="0" w:after="0" w:line="360" w:lineRule="auto"/>
                    <w:ind w:right="0"/>
                    <w:jc w:val="center"/>
                    <w:textAlignment w:val="auto"/>
                    <w:rPr>
                      <w:rFonts w:hint="eastAsia"/>
                      <w:sz w:val="21"/>
                      <w:szCs w:val="21"/>
                      <w:vertAlign w:val="baseline"/>
                    </w:rPr>
                  </w:pPr>
                </w:p>
              </w:tc>
            </w:tr>
          </w:tbl>
          <w:p>
            <w:pPr>
              <w:spacing w:line="360" w:lineRule="auto"/>
              <w:ind w:firstLine="480" w:firstLineChars="200"/>
              <w:rPr>
                <w:rFonts w:hint="default"/>
                <w:sz w:val="24"/>
                <w:szCs w:val="24"/>
              </w:rPr>
            </w:pPr>
            <w:r>
              <w:rPr>
                <w:rFonts w:hint="eastAsia"/>
                <w:sz w:val="24"/>
                <w:szCs w:val="24"/>
                <w:lang w:val="en-US" w:eastAsia="zh-CN"/>
              </w:rPr>
              <w:t>3</w:t>
            </w:r>
            <w:r>
              <w:rPr>
                <w:rFonts w:hint="default"/>
                <w:sz w:val="24"/>
                <w:szCs w:val="24"/>
              </w:rPr>
              <w:t>）监测结果：</w:t>
            </w:r>
          </w:p>
          <w:p>
            <w:pPr>
              <w:keepNext w:val="0"/>
              <w:keepLines w:val="0"/>
              <w:pageBreakBefore w:val="0"/>
              <w:widowControl w:val="0"/>
              <w:kinsoku/>
              <w:wordWrap/>
              <w:overflowPunct/>
              <w:topLinePunct w:val="0"/>
              <w:autoSpaceDE/>
              <w:autoSpaceDN/>
              <w:bidi w:val="0"/>
              <w:adjustRightInd/>
              <w:snapToGrid/>
              <w:jc w:val="center"/>
              <w:textAlignment w:val="auto"/>
              <w:rPr>
                <w:rFonts w:hint="default"/>
                <w:b/>
                <w:u w:val="none"/>
                <w:lang w:val="en-US" w:eastAsia="zh-CN"/>
              </w:rPr>
            </w:pPr>
            <w:r>
              <w:rPr>
                <w:rFonts w:hint="default"/>
                <w:b/>
                <w:u w:val="none"/>
                <w:lang w:val="en-US" w:eastAsia="zh-CN"/>
              </w:rPr>
              <w:t>表3-</w:t>
            </w:r>
            <w:r>
              <w:rPr>
                <w:rFonts w:hint="eastAsia"/>
                <w:b/>
                <w:u w:val="none"/>
                <w:lang w:val="en-US" w:eastAsia="zh-CN"/>
              </w:rPr>
              <w:t>3</w:t>
            </w:r>
            <w:r>
              <w:rPr>
                <w:rFonts w:hint="default"/>
                <w:b/>
                <w:u w:val="none"/>
                <w:lang w:val="en-US" w:eastAsia="zh-CN"/>
              </w:rPr>
              <w:t xml:space="preserve">  环境空气监测结果一览表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965"/>
              <w:gridCol w:w="1161"/>
              <w:gridCol w:w="1223"/>
              <w:gridCol w:w="1116"/>
              <w:gridCol w:w="1121"/>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采样点位</w:t>
                  </w:r>
                </w:p>
              </w:tc>
              <w:tc>
                <w:tcPr>
                  <w:tcW w:w="606"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检测项目</w:t>
                  </w:r>
                </w:p>
              </w:tc>
              <w:tc>
                <w:tcPr>
                  <w:tcW w:w="729"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采样频次</w:t>
                  </w:r>
                </w:p>
              </w:tc>
              <w:tc>
                <w:tcPr>
                  <w:tcW w:w="2173" w:type="pct"/>
                  <w:gridSpan w:val="3"/>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检测结果（</w:t>
                  </w: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r>
                    <w:rPr>
                      <w:rFonts w:hint="eastAsia"/>
                      <w:sz w:val="21"/>
                      <w:szCs w:val="21"/>
                      <w:vertAlign w:val="baseline"/>
                      <w:lang w:val="en-US" w:eastAsia="zh-CN"/>
                    </w:rPr>
                    <w:t>）</w:t>
                  </w:r>
                </w:p>
              </w:tc>
              <w:tc>
                <w:tcPr>
                  <w:tcW w:w="789"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标准限值</w:t>
                  </w: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r>
                    <w:rPr>
                      <w:rFonts w:hint="eastAsia"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vMerge w:val="continue"/>
                  <w:noWrap w:val="0"/>
                  <w:vAlign w:val="center"/>
                </w:tcPr>
                <w:p>
                  <w:pPr>
                    <w:pStyle w:val="4"/>
                    <w:jc w:val="center"/>
                    <w:rPr>
                      <w:rFonts w:hint="default"/>
                      <w:sz w:val="21"/>
                      <w:szCs w:val="21"/>
                      <w:vertAlign w:val="baseline"/>
                      <w:lang w:val="en-US" w:eastAsia="zh-CN"/>
                    </w:rPr>
                  </w:pPr>
                </w:p>
              </w:tc>
              <w:tc>
                <w:tcPr>
                  <w:tcW w:w="768"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5月25日</w:t>
                  </w:r>
                </w:p>
              </w:tc>
              <w:tc>
                <w:tcPr>
                  <w:tcW w:w="701"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5月26日</w:t>
                  </w:r>
                </w:p>
              </w:tc>
              <w:tc>
                <w:tcPr>
                  <w:tcW w:w="703"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5月27日</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restart"/>
                  <w:noWrap w:val="0"/>
                  <w:vAlign w:val="center"/>
                </w:tcPr>
                <w:p>
                  <w:pPr>
                    <w:jc w:val="center"/>
                    <w:rPr>
                      <w:rFonts w:hint="default"/>
                      <w:sz w:val="21"/>
                      <w:szCs w:val="21"/>
                      <w:vertAlign w:val="baseline"/>
                      <w:lang w:val="en-US" w:eastAsia="zh-CN"/>
                    </w:rPr>
                  </w:pPr>
                  <w:r>
                    <w:rPr>
                      <w:rFonts w:hint="eastAsia"/>
                      <w:sz w:val="21"/>
                      <w:szCs w:val="21"/>
                      <w:lang w:val="en-US" w:eastAsia="zh-CN"/>
                    </w:rPr>
                    <w:t>G1</w:t>
                  </w:r>
                  <w:r>
                    <w:rPr>
                      <w:rFonts w:hint="eastAsia"/>
                      <w:sz w:val="21"/>
                      <w:szCs w:val="21"/>
                    </w:rPr>
                    <w:t>厂界西南侧（下风向</w:t>
                  </w:r>
                  <w:r>
                    <w:rPr>
                      <w:rFonts w:hint="eastAsia"/>
                      <w:sz w:val="21"/>
                      <w:szCs w:val="21"/>
                      <w:lang w:eastAsia="zh-CN"/>
                    </w:rPr>
                    <w:t>）</w:t>
                  </w:r>
                </w:p>
              </w:tc>
              <w:tc>
                <w:tcPr>
                  <w:tcW w:w="606"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非甲烷总烃</w:t>
                  </w:r>
                </w:p>
              </w:tc>
              <w:tc>
                <w:tcPr>
                  <w:tcW w:w="729"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第一次</w:t>
                  </w:r>
                </w:p>
              </w:tc>
              <w:tc>
                <w:tcPr>
                  <w:tcW w:w="768"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480</w:t>
                  </w:r>
                </w:p>
              </w:tc>
              <w:tc>
                <w:tcPr>
                  <w:tcW w:w="701"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340</w:t>
                  </w:r>
                </w:p>
              </w:tc>
              <w:tc>
                <w:tcPr>
                  <w:tcW w:w="703"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320</w:t>
                  </w:r>
                </w:p>
              </w:tc>
              <w:tc>
                <w:tcPr>
                  <w:tcW w:w="789"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第二次</w:t>
                  </w:r>
                </w:p>
              </w:tc>
              <w:tc>
                <w:tcPr>
                  <w:tcW w:w="768"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410</w:t>
                  </w:r>
                </w:p>
              </w:tc>
              <w:tc>
                <w:tcPr>
                  <w:tcW w:w="701"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230</w:t>
                  </w:r>
                </w:p>
              </w:tc>
              <w:tc>
                <w:tcPr>
                  <w:tcW w:w="703"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420</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第三次</w:t>
                  </w:r>
                </w:p>
              </w:tc>
              <w:tc>
                <w:tcPr>
                  <w:tcW w:w="768"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340</w:t>
                  </w:r>
                </w:p>
              </w:tc>
              <w:tc>
                <w:tcPr>
                  <w:tcW w:w="701"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280</w:t>
                  </w:r>
                </w:p>
              </w:tc>
              <w:tc>
                <w:tcPr>
                  <w:tcW w:w="703"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390</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noWrap w:val="0"/>
                  <w:vAlign w:val="center"/>
                </w:tcPr>
                <w:p>
                  <w:pPr>
                    <w:pStyle w:val="4"/>
                    <w:jc w:val="center"/>
                    <w:rPr>
                      <w:rFonts w:hint="eastAsia"/>
                      <w:sz w:val="21"/>
                      <w:szCs w:val="21"/>
                      <w:vertAlign w:val="baseline"/>
                      <w:lang w:val="en-US" w:eastAsia="zh-CN"/>
                    </w:rPr>
                  </w:pPr>
                  <w:r>
                    <w:rPr>
                      <w:rFonts w:hint="eastAsia"/>
                      <w:sz w:val="21"/>
                      <w:szCs w:val="21"/>
                      <w:vertAlign w:val="baseline"/>
                      <w:lang w:val="en-US" w:eastAsia="zh-CN"/>
                    </w:rPr>
                    <w:t>第四次</w:t>
                  </w:r>
                </w:p>
              </w:tc>
              <w:tc>
                <w:tcPr>
                  <w:tcW w:w="768"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450</w:t>
                  </w:r>
                </w:p>
              </w:tc>
              <w:tc>
                <w:tcPr>
                  <w:tcW w:w="701"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370</w:t>
                  </w:r>
                </w:p>
              </w:tc>
              <w:tc>
                <w:tcPr>
                  <w:tcW w:w="703"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440</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氟化物</w:t>
                  </w:r>
                </w:p>
              </w:tc>
              <w:tc>
                <w:tcPr>
                  <w:tcW w:w="729" w:type="pct"/>
                  <w:noWrap w:val="0"/>
                  <w:vAlign w:val="center"/>
                </w:tcPr>
                <w:p>
                  <w:pPr>
                    <w:pStyle w:val="4"/>
                    <w:ind w:right="113" w:rightChars="0"/>
                    <w:jc w:val="center"/>
                    <w:rPr>
                      <w:rFonts w:hint="eastAsia"/>
                      <w:kern w:val="0"/>
                      <w:sz w:val="21"/>
                      <w:szCs w:val="21"/>
                      <w:vertAlign w:val="baseline"/>
                      <w:lang w:val="en-US" w:eastAsia="zh-CN" w:bidi="ar-SA"/>
                    </w:rPr>
                  </w:pPr>
                  <w:r>
                    <w:rPr>
                      <w:rFonts w:hint="eastAsia"/>
                      <w:sz w:val="21"/>
                      <w:szCs w:val="21"/>
                      <w:vertAlign w:val="baseline"/>
                      <w:lang w:val="en-US" w:eastAsia="zh-CN"/>
                    </w:rPr>
                    <w:t>第一次</w:t>
                  </w:r>
                </w:p>
              </w:tc>
              <w:tc>
                <w:tcPr>
                  <w:tcW w:w="768"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1"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3"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89" w:type="pct"/>
                  <w:vMerge w:val="restar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noWrap w:val="0"/>
                  <w:vAlign w:val="center"/>
                </w:tcPr>
                <w:p>
                  <w:pPr>
                    <w:pStyle w:val="4"/>
                    <w:ind w:right="113" w:rightChars="0"/>
                    <w:jc w:val="center"/>
                    <w:rPr>
                      <w:rFonts w:hint="eastAsia"/>
                      <w:kern w:val="0"/>
                      <w:sz w:val="21"/>
                      <w:szCs w:val="21"/>
                      <w:vertAlign w:val="baseline"/>
                      <w:lang w:val="en-US" w:eastAsia="zh-CN" w:bidi="ar-SA"/>
                    </w:rPr>
                  </w:pPr>
                  <w:r>
                    <w:rPr>
                      <w:rFonts w:hint="eastAsia"/>
                      <w:sz w:val="21"/>
                      <w:szCs w:val="21"/>
                      <w:vertAlign w:val="baseline"/>
                      <w:lang w:val="en-US" w:eastAsia="zh-CN"/>
                    </w:rPr>
                    <w:t>第二次</w:t>
                  </w:r>
                </w:p>
              </w:tc>
              <w:tc>
                <w:tcPr>
                  <w:tcW w:w="768"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1"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3"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noWrap w:val="0"/>
                  <w:vAlign w:val="center"/>
                </w:tcPr>
                <w:p>
                  <w:pPr>
                    <w:pStyle w:val="4"/>
                    <w:ind w:right="113" w:rightChars="0"/>
                    <w:jc w:val="center"/>
                    <w:rPr>
                      <w:rFonts w:hint="eastAsia"/>
                      <w:kern w:val="0"/>
                      <w:sz w:val="21"/>
                      <w:szCs w:val="21"/>
                      <w:vertAlign w:val="baseline"/>
                      <w:lang w:val="en-US" w:eastAsia="zh-CN" w:bidi="ar-SA"/>
                    </w:rPr>
                  </w:pPr>
                  <w:r>
                    <w:rPr>
                      <w:rFonts w:hint="eastAsia"/>
                      <w:sz w:val="21"/>
                      <w:szCs w:val="21"/>
                      <w:vertAlign w:val="baseline"/>
                      <w:lang w:val="en-US" w:eastAsia="zh-CN"/>
                    </w:rPr>
                    <w:t>第三次</w:t>
                  </w:r>
                </w:p>
              </w:tc>
              <w:tc>
                <w:tcPr>
                  <w:tcW w:w="768"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1"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3"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vMerge w:val="continue"/>
                  <w:noWrap w:val="0"/>
                  <w:vAlign w:val="center"/>
                </w:tcPr>
                <w:p>
                  <w:pPr>
                    <w:pStyle w:val="4"/>
                    <w:jc w:val="center"/>
                    <w:rPr>
                      <w:rFonts w:hint="default"/>
                      <w:sz w:val="21"/>
                      <w:szCs w:val="21"/>
                      <w:vertAlign w:val="baseline"/>
                      <w:lang w:val="en-US" w:eastAsia="zh-CN"/>
                    </w:rPr>
                  </w:pPr>
                </w:p>
              </w:tc>
              <w:tc>
                <w:tcPr>
                  <w:tcW w:w="729" w:type="pct"/>
                  <w:noWrap w:val="0"/>
                  <w:vAlign w:val="center"/>
                </w:tcPr>
                <w:p>
                  <w:pPr>
                    <w:pStyle w:val="4"/>
                    <w:ind w:right="113" w:rightChars="0"/>
                    <w:jc w:val="center"/>
                    <w:rPr>
                      <w:rFonts w:hint="eastAsia"/>
                      <w:kern w:val="0"/>
                      <w:sz w:val="21"/>
                      <w:szCs w:val="21"/>
                      <w:vertAlign w:val="baseline"/>
                      <w:lang w:val="en-US" w:eastAsia="zh-CN" w:bidi="ar-SA"/>
                    </w:rPr>
                  </w:pPr>
                  <w:r>
                    <w:rPr>
                      <w:rFonts w:hint="eastAsia"/>
                      <w:sz w:val="21"/>
                      <w:szCs w:val="21"/>
                      <w:vertAlign w:val="baseline"/>
                      <w:lang w:val="en-US" w:eastAsia="zh-CN"/>
                    </w:rPr>
                    <w:t>第四次</w:t>
                  </w:r>
                </w:p>
              </w:tc>
              <w:tc>
                <w:tcPr>
                  <w:tcW w:w="768"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1"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03"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ND</w:t>
                  </w:r>
                </w:p>
              </w:tc>
              <w:tc>
                <w:tcPr>
                  <w:tcW w:w="789" w:type="pct"/>
                  <w:vMerge w:val="continue"/>
                  <w:noWrap w:val="0"/>
                  <w:vAlign w:val="center"/>
                </w:tcPr>
                <w:p>
                  <w:pPr>
                    <w:pStyle w:val="4"/>
                    <w:jc w:val="center"/>
                    <w:rPr>
                      <w:rFonts w:hint="default"/>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pct"/>
                  <w:vMerge w:val="continue"/>
                  <w:noWrap w:val="0"/>
                  <w:vAlign w:val="center"/>
                </w:tcPr>
                <w:p>
                  <w:pPr>
                    <w:pStyle w:val="4"/>
                    <w:jc w:val="center"/>
                    <w:rPr>
                      <w:rFonts w:hint="default"/>
                      <w:sz w:val="21"/>
                      <w:szCs w:val="21"/>
                      <w:vertAlign w:val="baseline"/>
                      <w:lang w:val="en-US" w:eastAsia="zh-CN"/>
                    </w:rPr>
                  </w:pPr>
                </w:p>
              </w:tc>
              <w:tc>
                <w:tcPr>
                  <w:tcW w:w="606" w:type="pct"/>
                  <w:noWrap w:val="0"/>
                  <w:vAlign w:val="center"/>
                </w:tcPr>
                <w:p>
                  <w:pPr>
                    <w:pStyle w:val="4"/>
                    <w:jc w:val="center"/>
                    <w:rPr>
                      <w:rFonts w:hint="default"/>
                      <w:sz w:val="21"/>
                      <w:szCs w:val="21"/>
                      <w:vertAlign w:val="baseline"/>
                      <w:lang w:val="en-US" w:eastAsia="zh-CN"/>
                    </w:rPr>
                  </w:pPr>
                  <w:r>
                    <w:rPr>
                      <w:rFonts w:hint="default"/>
                      <w:sz w:val="21"/>
                      <w:szCs w:val="21"/>
                      <w:vertAlign w:val="baseline"/>
                      <w:lang w:val="en-US" w:eastAsia="zh-CN"/>
                    </w:rPr>
                    <w:t>总悬浮颗粒物</w:t>
                  </w:r>
                </w:p>
              </w:tc>
              <w:tc>
                <w:tcPr>
                  <w:tcW w:w="729" w:type="pct"/>
                  <w:noWrap w:val="0"/>
                  <w:vAlign w:val="center"/>
                </w:tcPr>
                <w:p>
                  <w:pPr>
                    <w:pStyle w:val="4"/>
                    <w:ind w:right="113" w:rightChars="0"/>
                    <w:jc w:val="center"/>
                    <w:rPr>
                      <w:rFonts w:hint="eastAsia"/>
                      <w:sz w:val="21"/>
                      <w:szCs w:val="21"/>
                      <w:vertAlign w:val="baseline"/>
                      <w:lang w:val="en-US" w:eastAsia="zh-CN"/>
                    </w:rPr>
                  </w:pPr>
                  <w:r>
                    <w:rPr>
                      <w:rFonts w:hint="eastAsia"/>
                      <w:sz w:val="21"/>
                      <w:szCs w:val="21"/>
                      <w:vertAlign w:val="baseline"/>
                      <w:lang w:val="en-US" w:eastAsia="zh-CN"/>
                    </w:rPr>
                    <w:t>一次</w:t>
                  </w:r>
                </w:p>
              </w:tc>
              <w:tc>
                <w:tcPr>
                  <w:tcW w:w="768"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103</w:t>
                  </w:r>
                </w:p>
              </w:tc>
              <w:tc>
                <w:tcPr>
                  <w:tcW w:w="701"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110</w:t>
                  </w:r>
                </w:p>
              </w:tc>
              <w:tc>
                <w:tcPr>
                  <w:tcW w:w="703" w:type="pct"/>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109</w:t>
                  </w:r>
                </w:p>
              </w:tc>
              <w:tc>
                <w:tcPr>
                  <w:tcW w:w="789" w:type="pct"/>
                  <w:noWrap w:val="0"/>
                  <w:vAlign w:val="center"/>
                </w:tcPr>
                <w:p>
                  <w:pPr>
                    <w:pStyle w:val="4"/>
                    <w:jc w:val="center"/>
                    <w:rPr>
                      <w:rFonts w:hint="default"/>
                      <w:sz w:val="21"/>
                      <w:szCs w:val="21"/>
                      <w:vertAlign w:val="baseline"/>
                      <w:lang w:val="en-US" w:eastAsia="zh-CN"/>
                    </w:rPr>
                  </w:pPr>
                  <w:r>
                    <w:rPr>
                      <w:rFonts w:hint="eastAsia"/>
                      <w:sz w:val="21"/>
                      <w:szCs w:val="21"/>
                      <w:vertAlign w:val="baseline"/>
                      <w:lang w:val="en-US" w:eastAsia="zh-CN"/>
                    </w:rPr>
                    <w:t>300</w:t>
                  </w:r>
                </w:p>
              </w:tc>
            </w:tr>
          </w:tbl>
          <w:p>
            <w:pPr>
              <w:spacing w:line="360" w:lineRule="auto"/>
              <w:ind w:firstLine="480" w:firstLineChars="200"/>
            </w:pPr>
            <w:r>
              <w:rPr>
                <w:rFonts w:hint="default"/>
                <w:sz w:val="24"/>
                <w:szCs w:val="24"/>
              </w:rPr>
              <w:t>根据上述监测结果，</w:t>
            </w:r>
            <w:r>
              <w:rPr>
                <w:rFonts w:hint="default"/>
                <w:sz w:val="24"/>
                <w:szCs w:val="24"/>
                <w:lang w:val="en-US" w:eastAsia="zh-CN"/>
              </w:rPr>
              <w:t>项目所在地总悬浮颗粒物</w:t>
            </w:r>
            <w:r>
              <w:rPr>
                <w:rFonts w:hint="eastAsia"/>
                <w:sz w:val="24"/>
                <w:szCs w:val="24"/>
                <w:lang w:val="en-US" w:eastAsia="zh-CN"/>
              </w:rPr>
              <w:t>、氟化物监测值</w:t>
            </w:r>
            <w:r>
              <w:rPr>
                <w:rFonts w:hint="default"/>
                <w:sz w:val="24"/>
                <w:szCs w:val="24"/>
                <w:lang w:val="en-US" w:eastAsia="zh-CN"/>
              </w:rPr>
              <w:t>可以达到</w:t>
            </w:r>
            <w:r>
              <w:rPr>
                <w:rFonts w:hint="default"/>
                <w:sz w:val="24"/>
                <w:szCs w:val="24"/>
              </w:rPr>
              <w:t>《环境空气质量标准》（GB3095-2012）中二级标准限值</w:t>
            </w:r>
            <w:r>
              <w:rPr>
                <w:rFonts w:hint="default"/>
                <w:sz w:val="24"/>
                <w:szCs w:val="24"/>
                <w:lang w:eastAsia="zh-CN"/>
              </w:rPr>
              <w:t>，</w:t>
            </w:r>
            <w:r>
              <w:rPr>
                <w:rFonts w:hint="default"/>
                <w:sz w:val="24"/>
                <w:szCs w:val="24"/>
                <w:lang w:val="en-US" w:eastAsia="zh-CN"/>
              </w:rPr>
              <w:t>非甲烷总烃</w:t>
            </w:r>
            <w:r>
              <w:rPr>
                <w:rFonts w:hint="eastAsia"/>
                <w:sz w:val="24"/>
                <w:szCs w:val="24"/>
              </w:rPr>
              <w:t>现状监测值均满足《环境影响评价技术导则 大气环境》（HJ2.2-2018）附录D中限值要求，所在区域空气环境质量良好。</w:t>
            </w:r>
          </w:p>
          <w:p>
            <w:pPr>
              <w:adjustRightInd w:val="0"/>
              <w:snapToGrid w:val="0"/>
              <w:spacing w:line="312" w:lineRule="auto"/>
              <w:ind w:firstLine="482" w:firstLineChars="200"/>
              <w:jc w:val="left"/>
              <w:rPr>
                <w:rFonts w:hint="eastAsia"/>
                <w:kern w:val="0"/>
                <w:sz w:val="24"/>
                <w:szCs w:val="24"/>
              </w:rPr>
            </w:pPr>
            <w:r>
              <w:rPr>
                <w:rFonts w:hint="eastAsia"/>
                <w:b/>
                <w:sz w:val="24"/>
                <w:szCs w:val="24"/>
                <w:lang w:val="en-US" w:eastAsia="zh-CN"/>
              </w:rPr>
              <w:t>2、</w:t>
            </w:r>
            <w:r>
              <w:rPr>
                <w:rFonts w:hint="eastAsia"/>
                <w:b/>
                <w:sz w:val="24"/>
                <w:szCs w:val="24"/>
              </w:rPr>
              <w:t>地表水环境</w:t>
            </w:r>
            <w:r>
              <w:rPr>
                <w:b/>
                <w:sz w:val="24"/>
                <w:szCs w:val="24"/>
              </w:rPr>
              <w:t>质量现状调查与评价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sz w:val="24"/>
                <w:szCs w:val="24"/>
              </w:rPr>
              <w:t>本项目生活废水经化粪池处理后</w:t>
            </w:r>
            <w:r>
              <w:rPr>
                <w:rFonts w:hint="eastAsia"/>
                <w:sz w:val="24"/>
                <w:szCs w:val="24"/>
                <w:lang w:val="en-US" w:eastAsia="zh-CN"/>
              </w:rPr>
              <w:t>、</w:t>
            </w:r>
            <w:r>
              <w:rPr>
                <w:rFonts w:hint="eastAsia"/>
                <w:bCs/>
                <w:sz w:val="24"/>
                <w:szCs w:val="24"/>
                <w:u w:val="none"/>
                <w:lang w:val="en-US" w:eastAsia="zh-CN"/>
              </w:rPr>
              <w:t>初期</w:t>
            </w:r>
            <w:r>
              <w:rPr>
                <w:rFonts w:hint="eastAsia"/>
                <w:bCs/>
                <w:sz w:val="24"/>
                <w:szCs w:val="24"/>
                <w:u w:val="none"/>
              </w:rPr>
              <w:t>雨水</w:t>
            </w:r>
            <w:r>
              <w:rPr>
                <w:rFonts w:hint="eastAsia"/>
                <w:bCs/>
                <w:sz w:val="24"/>
                <w:szCs w:val="24"/>
                <w:u w:val="none"/>
                <w:lang w:val="en-US" w:eastAsia="zh-CN"/>
              </w:rPr>
              <w:t>+</w:t>
            </w:r>
            <w:r>
              <w:rPr>
                <w:rFonts w:hint="eastAsia"/>
                <w:bCs/>
                <w:sz w:val="24"/>
                <w:szCs w:val="24"/>
                <w:u w:val="none"/>
              </w:rPr>
              <w:t>拆解</w:t>
            </w:r>
            <w:r>
              <w:rPr>
                <w:rFonts w:hint="eastAsia"/>
                <w:bCs/>
                <w:sz w:val="24"/>
                <w:szCs w:val="24"/>
                <w:u w:val="none"/>
                <w:lang w:eastAsia="zh-CN"/>
              </w:rPr>
              <w:t>区</w:t>
            </w:r>
            <w:r>
              <w:rPr>
                <w:rFonts w:hint="eastAsia"/>
                <w:bCs/>
                <w:sz w:val="24"/>
                <w:szCs w:val="24"/>
                <w:u w:val="none"/>
              </w:rPr>
              <w:t>地面清洁废水</w:t>
            </w:r>
            <w:r>
              <w:rPr>
                <w:rFonts w:hint="eastAsia"/>
                <w:bCs/>
                <w:sz w:val="24"/>
                <w:szCs w:val="24"/>
                <w:u w:val="none"/>
                <w:lang w:val="en-US" w:eastAsia="zh-CN"/>
              </w:rPr>
              <w:t>经污水处理设施（隔油池+</w:t>
            </w:r>
            <w:r>
              <w:rPr>
                <w:rFonts w:hint="eastAsia" w:ascii="Times New Roman" w:hAnsi="Times New Roman" w:cs="Times New Roman"/>
                <w:color w:val="auto"/>
                <w:sz w:val="24"/>
                <w:szCs w:val="24"/>
                <w:highlight w:val="none"/>
                <w:lang w:val="en-US" w:eastAsia="zh-CN"/>
              </w:rPr>
              <w:t>气浮机</w:t>
            </w:r>
            <w:r>
              <w:rPr>
                <w:rFonts w:hint="eastAsia"/>
                <w:bCs/>
                <w:sz w:val="24"/>
                <w:szCs w:val="24"/>
                <w:u w:val="none"/>
                <w:lang w:val="en-US" w:eastAsia="zh-CN"/>
              </w:rPr>
              <w:t>）</w:t>
            </w:r>
            <w:r>
              <w:rPr>
                <w:rFonts w:hint="eastAsia" w:ascii="Times New Roman" w:hAnsi="Times New Roman" w:cs="Times New Roman"/>
                <w:color w:val="auto"/>
                <w:sz w:val="24"/>
                <w:szCs w:val="24"/>
                <w:highlight w:val="none"/>
                <w:lang w:val="en-US" w:eastAsia="zh-CN"/>
              </w:rPr>
              <w:t>处理后一并</w:t>
            </w:r>
            <w:r>
              <w:rPr>
                <w:rFonts w:hint="eastAsia" w:ascii="Times New Roman" w:hAnsi="Times New Roman" w:eastAsia="宋体" w:cs="Times New Roman"/>
                <w:b w:val="0"/>
                <w:bCs w:val="0"/>
                <w:color w:val="auto"/>
                <w:sz w:val="24"/>
                <w:szCs w:val="24"/>
                <w:u w:val="none"/>
                <w:shd w:val="clear" w:color="auto" w:fill="auto"/>
                <w:lang w:val="en-US" w:eastAsia="zh-CN"/>
              </w:rPr>
              <w:t>进</w:t>
            </w:r>
            <w:r>
              <w:rPr>
                <w:rFonts w:hint="default" w:ascii="Times New Roman" w:hAnsi="Times New Roman" w:eastAsia="宋体" w:cs="Times New Roman"/>
                <w:b w:val="0"/>
                <w:bCs w:val="0"/>
                <w:color w:val="auto"/>
                <w:sz w:val="24"/>
                <w:szCs w:val="24"/>
                <w:u w:val="none"/>
                <w:shd w:val="clear" w:color="auto" w:fill="auto"/>
                <w:lang w:val="en-US" w:eastAsia="zh-CN"/>
              </w:rPr>
              <w:t>入</w:t>
            </w:r>
            <w:r>
              <w:rPr>
                <w:rFonts w:hint="eastAsia"/>
                <w:sz w:val="24"/>
                <w:szCs w:val="24"/>
              </w:rPr>
              <w:t>园区污水</w:t>
            </w:r>
            <w:r>
              <w:rPr>
                <w:rFonts w:hint="default" w:ascii="Times New Roman" w:hAnsi="Times New Roman" w:eastAsia="宋体" w:cs="Times New Roman"/>
                <w:b w:val="0"/>
                <w:bCs w:val="0"/>
                <w:color w:val="auto"/>
                <w:sz w:val="24"/>
                <w:szCs w:val="24"/>
                <w:u w:val="none"/>
                <w:shd w:val="clear" w:color="auto" w:fill="auto"/>
                <w:lang w:val="en-US" w:eastAsia="zh-CN"/>
              </w:rPr>
              <w:t>管网</w:t>
            </w:r>
            <w:r>
              <w:rPr>
                <w:rFonts w:hint="eastAsia"/>
                <w:sz w:val="24"/>
                <w:szCs w:val="24"/>
              </w:rPr>
              <w:t>排</w:t>
            </w:r>
            <w:r>
              <w:rPr>
                <w:rFonts w:hint="eastAsia"/>
                <w:sz w:val="24"/>
                <w:szCs w:val="24"/>
                <w:lang w:val="en-US" w:eastAsia="zh-CN"/>
              </w:rPr>
              <w:t>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eastAsia" w:ascii="Times New Roman" w:hAnsi="Times New Roman" w:eastAsia="宋体" w:cs="Times New Roman"/>
                <w:color w:val="auto"/>
                <w:sz w:val="24"/>
                <w:szCs w:val="24"/>
              </w:rPr>
              <w:t>处理</w:t>
            </w:r>
            <w:r>
              <w:rPr>
                <w:rFonts w:hint="eastAsia" w:ascii="Times New Roman" w:hAnsi="Times New Roman" w:eastAsia="宋体" w:cs="Times New Roman"/>
                <w:color w:val="auto"/>
                <w:sz w:val="24"/>
                <w:szCs w:val="24"/>
                <w:lang w:eastAsia="zh-CN"/>
              </w:rPr>
              <w:t>后达标排放，</w:t>
            </w:r>
            <w:r>
              <w:rPr>
                <w:rFonts w:hint="eastAsia" w:ascii="Times New Roman" w:hAnsi="Times New Roman" w:eastAsia="宋体" w:cs="Times New Roman"/>
                <w:color w:val="auto"/>
                <w:sz w:val="24"/>
                <w:szCs w:val="24"/>
              </w:rPr>
              <w:t>本次评价引用《</w:t>
            </w:r>
            <w:r>
              <w:rPr>
                <w:rFonts w:hint="eastAsia" w:ascii="Times New Roman" w:hAnsi="Times New Roman" w:eastAsia="宋体" w:cs="Times New Roman"/>
                <w:color w:val="auto"/>
                <w:sz w:val="24"/>
                <w:szCs w:val="24"/>
                <w:lang w:eastAsia="zh-CN"/>
              </w:rPr>
              <w:t>靖州苗族侗族自治县工业集中区地表水、地下水、环境空气、土壤和噪声监测项目</w:t>
            </w:r>
            <w:r>
              <w:rPr>
                <w:rFonts w:hint="eastAsia" w:ascii="Times New Roman" w:hAnsi="Times New Roman" w:eastAsia="宋体" w:cs="Times New Roman"/>
                <w:color w:val="auto"/>
                <w:sz w:val="24"/>
                <w:szCs w:val="24"/>
              </w:rPr>
              <w:t>》中</w:t>
            </w:r>
            <w:r>
              <w:rPr>
                <w:rFonts w:hint="eastAsia" w:ascii="Times New Roman" w:hAnsi="Times New Roman" w:cs="Times New Roman"/>
                <w:color w:val="auto"/>
                <w:sz w:val="24"/>
                <w:szCs w:val="24"/>
                <w:highlight w:val="none"/>
                <w:u w:val="none"/>
                <w:lang w:eastAsia="zh-CN"/>
              </w:rPr>
              <w:t>湖南昌旭环保科技有限公司</w:t>
            </w:r>
            <w:r>
              <w:rPr>
                <w:rFonts w:hint="eastAsia" w:ascii="Times New Roman" w:hAnsi="Times New Roman" w:eastAsia="宋体" w:cs="Times New Roman"/>
                <w:color w:val="auto"/>
                <w:sz w:val="24"/>
                <w:szCs w:val="24"/>
              </w:rPr>
              <w:t>于20</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月1</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日对项目所在地渠水进行的现状监测数据</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本项目距离该项目大约</w:t>
            </w:r>
            <w:r>
              <w:rPr>
                <w:rFonts w:hint="eastAsia" w:ascii="Times New Roman" w:hAnsi="Times New Roman" w:eastAsia="宋体" w:cs="Times New Roman"/>
                <w:color w:val="auto"/>
                <w:sz w:val="24"/>
                <w:szCs w:val="24"/>
                <w:lang w:val="en-US" w:eastAsia="zh-CN"/>
              </w:rPr>
              <w:t>800米，且监测时间未超过3年，因此，本项目引用该项目地表水现状监测数据。</w:t>
            </w:r>
          </w:p>
          <w:p>
            <w:pPr>
              <w:spacing w:line="360" w:lineRule="auto"/>
              <w:ind w:firstLine="480" w:firstLineChars="200"/>
              <w:rPr>
                <w:snapToGrid w:val="0"/>
                <w:color w:val="auto"/>
                <w:kern w:val="0"/>
                <w:sz w:val="24"/>
                <w:szCs w:val="22"/>
              </w:rPr>
            </w:pPr>
            <w:r>
              <w:rPr>
                <w:snapToGrid w:val="0"/>
                <w:color w:val="auto"/>
                <w:kern w:val="0"/>
                <w:sz w:val="24"/>
                <w:szCs w:val="22"/>
              </w:rPr>
              <w:t>（1）监测断面：W</w:t>
            </w:r>
            <w:r>
              <w:rPr>
                <w:rFonts w:hint="eastAsia"/>
                <w:snapToGrid w:val="0"/>
                <w:color w:val="auto"/>
                <w:kern w:val="0"/>
                <w:sz w:val="24"/>
                <w:szCs w:val="22"/>
                <w:lang w:val="en-US" w:eastAsia="zh-CN"/>
              </w:rPr>
              <w:t>3</w:t>
            </w:r>
            <w:r>
              <w:rPr>
                <w:rFonts w:hint="eastAsia"/>
                <w:snapToGrid w:val="0"/>
                <w:color w:val="auto"/>
                <w:kern w:val="0"/>
                <w:sz w:val="24"/>
                <w:szCs w:val="22"/>
                <w:lang w:eastAsia="zh-CN"/>
              </w:rPr>
              <w:t>甘太</w:t>
            </w:r>
            <w:r>
              <w:rPr>
                <w:rFonts w:hint="eastAsia"/>
                <w:snapToGrid w:val="0"/>
                <w:color w:val="auto"/>
                <w:kern w:val="0"/>
                <w:sz w:val="24"/>
                <w:szCs w:val="22"/>
              </w:rPr>
              <w:t>污水处理厂入</w:t>
            </w:r>
            <w:r>
              <w:rPr>
                <w:rFonts w:hint="eastAsia"/>
                <w:snapToGrid w:val="0"/>
                <w:color w:val="auto"/>
                <w:kern w:val="0"/>
                <w:sz w:val="24"/>
                <w:szCs w:val="22"/>
                <w:lang w:eastAsia="zh-CN"/>
              </w:rPr>
              <w:t>渠水</w:t>
            </w:r>
            <w:r>
              <w:rPr>
                <w:rFonts w:hint="eastAsia"/>
                <w:snapToGrid w:val="0"/>
                <w:color w:val="auto"/>
                <w:kern w:val="0"/>
                <w:sz w:val="24"/>
                <w:szCs w:val="22"/>
              </w:rPr>
              <w:t>口上游</w:t>
            </w:r>
            <w:r>
              <w:rPr>
                <w:rFonts w:hint="eastAsia"/>
                <w:snapToGrid w:val="0"/>
                <w:color w:val="auto"/>
                <w:kern w:val="0"/>
                <w:sz w:val="24"/>
                <w:szCs w:val="22"/>
                <w:lang w:val="en-US" w:eastAsia="zh-CN"/>
              </w:rPr>
              <w:t>5</w:t>
            </w:r>
            <w:r>
              <w:rPr>
                <w:rFonts w:hint="eastAsia"/>
                <w:snapToGrid w:val="0"/>
                <w:color w:val="auto"/>
                <w:kern w:val="0"/>
                <w:sz w:val="24"/>
                <w:szCs w:val="22"/>
              </w:rPr>
              <w:t>00m、W</w:t>
            </w:r>
            <w:r>
              <w:rPr>
                <w:rFonts w:hint="eastAsia"/>
                <w:snapToGrid w:val="0"/>
                <w:color w:val="auto"/>
                <w:kern w:val="0"/>
                <w:sz w:val="24"/>
                <w:szCs w:val="22"/>
                <w:lang w:val="en-US" w:eastAsia="zh-CN"/>
              </w:rPr>
              <w:t>4</w:t>
            </w:r>
            <w:r>
              <w:rPr>
                <w:rFonts w:hint="eastAsia"/>
                <w:snapToGrid w:val="0"/>
                <w:color w:val="auto"/>
                <w:kern w:val="0"/>
                <w:sz w:val="24"/>
                <w:szCs w:val="22"/>
                <w:lang w:eastAsia="zh-CN"/>
              </w:rPr>
              <w:t>甘太</w:t>
            </w:r>
            <w:r>
              <w:rPr>
                <w:rFonts w:hint="eastAsia"/>
                <w:snapToGrid w:val="0"/>
                <w:color w:val="auto"/>
                <w:kern w:val="0"/>
                <w:sz w:val="24"/>
                <w:szCs w:val="22"/>
              </w:rPr>
              <w:t>污水处理厂入</w:t>
            </w:r>
            <w:r>
              <w:rPr>
                <w:rFonts w:hint="eastAsia"/>
                <w:snapToGrid w:val="0"/>
                <w:color w:val="auto"/>
                <w:kern w:val="0"/>
                <w:sz w:val="24"/>
                <w:szCs w:val="22"/>
                <w:lang w:eastAsia="zh-CN"/>
              </w:rPr>
              <w:t>渠水</w:t>
            </w:r>
            <w:r>
              <w:rPr>
                <w:rFonts w:hint="eastAsia"/>
                <w:snapToGrid w:val="0"/>
                <w:color w:val="auto"/>
                <w:kern w:val="0"/>
                <w:sz w:val="24"/>
                <w:szCs w:val="22"/>
              </w:rPr>
              <w:t>口下游1500m。</w:t>
            </w:r>
          </w:p>
          <w:p>
            <w:pPr>
              <w:spacing w:line="360" w:lineRule="auto"/>
              <w:ind w:firstLine="480" w:firstLineChars="200"/>
              <w:rPr>
                <w:snapToGrid w:val="0"/>
                <w:color w:val="auto"/>
                <w:kern w:val="0"/>
                <w:sz w:val="24"/>
                <w:szCs w:val="22"/>
              </w:rPr>
            </w:pPr>
            <w:r>
              <w:rPr>
                <w:snapToGrid w:val="0"/>
                <w:color w:val="auto"/>
                <w:kern w:val="0"/>
                <w:sz w:val="24"/>
                <w:szCs w:val="22"/>
              </w:rPr>
              <w:t>（2）评价因子：</w:t>
            </w:r>
            <w:r>
              <w:rPr>
                <w:rFonts w:hint="eastAsia"/>
                <w:snapToGrid w:val="0"/>
                <w:color w:val="auto"/>
                <w:kern w:val="0"/>
                <w:sz w:val="24"/>
                <w:szCs w:val="22"/>
              </w:rPr>
              <w:t>pH、化学需氧量、氨氮、五日生化需氧量、溶解氧、总磷、氟化物、石油类、砷、汞、铅、镉、六价铬、铜、锌、硫化物、挥发酚、</w:t>
            </w:r>
            <w:r>
              <w:rPr>
                <w:rFonts w:hint="eastAsia"/>
                <w:snapToGrid w:val="0"/>
                <w:color w:val="auto"/>
                <w:kern w:val="0"/>
                <w:sz w:val="24"/>
                <w:szCs w:val="22"/>
                <w:lang w:eastAsia="zh-CN"/>
              </w:rPr>
              <w:t>二甲苯、镍、总氮、</w:t>
            </w:r>
            <w:r>
              <w:rPr>
                <w:rFonts w:hint="eastAsia"/>
                <w:snapToGrid w:val="0"/>
                <w:color w:val="auto"/>
                <w:kern w:val="0"/>
                <w:sz w:val="24"/>
                <w:szCs w:val="22"/>
              </w:rPr>
              <w:t>粪大肠菌群。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napToGrid w:val="0"/>
                <w:color w:val="auto"/>
                <w:kern w:val="0"/>
                <w:sz w:val="24"/>
                <w:szCs w:val="22"/>
                <w:lang w:eastAsia="zh-CN"/>
              </w:rPr>
            </w:pPr>
            <w:r>
              <w:rPr>
                <w:snapToGrid w:val="0"/>
                <w:color w:val="auto"/>
                <w:kern w:val="0"/>
                <w:sz w:val="24"/>
                <w:szCs w:val="22"/>
              </w:rPr>
              <w:t>监测及评价结果见下表</w:t>
            </w:r>
            <w:r>
              <w:rPr>
                <w:rFonts w:hint="eastAsia"/>
                <w:snapToGrid w:val="0"/>
                <w:color w:val="auto"/>
                <w:kern w:val="0"/>
                <w:sz w:val="24"/>
                <w:szCs w:val="2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表3-4 </w:t>
            </w:r>
            <w:r>
              <w:rPr>
                <w:rFonts w:hint="eastAsia" w:ascii="Times New Roman" w:hAnsi="Times New Roman" w:eastAsia="宋体" w:cs="Times New Roman"/>
                <w:b/>
                <w:bCs/>
                <w:color w:val="auto"/>
                <w:sz w:val="21"/>
                <w:szCs w:val="21"/>
                <w:lang w:val="zh-CN" w:eastAsia="zh-CN"/>
              </w:rPr>
              <w:t xml:space="preserve"> </w:t>
            </w:r>
            <w:r>
              <w:rPr>
                <w:rFonts w:hint="eastAsia" w:ascii="Times New Roman" w:hAnsi="Times New Roman" w:eastAsia="宋体" w:cs="Times New Roman"/>
                <w:b/>
                <w:bCs/>
                <w:color w:val="auto"/>
                <w:sz w:val="21"/>
                <w:szCs w:val="21"/>
                <w:lang w:val="en-US" w:eastAsia="zh-CN"/>
              </w:rPr>
              <w:t xml:space="preserve"> </w:t>
            </w:r>
            <w:r>
              <w:rPr>
                <w:rFonts w:hint="eastAsia" w:ascii="Times New Roman" w:hAnsi="Times New Roman" w:eastAsia="宋体" w:cs="Times New Roman"/>
                <w:b/>
                <w:bCs/>
                <w:color w:val="auto"/>
                <w:sz w:val="21"/>
                <w:szCs w:val="21"/>
                <w:lang w:val="zh-CN" w:eastAsia="zh-CN"/>
              </w:rPr>
              <w:t>项目所在地地表水环境质量监测结果</w:t>
            </w:r>
          </w:p>
          <w:tbl>
            <w:tblPr>
              <w:tblStyle w:val="16"/>
              <w:tblW w:w="499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01"/>
              <w:gridCol w:w="860"/>
              <w:gridCol w:w="1161"/>
              <w:gridCol w:w="1161"/>
              <w:gridCol w:w="1161"/>
              <w:gridCol w:w="820"/>
              <w:gridCol w:w="14"/>
              <w:gridCol w:w="704"/>
              <w:gridCol w:w="130"/>
              <w:gridCol w:w="563"/>
              <w:gridCol w:w="5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505" w:type="pct"/>
                  <w:vMerge w:val="restart"/>
                  <w:tcBorders>
                    <w:tl2br w:val="nil"/>
                    <w:tr2bl w:val="nil"/>
                  </w:tcBorders>
                  <w:noWrap w:val="0"/>
                  <w:vAlign w:val="center"/>
                </w:tcPr>
                <w:p>
                  <w:pPr>
                    <w:jc w:val="center"/>
                    <w:rPr>
                      <w:rFonts w:ascii="Times New Roman"/>
                      <w:b/>
                      <w:color w:val="auto"/>
                      <w:sz w:val="21"/>
                      <w:szCs w:val="21"/>
                      <w:u w:val="none"/>
                    </w:rPr>
                  </w:pPr>
                  <w:r>
                    <w:rPr>
                      <w:rFonts w:ascii="Times New Roman"/>
                      <w:b/>
                      <w:color w:val="auto"/>
                      <w:sz w:val="21"/>
                      <w:szCs w:val="21"/>
                      <w:u w:val="none"/>
                    </w:rPr>
                    <w:t>点位名称</w:t>
                  </w:r>
                </w:p>
              </w:tc>
              <w:tc>
                <w:tcPr>
                  <w:tcW w:w="542" w:type="pct"/>
                  <w:vMerge w:val="restart"/>
                  <w:tcBorders>
                    <w:tl2br w:val="nil"/>
                    <w:tr2bl w:val="nil"/>
                  </w:tcBorders>
                  <w:noWrap w:val="0"/>
                  <w:vAlign w:val="center"/>
                </w:tcPr>
                <w:p>
                  <w:pPr>
                    <w:jc w:val="center"/>
                    <w:rPr>
                      <w:rFonts w:ascii="Times New Roman"/>
                      <w:b/>
                      <w:color w:val="auto"/>
                      <w:sz w:val="21"/>
                      <w:szCs w:val="21"/>
                      <w:u w:val="none"/>
                    </w:rPr>
                  </w:pPr>
                  <w:r>
                    <w:rPr>
                      <w:rFonts w:ascii="Times New Roman"/>
                      <w:b/>
                      <w:color w:val="auto"/>
                      <w:sz w:val="21"/>
                      <w:szCs w:val="21"/>
                      <w:u w:val="none"/>
                    </w:rPr>
                    <w:t>检测项目</w:t>
                  </w:r>
                </w:p>
              </w:tc>
              <w:tc>
                <w:tcPr>
                  <w:tcW w:w="2722" w:type="pct"/>
                  <w:gridSpan w:val="5"/>
                  <w:tcBorders>
                    <w:tl2br w:val="nil"/>
                    <w:tr2bl w:val="nil"/>
                  </w:tcBorders>
                  <w:noWrap w:val="0"/>
                  <w:vAlign w:val="center"/>
                </w:tcPr>
                <w:p>
                  <w:pPr>
                    <w:jc w:val="center"/>
                    <w:rPr>
                      <w:rFonts w:ascii="Times New Roman"/>
                      <w:b/>
                      <w:color w:val="auto"/>
                      <w:sz w:val="21"/>
                      <w:szCs w:val="21"/>
                      <w:u w:val="none"/>
                    </w:rPr>
                  </w:pPr>
                  <w:r>
                    <w:rPr>
                      <w:rFonts w:ascii="Times New Roman"/>
                      <w:b/>
                      <w:color w:val="auto"/>
                      <w:sz w:val="21"/>
                      <w:szCs w:val="21"/>
                      <w:u w:val="none"/>
                    </w:rPr>
                    <w:t>检测结果</w:t>
                  </w:r>
                </w:p>
              </w:tc>
              <w:tc>
                <w:tcPr>
                  <w:tcW w:w="444" w:type="pct"/>
                  <w:vMerge w:val="restart"/>
                  <w:tcBorders>
                    <w:tl2br w:val="nil"/>
                    <w:tr2bl w:val="nil"/>
                  </w:tcBorders>
                  <w:noWrap w:val="0"/>
                  <w:vAlign w:val="center"/>
                </w:tcPr>
                <w:p>
                  <w:pPr>
                    <w:jc w:val="center"/>
                    <w:rPr>
                      <w:rFonts w:ascii="Times New Roman"/>
                      <w:b/>
                      <w:color w:val="auto"/>
                      <w:sz w:val="21"/>
                      <w:szCs w:val="21"/>
                      <w:u w:val="none"/>
                    </w:rPr>
                  </w:pPr>
                  <w:r>
                    <w:rPr>
                      <w:rFonts w:ascii="Times New Roman"/>
                      <w:b/>
                      <w:bCs/>
                      <w:color w:val="auto"/>
                      <w:sz w:val="21"/>
                      <w:szCs w:val="21"/>
                      <w:u w:val="none"/>
                    </w:rPr>
                    <w:t>超标率（%）</w:t>
                  </w:r>
                </w:p>
              </w:tc>
              <w:tc>
                <w:tcPr>
                  <w:tcW w:w="435" w:type="pct"/>
                  <w:gridSpan w:val="2"/>
                  <w:vMerge w:val="restart"/>
                  <w:tcBorders>
                    <w:tl2br w:val="nil"/>
                    <w:tr2bl w:val="nil"/>
                  </w:tcBorders>
                  <w:noWrap w:val="0"/>
                  <w:vAlign w:val="center"/>
                </w:tcPr>
                <w:p>
                  <w:pPr>
                    <w:jc w:val="center"/>
                    <w:rPr>
                      <w:rFonts w:ascii="Times New Roman"/>
                      <w:b/>
                      <w:color w:val="auto"/>
                      <w:sz w:val="21"/>
                      <w:szCs w:val="21"/>
                      <w:u w:val="none"/>
                    </w:rPr>
                  </w:pPr>
                  <w:r>
                    <w:rPr>
                      <w:rFonts w:ascii="Times New Roman"/>
                      <w:b/>
                      <w:bCs/>
                      <w:color w:val="auto"/>
                      <w:sz w:val="21"/>
                      <w:szCs w:val="21"/>
                      <w:u w:val="none"/>
                    </w:rPr>
                    <w:t>最大超标倍数</w:t>
                  </w:r>
                </w:p>
              </w:tc>
              <w:tc>
                <w:tcPr>
                  <w:tcW w:w="349" w:type="pct"/>
                  <w:vMerge w:val="restart"/>
                  <w:tcBorders>
                    <w:tl2br w:val="nil"/>
                    <w:tr2bl w:val="nil"/>
                  </w:tcBorders>
                  <w:noWrap w:val="0"/>
                  <w:vAlign w:val="center"/>
                </w:tcPr>
                <w:p>
                  <w:pPr>
                    <w:jc w:val="center"/>
                    <w:rPr>
                      <w:rFonts w:ascii="Times New Roman"/>
                      <w:b/>
                      <w:color w:val="auto"/>
                      <w:sz w:val="21"/>
                      <w:szCs w:val="21"/>
                      <w:u w:val="none"/>
                    </w:rPr>
                  </w:pPr>
                  <w:r>
                    <w:rPr>
                      <w:rFonts w:ascii="Times New Roman"/>
                      <w:b/>
                      <w:bCs/>
                      <w:color w:val="auto"/>
                      <w:sz w:val="21"/>
                      <w:szCs w:val="21"/>
                      <w:u w:val="none"/>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505" w:type="pct"/>
                  <w:vMerge w:val="continue"/>
                  <w:tcBorders>
                    <w:tl2br w:val="nil"/>
                    <w:tr2bl w:val="nil"/>
                  </w:tcBorders>
                  <w:noWrap w:val="0"/>
                  <w:vAlign w:val="center"/>
                </w:tcPr>
                <w:p>
                  <w:pPr>
                    <w:jc w:val="center"/>
                    <w:rPr>
                      <w:rFonts w:ascii="Times New Roman"/>
                      <w:bCs/>
                      <w:color w:val="auto"/>
                      <w:sz w:val="21"/>
                      <w:szCs w:val="21"/>
                      <w:u w:val="none"/>
                    </w:rPr>
                  </w:pPr>
                </w:p>
              </w:tc>
              <w:tc>
                <w:tcPr>
                  <w:tcW w:w="542" w:type="pct"/>
                  <w:vMerge w:val="continue"/>
                  <w:tcBorders>
                    <w:tl2br w:val="nil"/>
                    <w:tr2bl w:val="nil"/>
                  </w:tcBorders>
                  <w:noWrap w:val="0"/>
                  <w:vAlign w:val="center"/>
                </w:tcPr>
                <w:p>
                  <w:pPr>
                    <w:jc w:val="center"/>
                    <w:rPr>
                      <w:rFonts w:ascii="Times New Roman"/>
                      <w:bCs/>
                      <w:color w:val="auto"/>
                      <w:sz w:val="21"/>
                      <w:szCs w:val="21"/>
                      <w:u w:val="none"/>
                    </w:rPr>
                  </w:pPr>
                </w:p>
              </w:tc>
              <w:tc>
                <w:tcPr>
                  <w:tcW w:w="732" w:type="pct"/>
                  <w:tcBorders>
                    <w:tl2br w:val="nil"/>
                    <w:tr2bl w:val="nil"/>
                  </w:tcBorders>
                  <w:noWrap w:val="0"/>
                  <w:vAlign w:val="center"/>
                </w:tcPr>
                <w:p>
                  <w:pPr>
                    <w:autoSpaceDN w:val="0"/>
                    <w:spacing w:line="260" w:lineRule="exact"/>
                    <w:jc w:val="center"/>
                    <w:textAlignment w:val="center"/>
                    <w:rPr>
                      <w:rFonts w:hint="default" w:ascii="Times New Roman" w:eastAsia="宋体"/>
                      <w:color w:val="auto"/>
                      <w:kern w:val="2"/>
                      <w:sz w:val="21"/>
                      <w:szCs w:val="21"/>
                      <w:u w:val="none"/>
                      <w:lang w:val="en-US" w:eastAsia="zh-CN"/>
                    </w:rPr>
                  </w:pPr>
                  <w:r>
                    <w:rPr>
                      <w:rFonts w:ascii="Times New Roman"/>
                      <w:color w:val="auto"/>
                      <w:kern w:val="2"/>
                      <w:sz w:val="21"/>
                      <w:szCs w:val="21"/>
                      <w:u w:val="none"/>
                    </w:rPr>
                    <w:t>2020.</w:t>
                  </w:r>
                  <w:r>
                    <w:rPr>
                      <w:rFonts w:hint="eastAsia" w:ascii="Times New Roman"/>
                      <w:color w:val="auto"/>
                      <w:kern w:val="2"/>
                      <w:sz w:val="21"/>
                      <w:szCs w:val="21"/>
                      <w:u w:val="none"/>
                      <w:lang w:val="en-US" w:eastAsia="zh-CN"/>
                    </w:rPr>
                    <w:t>10.12</w:t>
                  </w:r>
                </w:p>
              </w:tc>
              <w:tc>
                <w:tcPr>
                  <w:tcW w:w="732" w:type="pct"/>
                  <w:tcBorders>
                    <w:tl2br w:val="nil"/>
                    <w:tr2bl w:val="nil"/>
                  </w:tcBorders>
                  <w:noWrap w:val="0"/>
                  <w:vAlign w:val="center"/>
                </w:tcPr>
                <w:p>
                  <w:pPr>
                    <w:autoSpaceDN w:val="0"/>
                    <w:spacing w:line="260" w:lineRule="exact"/>
                    <w:jc w:val="center"/>
                    <w:textAlignment w:val="center"/>
                    <w:rPr>
                      <w:rFonts w:ascii="Times New Roman"/>
                      <w:color w:val="auto"/>
                      <w:kern w:val="2"/>
                      <w:sz w:val="21"/>
                      <w:szCs w:val="21"/>
                      <w:u w:val="none"/>
                    </w:rPr>
                  </w:pPr>
                  <w:r>
                    <w:rPr>
                      <w:rFonts w:ascii="Times New Roman"/>
                      <w:color w:val="auto"/>
                      <w:kern w:val="2"/>
                      <w:sz w:val="21"/>
                      <w:szCs w:val="21"/>
                      <w:u w:val="none"/>
                    </w:rPr>
                    <w:t>2020.</w:t>
                  </w:r>
                  <w:r>
                    <w:rPr>
                      <w:rFonts w:hint="eastAsia" w:ascii="Times New Roman"/>
                      <w:color w:val="auto"/>
                      <w:kern w:val="2"/>
                      <w:sz w:val="21"/>
                      <w:szCs w:val="21"/>
                      <w:u w:val="none"/>
                      <w:lang w:val="en-US" w:eastAsia="zh-CN"/>
                    </w:rPr>
                    <w:t>10.13</w:t>
                  </w:r>
                </w:p>
              </w:tc>
              <w:tc>
                <w:tcPr>
                  <w:tcW w:w="732" w:type="pct"/>
                  <w:tcBorders>
                    <w:tl2br w:val="nil"/>
                    <w:tr2bl w:val="nil"/>
                  </w:tcBorders>
                  <w:noWrap w:val="0"/>
                  <w:vAlign w:val="center"/>
                </w:tcPr>
                <w:p>
                  <w:pPr>
                    <w:autoSpaceDN w:val="0"/>
                    <w:spacing w:line="260" w:lineRule="exact"/>
                    <w:jc w:val="center"/>
                    <w:textAlignment w:val="center"/>
                    <w:rPr>
                      <w:rFonts w:ascii="Times New Roman"/>
                      <w:color w:val="auto"/>
                      <w:kern w:val="2"/>
                      <w:sz w:val="21"/>
                      <w:szCs w:val="21"/>
                      <w:u w:val="none"/>
                    </w:rPr>
                  </w:pPr>
                  <w:r>
                    <w:rPr>
                      <w:rFonts w:ascii="Times New Roman"/>
                      <w:color w:val="auto"/>
                      <w:kern w:val="2"/>
                      <w:sz w:val="21"/>
                      <w:szCs w:val="21"/>
                      <w:u w:val="none"/>
                    </w:rPr>
                    <w:t>2020.</w:t>
                  </w:r>
                  <w:r>
                    <w:rPr>
                      <w:rFonts w:hint="eastAsia" w:ascii="Times New Roman"/>
                      <w:color w:val="auto"/>
                      <w:kern w:val="2"/>
                      <w:sz w:val="21"/>
                      <w:szCs w:val="21"/>
                      <w:u w:val="none"/>
                      <w:lang w:val="en-US" w:eastAsia="zh-CN"/>
                    </w:rPr>
                    <w:t>10.14</w:t>
                  </w:r>
                </w:p>
              </w:tc>
              <w:tc>
                <w:tcPr>
                  <w:tcW w:w="526" w:type="pct"/>
                  <w:gridSpan w:val="2"/>
                  <w:tcBorders>
                    <w:tl2br w:val="nil"/>
                    <w:tr2bl w:val="nil"/>
                  </w:tcBorders>
                  <w:noWrap w:val="0"/>
                  <w:vAlign w:val="center"/>
                </w:tcPr>
                <w:p>
                  <w:pPr>
                    <w:autoSpaceDN w:val="0"/>
                    <w:spacing w:line="260" w:lineRule="exact"/>
                    <w:jc w:val="center"/>
                    <w:textAlignment w:val="center"/>
                    <w:rPr>
                      <w:rFonts w:ascii="Times New Roman"/>
                      <w:color w:val="auto"/>
                      <w:kern w:val="2"/>
                      <w:sz w:val="21"/>
                      <w:szCs w:val="21"/>
                      <w:u w:val="none"/>
                    </w:rPr>
                  </w:pPr>
                  <w:r>
                    <w:rPr>
                      <w:rFonts w:ascii="Times New Roman"/>
                      <w:b/>
                      <w:bCs/>
                      <w:color w:val="auto"/>
                      <w:kern w:val="2"/>
                      <w:sz w:val="21"/>
                      <w:szCs w:val="21"/>
                      <w:u w:val="none"/>
                    </w:rPr>
                    <w:t>标准限值</w:t>
                  </w:r>
                </w:p>
              </w:tc>
              <w:tc>
                <w:tcPr>
                  <w:tcW w:w="444" w:type="pct"/>
                  <w:vMerge w:val="continue"/>
                  <w:tcBorders>
                    <w:tl2br w:val="nil"/>
                    <w:tr2bl w:val="nil"/>
                  </w:tcBorders>
                  <w:noWrap w:val="0"/>
                  <w:vAlign w:val="center"/>
                </w:tcPr>
                <w:p>
                  <w:pPr>
                    <w:jc w:val="center"/>
                    <w:rPr>
                      <w:rFonts w:ascii="Times New Roman"/>
                      <w:bCs/>
                      <w:color w:val="auto"/>
                      <w:sz w:val="21"/>
                      <w:szCs w:val="21"/>
                      <w:u w:val="none"/>
                    </w:rPr>
                  </w:pPr>
                </w:p>
              </w:tc>
              <w:tc>
                <w:tcPr>
                  <w:tcW w:w="435" w:type="pct"/>
                  <w:gridSpan w:val="2"/>
                  <w:vMerge w:val="continue"/>
                  <w:tcBorders>
                    <w:tl2br w:val="nil"/>
                    <w:tr2bl w:val="nil"/>
                  </w:tcBorders>
                  <w:noWrap w:val="0"/>
                  <w:vAlign w:val="center"/>
                </w:tcPr>
                <w:p>
                  <w:pPr>
                    <w:jc w:val="center"/>
                    <w:rPr>
                      <w:rFonts w:ascii="Times New Roman"/>
                      <w:bCs/>
                      <w:color w:val="auto"/>
                      <w:sz w:val="21"/>
                      <w:szCs w:val="21"/>
                      <w:u w:val="none"/>
                    </w:rPr>
                  </w:pPr>
                </w:p>
              </w:tc>
              <w:tc>
                <w:tcPr>
                  <w:tcW w:w="349" w:type="pct"/>
                  <w:vMerge w:val="continue"/>
                  <w:tcBorders>
                    <w:tl2br w:val="nil"/>
                    <w:tr2bl w:val="nil"/>
                  </w:tcBorders>
                  <w:noWrap w:val="0"/>
                  <w:vAlign w:val="center"/>
                </w:tcPr>
                <w:p>
                  <w:pPr>
                    <w:jc w:val="center"/>
                    <w:rPr>
                      <w:rFonts w:ascii="Times New Roman"/>
                      <w:bCs/>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restart"/>
                  <w:tcBorders>
                    <w:tl2br w:val="nil"/>
                    <w:tr2bl w:val="nil"/>
                  </w:tcBorders>
                  <w:noWrap w:val="0"/>
                  <w:vAlign w:val="center"/>
                </w:tcPr>
                <w:p>
                  <w:pPr>
                    <w:spacing w:line="400" w:lineRule="exact"/>
                    <w:jc w:val="center"/>
                    <w:rPr>
                      <w:rFonts w:ascii="Times New Roman"/>
                      <w:bCs/>
                      <w:color w:val="auto"/>
                      <w:sz w:val="21"/>
                      <w:szCs w:val="21"/>
                      <w:u w:val="none"/>
                    </w:rPr>
                  </w:pPr>
                  <w:r>
                    <w:rPr>
                      <w:snapToGrid w:val="0"/>
                      <w:color w:val="auto"/>
                      <w:kern w:val="0"/>
                      <w:sz w:val="21"/>
                      <w:szCs w:val="21"/>
                    </w:rPr>
                    <w:t>W</w:t>
                  </w:r>
                  <w:r>
                    <w:rPr>
                      <w:rFonts w:hint="eastAsia"/>
                      <w:snapToGrid w:val="0"/>
                      <w:color w:val="auto"/>
                      <w:kern w:val="0"/>
                      <w:sz w:val="21"/>
                      <w:szCs w:val="21"/>
                      <w:lang w:val="en-US" w:eastAsia="zh-CN"/>
                    </w:rPr>
                    <w:t>3</w:t>
                  </w:r>
                  <w:r>
                    <w:rPr>
                      <w:rFonts w:hint="eastAsia"/>
                      <w:snapToGrid w:val="0"/>
                      <w:color w:val="auto"/>
                      <w:kern w:val="0"/>
                      <w:sz w:val="21"/>
                      <w:szCs w:val="21"/>
                      <w:lang w:eastAsia="zh-CN"/>
                    </w:rPr>
                    <w:t>甘太</w:t>
                  </w:r>
                  <w:r>
                    <w:rPr>
                      <w:rFonts w:hint="eastAsia"/>
                      <w:snapToGrid w:val="0"/>
                      <w:color w:val="auto"/>
                      <w:kern w:val="0"/>
                      <w:sz w:val="21"/>
                      <w:szCs w:val="21"/>
                    </w:rPr>
                    <w:t>污水处理厂入</w:t>
                  </w:r>
                  <w:r>
                    <w:rPr>
                      <w:rFonts w:hint="eastAsia"/>
                      <w:snapToGrid w:val="0"/>
                      <w:color w:val="auto"/>
                      <w:kern w:val="0"/>
                      <w:sz w:val="21"/>
                      <w:szCs w:val="21"/>
                      <w:lang w:eastAsia="zh-CN"/>
                    </w:rPr>
                    <w:t>渠水</w:t>
                  </w:r>
                  <w:r>
                    <w:rPr>
                      <w:rFonts w:hint="eastAsia"/>
                      <w:snapToGrid w:val="0"/>
                      <w:color w:val="auto"/>
                      <w:kern w:val="0"/>
                      <w:sz w:val="21"/>
                      <w:szCs w:val="21"/>
                    </w:rPr>
                    <w:t>口上游</w:t>
                  </w:r>
                  <w:r>
                    <w:rPr>
                      <w:rFonts w:hint="eastAsia"/>
                      <w:snapToGrid w:val="0"/>
                      <w:color w:val="auto"/>
                      <w:kern w:val="0"/>
                      <w:sz w:val="21"/>
                      <w:szCs w:val="21"/>
                      <w:lang w:val="en-US" w:eastAsia="zh-CN"/>
                    </w:rPr>
                    <w:t>5</w:t>
                  </w:r>
                  <w:r>
                    <w:rPr>
                      <w:rFonts w:hint="eastAsia"/>
                      <w:snapToGrid w:val="0"/>
                      <w:color w:val="auto"/>
                      <w:kern w:val="0"/>
                      <w:sz w:val="21"/>
                      <w:szCs w:val="21"/>
                    </w:rPr>
                    <w:t>00m</w:t>
                  </w: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lang w:val="en-US" w:eastAsia="zh-CN" w:bidi="ar-SA"/>
                    </w:rPr>
                  </w:pPr>
                  <w:r>
                    <w:rPr>
                      <w:rFonts w:ascii="Times New Roman"/>
                      <w:color w:val="auto"/>
                      <w:kern w:val="2"/>
                      <w:sz w:val="21"/>
                      <w:szCs w:val="21"/>
                      <w:u w:val="none"/>
                    </w:rPr>
                    <w:t>pH</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kern w:val="2"/>
                      <w:sz w:val="21"/>
                      <w:szCs w:val="21"/>
                      <w:u w:val="none"/>
                      <w:lang w:val="en-US" w:eastAsia="zh-CN"/>
                    </w:rPr>
                    <w:t>6.68</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sz w:val="21"/>
                      <w:szCs w:val="21"/>
                      <w:u w:val="none"/>
                      <w:lang w:val="en-US" w:eastAsia="zh-CN"/>
                    </w:rPr>
                    <w:t>6.65</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hint="eastAsia" w:ascii="Times New Roman"/>
                      <w:color w:val="auto"/>
                      <w:sz w:val="21"/>
                      <w:szCs w:val="21"/>
                      <w:u w:val="none"/>
                      <w:lang w:val="en-US" w:eastAsia="zh-CN"/>
                    </w:rPr>
                    <w:t>6.67</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none"/>
                      <w:u w:val="none"/>
                      <w:lang w:val="en-US" w:eastAsia="zh-CN" w:bidi="ar-SA"/>
                    </w:rPr>
                  </w:pPr>
                  <w:r>
                    <w:rPr>
                      <w:rFonts w:ascii="Times New Roman"/>
                      <w:color w:val="auto"/>
                      <w:sz w:val="21"/>
                      <w:szCs w:val="21"/>
                      <w:highlight w:val="none"/>
                      <w:u w:val="none"/>
                    </w:rPr>
                    <w:t>6～9</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00" w:lineRule="exact"/>
                    <w:jc w:val="center"/>
                    <w:rPr>
                      <w:rFonts w:ascii="Times New Roman"/>
                      <w:color w:val="auto"/>
                      <w:kern w:val="2"/>
                      <w:sz w:val="21"/>
                      <w:szCs w:val="21"/>
                      <w:u w:val="none"/>
                      <w:lang w:val="en-US" w:eastAsia="zh-CN" w:bidi="ar-SA"/>
                    </w:rPr>
                  </w:pPr>
                  <w:r>
                    <w:rPr>
                      <w:rFonts w:ascii="Times New Roman"/>
                      <w:color w:val="auto"/>
                      <w:sz w:val="21"/>
                      <w:szCs w:val="21"/>
                      <w:u w:val="none"/>
                    </w:rPr>
                    <w:t>CODcr</w:t>
                  </w:r>
                </w:p>
              </w:tc>
              <w:tc>
                <w:tcPr>
                  <w:tcW w:w="732" w:type="pct"/>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6</w:t>
                  </w:r>
                </w:p>
              </w:tc>
              <w:tc>
                <w:tcPr>
                  <w:tcW w:w="732" w:type="pct"/>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7</w:t>
                  </w:r>
                </w:p>
              </w:tc>
              <w:tc>
                <w:tcPr>
                  <w:tcW w:w="732" w:type="pct"/>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5</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none"/>
                      <w:u w:val="none"/>
                      <w:lang w:val="en-US" w:eastAsia="zh-CN" w:bidi="ar-SA"/>
                    </w:rPr>
                  </w:pPr>
                  <w:r>
                    <w:rPr>
                      <w:rFonts w:ascii="Times New Roman"/>
                      <w:color w:val="auto"/>
                      <w:sz w:val="21"/>
                      <w:szCs w:val="21"/>
                      <w:highlight w:val="none"/>
                      <w:u w:val="none"/>
                    </w:rPr>
                    <w:t>20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kern w:val="2"/>
                      <w:sz w:val="21"/>
                      <w:szCs w:val="21"/>
                      <w:u w:val="none"/>
                    </w:rPr>
                    <w:t>氨氮</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kern w:val="2"/>
                      <w:sz w:val="21"/>
                      <w:szCs w:val="21"/>
                      <w:u w:val="none"/>
                      <w:lang w:val="en-US" w:eastAsia="zh-CN" w:bidi="ar-SA"/>
                    </w:rPr>
                    <w:t>0.146</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kern w:val="2"/>
                      <w:sz w:val="21"/>
                      <w:szCs w:val="21"/>
                      <w:u w:val="none"/>
                      <w:lang w:val="en-US" w:eastAsia="zh-CN" w:bidi="ar-SA"/>
                    </w:rPr>
                    <w:t>0.152</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kern w:val="2"/>
                      <w:sz w:val="21"/>
                      <w:szCs w:val="21"/>
                      <w:u w:val="none"/>
                      <w:lang w:val="en-US" w:eastAsia="zh-CN" w:bidi="ar-SA"/>
                    </w:rPr>
                    <w:t>0.141</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1.0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00" w:lineRule="exact"/>
                    <w:jc w:val="center"/>
                    <w:rPr>
                      <w:rFonts w:ascii="Times New Roman"/>
                      <w:color w:val="auto"/>
                      <w:kern w:val="2"/>
                      <w:sz w:val="21"/>
                      <w:szCs w:val="21"/>
                      <w:u w:val="none"/>
                      <w:lang w:val="en-US" w:eastAsia="zh-CN" w:bidi="ar-SA"/>
                    </w:rPr>
                  </w:pPr>
                  <w:r>
                    <w:rPr>
                      <w:rFonts w:ascii="Times New Roman"/>
                      <w:color w:val="auto"/>
                      <w:sz w:val="21"/>
                      <w:szCs w:val="21"/>
                      <w:u w:val="none"/>
                    </w:rPr>
                    <w:t>BOD</w:t>
                  </w:r>
                  <w:r>
                    <w:rPr>
                      <w:rFonts w:ascii="Times New Roman"/>
                      <w:color w:val="auto"/>
                      <w:sz w:val="21"/>
                      <w:szCs w:val="21"/>
                      <w:u w:val="none"/>
                      <w:vertAlign w:val="subscript"/>
                    </w:rPr>
                    <w:t>5</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rPr>
                    <w:t>1.3</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rPr>
                    <w:t>1.5</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rPr>
                    <w:t>1.1</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4</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lang w:val="en-US" w:eastAsia="zh-CN" w:bidi="ar-SA"/>
                    </w:rPr>
                  </w:pPr>
                  <w:r>
                    <w:rPr>
                      <w:rFonts w:ascii="Times New Roman"/>
                      <w:color w:val="auto"/>
                      <w:kern w:val="2"/>
                      <w:sz w:val="21"/>
                      <w:szCs w:val="21"/>
                      <w:u w:val="none"/>
                    </w:rPr>
                    <w:t>溶解氧</w:t>
                  </w:r>
                </w:p>
              </w:tc>
              <w:tc>
                <w:tcPr>
                  <w:tcW w:w="732" w:type="pct"/>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8.6</w:t>
                  </w:r>
                </w:p>
              </w:tc>
              <w:tc>
                <w:tcPr>
                  <w:tcW w:w="732" w:type="pct"/>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8.5</w:t>
                  </w:r>
                </w:p>
              </w:tc>
              <w:tc>
                <w:tcPr>
                  <w:tcW w:w="732" w:type="pct"/>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8.5</w:t>
                  </w:r>
                </w:p>
              </w:tc>
              <w:tc>
                <w:tcPr>
                  <w:tcW w:w="526" w:type="pct"/>
                  <w:gridSpan w:val="2"/>
                  <w:tcBorders>
                    <w:tl2br w:val="nil"/>
                    <w:tr2bl w:val="nil"/>
                  </w:tcBorders>
                  <w:noWrap w:val="0"/>
                  <w:vAlign w:val="center"/>
                </w:tcPr>
                <w:p>
                  <w:pPr>
                    <w:widowControl/>
                    <w:spacing w:line="32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lang w:val="en-US" w:eastAsia="zh-CN" w:bidi="ar-SA"/>
                    </w:rPr>
                  </w:pPr>
                  <w:r>
                    <w:rPr>
                      <w:rFonts w:ascii="Times New Roman"/>
                      <w:color w:val="auto"/>
                      <w:kern w:val="2"/>
                      <w:sz w:val="21"/>
                      <w:szCs w:val="21"/>
                      <w:u w:val="none"/>
                    </w:rPr>
                    <w:t>总磷</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bidi="ar-SA"/>
                    </w:rPr>
                  </w:pPr>
                  <w:r>
                    <w:rPr>
                      <w:rFonts w:ascii="Times New Roman"/>
                      <w:color w:val="auto"/>
                      <w:kern w:val="2"/>
                      <w:sz w:val="21"/>
                      <w:szCs w:val="21"/>
                      <w:u w:val="none"/>
                    </w:rPr>
                    <w:t>0.0</w:t>
                  </w:r>
                  <w:r>
                    <w:rPr>
                      <w:rFonts w:hint="eastAsia" w:ascii="Times New Roman"/>
                      <w:color w:val="auto"/>
                      <w:kern w:val="2"/>
                      <w:sz w:val="21"/>
                      <w:szCs w:val="21"/>
                      <w:u w:val="none"/>
                      <w:lang w:val="en-US" w:eastAsia="zh-CN"/>
                    </w:rPr>
                    <w:t>5</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bidi="ar-SA"/>
                    </w:rPr>
                  </w:pPr>
                  <w:r>
                    <w:rPr>
                      <w:rFonts w:ascii="Times New Roman"/>
                      <w:color w:val="auto"/>
                      <w:kern w:val="2"/>
                      <w:sz w:val="21"/>
                      <w:szCs w:val="21"/>
                      <w:u w:val="none"/>
                    </w:rPr>
                    <w:t>0.0</w:t>
                  </w:r>
                  <w:r>
                    <w:rPr>
                      <w:rFonts w:hint="eastAsia" w:ascii="Times New Roman"/>
                      <w:color w:val="auto"/>
                      <w:kern w:val="2"/>
                      <w:sz w:val="21"/>
                      <w:szCs w:val="21"/>
                      <w:u w:val="none"/>
                      <w:lang w:val="en-US" w:eastAsia="zh-CN"/>
                    </w:rPr>
                    <w:t>5</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bidi="ar-SA"/>
                    </w:rPr>
                  </w:pPr>
                  <w:r>
                    <w:rPr>
                      <w:rFonts w:ascii="Times New Roman"/>
                      <w:color w:val="auto"/>
                      <w:kern w:val="2"/>
                      <w:sz w:val="21"/>
                      <w:szCs w:val="21"/>
                      <w:u w:val="none"/>
                    </w:rPr>
                    <w:t>0.0</w:t>
                  </w:r>
                  <w:r>
                    <w:rPr>
                      <w:rFonts w:hint="eastAsia" w:ascii="Times New Roman"/>
                      <w:color w:val="auto"/>
                      <w:kern w:val="2"/>
                      <w:sz w:val="21"/>
                      <w:szCs w:val="21"/>
                      <w:u w:val="none"/>
                      <w:lang w:val="en-US" w:eastAsia="zh-CN"/>
                    </w:rPr>
                    <w:t>4</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0.2</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氟化物</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bidi="ar-SA"/>
                    </w:rPr>
                  </w:pPr>
                  <w:r>
                    <w:rPr>
                      <w:rFonts w:ascii="Times New Roman"/>
                      <w:color w:val="auto"/>
                      <w:sz w:val="21"/>
                      <w:szCs w:val="21"/>
                      <w:u w:val="none"/>
                    </w:rPr>
                    <w:t>0.0</w:t>
                  </w:r>
                  <w:r>
                    <w:rPr>
                      <w:rFonts w:hint="eastAsia" w:ascii="Times New Roman"/>
                      <w:color w:val="auto"/>
                      <w:sz w:val="21"/>
                      <w:szCs w:val="21"/>
                      <w:u w:val="none"/>
                      <w:lang w:val="en-US" w:eastAsia="zh-CN"/>
                    </w:rPr>
                    <w:t>8</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bidi="ar-SA"/>
                    </w:rPr>
                  </w:pPr>
                  <w:r>
                    <w:rPr>
                      <w:rFonts w:ascii="Times New Roman"/>
                      <w:color w:val="auto"/>
                      <w:sz w:val="21"/>
                      <w:szCs w:val="21"/>
                      <w:u w:val="none"/>
                    </w:rPr>
                    <w:t>0.0</w:t>
                  </w:r>
                  <w:r>
                    <w:rPr>
                      <w:rFonts w:hint="eastAsia" w:ascii="Times New Roman"/>
                      <w:color w:val="auto"/>
                      <w:sz w:val="21"/>
                      <w:szCs w:val="21"/>
                      <w:u w:val="none"/>
                      <w:lang w:val="en-US" w:eastAsia="zh-CN"/>
                    </w:rPr>
                    <w:t>8</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bidi="ar-SA"/>
                    </w:rPr>
                  </w:pPr>
                  <w:r>
                    <w:rPr>
                      <w:rFonts w:ascii="Times New Roman"/>
                      <w:color w:val="auto"/>
                      <w:sz w:val="21"/>
                      <w:szCs w:val="21"/>
                      <w:u w:val="none"/>
                    </w:rPr>
                    <w:t>0.0</w:t>
                  </w:r>
                  <w:r>
                    <w:rPr>
                      <w:rFonts w:hint="eastAsia" w:ascii="Times New Roman"/>
                      <w:color w:val="auto"/>
                      <w:sz w:val="21"/>
                      <w:szCs w:val="21"/>
                      <w:u w:val="none"/>
                      <w:lang w:val="en-US" w:eastAsia="zh-CN"/>
                    </w:rPr>
                    <w:t>7</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1.0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石油类</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kern w:val="2"/>
                      <w:sz w:val="21"/>
                      <w:szCs w:val="21"/>
                      <w:u w:val="none"/>
                      <w:lang w:val="en-US" w:eastAsia="zh-CN"/>
                    </w:rPr>
                    <w:t>0.02</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rPr>
                    <w:t>0.02</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rPr>
                    <w:t>0.02</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lang w:val="en-US" w:eastAsia="zh-CN" w:bidi="ar-SA"/>
                    </w:rPr>
                  </w:pPr>
                  <w:r>
                    <w:rPr>
                      <w:rFonts w:ascii="Times New Roman"/>
                      <w:color w:val="auto"/>
                      <w:sz w:val="21"/>
                      <w:szCs w:val="21"/>
                      <w:highlight w:val="none"/>
                      <w:u w:val="none"/>
                    </w:rPr>
                    <w:t>0.05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砷</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lang w:val="en-US" w:eastAsia="zh-CN" w:bidi="ar-SA"/>
                    </w:rPr>
                  </w:pPr>
                  <w:r>
                    <w:rPr>
                      <w:rFonts w:ascii="Times New Roman"/>
                      <w:color w:val="auto"/>
                      <w:sz w:val="21"/>
                      <w:szCs w:val="21"/>
                      <w:highlight w:val="none"/>
                      <w:u w:val="none"/>
                    </w:rPr>
                    <w:t>0.05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汞</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lang w:val="en-US" w:eastAsia="zh-CN" w:bidi="ar-SA"/>
                    </w:rPr>
                  </w:pPr>
                  <w:r>
                    <w:rPr>
                      <w:rFonts w:ascii="Times New Roman"/>
                      <w:color w:val="auto"/>
                      <w:sz w:val="21"/>
                      <w:szCs w:val="21"/>
                      <w:highlight w:val="none"/>
                      <w:u w:val="none"/>
                    </w:rPr>
                    <w:t>0.0001</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铅</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none"/>
                      <w:u w:val="none"/>
                      <w:lang w:val="en-US" w:eastAsia="zh-CN" w:bidi="ar-SA"/>
                    </w:rPr>
                  </w:pPr>
                  <w:r>
                    <w:rPr>
                      <w:rFonts w:ascii="Times New Roman"/>
                      <w:color w:val="auto"/>
                      <w:sz w:val="21"/>
                      <w:szCs w:val="21"/>
                      <w:highlight w:val="none"/>
                      <w:u w:val="none"/>
                    </w:rPr>
                    <w:t>0.05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镉</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none"/>
                      <w:u w:val="none"/>
                      <w:lang w:val="en-US" w:eastAsia="zh-CN" w:bidi="ar-SA"/>
                    </w:rPr>
                  </w:pPr>
                  <w:r>
                    <w:rPr>
                      <w:rFonts w:ascii="Times New Roman"/>
                      <w:color w:val="auto"/>
                      <w:sz w:val="21"/>
                      <w:szCs w:val="21"/>
                      <w:highlight w:val="none"/>
                      <w:u w:val="none"/>
                    </w:rPr>
                    <w:t>0.005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kern w:val="2"/>
                      <w:sz w:val="21"/>
                      <w:szCs w:val="21"/>
                      <w:u w:val="none"/>
                    </w:rPr>
                    <w:t>六价铬</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0.05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lang w:val="en-US" w:eastAsia="zh-CN" w:bidi="ar-SA"/>
                    </w:rPr>
                  </w:pPr>
                  <w:r>
                    <w:rPr>
                      <w:rFonts w:ascii="Times New Roman"/>
                      <w:color w:val="auto"/>
                      <w:sz w:val="21"/>
                      <w:szCs w:val="21"/>
                      <w:u w:val="none"/>
                    </w:rPr>
                    <w:t>铜</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1.0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锌</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1.0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硫化物</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0.2</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挥发酚</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0.005</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二甲苯</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hint="default"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00" w:lineRule="exact"/>
                    <w:jc w:val="center"/>
                    <w:rPr>
                      <w:rFonts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镍</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ND</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hint="eastAsia" w:ascii="Times New Roman"/>
                      <w:color w:val="auto"/>
                      <w:kern w:val="2"/>
                      <w:sz w:val="21"/>
                      <w:szCs w:val="21"/>
                      <w:u w:val="none"/>
                      <w:lang w:val="en-US" w:eastAsia="zh-CN" w:bidi="ar-SA"/>
                    </w:rPr>
                    <w:t>/</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lang w:val="en-US" w:eastAsia="zh-CN" w:bidi="ar-SA"/>
                    </w:rPr>
                  </w:pPr>
                  <w:r>
                    <w:rPr>
                      <w:rFonts w:ascii="Times New Roman"/>
                      <w:color w:val="auto"/>
                      <w:kern w:val="2"/>
                      <w:sz w:val="21"/>
                      <w:szCs w:val="21"/>
                      <w:u w:val="none"/>
                    </w:rPr>
                    <w:t>总氮</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ascii="Times New Roman"/>
                      <w:color w:val="auto"/>
                      <w:kern w:val="2"/>
                      <w:sz w:val="21"/>
                      <w:szCs w:val="21"/>
                      <w:u w:val="none"/>
                    </w:rPr>
                    <w:t>0.</w:t>
                  </w:r>
                  <w:r>
                    <w:rPr>
                      <w:rFonts w:hint="eastAsia" w:ascii="Times New Roman"/>
                      <w:color w:val="auto"/>
                      <w:kern w:val="2"/>
                      <w:sz w:val="21"/>
                      <w:szCs w:val="21"/>
                      <w:u w:val="none"/>
                      <w:lang w:val="en-US" w:eastAsia="zh-CN"/>
                    </w:rPr>
                    <w:t>21</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ascii="Times New Roman"/>
                      <w:color w:val="auto"/>
                      <w:kern w:val="2"/>
                      <w:sz w:val="21"/>
                      <w:szCs w:val="21"/>
                      <w:u w:val="none"/>
                    </w:rPr>
                    <w:t>0.</w:t>
                  </w:r>
                  <w:r>
                    <w:rPr>
                      <w:rFonts w:hint="eastAsia" w:ascii="Times New Roman"/>
                      <w:color w:val="auto"/>
                      <w:kern w:val="2"/>
                      <w:sz w:val="21"/>
                      <w:szCs w:val="21"/>
                      <w:u w:val="none"/>
                      <w:lang w:val="en-US" w:eastAsia="zh-CN"/>
                    </w:rPr>
                    <w:t>20</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ascii="Times New Roman"/>
                      <w:color w:val="auto"/>
                      <w:kern w:val="2"/>
                      <w:sz w:val="21"/>
                      <w:szCs w:val="21"/>
                      <w:u w:val="none"/>
                    </w:rPr>
                    <w:t>0.</w:t>
                  </w:r>
                  <w:r>
                    <w:rPr>
                      <w:rFonts w:hint="eastAsia" w:ascii="Times New Roman"/>
                      <w:color w:val="auto"/>
                      <w:kern w:val="2"/>
                      <w:sz w:val="21"/>
                      <w:szCs w:val="21"/>
                      <w:u w:val="none"/>
                      <w:lang w:val="en-US" w:eastAsia="zh-CN"/>
                    </w:rPr>
                    <w:t>23</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kern w:val="2"/>
                      <w:sz w:val="21"/>
                      <w:szCs w:val="21"/>
                      <w:u w:val="none"/>
                    </w:rPr>
                    <w:t>1.0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lang w:val="en-US" w:eastAsia="zh-CN" w:bidi="ar-SA"/>
                    </w:rPr>
                  </w:pPr>
                  <w:r>
                    <w:rPr>
                      <w:rFonts w:ascii="Times New Roman"/>
                      <w:color w:val="auto"/>
                      <w:sz w:val="21"/>
                      <w:szCs w:val="21"/>
                      <w:u w:val="none"/>
                    </w:rPr>
                    <w:t>粪大肠菌群</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sz w:val="21"/>
                      <w:szCs w:val="21"/>
                      <w:u w:val="none"/>
                      <w:lang w:val="en-US" w:eastAsia="zh-CN"/>
                    </w:rPr>
                    <w:t>1200</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sz w:val="21"/>
                      <w:szCs w:val="21"/>
                      <w:u w:val="none"/>
                      <w:lang w:val="en-US" w:eastAsia="zh-CN"/>
                    </w:rPr>
                    <w:t>1400</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bidi="ar-SA"/>
                    </w:rPr>
                  </w:pPr>
                  <w:r>
                    <w:rPr>
                      <w:rFonts w:hint="eastAsia" w:ascii="Times New Roman"/>
                      <w:color w:val="auto"/>
                      <w:sz w:val="21"/>
                      <w:szCs w:val="21"/>
                      <w:u w:val="none"/>
                      <w:lang w:val="en-US" w:eastAsia="zh-CN"/>
                    </w:rPr>
                    <w:t>1200</w:t>
                  </w:r>
                </w:p>
              </w:tc>
              <w:tc>
                <w:tcPr>
                  <w:tcW w:w="526" w:type="pct"/>
                  <w:gridSpan w:val="2"/>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lang w:val="en-US" w:eastAsia="zh-CN" w:bidi="ar-SA"/>
                    </w:rPr>
                  </w:pPr>
                  <w:r>
                    <w:rPr>
                      <w:rFonts w:ascii="Times New Roman"/>
                      <w:color w:val="auto"/>
                      <w:sz w:val="21"/>
                      <w:szCs w:val="21"/>
                      <w:u w:val="none"/>
                    </w:rPr>
                    <w:t>10000</w:t>
                  </w:r>
                </w:p>
              </w:tc>
              <w:tc>
                <w:tcPr>
                  <w:tcW w:w="444"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kern w:val="2"/>
                      <w:sz w:val="21"/>
                      <w:szCs w:val="21"/>
                      <w:u w:val="none"/>
                      <w:lang w:val="en-US" w:eastAsia="zh-CN" w:bidi="ar-SA"/>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restart"/>
                  <w:tcBorders>
                    <w:tl2br w:val="nil"/>
                    <w:tr2bl w:val="nil"/>
                  </w:tcBorders>
                  <w:noWrap w:val="0"/>
                  <w:vAlign w:val="center"/>
                </w:tcPr>
                <w:p>
                  <w:pPr>
                    <w:spacing w:line="400" w:lineRule="exact"/>
                    <w:jc w:val="center"/>
                    <w:rPr>
                      <w:rFonts w:ascii="Times New Roman"/>
                      <w:bCs/>
                      <w:color w:val="auto"/>
                      <w:sz w:val="21"/>
                      <w:szCs w:val="21"/>
                      <w:u w:val="none"/>
                    </w:rPr>
                  </w:pPr>
                  <w:r>
                    <w:rPr>
                      <w:rFonts w:hint="eastAsia"/>
                      <w:snapToGrid w:val="0"/>
                      <w:color w:val="auto"/>
                      <w:kern w:val="0"/>
                      <w:sz w:val="21"/>
                      <w:szCs w:val="21"/>
                    </w:rPr>
                    <w:t>W</w:t>
                  </w:r>
                  <w:r>
                    <w:rPr>
                      <w:rFonts w:hint="eastAsia"/>
                      <w:snapToGrid w:val="0"/>
                      <w:color w:val="auto"/>
                      <w:kern w:val="0"/>
                      <w:sz w:val="21"/>
                      <w:szCs w:val="21"/>
                      <w:lang w:val="en-US" w:eastAsia="zh-CN"/>
                    </w:rPr>
                    <w:t>4</w:t>
                  </w:r>
                  <w:r>
                    <w:rPr>
                      <w:rFonts w:hint="eastAsia"/>
                      <w:snapToGrid w:val="0"/>
                      <w:color w:val="auto"/>
                      <w:kern w:val="0"/>
                      <w:sz w:val="21"/>
                      <w:szCs w:val="21"/>
                      <w:lang w:eastAsia="zh-CN"/>
                    </w:rPr>
                    <w:t>甘太</w:t>
                  </w:r>
                  <w:r>
                    <w:rPr>
                      <w:rFonts w:hint="eastAsia"/>
                      <w:snapToGrid w:val="0"/>
                      <w:color w:val="auto"/>
                      <w:kern w:val="0"/>
                      <w:sz w:val="21"/>
                      <w:szCs w:val="21"/>
                    </w:rPr>
                    <w:t>污水处理厂入</w:t>
                  </w:r>
                  <w:r>
                    <w:rPr>
                      <w:rFonts w:hint="eastAsia"/>
                      <w:snapToGrid w:val="0"/>
                      <w:color w:val="auto"/>
                      <w:kern w:val="0"/>
                      <w:sz w:val="21"/>
                      <w:szCs w:val="21"/>
                      <w:lang w:eastAsia="zh-CN"/>
                    </w:rPr>
                    <w:t>渠水</w:t>
                  </w:r>
                  <w:r>
                    <w:rPr>
                      <w:rFonts w:hint="eastAsia"/>
                      <w:snapToGrid w:val="0"/>
                      <w:color w:val="auto"/>
                      <w:kern w:val="0"/>
                      <w:sz w:val="21"/>
                      <w:szCs w:val="21"/>
                    </w:rPr>
                    <w:t>口下游1500m</w:t>
                  </w: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rPr>
                  </w:pPr>
                  <w:r>
                    <w:rPr>
                      <w:rFonts w:ascii="Times New Roman"/>
                      <w:color w:val="auto"/>
                      <w:kern w:val="2"/>
                      <w:sz w:val="21"/>
                      <w:szCs w:val="21"/>
                      <w:u w:val="none"/>
                    </w:rPr>
                    <w:t>pH</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6.85</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6.81</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6.87</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sz w:val="21"/>
                      <w:szCs w:val="21"/>
                      <w:highlight w:val="none"/>
                      <w:u w:val="none"/>
                    </w:rPr>
                    <w:t>6～9</w:t>
                  </w:r>
                </w:p>
              </w:tc>
              <w:tc>
                <w:tcPr>
                  <w:tcW w:w="453" w:type="pct"/>
                  <w:gridSpan w:val="2"/>
                  <w:tcBorders>
                    <w:tl2br w:val="nil"/>
                    <w:tr2bl w:val="nil"/>
                  </w:tcBorders>
                  <w:noWrap w:val="0"/>
                  <w:vAlign w:val="center"/>
                </w:tcPr>
                <w:p>
                  <w:pPr>
                    <w:jc w:val="center"/>
                    <w:rPr>
                      <w:rFonts w:ascii="Times New Roman"/>
                      <w:bCs/>
                      <w:color w:val="auto"/>
                      <w:kern w:val="2"/>
                      <w:sz w:val="21"/>
                      <w:szCs w:val="21"/>
                      <w:u w:val="none"/>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00" w:lineRule="exact"/>
                    <w:jc w:val="center"/>
                    <w:rPr>
                      <w:rFonts w:ascii="Times New Roman"/>
                      <w:color w:val="auto"/>
                      <w:kern w:val="2"/>
                      <w:sz w:val="21"/>
                      <w:szCs w:val="21"/>
                      <w:u w:val="none"/>
                    </w:rPr>
                  </w:pPr>
                  <w:r>
                    <w:rPr>
                      <w:rFonts w:ascii="Times New Roman"/>
                      <w:color w:val="auto"/>
                      <w:sz w:val="21"/>
                      <w:szCs w:val="21"/>
                      <w:u w:val="none"/>
                    </w:rPr>
                    <w:t>CODcr</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8</w:t>
                  </w:r>
                </w:p>
              </w:tc>
              <w:tc>
                <w:tcPr>
                  <w:tcW w:w="732" w:type="pct"/>
                  <w:tcBorders>
                    <w:tl2br w:val="nil"/>
                    <w:tr2bl w:val="nil"/>
                  </w:tcBorders>
                  <w:noWrap w:val="0"/>
                  <w:vAlign w:val="center"/>
                </w:tcPr>
                <w:p>
                  <w:pPr>
                    <w:widowControl/>
                    <w:spacing w:line="400" w:lineRule="exact"/>
                    <w:jc w:val="center"/>
                    <w:textAlignment w:val="center"/>
                    <w:rPr>
                      <w:rFonts w:hint="eastAsia" w:ascii="Times New Roman" w:eastAsia="宋体"/>
                      <w:color w:val="auto"/>
                      <w:sz w:val="21"/>
                      <w:szCs w:val="21"/>
                      <w:u w:val="none"/>
                      <w:lang w:val="en-US" w:eastAsia="zh-CN"/>
                    </w:rPr>
                  </w:pPr>
                  <w:r>
                    <w:rPr>
                      <w:rFonts w:hint="eastAsia" w:ascii="Times New Roman"/>
                      <w:color w:val="auto"/>
                      <w:sz w:val="21"/>
                      <w:szCs w:val="21"/>
                      <w:u w:val="none"/>
                      <w:lang w:val="en-US" w:eastAsia="zh-CN"/>
                    </w:rPr>
                    <w:t>9</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8</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sz w:val="21"/>
                      <w:szCs w:val="21"/>
                      <w:highlight w:val="none"/>
                      <w:u w:val="none"/>
                    </w:rPr>
                    <w:t>20</w:t>
                  </w:r>
                </w:p>
              </w:tc>
              <w:tc>
                <w:tcPr>
                  <w:tcW w:w="453"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kern w:val="2"/>
                      <w:sz w:val="21"/>
                      <w:szCs w:val="21"/>
                      <w:u w:val="none"/>
                    </w:rPr>
                    <w:t>氨氮</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0.173</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0.176</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0.178</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1.0</w:t>
                  </w:r>
                </w:p>
              </w:tc>
              <w:tc>
                <w:tcPr>
                  <w:tcW w:w="453"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00" w:lineRule="exact"/>
                    <w:jc w:val="center"/>
                    <w:rPr>
                      <w:rFonts w:ascii="Times New Roman"/>
                      <w:color w:val="auto"/>
                      <w:kern w:val="2"/>
                      <w:sz w:val="21"/>
                      <w:szCs w:val="21"/>
                      <w:u w:val="none"/>
                    </w:rPr>
                  </w:pPr>
                  <w:r>
                    <w:rPr>
                      <w:rFonts w:ascii="Times New Roman"/>
                      <w:color w:val="auto"/>
                      <w:sz w:val="21"/>
                      <w:szCs w:val="21"/>
                      <w:u w:val="none"/>
                    </w:rPr>
                    <w:t>BOD</w:t>
                  </w:r>
                  <w:r>
                    <w:rPr>
                      <w:rFonts w:ascii="Times New Roman"/>
                      <w:color w:val="auto"/>
                      <w:sz w:val="21"/>
                      <w:szCs w:val="21"/>
                      <w:u w:val="none"/>
                      <w:vertAlign w:val="subscript"/>
                    </w:rPr>
                    <w:t>5</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1.8</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1.9</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1.8</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4</w:t>
                  </w:r>
                </w:p>
              </w:tc>
              <w:tc>
                <w:tcPr>
                  <w:tcW w:w="453"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435" w:type="pct"/>
                  <w:gridSpan w:val="2"/>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rPr>
                  </w:pPr>
                  <w:r>
                    <w:rPr>
                      <w:rFonts w:ascii="Times New Roman"/>
                      <w:color w:val="auto"/>
                      <w:kern w:val="2"/>
                      <w:sz w:val="21"/>
                      <w:szCs w:val="21"/>
                      <w:u w:val="none"/>
                    </w:rPr>
                    <w:t>溶解氧</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8.1</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8.2</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8.2</w:t>
                  </w:r>
                </w:p>
              </w:tc>
              <w:tc>
                <w:tcPr>
                  <w:tcW w:w="517" w:type="pct"/>
                  <w:tcBorders>
                    <w:tl2br w:val="nil"/>
                    <w:tr2bl w:val="nil"/>
                  </w:tcBorders>
                  <w:noWrap w:val="0"/>
                  <w:vAlign w:val="center"/>
                </w:tcPr>
                <w:p>
                  <w:pPr>
                    <w:widowControl/>
                    <w:spacing w:line="320" w:lineRule="exact"/>
                    <w:jc w:val="center"/>
                    <w:textAlignment w:val="center"/>
                    <w:rPr>
                      <w:rFonts w:ascii="Times New Roman"/>
                      <w:color w:val="auto"/>
                      <w:kern w:val="2"/>
                      <w:sz w:val="21"/>
                      <w:szCs w:val="21"/>
                      <w:u w:val="none"/>
                    </w:rPr>
                  </w:pPr>
                  <w:r>
                    <w:rPr>
                      <w:rFonts w:ascii="Times New Roman"/>
                      <w:color w:val="auto"/>
                      <w:kern w:val="2"/>
                      <w:sz w:val="21"/>
                      <w:szCs w:val="21"/>
                      <w:u w:val="none"/>
                    </w:rPr>
                    <w:t>≥5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rPr>
                  </w:pPr>
                  <w:r>
                    <w:rPr>
                      <w:rFonts w:ascii="Times New Roman"/>
                      <w:color w:val="auto"/>
                      <w:kern w:val="2"/>
                      <w:sz w:val="21"/>
                      <w:szCs w:val="21"/>
                      <w:u w:val="none"/>
                    </w:rPr>
                    <w:t>总磷</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0.09</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0.08</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sz w:val="21"/>
                      <w:szCs w:val="21"/>
                      <w:u w:val="none"/>
                      <w:lang w:val="en-US" w:eastAsia="zh-CN"/>
                    </w:rPr>
                  </w:pPr>
                  <w:r>
                    <w:rPr>
                      <w:rFonts w:hint="eastAsia" w:ascii="Times New Roman"/>
                      <w:color w:val="auto"/>
                      <w:sz w:val="21"/>
                      <w:szCs w:val="21"/>
                      <w:u w:val="none"/>
                      <w:lang w:val="en-US" w:eastAsia="zh-CN"/>
                    </w:rPr>
                    <w:t>0.08</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0.2</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氟化物</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hint="eastAsia" w:ascii="Times New Roman"/>
                      <w:color w:val="auto"/>
                      <w:sz w:val="21"/>
                      <w:szCs w:val="21"/>
                      <w:u w:val="none"/>
                      <w:lang w:val="en-US" w:eastAsia="zh-CN"/>
                    </w:rPr>
                    <w:t>0.09</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hint="eastAsia" w:ascii="Times New Roman"/>
                      <w:color w:val="auto"/>
                      <w:sz w:val="21"/>
                      <w:szCs w:val="21"/>
                      <w:u w:val="none"/>
                      <w:lang w:val="en-US" w:eastAsia="zh-CN"/>
                    </w:rPr>
                    <w:t>0.09</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hint="eastAsia" w:ascii="Times New Roman"/>
                      <w:color w:val="auto"/>
                      <w:sz w:val="21"/>
                      <w:szCs w:val="21"/>
                      <w:u w:val="none"/>
                      <w:lang w:val="en-US" w:eastAsia="zh-CN"/>
                    </w:rPr>
                    <w:t>0.09</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sz w:val="21"/>
                      <w:szCs w:val="21"/>
                      <w:u w:val="none"/>
                    </w:rPr>
                    <w:t>1.0</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石油类</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0.04</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0.05</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0.04</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sz w:val="21"/>
                      <w:szCs w:val="21"/>
                      <w:highlight w:val="none"/>
                      <w:u w:val="none"/>
                    </w:rPr>
                    <w:t>0.05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砷</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highlight w:val="none"/>
                      <w:u w:val="none"/>
                    </w:rPr>
                    <w:t>0.05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汞</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highlight w:val="none"/>
                      <w:u w:val="none"/>
                    </w:rPr>
                    <w:t>0.0001</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铅</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highlight w:val="none"/>
                      <w:u w:val="none"/>
                    </w:rPr>
                    <w:t>0.05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镉</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highlight w:val="none"/>
                      <w:u w:val="none"/>
                    </w:rPr>
                    <w:t>0.005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kern w:val="2"/>
                      <w:sz w:val="21"/>
                      <w:szCs w:val="21"/>
                      <w:u w:val="none"/>
                    </w:rPr>
                    <w:t>六价铬</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u w:val="none"/>
                    </w:rPr>
                    <w:t>0.05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rPr>
                  </w:pPr>
                  <w:r>
                    <w:rPr>
                      <w:rFonts w:ascii="Times New Roman"/>
                      <w:color w:val="auto"/>
                      <w:sz w:val="21"/>
                      <w:szCs w:val="21"/>
                      <w:u w:val="none"/>
                    </w:rPr>
                    <w:t>铜</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u w:val="none"/>
                    </w:rPr>
                    <w:t>1.0</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锌</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u w:val="none"/>
                    </w:rPr>
                    <w:t>1.0</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硫化物</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u w:val="none"/>
                    </w:rPr>
                    <w:t>0.2</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挥发酚</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u w:val="none"/>
                    </w:rPr>
                    <w:t>0.005</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hint="eastAsia" w:ascii="Times New Roman"/>
                      <w:color w:val="auto"/>
                      <w:kern w:val="2"/>
                      <w:sz w:val="21"/>
                      <w:szCs w:val="21"/>
                      <w:u w:val="none"/>
                      <w:lang w:val="en-US" w:eastAsia="zh-CN" w:bidi="ar-SA"/>
                    </w:rPr>
                    <w:t>二甲苯</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hint="eastAsia" w:ascii="Times New Roman"/>
                      <w:color w:val="auto"/>
                      <w:kern w:val="2"/>
                      <w:sz w:val="21"/>
                      <w:szCs w:val="21"/>
                      <w:u w:val="none"/>
                      <w:lang w:val="en-US" w:eastAsia="zh-CN" w:bidi="ar-SA"/>
                    </w:rPr>
                    <w:t>/</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00" w:lineRule="exact"/>
                    <w:jc w:val="center"/>
                    <w:rPr>
                      <w:rFonts w:ascii="Times New Roman"/>
                      <w:color w:val="auto"/>
                      <w:kern w:val="2"/>
                      <w:sz w:val="21"/>
                      <w:szCs w:val="21"/>
                      <w:u w:val="none"/>
                    </w:rPr>
                  </w:pPr>
                  <w:r>
                    <w:rPr>
                      <w:rFonts w:hint="eastAsia" w:ascii="Times New Roman"/>
                      <w:color w:val="auto"/>
                      <w:kern w:val="2"/>
                      <w:sz w:val="21"/>
                      <w:szCs w:val="21"/>
                      <w:u w:val="none"/>
                      <w:lang w:val="en-US" w:eastAsia="zh-CN" w:bidi="ar-SA"/>
                    </w:rPr>
                    <w:t>镍</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732" w:type="pct"/>
                  <w:tcBorders>
                    <w:tl2br w:val="nil"/>
                    <w:tr2bl w:val="nil"/>
                  </w:tcBorders>
                  <w:noWrap w:val="0"/>
                  <w:vAlign w:val="center"/>
                </w:tcPr>
                <w:p>
                  <w:pPr>
                    <w:widowControl/>
                    <w:spacing w:line="400" w:lineRule="exact"/>
                    <w:jc w:val="center"/>
                    <w:textAlignment w:val="center"/>
                    <w:rPr>
                      <w:rFonts w:ascii="Times New Roman"/>
                      <w:color w:val="auto"/>
                      <w:sz w:val="21"/>
                      <w:szCs w:val="21"/>
                      <w:u w:val="none"/>
                    </w:rPr>
                  </w:pPr>
                  <w:r>
                    <w:rPr>
                      <w:rFonts w:ascii="Times New Roman"/>
                      <w:color w:val="auto"/>
                      <w:kern w:val="2"/>
                      <w:sz w:val="21"/>
                      <w:szCs w:val="21"/>
                      <w:u w:val="none"/>
                    </w:rPr>
                    <w:t>ND</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hint="eastAsia" w:ascii="Times New Roman"/>
                      <w:color w:val="auto"/>
                      <w:kern w:val="2"/>
                      <w:sz w:val="21"/>
                      <w:szCs w:val="21"/>
                      <w:u w:val="none"/>
                      <w:lang w:val="en-US" w:eastAsia="zh-CN" w:bidi="ar-SA"/>
                    </w:rPr>
                    <w:t>/</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spacing w:line="340" w:lineRule="exact"/>
                    <w:jc w:val="center"/>
                    <w:rPr>
                      <w:rFonts w:ascii="Times New Roman"/>
                      <w:color w:val="auto"/>
                      <w:kern w:val="2"/>
                      <w:sz w:val="21"/>
                      <w:szCs w:val="21"/>
                      <w:u w:val="none"/>
                    </w:rPr>
                  </w:pPr>
                  <w:r>
                    <w:rPr>
                      <w:rFonts w:ascii="Times New Roman"/>
                      <w:color w:val="auto"/>
                      <w:kern w:val="2"/>
                      <w:sz w:val="21"/>
                      <w:szCs w:val="21"/>
                      <w:u w:val="none"/>
                    </w:rPr>
                    <w:t>总氮</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0.33</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0.32</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0.35</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kern w:val="2"/>
                      <w:sz w:val="21"/>
                      <w:szCs w:val="21"/>
                      <w:u w:val="none"/>
                    </w:rPr>
                    <w:t>1.0</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505" w:type="pct"/>
                  <w:vMerge w:val="continue"/>
                  <w:tcBorders>
                    <w:tl2br w:val="nil"/>
                    <w:tr2bl w:val="nil"/>
                  </w:tcBorders>
                  <w:noWrap w:val="0"/>
                  <w:vAlign w:val="center"/>
                </w:tcPr>
                <w:p>
                  <w:pPr>
                    <w:spacing w:line="400" w:lineRule="exact"/>
                    <w:jc w:val="center"/>
                    <w:rPr>
                      <w:rFonts w:ascii="Times New Roman"/>
                      <w:bCs/>
                      <w:color w:val="auto"/>
                      <w:sz w:val="21"/>
                      <w:szCs w:val="21"/>
                      <w:u w:val="none"/>
                    </w:rPr>
                  </w:pPr>
                </w:p>
              </w:tc>
              <w:tc>
                <w:tcPr>
                  <w:tcW w:w="542" w:type="pct"/>
                  <w:tcBorders>
                    <w:tl2br w:val="nil"/>
                    <w:tr2bl w:val="nil"/>
                  </w:tcBorders>
                  <w:noWrap w:val="0"/>
                  <w:vAlign w:val="center"/>
                </w:tcPr>
                <w:p>
                  <w:pPr>
                    <w:jc w:val="center"/>
                    <w:rPr>
                      <w:rFonts w:ascii="Times New Roman"/>
                      <w:color w:val="auto"/>
                      <w:kern w:val="2"/>
                      <w:sz w:val="21"/>
                      <w:szCs w:val="21"/>
                      <w:u w:val="none"/>
                    </w:rPr>
                  </w:pPr>
                  <w:r>
                    <w:rPr>
                      <w:rFonts w:ascii="Times New Roman"/>
                      <w:color w:val="auto"/>
                      <w:sz w:val="21"/>
                      <w:szCs w:val="21"/>
                      <w:u w:val="none"/>
                    </w:rPr>
                    <w:t>粪大肠菌群</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1600</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1700</w:t>
                  </w:r>
                </w:p>
              </w:tc>
              <w:tc>
                <w:tcPr>
                  <w:tcW w:w="732" w:type="pct"/>
                  <w:tcBorders>
                    <w:tl2br w:val="nil"/>
                    <w:tr2bl w:val="nil"/>
                  </w:tcBorders>
                  <w:noWrap w:val="0"/>
                  <w:vAlign w:val="center"/>
                </w:tcPr>
                <w:p>
                  <w:pPr>
                    <w:widowControl/>
                    <w:spacing w:line="400" w:lineRule="exact"/>
                    <w:jc w:val="center"/>
                    <w:textAlignment w:val="center"/>
                    <w:rPr>
                      <w:rFonts w:hint="default" w:ascii="Times New Roman" w:eastAsia="宋体"/>
                      <w:color w:val="auto"/>
                      <w:kern w:val="2"/>
                      <w:sz w:val="21"/>
                      <w:szCs w:val="21"/>
                      <w:u w:val="none"/>
                      <w:lang w:val="en-US" w:eastAsia="zh-CN"/>
                    </w:rPr>
                  </w:pPr>
                  <w:r>
                    <w:rPr>
                      <w:rFonts w:hint="eastAsia" w:ascii="Times New Roman"/>
                      <w:color w:val="auto"/>
                      <w:kern w:val="2"/>
                      <w:sz w:val="21"/>
                      <w:szCs w:val="21"/>
                      <w:u w:val="none"/>
                      <w:lang w:val="en-US" w:eastAsia="zh-CN"/>
                    </w:rPr>
                    <w:t>1600</w:t>
                  </w:r>
                </w:p>
              </w:tc>
              <w:tc>
                <w:tcPr>
                  <w:tcW w:w="517" w:type="pct"/>
                  <w:tcBorders>
                    <w:tl2br w:val="nil"/>
                    <w:tr2bl w:val="nil"/>
                  </w:tcBorders>
                  <w:noWrap w:val="0"/>
                  <w:vAlign w:val="center"/>
                </w:tcPr>
                <w:p>
                  <w:pPr>
                    <w:widowControl/>
                    <w:spacing w:line="400" w:lineRule="exact"/>
                    <w:jc w:val="center"/>
                    <w:textAlignment w:val="center"/>
                    <w:rPr>
                      <w:rFonts w:ascii="Times New Roman"/>
                      <w:color w:val="auto"/>
                      <w:kern w:val="2"/>
                      <w:sz w:val="21"/>
                      <w:szCs w:val="21"/>
                      <w:highlight w:val="red"/>
                      <w:u w:val="none"/>
                    </w:rPr>
                  </w:pPr>
                  <w:r>
                    <w:rPr>
                      <w:rFonts w:ascii="Times New Roman"/>
                      <w:color w:val="auto"/>
                      <w:sz w:val="21"/>
                      <w:szCs w:val="21"/>
                      <w:u w:val="none"/>
                    </w:rPr>
                    <w:t>10000</w:t>
                  </w:r>
                </w:p>
              </w:tc>
              <w:tc>
                <w:tcPr>
                  <w:tcW w:w="535" w:type="pct"/>
                  <w:gridSpan w:val="3"/>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54" w:type="pct"/>
                  <w:tcBorders>
                    <w:tl2br w:val="nil"/>
                    <w:tr2bl w:val="nil"/>
                  </w:tcBorders>
                  <w:noWrap w:val="0"/>
                  <w:vAlign w:val="center"/>
                </w:tcPr>
                <w:p>
                  <w:pPr>
                    <w:jc w:val="center"/>
                    <w:rPr>
                      <w:rFonts w:ascii="Times New Roman"/>
                      <w:bCs/>
                      <w:color w:val="auto"/>
                      <w:sz w:val="21"/>
                      <w:szCs w:val="21"/>
                      <w:u w:val="none"/>
                    </w:rPr>
                  </w:pPr>
                  <w:r>
                    <w:rPr>
                      <w:rFonts w:ascii="Times New Roman"/>
                      <w:bCs/>
                      <w:color w:val="auto"/>
                      <w:sz w:val="21"/>
                      <w:szCs w:val="21"/>
                      <w:u w:val="none"/>
                    </w:rPr>
                    <w:t>0</w:t>
                  </w:r>
                </w:p>
              </w:tc>
              <w:tc>
                <w:tcPr>
                  <w:tcW w:w="349" w:type="pct"/>
                  <w:tcBorders>
                    <w:tl2br w:val="nil"/>
                    <w:tr2bl w:val="nil"/>
                  </w:tcBorders>
                  <w:noWrap w:val="0"/>
                  <w:vAlign w:val="center"/>
                </w:tcPr>
                <w:p>
                  <w:pPr>
                    <w:jc w:val="center"/>
                    <w:rPr>
                      <w:rFonts w:ascii="Times New Roman"/>
                      <w:bCs/>
                      <w:color w:val="auto"/>
                      <w:sz w:val="21"/>
                      <w:szCs w:val="21"/>
                      <w:u w:val="none"/>
                    </w:rPr>
                  </w:pPr>
                  <w:r>
                    <w:rPr>
                      <w:rFonts w:ascii="Times New Roman"/>
                      <w:color w:val="auto"/>
                      <w:sz w:val="21"/>
                      <w:szCs w:val="21"/>
                      <w:u w:val="none"/>
                    </w:rPr>
                    <w:t>是</w:t>
                  </w:r>
                </w:p>
              </w:tc>
            </w:tr>
          </w:tbl>
          <w:p>
            <w:pPr>
              <w:adjustRightInd w:val="0"/>
              <w:snapToGrid w:val="0"/>
              <w:spacing w:line="360" w:lineRule="auto"/>
              <w:ind w:firstLine="480" w:firstLineChars="200"/>
              <w:jc w:val="left"/>
              <w:rPr>
                <w:rFonts w:hint="eastAsia" w:ascii="Times New Roman" w:hAnsi="Times New Roman" w:eastAsia="宋体" w:cs="Times New Roman"/>
                <w:color w:val="auto"/>
                <w:sz w:val="24"/>
                <w:szCs w:val="24"/>
                <w:u w:val="none"/>
                <w:lang w:eastAsia="zh-CN"/>
              </w:rPr>
            </w:pPr>
            <w:r>
              <w:rPr>
                <w:rFonts w:hint="default" w:ascii="Times New Roman" w:hAnsi="Times New Roman" w:eastAsia="宋体" w:cs="Times New Roman"/>
                <w:color w:val="auto"/>
                <w:sz w:val="24"/>
                <w:szCs w:val="24"/>
                <w:u w:val="none"/>
              </w:rPr>
              <w:t>根据上表可知，项目所在地</w:t>
            </w:r>
            <w:r>
              <w:rPr>
                <w:rFonts w:hint="eastAsia" w:ascii="Times New Roman" w:hAnsi="Times New Roman" w:eastAsia="宋体" w:cs="Times New Roman"/>
                <w:color w:val="auto"/>
                <w:sz w:val="24"/>
                <w:szCs w:val="24"/>
                <w:u w:val="none"/>
              </w:rPr>
              <w:t>渠水</w:t>
            </w:r>
            <w:r>
              <w:rPr>
                <w:rFonts w:hint="default" w:ascii="Times New Roman" w:hAnsi="Times New Roman" w:eastAsia="宋体" w:cs="Times New Roman"/>
                <w:color w:val="auto"/>
                <w:sz w:val="24"/>
                <w:szCs w:val="24"/>
                <w:u w:val="none"/>
              </w:rPr>
              <w:t>各监测因子均能满足《地表水环境质量标准》（GB3838-2002）中的Ⅲ类标准。</w:t>
            </w:r>
            <w:r>
              <w:rPr>
                <w:rFonts w:hint="eastAsia" w:ascii="Times New Roman" w:hAnsi="Times New Roman" w:eastAsia="宋体" w:cs="Times New Roman"/>
                <w:color w:val="auto"/>
                <w:sz w:val="24"/>
                <w:szCs w:val="24"/>
                <w:u w:val="none"/>
              </w:rPr>
              <w:t>渠水水质情况良好</w:t>
            </w:r>
            <w:r>
              <w:rPr>
                <w:rFonts w:hint="eastAsia" w:ascii="Times New Roman" w:hAnsi="Times New Roman" w:eastAsia="宋体" w:cs="Times New Roman"/>
                <w:color w:val="auto"/>
                <w:sz w:val="24"/>
                <w:szCs w:val="24"/>
                <w:u w:val="none"/>
                <w:lang w:eastAsia="zh-CN"/>
              </w:rPr>
              <w:t>。</w:t>
            </w:r>
          </w:p>
          <w:p>
            <w:pPr>
              <w:adjustRightInd w:val="0"/>
              <w:snapToGrid w:val="0"/>
              <w:spacing w:line="360" w:lineRule="auto"/>
              <w:ind w:firstLine="482" w:firstLineChars="200"/>
              <w:jc w:val="left"/>
              <w:rPr>
                <w:rFonts w:hint="eastAsia"/>
                <w:b/>
                <w:kern w:val="0"/>
                <w:sz w:val="24"/>
                <w:szCs w:val="24"/>
                <w:highlight w:val="none"/>
              </w:rPr>
            </w:pPr>
            <w:r>
              <w:rPr>
                <w:rFonts w:hint="eastAsia"/>
                <w:b/>
                <w:kern w:val="0"/>
                <w:sz w:val="24"/>
                <w:szCs w:val="24"/>
                <w:highlight w:val="none"/>
                <w:lang w:val="en-US" w:eastAsia="zh-CN"/>
              </w:rPr>
              <w:t>3、</w:t>
            </w:r>
            <w:r>
              <w:rPr>
                <w:rFonts w:hint="eastAsia"/>
                <w:b/>
                <w:kern w:val="0"/>
                <w:sz w:val="24"/>
                <w:szCs w:val="24"/>
                <w:highlight w:val="none"/>
              </w:rPr>
              <w:t>声环境质量现状调查与评价</w:t>
            </w:r>
          </w:p>
          <w:p>
            <w:pPr>
              <w:spacing w:line="360" w:lineRule="auto"/>
              <w:ind w:firstLine="480" w:firstLineChars="200"/>
              <w:rPr>
                <w:sz w:val="24"/>
                <w:szCs w:val="24"/>
              </w:rPr>
            </w:pPr>
            <w:r>
              <w:rPr>
                <w:rFonts w:hint="default" w:ascii="Times New Roman" w:hAnsi="Times New Roman" w:cs="Times New Roman"/>
                <w:color w:val="auto"/>
                <w:sz w:val="24"/>
                <w:szCs w:val="24"/>
                <w:u w:val="none"/>
              </w:rPr>
              <w:t>为了解本项目周边区域声环境质量现状</w:t>
            </w:r>
            <w:r>
              <w:rPr>
                <w:rFonts w:hint="eastAsia" w:ascii="Times New Roman" w:hAnsi="Times New Roman" w:cs="Times New Roman"/>
                <w:color w:val="auto"/>
                <w:sz w:val="24"/>
                <w:szCs w:val="24"/>
                <w:u w:val="none"/>
                <w:lang w:val="en-US" w:eastAsia="zh-CN"/>
              </w:rPr>
              <w:t>，</w:t>
            </w:r>
            <w:r>
              <w:rPr>
                <w:rFonts w:hint="eastAsia"/>
                <w:color w:val="auto"/>
                <w:sz w:val="24"/>
                <w:szCs w:val="24"/>
              </w:rPr>
              <w:t>本</w:t>
            </w:r>
            <w:r>
              <w:rPr>
                <w:rFonts w:hint="eastAsia"/>
                <w:sz w:val="24"/>
                <w:szCs w:val="24"/>
              </w:rPr>
              <w:t>次评价委托了</w:t>
            </w:r>
            <w:r>
              <w:rPr>
                <w:rFonts w:hint="eastAsia"/>
                <w:color w:val="auto"/>
                <w:sz w:val="24"/>
                <w:szCs w:val="24"/>
                <w:lang w:val="en-US" w:eastAsia="zh-CN"/>
              </w:rPr>
              <w:t>湖南谱实检测技术有限公司</w:t>
            </w:r>
            <w:r>
              <w:rPr>
                <w:rFonts w:hint="eastAsia"/>
                <w:sz w:val="24"/>
                <w:szCs w:val="24"/>
              </w:rPr>
              <w:t>对项目周边声环境质量进行了现状监测，监测情况如下：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u w:val="none"/>
              </w:rPr>
            </w:pPr>
            <w:r>
              <w:rPr>
                <w:rFonts w:hint="eastAsia"/>
                <w:sz w:val="24"/>
                <w:szCs w:val="24"/>
                <w:u w:val="none"/>
                <w:lang w:eastAsia="zh-CN"/>
              </w:rPr>
              <w:t>（</w:t>
            </w:r>
            <w:r>
              <w:rPr>
                <w:rFonts w:hint="eastAsia"/>
                <w:sz w:val="24"/>
                <w:szCs w:val="24"/>
                <w:u w:val="none"/>
                <w:lang w:val="en-US" w:eastAsia="zh-CN"/>
              </w:rPr>
              <w:t>1</w:t>
            </w:r>
            <w:r>
              <w:rPr>
                <w:rFonts w:hint="eastAsia"/>
                <w:sz w:val="24"/>
                <w:szCs w:val="24"/>
                <w:u w:val="none"/>
                <w:lang w:eastAsia="zh-CN"/>
              </w:rPr>
              <w:t>）</w:t>
            </w:r>
            <w:r>
              <w:rPr>
                <w:sz w:val="24"/>
                <w:szCs w:val="24"/>
                <w:u w:val="none"/>
              </w:rPr>
              <w:t>监测点位：</w:t>
            </w:r>
            <w:r>
              <w:rPr>
                <w:rFonts w:hint="default" w:ascii="Times New Roman" w:hAnsi="Times New Roman" w:cs="Times New Roman"/>
                <w:color w:val="auto"/>
                <w:sz w:val="24"/>
                <w:szCs w:val="24"/>
                <w:highlight w:val="none"/>
                <w:u w:val="none"/>
              </w:rPr>
              <w:t>监测点布置分别N1项目</w:t>
            </w:r>
            <w:r>
              <w:rPr>
                <w:rFonts w:hint="default" w:ascii="Times New Roman" w:hAnsi="Times New Roman" w:cs="Times New Roman"/>
                <w:color w:val="auto"/>
                <w:sz w:val="24"/>
                <w:szCs w:val="24"/>
                <w:highlight w:val="none"/>
                <w:u w:val="none"/>
                <w:lang w:eastAsia="zh-CN"/>
              </w:rPr>
              <w:t>地东侧厂界</w:t>
            </w:r>
            <w:r>
              <w:rPr>
                <w:rFonts w:hint="default" w:ascii="Times New Roman" w:hAnsi="Times New Roman" w:cs="Times New Roman"/>
                <w:color w:val="auto"/>
                <w:sz w:val="24"/>
                <w:szCs w:val="24"/>
                <w:highlight w:val="none"/>
                <w:u w:val="none"/>
              </w:rPr>
              <w:t>1m处、N2项目</w:t>
            </w:r>
            <w:r>
              <w:rPr>
                <w:rFonts w:hint="default" w:ascii="Times New Roman" w:hAnsi="Times New Roman" w:cs="Times New Roman"/>
                <w:color w:val="auto"/>
                <w:sz w:val="24"/>
                <w:szCs w:val="24"/>
                <w:highlight w:val="none"/>
                <w:u w:val="none"/>
                <w:lang w:eastAsia="zh-CN"/>
              </w:rPr>
              <w:t>地南</w:t>
            </w:r>
            <w:r>
              <w:rPr>
                <w:rFonts w:hint="default" w:ascii="Times New Roman" w:hAnsi="Times New Roman" w:cs="Times New Roman"/>
                <w:color w:val="auto"/>
                <w:sz w:val="24"/>
                <w:szCs w:val="24"/>
                <w:highlight w:val="none"/>
                <w:u w:val="none"/>
              </w:rPr>
              <w:t>侧</w:t>
            </w:r>
            <w:r>
              <w:rPr>
                <w:rFonts w:hint="default" w:ascii="Times New Roman" w:hAnsi="Times New Roman" w:cs="Times New Roman"/>
                <w:color w:val="auto"/>
                <w:sz w:val="24"/>
                <w:szCs w:val="24"/>
                <w:highlight w:val="none"/>
                <w:u w:val="none"/>
                <w:lang w:eastAsia="zh-CN"/>
              </w:rPr>
              <w:t>厂界</w:t>
            </w:r>
            <w:r>
              <w:rPr>
                <w:rFonts w:hint="default" w:ascii="Times New Roman" w:hAnsi="Times New Roman" w:cs="Times New Roman"/>
                <w:color w:val="auto"/>
                <w:sz w:val="24"/>
                <w:szCs w:val="24"/>
                <w:highlight w:val="none"/>
                <w:u w:val="none"/>
              </w:rPr>
              <w:t>1m处、N3项目</w:t>
            </w:r>
            <w:r>
              <w:rPr>
                <w:rFonts w:hint="default" w:ascii="Times New Roman" w:hAnsi="Times New Roman" w:cs="Times New Roman"/>
                <w:color w:val="auto"/>
                <w:sz w:val="24"/>
                <w:szCs w:val="24"/>
                <w:highlight w:val="none"/>
                <w:u w:val="none"/>
                <w:lang w:eastAsia="zh-CN"/>
              </w:rPr>
              <w:t>地西</w:t>
            </w:r>
            <w:r>
              <w:rPr>
                <w:rFonts w:hint="default" w:ascii="Times New Roman" w:hAnsi="Times New Roman" w:cs="Times New Roman"/>
                <w:color w:val="auto"/>
                <w:sz w:val="24"/>
                <w:szCs w:val="24"/>
                <w:highlight w:val="none"/>
                <w:u w:val="none"/>
              </w:rPr>
              <w:t>侧</w:t>
            </w:r>
            <w:r>
              <w:rPr>
                <w:rFonts w:hint="default" w:ascii="Times New Roman" w:hAnsi="Times New Roman" w:cs="Times New Roman"/>
                <w:color w:val="auto"/>
                <w:sz w:val="24"/>
                <w:szCs w:val="24"/>
                <w:highlight w:val="none"/>
                <w:u w:val="none"/>
                <w:lang w:eastAsia="zh-CN"/>
              </w:rPr>
              <w:t>厂界</w:t>
            </w:r>
            <w:r>
              <w:rPr>
                <w:rFonts w:hint="default" w:ascii="Times New Roman" w:hAnsi="Times New Roman" w:cs="Times New Roman"/>
                <w:color w:val="auto"/>
                <w:sz w:val="24"/>
                <w:szCs w:val="24"/>
                <w:highlight w:val="none"/>
                <w:u w:val="none"/>
              </w:rPr>
              <w:t>1m处、N4项目</w:t>
            </w:r>
            <w:r>
              <w:rPr>
                <w:rFonts w:hint="default" w:ascii="Times New Roman" w:hAnsi="Times New Roman" w:cs="Times New Roman"/>
                <w:color w:val="auto"/>
                <w:sz w:val="24"/>
                <w:szCs w:val="24"/>
                <w:highlight w:val="none"/>
                <w:u w:val="none"/>
                <w:lang w:eastAsia="zh-CN"/>
              </w:rPr>
              <w:t>地北</w:t>
            </w:r>
            <w:r>
              <w:rPr>
                <w:rFonts w:hint="default" w:ascii="Times New Roman" w:hAnsi="Times New Roman" w:cs="Times New Roman"/>
                <w:color w:val="auto"/>
                <w:sz w:val="24"/>
                <w:szCs w:val="24"/>
                <w:highlight w:val="none"/>
                <w:u w:val="none"/>
              </w:rPr>
              <w:t>侧</w:t>
            </w:r>
            <w:r>
              <w:rPr>
                <w:rFonts w:hint="default" w:ascii="Times New Roman" w:hAnsi="Times New Roman" w:cs="Times New Roman"/>
                <w:color w:val="auto"/>
                <w:sz w:val="24"/>
                <w:szCs w:val="24"/>
                <w:highlight w:val="none"/>
                <w:u w:val="none"/>
                <w:lang w:eastAsia="zh-CN"/>
              </w:rPr>
              <w:t>厂界</w:t>
            </w:r>
            <w:r>
              <w:rPr>
                <w:rFonts w:hint="default" w:ascii="Times New Roman" w:hAnsi="Times New Roman" w:cs="Times New Roman"/>
                <w:color w:val="auto"/>
                <w:sz w:val="24"/>
                <w:szCs w:val="24"/>
                <w:highlight w:val="none"/>
                <w:u w:val="none"/>
              </w:rPr>
              <w:t>1m处</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N</w:t>
            </w:r>
            <w:r>
              <w:rPr>
                <w:rFonts w:hint="eastAsia" w:ascii="Times New Roman" w:hAnsi="Times New Roman" w:cs="Times New Roman"/>
                <w:color w:val="auto"/>
                <w:sz w:val="24"/>
                <w:szCs w:val="24"/>
                <w:highlight w:val="none"/>
                <w:u w:val="none"/>
                <w:lang w:val="en-US" w:eastAsia="zh-CN"/>
              </w:rPr>
              <w:t>5</w:t>
            </w:r>
            <w:r>
              <w:rPr>
                <w:rFonts w:hint="default" w:ascii="Times New Roman" w:hAnsi="Times New Roman" w:cs="Times New Roman"/>
                <w:color w:val="auto"/>
                <w:sz w:val="24"/>
                <w:szCs w:val="24"/>
                <w:highlight w:val="none"/>
                <w:u w:val="none"/>
              </w:rPr>
              <w:t>项目</w:t>
            </w:r>
            <w:r>
              <w:rPr>
                <w:rFonts w:hint="default" w:ascii="Times New Roman" w:hAnsi="Times New Roman" w:cs="Times New Roman"/>
                <w:color w:val="auto"/>
                <w:sz w:val="24"/>
                <w:szCs w:val="24"/>
                <w:highlight w:val="none"/>
                <w:u w:val="none"/>
                <w:lang w:eastAsia="zh-CN"/>
              </w:rPr>
              <w:t>地</w:t>
            </w:r>
            <w:r>
              <w:rPr>
                <w:rFonts w:hint="eastAsia" w:ascii="Times New Roman" w:hAnsi="Times New Roman" w:cs="Times New Roman"/>
                <w:color w:val="auto"/>
                <w:sz w:val="24"/>
                <w:szCs w:val="24"/>
                <w:highlight w:val="none"/>
                <w:u w:val="none"/>
                <w:lang w:val="en-US" w:eastAsia="zh-CN"/>
              </w:rPr>
              <w:t>西南</w:t>
            </w:r>
            <w:r>
              <w:rPr>
                <w:rFonts w:hint="default" w:ascii="Times New Roman" w:hAnsi="Times New Roman" w:cs="Times New Roman"/>
                <w:color w:val="auto"/>
                <w:sz w:val="24"/>
                <w:szCs w:val="24"/>
                <w:highlight w:val="none"/>
                <w:u w:val="none"/>
              </w:rPr>
              <w:t>侧</w:t>
            </w:r>
            <w:r>
              <w:rPr>
                <w:rFonts w:hint="default" w:ascii="Times New Roman" w:hAnsi="Times New Roman" w:cs="Times New Roman"/>
                <w:color w:val="auto"/>
                <w:sz w:val="24"/>
                <w:szCs w:val="24"/>
                <w:highlight w:val="none"/>
                <w:u w:val="none"/>
                <w:lang w:val="en-US" w:eastAsia="zh-CN"/>
              </w:rPr>
              <w:t>居民点</w:t>
            </w:r>
            <w:r>
              <w:rPr>
                <w:rFonts w:hint="default" w:ascii="Times New Roman" w:hAnsi="Times New Roman" w:cs="Times New Roman"/>
                <w:color w:val="auto"/>
                <w:sz w:val="24"/>
                <w:szCs w:val="24"/>
                <w:highlight w:val="none"/>
                <w:u w:val="none"/>
                <w:lang w:eastAsia="zh-CN"/>
              </w:rPr>
              <w:t>。</w:t>
            </w:r>
          </w:p>
          <w:p>
            <w:pPr>
              <w:spacing w:line="360" w:lineRule="auto"/>
              <w:ind w:firstLine="480" w:firstLineChars="200"/>
              <w:rPr>
                <w:sz w:val="24"/>
                <w:szCs w:val="24"/>
                <w:u w:val="none"/>
              </w:rPr>
            </w:pPr>
            <w:r>
              <w:rPr>
                <w:rFonts w:hint="eastAsia" w:ascii="Times New Roman" w:hAnsi="Times New Roman" w:cs="Times New Roman"/>
                <w:color w:val="auto"/>
                <w:sz w:val="24"/>
                <w:szCs w:val="24"/>
                <w:highlight w:val="none"/>
                <w:u w:val="none"/>
                <w:lang w:eastAsia="zh-CN"/>
              </w:rPr>
              <w:t>（</w:t>
            </w:r>
            <w:r>
              <w:rPr>
                <w:rFonts w:hint="eastAsia" w:ascii="Times New Roman" w:hAnsi="Times New Roman" w:cs="Times New Roman"/>
                <w:color w:val="auto"/>
                <w:sz w:val="24"/>
                <w:szCs w:val="24"/>
                <w:highlight w:val="none"/>
                <w:u w:val="none"/>
                <w:lang w:val="en-US" w:eastAsia="zh-CN"/>
              </w:rPr>
              <w:t>2</w:t>
            </w:r>
            <w:r>
              <w:rPr>
                <w:rFonts w:hint="eastAsia" w:ascii="Times New Roman" w:hAnsi="Times New Roman"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rPr>
              <w:t>监测时段及频次：</w:t>
            </w:r>
            <w:r>
              <w:rPr>
                <w:sz w:val="24"/>
                <w:szCs w:val="24"/>
                <w:u w:val="none"/>
              </w:rPr>
              <w:t>20</w:t>
            </w:r>
            <w:r>
              <w:rPr>
                <w:rFonts w:hint="eastAsia"/>
                <w:sz w:val="24"/>
                <w:szCs w:val="24"/>
                <w:u w:val="none"/>
              </w:rPr>
              <w:t>2</w:t>
            </w:r>
            <w:r>
              <w:rPr>
                <w:rFonts w:hint="eastAsia"/>
                <w:sz w:val="24"/>
                <w:szCs w:val="24"/>
                <w:u w:val="none"/>
                <w:lang w:val="en-US" w:eastAsia="zh-CN"/>
              </w:rPr>
              <w:t>2</w:t>
            </w:r>
            <w:r>
              <w:rPr>
                <w:sz w:val="24"/>
                <w:szCs w:val="24"/>
                <w:u w:val="none"/>
              </w:rPr>
              <w:t>年</w:t>
            </w:r>
            <w:r>
              <w:rPr>
                <w:rFonts w:hint="eastAsia"/>
                <w:sz w:val="24"/>
                <w:szCs w:val="24"/>
                <w:u w:val="none"/>
                <w:lang w:val="en-US" w:eastAsia="zh-CN"/>
              </w:rPr>
              <w:t>5</w:t>
            </w:r>
            <w:r>
              <w:rPr>
                <w:sz w:val="24"/>
                <w:szCs w:val="24"/>
                <w:u w:val="none"/>
              </w:rPr>
              <w:t>月</w:t>
            </w:r>
            <w:r>
              <w:rPr>
                <w:rFonts w:hint="eastAsia"/>
                <w:sz w:val="24"/>
                <w:szCs w:val="24"/>
                <w:u w:val="none"/>
                <w:lang w:val="en-US" w:eastAsia="zh-CN"/>
              </w:rPr>
              <w:t>26</w:t>
            </w:r>
            <w:r>
              <w:rPr>
                <w:sz w:val="24"/>
                <w:szCs w:val="24"/>
                <w:u w:val="none"/>
              </w:rPr>
              <w:t>~</w:t>
            </w:r>
            <w:r>
              <w:rPr>
                <w:rFonts w:hint="eastAsia"/>
                <w:sz w:val="24"/>
                <w:szCs w:val="24"/>
                <w:u w:val="none"/>
                <w:lang w:val="en-US" w:eastAsia="zh-CN"/>
              </w:rPr>
              <w:t>27</w:t>
            </w:r>
            <w:r>
              <w:rPr>
                <w:sz w:val="24"/>
                <w:szCs w:val="24"/>
                <w:u w:val="none"/>
              </w:rPr>
              <w:t>日</w:t>
            </w:r>
            <w:r>
              <w:rPr>
                <w:rFonts w:hint="default" w:ascii="Times New Roman" w:hAnsi="Times New Roman" w:cs="Times New Roman"/>
                <w:color w:val="auto"/>
                <w:sz w:val="24"/>
                <w:szCs w:val="24"/>
                <w:highlight w:val="none"/>
                <w:u w:val="none"/>
              </w:rPr>
              <w:t>，连续监测</w:t>
            </w:r>
            <w:r>
              <w:rPr>
                <w:rFonts w:hint="eastAsia" w:ascii="Times New Roman" w:hAnsi="Times New Roman" w:cs="Times New Roman"/>
                <w:color w:val="auto"/>
                <w:sz w:val="24"/>
                <w:szCs w:val="24"/>
                <w:highlight w:val="none"/>
                <w:u w:val="none"/>
                <w:lang w:val="en-US" w:eastAsia="zh-CN"/>
              </w:rPr>
              <w:t>2</w:t>
            </w:r>
            <w:r>
              <w:rPr>
                <w:rFonts w:hint="default" w:ascii="Times New Roman" w:hAnsi="Times New Roman" w:cs="Times New Roman"/>
                <w:color w:val="auto"/>
                <w:sz w:val="24"/>
                <w:szCs w:val="24"/>
                <w:highlight w:val="none"/>
                <w:u w:val="none"/>
              </w:rPr>
              <w:t>天，</w:t>
            </w:r>
            <w:r>
              <w:rPr>
                <w:sz w:val="24"/>
                <w:szCs w:val="24"/>
              </w:rPr>
              <w:t>昼夜各监测一次</w:t>
            </w:r>
            <w:r>
              <w:rPr>
                <w:rFonts w:hint="default" w:ascii="Times New Roman" w:hAnsi="Times New Roman" w:cs="Times New Roman"/>
                <w:color w:val="auto"/>
                <w:sz w:val="24"/>
                <w:szCs w:val="24"/>
                <w:highlight w:val="none"/>
                <w:u w:val="none"/>
              </w:rPr>
              <w:t>，分别测定其等效（A）声级。</w:t>
            </w:r>
          </w:p>
          <w:p>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3</w:t>
            </w:r>
            <w:r>
              <w:rPr>
                <w:rFonts w:hint="eastAsia"/>
                <w:sz w:val="24"/>
                <w:szCs w:val="24"/>
                <w:lang w:eastAsia="zh-CN"/>
              </w:rPr>
              <w:t>）</w:t>
            </w:r>
            <w:r>
              <w:rPr>
                <w:sz w:val="24"/>
                <w:szCs w:val="24"/>
              </w:rPr>
              <w:t>评价标准：</w:t>
            </w:r>
            <w:r>
              <w:rPr>
                <w:rFonts w:hint="eastAsia"/>
                <w:sz w:val="24"/>
                <w:szCs w:val="24"/>
                <w:lang w:val="en-US" w:eastAsia="zh-CN"/>
              </w:rPr>
              <w:t>按照</w:t>
            </w:r>
            <w:r>
              <w:rPr>
                <w:sz w:val="24"/>
                <w:szCs w:val="24"/>
              </w:rPr>
              <w:t>《声环境质量标准》(GB3096-2008)</w:t>
            </w:r>
            <w:r>
              <w:rPr>
                <w:rFonts w:hint="default" w:ascii="Times New Roman" w:hAnsi="Times New Roman" w:cs="Times New Roman"/>
                <w:color w:val="auto"/>
                <w:sz w:val="24"/>
                <w:szCs w:val="24"/>
                <w:u w:val="none"/>
              </w:rPr>
              <w:t>中有关方法和规定，执</w:t>
            </w:r>
            <w:r>
              <w:rPr>
                <w:rFonts w:hint="default" w:ascii="Times New Roman" w:hAnsi="Times New Roman" w:cs="Times New Roman"/>
                <w:color w:val="auto"/>
                <w:sz w:val="24"/>
                <w:szCs w:val="24"/>
                <w:u w:val="none"/>
                <w:lang w:val="en-US" w:eastAsia="zh-CN"/>
              </w:rPr>
              <w:t>3类</w:t>
            </w:r>
            <w:r>
              <w:rPr>
                <w:rFonts w:hint="default" w:ascii="Times New Roman" w:hAnsi="Times New Roman" w:cs="Times New Roman"/>
                <w:color w:val="auto"/>
                <w:sz w:val="24"/>
                <w:szCs w:val="24"/>
                <w:u w:val="none"/>
              </w:rPr>
              <w:t>标准</w:t>
            </w:r>
            <w:r>
              <w:rPr>
                <w:sz w:val="24"/>
                <w:szCs w:val="24"/>
              </w:rPr>
              <w:t>。</w:t>
            </w:r>
          </w:p>
          <w:p>
            <w:p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4</w:t>
            </w:r>
            <w:r>
              <w:rPr>
                <w:rFonts w:hint="eastAsia"/>
                <w:sz w:val="24"/>
                <w:szCs w:val="24"/>
                <w:lang w:eastAsia="zh-CN"/>
              </w:rPr>
              <w:t>）</w:t>
            </w:r>
            <w:r>
              <w:rPr>
                <w:sz w:val="24"/>
                <w:szCs w:val="24"/>
              </w:rPr>
              <w:t>监测结果统计与评价</w:t>
            </w:r>
          </w:p>
          <w:p>
            <w:pPr>
              <w:spacing w:line="360" w:lineRule="auto"/>
              <w:ind w:firstLine="480" w:firstLineChars="200"/>
              <w:rPr>
                <w:sz w:val="24"/>
                <w:szCs w:val="24"/>
              </w:rPr>
            </w:pPr>
            <w:r>
              <w:rPr>
                <w:sz w:val="24"/>
                <w:szCs w:val="24"/>
              </w:rPr>
              <w:t>声环境质量现状监测结果统计情况见</w:t>
            </w:r>
            <w:r>
              <w:rPr>
                <w:rFonts w:hint="eastAsia"/>
                <w:sz w:val="24"/>
                <w:szCs w:val="24"/>
              </w:rPr>
              <w:t>下表：</w:t>
            </w:r>
          </w:p>
          <w:p>
            <w:pPr>
              <w:jc w:val="center"/>
              <w:rPr>
                <w:b/>
              </w:rPr>
            </w:pPr>
            <w:r>
              <w:rPr>
                <w:b/>
              </w:rPr>
              <w:t>表3-</w:t>
            </w:r>
            <w:r>
              <w:rPr>
                <w:rFonts w:hint="eastAsia"/>
                <w:b/>
                <w:lang w:val="en-US" w:eastAsia="zh-CN"/>
              </w:rPr>
              <w:t>5</w:t>
            </w:r>
            <w:r>
              <w:rPr>
                <w:b/>
              </w:rPr>
              <w:t xml:space="preserve"> 声环境质量现状监测统计结果</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35"/>
              <w:gridCol w:w="1225"/>
              <w:gridCol w:w="37"/>
              <w:gridCol w:w="1280"/>
              <w:gridCol w:w="1490"/>
              <w:gridCol w:w="1404"/>
              <w:gridCol w:w="14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73" w:type="pct"/>
                  <w:tcBorders>
                    <w:tl2br w:val="nil"/>
                    <w:tr2bl w:val="nil"/>
                  </w:tcBorders>
                  <w:noWrap w:val="0"/>
                  <w:vAlign w:val="center"/>
                </w:tcPr>
                <w:p>
                  <w:pPr>
                    <w:spacing w:line="240" w:lineRule="auto"/>
                    <w:jc w:val="center"/>
                    <w:rPr>
                      <w:rFonts w:hint="eastAsia"/>
                      <w:color w:val="auto"/>
                      <w:szCs w:val="21"/>
                      <w:u w:val="none"/>
                    </w:rPr>
                  </w:pPr>
                  <w:r>
                    <w:rPr>
                      <w:color w:val="auto"/>
                      <w:szCs w:val="21"/>
                      <w:u w:val="none"/>
                    </w:rPr>
                    <w:t>点位序号</w:t>
                  </w:r>
                </w:p>
              </w:tc>
              <w:tc>
                <w:tcPr>
                  <w:tcW w:w="793" w:type="pct"/>
                  <w:gridSpan w:val="2"/>
                  <w:tcBorders>
                    <w:tl2br w:val="nil"/>
                    <w:tr2bl w:val="nil"/>
                  </w:tcBorders>
                  <w:noWrap w:val="0"/>
                  <w:vAlign w:val="center"/>
                </w:tcPr>
                <w:p>
                  <w:pPr>
                    <w:spacing w:line="240" w:lineRule="auto"/>
                    <w:jc w:val="center"/>
                    <w:rPr>
                      <w:rFonts w:hint="eastAsia" w:hAnsi="宋体" w:eastAsia="宋体"/>
                      <w:color w:val="auto"/>
                      <w:szCs w:val="21"/>
                      <w:u w:val="none"/>
                      <w:lang w:eastAsia="zh-CN"/>
                    </w:rPr>
                  </w:pPr>
                  <w:r>
                    <w:rPr>
                      <w:color w:val="auto"/>
                      <w:szCs w:val="21"/>
                      <w:u w:val="none"/>
                    </w:rPr>
                    <w:t>采样位置</w:t>
                  </w:r>
                </w:p>
              </w:tc>
              <w:tc>
                <w:tcPr>
                  <w:tcW w:w="829" w:type="pct"/>
                  <w:gridSpan w:val="2"/>
                  <w:tcBorders>
                    <w:tl2br w:val="nil"/>
                    <w:tr2bl w:val="nil"/>
                  </w:tcBorders>
                  <w:noWrap w:val="0"/>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监测日期</w:t>
                  </w:r>
                </w:p>
              </w:tc>
              <w:tc>
                <w:tcPr>
                  <w:tcW w:w="938" w:type="pct"/>
                  <w:tcBorders>
                    <w:tl2br w:val="nil"/>
                    <w:tr2bl w:val="nil"/>
                  </w:tcBorders>
                  <w:noWrap w:val="0"/>
                  <w:vAlign w:val="center"/>
                </w:tcPr>
                <w:p>
                  <w:pPr>
                    <w:jc w:val="center"/>
                    <w:rPr>
                      <w:rFonts w:hint="eastAsia" w:eastAsia="宋体"/>
                      <w:color w:val="auto"/>
                      <w:szCs w:val="21"/>
                      <w:u w:val="none"/>
                      <w:lang w:val="en-US" w:eastAsia="zh-CN"/>
                    </w:rPr>
                  </w:pPr>
                  <w:r>
                    <w:rPr>
                      <w:color w:val="auto"/>
                      <w:szCs w:val="21"/>
                      <w:u w:val="none"/>
                    </w:rPr>
                    <w:t xml:space="preserve"> </w:t>
                  </w:r>
                  <w:r>
                    <w:rPr>
                      <w:rFonts w:hint="eastAsia" w:hAnsi="宋体"/>
                      <w:color w:val="auto"/>
                      <w:szCs w:val="21"/>
                      <w:u w:val="none"/>
                      <w:lang w:val="en-US" w:eastAsia="zh-CN"/>
                    </w:rPr>
                    <w:t>昼间</w:t>
                  </w:r>
                </w:p>
              </w:tc>
              <w:tc>
                <w:tcPr>
                  <w:tcW w:w="884" w:type="pct"/>
                  <w:tcBorders>
                    <w:tl2br w:val="nil"/>
                    <w:tr2bl w:val="nil"/>
                  </w:tcBorders>
                  <w:noWrap w:val="0"/>
                  <w:vAlign w:val="center"/>
                </w:tcPr>
                <w:p>
                  <w:pPr>
                    <w:jc w:val="center"/>
                    <w:rPr>
                      <w:rFonts w:hint="eastAsia" w:hAnsi="宋体"/>
                      <w:color w:val="auto"/>
                      <w:szCs w:val="21"/>
                      <w:u w:val="none"/>
                      <w:lang w:val="en-US" w:eastAsia="zh-CN"/>
                    </w:rPr>
                  </w:pPr>
                  <w:r>
                    <w:rPr>
                      <w:rFonts w:hint="eastAsia" w:hAnsi="宋体"/>
                      <w:color w:val="auto"/>
                      <w:szCs w:val="21"/>
                      <w:u w:val="none"/>
                      <w:lang w:val="en-US" w:eastAsia="zh-CN"/>
                    </w:rPr>
                    <w:t>夜间</w:t>
                  </w:r>
                </w:p>
              </w:tc>
              <w:tc>
                <w:tcPr>
                  <w:tcW w:w="882" w:type="pct"/>
                  <w:tcBorders>
                    <w:tl2br w:val="nil"/>
                    <w:tr2bl w:val="nil"/>
                  </w:tcBorders>
                  <w:noWrap w:val="0"/>
                  <w:vAlign w:val="center"/>
                </w:tcPr>
                <w:p>
                  <w:pPr>
                    <w:jc w:val="center"/>
                    <w:rPr>
                      <w:rFonts w:hint="eastAsia"/>
                      <w:color w:val="auto"/>
                      <w:szCs w:val="21"/>
                      <w:u w:val="none"/>
                      <w:lang w:eastAsia="zh-CN"/>
                    </w:rPr>
                  </w:pPr>
                  <w:r>
                    <w:rPr>
                      <w:rFonts w:hint="eastAsia"/>
                      <w:color w:val="auto"/>
                      <w:szCs w:val="21"/>
                      <w:u w:val="none"/>
                      <w:lang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restart"/>
                  <w:tcBorders>
                    <w:tl2br w:val="nil"/>
                    <w:tr2bl w:val="nil"/>
                  </w:tcBorders>
                  <w:noWrap w:val="0"/>
                  <w:vAlign w:val="center"/>
                </w:tcPr>
                <w:p>
                  <w:pPr>
                    <w:jc w:val="center"/>
                    <w:rPr>
                      <w:rFonts w:hint="eastAsia" w:eastAsia="宋体"/>
                      <w:color w:val="auto"/>
                      <w:u w:val="none"/>
                      <w:lang w:val="en-US" w:eastAsia="zh-CN"/>
                    </w:rPr>
                  </w:pPr>
                  <w:r>
                    <w:rPr>
                      <w:rFonts w:hint="default" w:ascii="Times New Roman" w:hAnsi="Times New Roman" w:cs="Times New Roman"/>
                      <w:u w:val="none"/>
                    </w:rPr>
                    <w:t>N1</w:t>
                  </w:r>
                </w:p>
              </w:tc>
              <w:tc>
                <w:tcPr>
                  <w:tcW w:w="793" w:type="pct"/>
                  <w:gridSpan w:val="2"/>
                  <w:vMerge w:val="restart"/>
                  <w:tcBorders>
                    <w:tl2br w:val="nil"/>
                    <w:tr2bl w:val="nil"/>
                  </w:tcBorders>
                  <w:noWrap w:val="0"/>
                  <w:vAlign w:val="center"/>
                </w:tcPr>
                <w:p>
                  <w:pPr>
                    <w:jc w:val="center"/>
                    <w:rPr>
                      <w:rFonts w:hint="default" w:hAnsi="宋体" w:eastAsia="宋体"/>
                      <w:color w:val="auto"/>
                      <w:szCs w:val="21"/>
                      <w:u w:val="none"/>
                      <w:lang w:val="en-US" w:eastAsia="zh-CN"/>
                    </w:rPr>
                  </w:pPr>
                  <w:r>
                    <w:rPr>
                      <w:rFonts w:hint="eastAsia" w:hAnsi="宋体" w:eastAsia="宋体"/>
                      <w:color w:val="auto"/>
                      <w:szCs w:val="21"/>
                      <w:u w:val="none"/>
                      <w:lang w:val="en-US" w:eastAsia="zh-CN"/>
                    </w:rPr>
                    <w:t>项目东侧外1m处</w:t>
                  </w:r>
                </w:p>
              </w:tc>
              <w:tc>
                <w:tcPr>
                  <w:tcW w:w="829" w:type="pct"/>
                  <w:gridSpan w:val="2"/>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color w:val="auto"/>
                      <w:u w:val="none"/>
                      <w:lang w:val="en-US" w:eastAsia="zh-CN"/>
                    </w:rPr>
                    <w:t>5月26日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51</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42</w:t>
                  </w:r>
                </w:p>
              </w:tc>
              <w:tc>
                <w:tcPr>
                  <w:tcW w:w="882" w:type="pct"/>
                  <w:vMerge w:val="restart"/>
                  <w:tcBorders>
                    <w:tl2br w:val="nil"/>
                    <w:tr2bl w:val="nil"/>
                  </w:tcBorders>
                  <w:noWrap w:val="0"/>
                  <w:vAlign w:val="center"/>
                </w:tcPr>
                <w:p>
                  <w:pPr>
                    <w:jc w:val="center"/>
                    <w:rPr>
                      <w:rFonts w:hint="eastAsia" w:hAnsi="宋体"/>
                      <w:b w:val="0"/>
                      <w:bCs w:val="0"/>
                      <w:color w:val="auto"/>
                      <w:szCs w:val="21"/>
                      <w:u w:val="none"/>
                      <w:lang w:val="en-US" w:eastAsia="zh-CN"/>
                    </w:rPr>
                  </w:pPr>
                  <w:r>
                    <w:rPr>
                      <w:rFonts w:hint="eastAsia" w:hAnsi="宋体"/>
                      <w:b w:val="0"/>
                      <w:bCs w:val="0"/>
                      <w:color w:val="auto"/>
                      <w:szCs w:val="21"/>
                      <w:u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continue"/>
                  <w:tcBorders>
                    <w:tl2br w:val="nil"/>
                    <w:tr2bl w:val="nil"/>
                  </w:tcBorders>
                  <w:noWrap w:val="0"/>
                  <w:vAlign w:val="center"/>
                </w:tcPr>
                <w:p>
                  <w:pPr>
                    <w:jc w:val="center"/>
                    <w:rPr>
                      <w:rFonts w:hint="default" w:ascii="Times New Roman" w:hAnsi="Times New Roman" w:cs="Times New Roman"/>
                      <w:u w:val="none"/>
                    </w:rPr>
                  </w:pPr>
                </w:p>
              </w:tc>
              <w:tc>
                <w:tcPr>
                  <w:tcW w:w="793" w:type="pct"/>
                  <w:gridSpan w:val="2"/>
                  <w:vMerge w:val="continue"/>
                  <w:tcBorders>
                    <w:tl2br w:val="nil"/>
                    <w:tr2bl w:val="nil"/>
                  </w:tcBorders>
                  <w:noWrap w:val="0"/>
                  <w:vAlign w:val="center"/>
                </w:tcPr>
                <w:p>
                  <w:pPr>
                    <w:jc w:val="center"/>
                    <w:rPr>
                      <w:rFonts w:hint="eastAsia" w:hAnsi="宋体" w:eastAsia="宋体"/>
                      <w:color w:val="auto"/>
                      <w:szCs w:val="21"/>
                      <w:u w:val="none"/>
                      <w:lang w:val="en-US" w:eastAsia="zh-CN"/>
                    </w:rPr>
                  </w:pPr>
                </w:p>
              </w:tc>
              <w:tc>
                <w:tcPr>
                  <w:tcW w:w="829" w:type="pct"/>
                  <w:gridSpan w:val="2"/>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color w:val="auto"/>
                      <w:u w:val="none"/>
                      <w:lang w:val="en-US" w:eastAsia="zh-CN"/>
                    </w:rPr>
                    <w:t>5月27日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52</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42</w:t>
                  </w:r>
                </w:p>
              </w:tc>
              <w:tc>
                <w:tcPr>
                  <w:tcW w:w="882" w:type="pct"/>
                  <w:vMerge w:val="continue"/>
                  <w:tcBorders>
                    <w:tl2br w:val="nil"/>
                    <w:tr2bl w:val="nil"/>
                  </w:tcBorders>
                  <w:noWrap w:val="0"/>
                  <w:vAlign w:val="center"/>
                </w:tcPr>
                <w:p>
                  <w:pPr>
                    <w:jc w:val="center"/>
                    <w:rPr>
                      <w:rFonts w:hint="eastAsia" w:hAnsi="宋体"/>
                      <w:b w:val="0"/>
                      <w:bCs w:val="0"/>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restart"/>
                  <w:tcBorders>
                    <w:tl2br w:val="nil"/>
                    <w:tr2bl w:val="nil"/>
                  </w:tcBorders>
                  <w:noWrap w:val="0"/>
                  <w:vAlign w:val="center"/>
                </w:tcPr>
                <w:p>
                  <w:pPr>
                    <w:jc w:val="center"/>
                    <w:rPr>
                      <w:rFonts w:hint="default" w:ascii="Times New Roman" w:hAnsi="Times New Roman" w:cs="Times New Roman"/>
                      <w:szCs w:val="21"/>
                      <w:u w:val="none"/>
                    </w:rPr>
                  </w:pPr>
                  <w:r>
                    <w:rPr>
                      <w:rFonts w:hint="default" w:ascii="Times New Roman" w:hAnsi="Times New Roman" w:cs="Times New Roman"/>
                      <w:u w:val="none"/>
                    </w:rPr>
                    <w:t>N2</w:t>
                  </w:r>
                </w:p>
              </w:tc>
              <w:tc>
                <w:tcPr>
                  <w:tcW w:w="793" w:type="pct"/>
                  <w:gridSpan w:val="2"/>
                  <w:vMerge w:val="restart"/>
                  <w:tcBorders>
                    <w:tl2br w:val="nil"/>
                    <w:tr2bl w:val="nil"/>
                  </w:tcBorders>
                  <w:noWrap w:val="0"/>
                  <w:vAlign w:val="center"/>
                </w:tcPr>
                <w:p>
                  <w:pPr>
                    <w:jc w:val="center"/>
                    <w:rPr>
                      <w:rFonts w:hint="eastAsia" w:ascii="Times New Roman" w:hAnsi="Times New Roman" w:cs="Times New Roman"/>
                      <w:szCs w:val="21"/>
                      <w:u w:val="none"/>
                      <w:lang w:val="en-US" w:eastAsia="zh-CN"/>
                    </w:rPr>
                  </w:pPr>
                  <w:r>
                    <w:rPr>
                      <w:rFonts w:hint="eastAsia" w:hAnsi="宋体" w:eastAsia="宋体"/>
                      <w:color w:val="auto"/>
                      <w:szCs w:val="21"/>
                      <w:u w:val="none"/>
                      <w:lang w:val="en-US" w:eastAsia="zh-CN"/>
                    </w:rPr>
                    <w:t>项目南侧外1m处</w:t>
                  </w:r>
                </w:p>
              </w:tc>
              <w:tc>
                <w:tcPr>
                  <w:tcW w:w="829" w:type="pct"/>
                  <w:gridSpan w:val="2"/>
                  <w:tcBorders>
                    <w:tl2br w:val="nil"/>
                    <w:tr2bl w:val="nil"/>
                  </w:tcBorders>
                  <w:noWrap w:val="0"/>
                  <w:vAlign w:val="center"/>
                </w:tcPr>
                <w:p>
                  <w:pPr>
                    <w:jc w:val="center"/>
                    <w:rPr>
                      <w:rFonts w:hint="eastAsia" w:ascii="Calibri" w:hAnsi="宋体" w:eastAsia="宋体" w:cs="Times New Roman"/>
                      <w:color w:val="auto"/>
                      <w:kern w:val="2"/>
                      <w:sz w:val="21"/>
                      <w:szCs w:val="21"/>
                      <w:u w:val="none"/>
                      <w:lang w:val="en-US" w:eastAsia="zh-CN" w:bidi="ar-SA"/>
                    </w:rPr>
                  </w:pPr>
                  <w:r>
                    <w:rPr>
                      <w:rFonts w:hint="eastAsia"/>
                      <w:color w:val="auto"/>
                      <w:u w:val="none"/>
                      <w:lang w:val="en-US" w:eastAsia="zh-CN"/>
                    </w:rPr>
                    <w:t>5月26日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51</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41</w:t>
                  </w:r>
                </w:p>
              </w:tc>
              <w:tc>
                <w:tcPr>
                  <w:tcW w:w="882" w:type="pct"/>
                  <w:vMerge w:val="restart"/>
                  <w:tcBorders>
                    <w:tl2br w:val="nil"/>
                    <w:tr2bl w:val="nil"/>
                  </w:tcBorders>
                  <w:noWrap w:val="0"/>
                  <w:vAlign w:val="center"/>
                </w:tcPr>
                <w:p>
                  <w:pPr>
                    <w:jc w:val="center"/>
                    <w:rPr>
                      <w:rFonts w:hint="eastAsia" w:hAnsi="宋体"/>
                      <w:b w:val="0"/>
                      <w:bCs w:val="0"/>
                      <w:color w:val="auto"/>
                      <w:szCs w:val="21"/>
                      <w:u w:val="none"/>
                      <w:lang w:val="en-US" w:eastAsia="zh-CN"/>
                    </w:rPr>
                  </w:pPr>
                  <w:r>
                    <w:rPr>
                      <w:rFonts w:hint="eastAsia" w:hAnsi="宋体"/>
                      <w:b w:val="0"/>
                      <w:bCs w:val="0"/>
                      <w:color w:val="auto"/>
                      <w:szCs w:val="21"/>
                      <w:u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continue"/>
                  <w:tcBorders>
                    <w:tl2br w:val="nil"/>
                    <w:tr2bl w:val="nil"/>
                  </w:tcBorders>
                  <w:noWrap w:val="0"/>
                  <w:vAlign w:val="center"/>
                </w:tcPr>
                <w:p>
                  <w:pPr>
                    <w:jc w:val="center"/>
                    <w:rPr>
                      <w:rFonts w:hint="default" w:ascii="Times New Roman" w:hAnsi="Times New Roman" w:cs="Times New Roman"/>
                      <w:u w:val="none"/>
                    </w:rPr>
                  </w:pPr>
                </w:p>
              </w:tc>
              <w:tc>
                <w:tcPr>
                  <w:tcW w:w="793" w:type="pct"/>
                  <w:gridSpan w:val="2"/>
                  <w:vMerge w:val="continue"/>
                  <w:tcBorders>
                    <w:tl2br w:val="nil"/>
                    <w:tr2bl w:val="nil"/>
                  </w:tcBorders>
                  <w:noWrap w:val="0"/>
                  <w:vAlign w:val="center"/>
                </w:tcPr>
                <w:p>
                  <w:pPr>
                    <w:jc w:val="center"/>
                    <w:rPr>
                      <w:rFonts w:hint="eastAsia" w:hAnsi="宋体" w:eastAsia="宋体"/>
                      <w:color w:val="auto"/>
                      <w:szCs w:val="21"/>
                      <w:u w:val="none"/>
                      <w:lang w:val="en-US" w:eastAsia="zh-CN"/>
                    </w:rPr>
                  </w:pPr>
                </w:p>
              </w:tc>
              <w:tc>
                <w:tcPr>
                  <w:tcW w:w="829" w:type="pct"/>
                  <w:gridSpan w:val="2"/>
                  <w:tcBorders>
                    <w:tl2br w:val="nil"/>
                    <w:tr2bl w:val="nil"/>
                  </w:tcBorders>
                  <w:noWrap w:val="0"/>
                  <w:vAlign w:val="center"/>
                </w:tcPr>
                <w:p>
                  <w:pPr>
                    <w:jc w:val="center"/>
                    <w:rPr>
                      <w:rFonts w:hint="eastAsia" w:ascii="Calibri" w:hAnsi="宋体" w:eastAsia="宋体" w:cs="Times New Roman"/>
                      <w:color w:val="auto"/>
                      <w:kern w:val="2"/>
                      <w:sz w:val="21"/>
                      <w:szCs w:val="21"/>
                      <w:u w:val="none"/>
                      <w:lang w:val="en-US" w:eastAsia="zh-CN" w:bidi="ar-SA"/>
                    </w:rPr>
                  </w:pPr>
                  <w:r>
                    <w:rPr>
                      <w:rFonts w:hint="eastAsia"/>
                      <w:color w:val="auto"/>
                      <w:u w:val="none"/>
                      <w:lang w:val="en-US" w:eastAsia="zh-CN"/>
                    </w:rPr>
                    <w:t>5月27日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50</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41</w:t>
                  </w:r>
                </w:p>
              </w:tc>
              <w:tc>
                <w:tcPr>
                  <w:tcW w:w="882" w:type="pct"/>
                  <w:vMerge w:val="continue"/>
                  <w:tcBorders>
                    <w:tl2br w:val="nil"/>
                    <w:tr2bl w:val="nil"/>
                  </w:tcBorders>
                  <w:noWrap w:val="0"/>
                  <w:vAlign w:val="center"/>
                </w:tcPr>
                <w:p>
                  <w:pPr>
                    <w:jc w:val="center"/>
                    <w:rPr>
                      <w:rFonts w:hint="eastAsia" w:hAnsi="宋体"/>
                      <w:b w:val="0"/>
                      <w:bCs w:val="0"/>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restart"/>
                  <w:tcBorders>
                    <w:tl2br w:val="nil"/>
                    <w:tr2bl w:val="nil"/>
                  </w:tcBorders>
                  <w:noWrap w:val="0"/>
                  <w:vAlign w:val="center"/>
                </w:tcPr>
                <w:p>
                  <w:pPr>
                    <w:jc w:val="center"/>
                    <w:rPr>
                      <w:rFonts w:hint="default" w:ascii="Times New Roman" w:hAnsi="Times New Roman" w:cs="Times New Roman"/>
                      <w:szCs w:val="21"/>
                      <w:u w:val="none"/>
                    </w:rPr>
                  </w:pPr>
                  <w:r>
                    <w:rPr>
                      <w:rFonts w:hint="default" w:ascii="Times New Roman" w:hAnsi="Times New Roman" w:cs="Times New Roman"/>
                      <w:u w:val="none"/>
                    </w:rPr>
                    <w:t>N3</w:t>
                  </w:r>
                </w:p>
              </w:tc>
              <w:tc>
                <w:tcPr>
                  <w:tcW w:w="793" w:type="pct"/>
                  <w:gridSpan w:val="2"/>
                  <w:vMerge w:val="restart"/>
                  <w:tcBorders>
                    <w:tl2br w:val="nil"/>
                    <w:tr2bl w:val="nil"/>
                  </w:tcBorders>
                  <w:noWrap w:val="0"/>
                  <w:vAlign w:val="center"/>
                </w:tcPr>
                <w:p>
                  <w:pPr>
                    <w:jc w:val="center"/>
                    <w:rPr>
                      <w:rFonts w:hint="eastAsia" w:ascii="Times New Roman" w:hAnsi="Times New Roman" w:cs="Times New Roman"/>
                      <w:szCs w:val="21"/>
                      <w:u w:val="none"/>
                      <w:lang w:val="en-US" w:eastAsia="zh-CN"/>
                    </w:rPr>
                  </w:pPr>
                  <w:r>
                    <w:rPr>
                      <w:rFonts w:hint="eastAsia" w:hAnsi="宋体" w:eastAsia="宋体"/>
                      <w:color w:val="auto"/>
                      <w:szCs w:val="21"/>
                      <w:u w:val="none"/>
                      <w:lang w:val="en-US" w:eastAsia="zh-CN"/>
                    </w:rPr>
                    <w:t>项目西侧外1m处</w:t>
                  </w:r>
                </w:p>
              </w:tc>
              <w:tc>
                <w:tcPr>
                  <w:tcW w:w="829" w:type="pct"/>
                  <w:gridSpan w:val="2"/>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color w:val="auto"/>
                      <w:u w:val="none"/>
                      <w:lang w:val="en-US" w:eastAsia="zh-CN"/>
                    </w:rPr>
                    <w:t>5月26日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51</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42</w:t>
                  </w:r>
                </w:p>
              </w:tc>
              <w:tc>
                <w:tcPr>
                  <w:tcW w:w="882" w:type="pct"/>
                  <w:vMerge w:val="restart"/>
                  <w:tcBorders>
                    <w:tl2br w:val="nil"/>
                    <w:tr2bl w:val="nil"/>
                  </w:tcBorders>
                  <w:noWrap w:val="0"/>
                  <w:vAlign w:val="center"/>
                </w:tcPr>
                <w:p>
                  <w:pPr>
                    <w:jc w:val="center"/>
                    <w:rPr>
                      <w:rFonts w:hint="eastAsia" w:hAnsi="宋体"/>
                      <w:b w:val="0"/>
                      <w:bCs w:val="0"/>
                      <w:color w:val="auto"/>
                      <w:szCs w:val="21"/>
                      <w:u w:val="none"/>
                      <w:lang w:val="en-US" w:eastAsia="zh-CN"/>
                    </w:rPr>
                  </w:pPr>
                  <w:r>
                    <w:rPr>
                      <w:rFonts w:hint="eastAsia" w:hAnsi="宋体"/>
                      <w:b w:val="0"/>
                      <w:bCs w:val="0"/>
                      <w:color w:val="auto"/>
                      <w:szCs w:val="21"/>
                      <w:u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continue"/>
                  <w:tcBorders>
                    <w:tl2br w:val="nil"/>
                    <w:tr2bl w:val="nil"/>
                  </w:tcBorders>
                  <w:noWrap w:val="0"/>
                  <w:vAlign w:val="center"/>
                </w:tcPr>
                <w:p>
                  <w:pPr>
                    <w:jc w:val="center"/>
                    <w:rPr>
                      <w:rFonts w:hint="default" w:ascii="Times New Roman" w:hAnsi="Times New Roman" w:cs="Times New Roman"/>
                      <w:u w:val="none"/>
                    </w:rPr>
                  </w:pPr>
                </w:p>
              </w:tc>
              <w:tc>
                <w:tcPr>
                  <w:tcW w:w="793" w:type="pct"/>
                  <w:gridSpan w:val="2"/>
                  <w:vMerge w:val="continue"/>
                  <w:tcBorders>
                    <w:tl2br w:val="nil"/>
                    <w:tr2bl w:val="nil"/>
                  </w:tcBorders>
                  <w:noWrap w:val="0"/>
                  <w:vAlign w:val="center"/>
                </w:tcPr>
                <w:p>
                  <w:pPr>
                    <w:jc w:val="center"/>
                    <w:rPr>
                      <w:rFonts w:hint="eastAsia" w:hAnsi="宋体" w:eastAsia="宋体"/>
                      <w:color w:val="auto"/>
                      <w:szCs w:val="21"/>
                      <w:u w:val="none"/>
                      <w:lang w:val="en-US" w:eastAsia="zh-CN"/>
                    </w:rPr>
                  </w:pPr>
                </w:p>
              </w:tc>
              <w:tc>
                <w:tcPr>
                  <w:tcW w:w="829" w:type="pct"/>
                  <w:gridSpan w:val="2"/>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color w:val="auto"/>
                      <w:u w:val="none"/>
                      <w:lang w:val="en-US" w:eastAsia="zh-CN"/>
                    </w:rPr>
                    <w:t>5月27日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51</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41</w:t>
                  </w:r>
                </w:p>
              </w:tc>
              <w:tc>
                <w:tcPr>
                  <w:tcW w:w="882" w:type="pct"/>
                  <w:vMerge w:val="continue"/>
                  <w:tcBorders>
                    <w:tl2br w:val="nil"/>
                    <w:tr2bl w:val="nil"/>
                  </w:tcBorders>
                  <w:noWrap w:val="0"/>
                  <w:vAlign w:val="center"/>
                </w:tcPr>
                <w:p>
                  <w:pPr>
                    <w:jc w:val="center"/>
                    <w:rPr>
                      <w:rFonts w:hint="eastAsia" w:hAnsi="宋体"/>
                      <w:b w:val="0"/>
                      <w:bCs w:val="0"/>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pct"/>
                  <w:vMerge w:val="restart"/>
                  <w:tcBorders>
                    <w:tl2br w:val="nil"/>
                    <w:tr2bl w:val="nil"/>
                  </w:tcBorders>
                  <w:noWrap w:val="0"/>
                  <w:vAlign w:val="center"/>
                </w:tcPr>
                <w:p>
                  <w:pPr>
                    <w:jc w:val="center"/>
                    <w:rPr>
                      <w:rFonts w:hint="default" w:ascii="Times New Roman" w:hAnsi="Times New Roman" w:cs="Times New Roman"/>
                      <w:szCs w:val="21"/>
                      <w:u w:val="none"/>
                    </w:rPr>
                  </w:pPr>
                  <w:r>
                    <w:rPr>
                      <w:rFonts w:hint="default" w:ascii="Times New Roman" w:hAnsi="Times New Roman" w:cs="Times New Roman"/>
                      <w:u w:val="none"/>
                    </w:rPr>
                    <w:t>N4</w:t>
                  </w:r>
                </w:p>
              </w:tc>
              <w:tc>
                <w:tcPr>
                  <w:tcW w:w="793" w:type="pct"/>
                  <w:gridSpan w:val="2"/>
                  <w:vMerge w:val="restart"/>
                  <w:tcBorders>
                    <w:tl2br w:val="nil"/>
                    <w:tr2bl w:val="nil"/>
                  </w:tcBorders>
                  <w:noWrap w:val="0"/>
                  <w:vAlign w:val="center"/>
                </w:tcPr>
                <w:p>
                  <w:pPr>
                    <w:jc w:val="center"/>
                    <w:rPr>
                      <w:rFonts w:hint="eastAsia" w:ascii="Times New Roman" w:hAnsi="Times New Roman" w:cs="Times New Roman"/>
                      <w:szCs w:val="21"/>
                      <w:u w:val="none"/>
                      <w:lang w:val="en-US" w:eastAsia="zh-CN"/>
                    </w:rPr>
                  </w:pPr>
                  <w:r>
                    <w:rPr>
                      <w:rFonts w:hint="eastAsia" w:hAnsi="宋体" w:eastAsia="宋体"/>
                      <w:color w:val="auto"/>
                      <w:szCs w:val="21"/>
                      <w:u w:val="none"/>
                      <w:lang w:val="en-US" w:eastAsia="zh-CN"/>
                    </w:rPr>
                    <w:t>项目北侧外1m处</w:t>
                  </w:r>
                </w:p>
              </w:tc>
              <w:tc>
                <w:tcPr>
                  <w:tcW w:w="829" w:type="pct"/>
                  <w:gridSpan w:val="2"/>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color w:val="auto"/>
                      <w:u w:val="none"/>
                      <w:lang w:val="en-US" w:eastAsia="zh-CN"/>
                    </w:rPr>
                    <w:t>5月26日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50</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41</w:t>
                  </w:r>
                </w:p>
              </w:tc>
              <w:tc>
                <w:tcPr>
                  <w:tcW w:w="882" w:type="pct"/>
                  <w:vMerge w:val="restart"/>
                  <w:tcBorders>
                    <w:tl2br w:val="nil"/>
                    <w:tr2bl w:val="nil"/>
                  </w:tcBorders>
                  <w:noWrap w:val="0"/>
                  <w:vAlign w:val="center"/>
                </w:tcPr>
                <w:p>
                  <w:pPr>
                    <w:jc w:val="center"/>
                    <w:rPr>
                      <w:rFonts w:hint="eastAsia" w:hAnsi="宋体"/>
                      <w:b w:val="0"/>
                      <w:bCs w:val="0"/>
                      <w:color w:val="auto"/>
                      <w:szCs w:val="21"/>
                      <w:u w:val="none"/>
                      <w:lang w:val="en-US" w:eastAsia="zh-CN"/>
                    </w:rPr>
                  </w:pPr>
                  <w:r>
                    <w:rPr>
                      <w:rFonts w:hint="eastAsia" w:hAnsi="宋体"/>
                      <w:b w:val="0"/>
                      <w:bCs w:val="0"/>
                      <w:color w:val="auto"/>
                      <w:szCs w:val="21"/>
                      <w:u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73" w:type="pct"/>
                  <w:vMerge w:val="continue"/>
                  <w:tcBorders>
                    <w:tl2br w:val="nil"/>
                    <w:tr2bl w:val="nil"/>
                  </w:tcBorders>
                  <w:noWrap w:val="0"/>
                  <w:vAlign w:val="center"/>
                </w:tcPr>
                <w:p>
                  <w:pPr>
                    <w:jc w:val="center"/>
                    <w:rPr>
                      <w:rFonts w:hint="default" w:ascii="Times New Roman" w:hAnsi="Times New Roman" w:cs="Times New Roman"/>
                      <w:u w:val="none"/>
                    </w:rPr>
                  </w:pPr>
                </w:p>
              </w:tc>
              <w:tc>
                <w:tcPr>
                  <w:tcW w:w="793" w:type="pct"/>
                  <w:gridSpan w:val="2"/>
                  <w:vMerge w:val="continue"/>
                  <w:tcBorders>
                    <w:tl2br w:val="nil"/>
                    <w:tr2bl w:val="nil"/>
                  </w:tcBorders>
                  <w:noWrap w:val="0"/>
                  <w:vAlign w:val="center"/>
                </w:tcPr>
                <w:p>
                  <w:pPr>
                    <w:jc w:val="center"/>
                    <w:rPr>
                      <w:rFonts w:hint="eastAsia" w:hAnsi="宋体" w:eastAsia="宋体"/>
                      <w:color w:val="auto"/>
                      <w:szCs w:val="21"/>
                      <w:u w:val="none"/>
                      <w:lang w:val="en-US" w:eastAsia="zh-CN"/>
                    </w:rPr>
                  </w:pPr>
                </w:p>
              </w:tc>
              <w:tc>
                <w:tcPr>
                  <w:tcW w:w="829" w:type="pct"/>
                  <w:gridSpan w:val="2"/>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color w:val="auto"/>
                      <w:u w:val="none"/>
                      <w:lang w:val="en-US" w:eastAsia="zh-CN"/>
                    </w:rPr>
                    <w:t>5月27日</w:t>
                  </w:r>
                </w:p>
              </w:tc>
              <w:tc>
                <w:tcPr>
                  <w:tcW w:w="938"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51</w:t>
                  </w:r>
                </w:p>
              </w:tc>
              <w:tc>
                <w:tcPr>
                  <w:tcW w:w="884" w:type="pct"/>
                  <w:tcBorders>
                    <w:tl2br w:val="nil"/>
                    <w:tr2bl w:val="nil"/>
                  </w:tcBorders>
                  <w:noWrap w:val="0"/>
                  <w:vAlign w:val="center"/>
                </w:tcPr>
                <w:p>
                  <w:pPr>
                    <w:jc w:val="center"/>
                    <w:rPr>
                      <w:rFonts w:hint="default" w:ascii="Times New Roman" w:hAnsi="Times New Roman" w:eastAsia="宋体" w:cs="Times New Roman"/>
                      <w:b w:val="0"/>
                      <w:bCs w:val="0"/>
                      <w:color w:val="auto"/>
                      <w:kern w:val="2"/>
                      <w:sz w:val="21"/>
                      <w:szCs w:val="21"/>
                      <w:u w:val="none"/>
                      <w:lang w:val="en-US" w:eastAsia="zh-CN" w:bidi="ar-SA"/>
                    </w:rPr>
                  </w:pPr>
                  <w:r>
                    <w:rPr>
                      <w:rFonts w:hint="eastAsia" w:ascii="Times New Roman" w:hAnsi="Times New Roman" w:eastAsia="宋体" w:cs="Times New Roman"/>
                      <w:b w:val="0"/>
                      <w:bCs w:val="0"/>
                      <w:color w:val="auto"/>
                      <w:kern w:val="2"/>
                      <w:sz w:val="21"/>
                      <w:szCs w:val="21"/>
                      <w:u w:val="none"/>
                      <w:lang w:val="en-US" w:eastAsia="zh-CN" w:bidi="ar-SA"/>
                    </w:rPr>
                    <w:t>41</w:t>
                  </w:r>
                </w:p>
              </w:tc>
              <w:tc>
                <w:tcPr>
                  <w:tcW w:w="882" w:type="pct"/>
                  <w:vMerge w:val="continue"/>
                  <w:tcBorders>
                    <w:tl2br w:val="nil"/>
                    <w:tr2bl w:val="nil"/>
                  </w:tcBorders>
                  <w:noWrap w:val="0"/>
                  <w:vAlign w:val="center"/>
                </w:tcPr>
                <w:p>
                  <w:pPr>
                    <w:jc w:val="center"/>
                    <w:rPr>
                      <w:rFonts w:hint="eastAsia" w:hAnsi="宋体"/>
                      <w:b w:val="0"/>
                      <w:bCs w:val="0"/>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5" w:type="pct"/>
                  <w:gridSpan w:val="5"/>
                  <w:tcBorders>
                    <w:tl2br w:val="nil"/>
                    <w:tr2bl w:val="nil"/>
                  </w:tcBorders>
                  <w:noWrap w:val="0"/>
                  <w:vAlign w:val="center"/>
                </w:tcPr>
                <w:p>
                  <w:pPr>
                    <w:jc w:val="center"/>
                    <w:rPr>
                      <w:rFonts w:hint="eastAsia" w:hAnsi="宋体" w:eastAsia="宋体"/>
                      <w:color w:val="auto"/>
                      <w:szCs w:val="21"/>
                      <w:u w:val="none"/>
                      <w:lang w:val="en-US" w:eastAsia="zh-CN"/>
                    </w:rPr>
                  </w:pPr>
                  <w:r>
                    <w:rPr>
                      <w:rFonts w:hint="eastAsia" w:ascii="Times New Roman" w:hAnsi="Times New Roman" w:cs="Times New Roman"/>
                      <w:szCs w:val="21"/>
                      <w:u w:val="none"/>
                      <w:lang w:eastAsia="zh-CN"/>
                    </w:rPr>
                    <w:t>标准值</w:t>
                  </w:r>
                </w:p>
              </w:tc>
              <w:tc>
                <w:tcPr>
                  <w:tcW w:w="938" w:type="pct"/>
                  <w:tcBorders>
                    <w:tl2br w:val="nil"/>
                    <w:tr2bl w:val="nil"/>
                  </w:tcBorders>
                  <w:noWrap w:val="0"/>
                  <w:vAlign w:val="center"/>
                </w:tcPr>
                <w:p>
                  <w:pPr>
                    <w:jc w:val="center"/>
                    <w:rPr>
                      <w:rFonts w:hint="default" w:ascii="Times New Roman" w:hAnsi="Times New Roman"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6</w:t>
                  </w:r>
                  <w:r>
                    <w:rPr>
                      <w:rFonts w:hint="eastAsia" w:ascii="Times New Roman" w:hAnsi="Times New Roman" w:cs="Times New Roman"/>
                      <w:b w:val="0"/>
                      <w:bCs w:val="0"/>
                      <w:color w:val="auto"/>
                      <w:szCs w:val="21"/>
                      <w:u w:val="none"/>
                      <w:lang w:val="en-US" w:eastAsia="zh-CN"/>
                    </w:rPr>
                    <w:t>5</w:t>
                  </w:r>
                </w:p>
              </w:tc>
              <w:tc>
                <w:tcPr>
                  <w:tcW w:w="884" w:type="pct"/>
                  <w:tcBorders>
                    <w:tl2br w:val="nil"/>
                    <w:tr2bl w:val="nil"/>
                  </w:tcBorders>
                  <w:noWrap w:val="0"/>
                  <w:vAlign w:val="center"/>
                </w:tcPr>
                <w:p>
                  <w:pPr>
                    <w:jc w:val="center"/>
                    <w:rPr>
                      <w:rFonts w:hint="default" w:ascii="Times New Roman" w:hAnsi="Times New Roman" w:cs="Times New Roman"/>
                      <w:b w:val="0"/>
                      <w:bCs w:val="0"/>
                      <w:color w:val="auto"/>
                      <w:szCs w:val="21"/>
                      <w:u w:val="none"/>
                      <w:lang w:val="en-US" w:eastAsia="zh-CN"/>
                    </w:rPr>
                  </w:pPr>
                  <w:r>
                    <w:rPr>
                      <w:rFonts w:hint="default" w:ascii="Times New Roman" w:hAnsi="Times New Roman" w:cs="Times New Roman"/>
                      <w:b w:val="0"/>
                      <w:bCs w:val="0"/>
                      <w:color w:val="auto"/>
                      <w:szCs w:val="21"/>
                      <w:u w:val="none"/>
                      <w:lang w:val="en-US" w:eastAsia="zh-CN"/>
                    </w:rPr>
                    <w:t>5</w:t>
                  </w:r>
                  <w:r>
                    <w:rPr>
                      <w:rFonts w:hint="eastAsia" w:ascii="Times New Roman" w:hAnsi="Times New Roman" w:cs="Times New Roman"/>
                      <w:b w:val="0"/>
                      <w:bCs w:val="0"/>
                      <w:color w:val="auto"/>
                      <w:szCs w:val="21"/>
                      <w:u w:val="none"/>
                      <w:lang w:val="en-US" w:eastAsia="zh-CN"/>
                    </w:rPr>
                    <w:t>5</w:t>
                  </w:r>
                </w:p>
              </w:tc>
              <w:tc>
                <w:tcPr>
                  <w:tcW w:w="882" w:type="pct"/>
                  <w:tcBorders>
                    <w:tl2br w:val="nil"/>
                    <w:tr2bl w:val="nil"/>
                  </w:tcBorders>
                  <w:noWrap w:val="0"/>
                  <w:vAlign w:val="center"/>
                </w:tcPr>
                <w:p>
                  <w:pPr>
                    <w:jc w:val="center"/>
                    <w:rPr>
                      <w:rFonts w:hint="eastAsia" w:hAnsi="宋体"/>
                      <w:b w:val="0"/>
                      <w:bCs w:val="0"/>
                      <w:color w:val="auto"/>
                      <w:szCs w:val="21"/>
                      <w:u w:val="none"/>
                      <w:lang w:val="en-US" w:eastAsia="zh-CN"/>
                    </w:rPr>
                  </w:pPr>
                  <w:r>
                    <w:rPr>
                      <w:rFonts w:hint="eastAsia" w:hAnsi="宋体"/>
                      <w:b w:val="0"/>
                      <w:bCs w:val="0"/>
                      <w:color w:val="auto"/>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pct"/>
                  <w:gridSpan w:val="2"/>
                  <w:tcBorders>
                    <w:tl2br w:val="nil"/>
                    <w:tr2bl w:val="nil"/>
                  </w:tcBorders>
                  <w:noWrap w:val="0"/>
                  <w:vAlign w:val="center"/>
                </w:tcPr>
                <w:p>
                  <w:pPr>
                    <w:spacing w:line="240" w:lineRule="auto"/>
                    <w:jc w:val="center"/>
                    <w:rPr>
                      <w:rFonts w:hint="eastAsia"/>
                      <w:color w:val="auto"/>
                      <w:kern w:val="2"/>
                      <w:sz w:val="21"/>
                      <w:szCs w:val="21"/>
                      <w:u w:val="none"/>
                      <w:lang w:val="en-US" w:eastAsia="zh-CN" w:bidi="ar-SA"/>
                    </w:rPr>
                  </w:pPr>
                  <w:r>
                    <w:rPr>
                      <w:color w:val="auto"/>
                      <w:szCs w:val="21"/>
                      <w:u w:val="none"/>
                    </w:rPr>
                    <w:t>点位序号</w:t>
                  </w:r>
                </w:p>
              </w:tc>
              <w:tc>
                <w:tcPr>
                  <w:tcW w:w="794" w:type="pct"/>
                  <w:gridSpan w:val="2"/>
                  <w:tcBorders>
                    <w:tl2br w:val="nil"/>
                    <w:tr2bl w:val="nil"/>
                  </w:tcBorders>
                  <w:noWrap w:val="0"/>
                  <w:vAlign w:val="center"/>
                </w:tcPr>
                <w:p>
                  <w:pPr>
                    <w:spacing w:line="240" w:lineRule="auto"/>
                    <w:jc w:val="center"/>
                    <w:rPr>
                      <w:rFonts w:hint="eastAsia" w:hAnsi="宋体" w:eastAsia="宋体"/>
                      <w:color w:val="auto"/>
                      <w:kern w:val="2"/>
                      <w:sz w:val="21"/>
                      <w:szCs w:val="21"/>
                      <w:u w:val="none"/>
                      <w:lang w:val="en-US" w:eastAsia="zh-CN" w:bidi="ar-SA"/>
                    </w:rPr>
                  </w:pPr>
                  <w:r>
                    <w:rPr>
                      <w:color w:val="auto"/>
                      <w:szCs w:val="21"/>
                      <w:u w:val="none"/>
                    </w:rPr>
                    <w:t>采样位置</w:t>
                  </w:r>
                </w:p>
              </w:tc>
              <w:tc>
                <w:tcPr>
                  <w:tcW w:w="805" w:type="pct"/>
                  <w:tcBorders>
                    <w:tl2br w:val="nil"/>
                    <w:tr2bl w:val="nil"/>
                  </w:tcBorders>
                  <w:noWrap w:val="0"/>
                  <w:vAlign w:val="center"/>
                </w:tcPr>
                <w:p>
                  <w:pPr>
                    <w:spacing w:line="240" w:lineRule="auto"/>
                    <w:jc w:val="center"/>
                    <w:rPr>
                      <w:rFonts w:hint="eastAsia" w:eastAsia="宋体"/>
                      <w:color w:val="auto"/>
                      <w:kern w:val="2"/>
                      <w:sz w:val="21"/>
                      <w:szCs w:val="21"/>
                      <w:u w:val="none"/>
                      <w:lang w:val="en-US" w:eastAsia="zh-CN" w:bidi="ar-SA"/>
                    </w:rPr>
                  </w:pPr>
                  <w:r>
                    <w:rPr>
                      <w:rFonts w:hint="eastAsia"/>
                      <w:color w:val="auto"/>
                      <w:szCs w:val="21"/>
                      <w:u w:val="none"/>
                      <w:lang w:eastAsia="zh-CN"/>
                    </w:rPr>
                    <w:t>监测日期</w:t>
                  </w:r>
                </w:p>
              </w:tc>
              <w:tc>
                <w:tcPr>
                  <w:tcW w:w="938" w:type="pct"/>
                  <w:tcBorders>
                    <w:tl2br w:val="nil"/>
                    <w:tr2bl w:val="nil"/>
                  </w:tcBorders>
                  <w:noWrap w:val="0"/>
                  <w:vAlign w:val="center"/>
                </w:tcPr>
                <w:p>
                  <w:pPr>
                    <w:jc w:val="center"/>
                    <w:rPr>
                      <w:rFonts w:hint="default" w:eastAsia="宋体"/>
                      <w:color w:val="auto"/>
                      <w:kern w:val="2"/>
                      <w:sz w:val="21"/>
                      <w:szCs w:val="21"/>
                      <w:u w:val="none"/>
                      <w:lang w:val="en-US" w:eastAsia="zh-CN" w:bidi="ar-SA"/>
                    </w:rPr>
                  </w:pPr>
                  <w:r>
                    <w:rPr>
                      <w:color w:val="auto"/>
                      <w:szCs w:val="21"/>
                      <w:u w:val="none"/>
                    </w:rPr>
                    <w:t xml:space="preserve"> </w:t>
                  </w:r>
                  <w:r>
                    <w:rPr>
                      <w:rFonts w:hint="eastAsia" w:hAnsi="宋体"/>
                      <w:color w:val="auto"/>
                      <w:szCs w:val="21"/>
                      <w:u w:val="none"/>
                      <w:lang w:val="en-US" w:eastAsia="zh-CN"/>
                    </w:rPr>
                    <w:t>昼间</w:t>
                  </w:r>
                </w:p>
              </w:tc>
              <w:tc>
                <w:tcPr>
                  <w:tcW w:w="884" w:type="pct"/>
                  <w:tcBorders>
                    <w:tl2br w:val="nil"/>
                    <w:tr2bl w:val="nil"/>
                  </w:tcBorders>
                  <w:noWrap w:val="0"/>
                  <w:vAlign w:val="center"/>
                </w:tcPr>
                <w:p>
                  <w:pPr>
                    <w:jc w:val="center"/>
                    <w:rPr>
                      <w:rFonts w:hint="default" w:hAnsi="宋体"/>
                      <w:color w:val="auto"/>
                      <w:kern w:val="2"/>
                      <w:sz w:val="21"/>
                      <w:szCs w:val="21"/>
                      <w:u w:val="none"/>
                      <w:lang w:val="en-US" w:eastAsia="zh-CN" w:bidi="ar-SA"/>
                    </w:rPr>
                  </w:pPr>
                  <w:r>
                    <w:rPr>
                      <w:rFonts w:hint="eastAsia" w:hAnsi="宋体"/>
                      <w:color w:val="auto"/>
                      <w:szCs w:val="21"/>
                      <w:u w:val="none"/>
                      <w:lang w:val="en-US" w:eastAsia="zh-CN"/>
                    </w:rPr>
                    <w:t>夜间</w:t>
                  </w:r>
                </w:p>
              </w:tc>
              <w:tc>
                <w:tcPr>
                  <w:tcW w:w="882" w:type="pct"/>
                  <w:tcBorders>
                    <w:tl2br w:val="nil"/>
                    <w:tr2bl w:val="nil"/>
                  </w:tcBorders>
                  <w:noWrap w:val="0"/>
                  <w:vAlign w:val="center"/>
                </w:tcPr>
                <w:p>
                  <w:pPr>
                    <w:jc w:val="center"/>
                    <w:rPr>
                      <w:rFonts w:hint="eastAsia"/>
                      <w:color w:val="auto"/>
                      <w:kern w:val="2"/>
                      <w:sz w:val="21"/>
                      <w:szCs w:val="21"/>
                      <w:u w:val="none"/>
                      <w:lang w:val="en-US" w:eastAsia="zh-CN" w:bidi="ar-SA"/>
                    </w:rPr>
                  </w:pPr>
                  <w:r>
                    <w:rPr>
                      <w:rFonts w:hint="eastAsia"/>
                      <w:color w:val="auto"/>
                      <w:szCs w:val="21"/>
                      <w:u w:val="none"/>
                      <w:lang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5" w:type="pct"/>
                  <w:gridSpan w:val="2"/>
                  <w:vMerge w:val="restart"/>
                  <w:tcBorders>
                    <w:tl2br w:val="nil"/>
                    <w:tr2bl w:val="nil"/>
                  </w:tcBorders>
                  <w:noWrap w:val="0"/>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N5</w:t>
                  </w:r>
                </w:p>
              </w:tc>
              <w:tc>
                <w:tcPr>
                  <w:tcW w:w="794" w:type="pct"/>
                  <w:gridSpan w:val="2"/>
                  <w:vMerge w:val="restart"/>
                  <w:tcBorders>
                    <w:tl2br w:val="nil"/>
                    <w:tr2bl w:val="nil"/>
                  </w:tcBorders>
                  <w:noWrap w:val="0"/>
                  <w:vAlign w:val="center"/>
                </w:tcPr>
                <w:p>
                  <w:pPr>
                    <w:spacing w:line="240" w:lineRule="auto"/>
                    <w:jc w:val="center"/>
                    <w:rPr>
                      <w:color w:val="auto"/>
                      <w:szCs w:val="21"/>
                      <w:u w:val="none"/>
                    </w:rPr>
                  </w:pPr>
                  <w:r>
                    <w:rPr>
                      <w:rFonts w:hint="eastAsia"/>
                      <w:color w:val="auto"/>
                      <w:szCs w:val="21"/>
                      <w:u w:val="none"/>
                    </w:rPr>
                    <w:t>项目西南侧居民点</w:t>
                  </w:r>
                </w:p>
              </w:tc>
              <w:tc>
                <w:tcPr>
                  <w:tcW w:w="805" w:type="pct"/>
                  <w:tcBorders>
                    <w:tl2br w:val="nil"/>
                    <w:tr2bl w:val="nil"/>
                  </w:tcBorders>
                  <w:noWrap w:val="0"/>
                  <w:vAlign w:val="center"/>
                </w:tcPr>
                <w:p>
                  <w:pPr>
                    <w:jc w:val="center"/>
                    <w:rPr>
                      <w:rFonts w:hint="eastAsia" w:hAnsi="宋体" w:eastAsia="宋体"/>
                      <w:color w:val="auto"/>
                      <w:kern w:val="2"/>
                      <w:sz w:val="21"/>
                      <w:szCs w:val="21"/>
                      <w:u w:val="none"/>
                      <w:lang w:val="en-US" w:eastAsia="zh-CN" w:bidi="ar-SA"/>
                    </w:rPr>
                  </w:pPr>
                  <w:r>
                    <w:rPr>
                      <w:rFonts w:hint="eastAsia"/>
                      <w:color w:val="auto"/>
                      <w:u w:val="none"/>
                      <w:lang w:val="en-US" w:eastAsia="zh-CN"/>
                    </w:rPr>
                    <w:t>5月26日</w:t>
                  </w:r>
                </w:p>
              </w:tc>
              <w:tc>
                <w:tcPr>
                  <w:tcW w:w="938" w:type="pct"/>
                  <w:tcBorders>
                    <w:tl2br w:val="nil"/>
                    <w:tr2bl w:val="nil"/>
                  </w:tcBorders>
                  <w:noWrap w:val="0"/>
                  <w:vAlign w:val="center"/>
                </w:tcPr>
                <w:p>
                  <w:pPr>
                    <w:jc w:val="center"/>
                    <w:rPr>
                      <w:rFonts w:hint="default" w:eastAsia="宋体"/>
                      <w:color w:val="auto"/>
                      <w:szCs w:val="21"/>
                      <w:u w:val="none"/>
                      <w:lang w:val="en-US" w:eastAsia="zh-CN"/>
                    </w:rPr>
                  </w:pPr>
                  <w:r>
                    <w:rPr>
                      <w:rFonts w:hint="eastAsia"/>
                      <w:color w:val="auto"/>
                      <w:szCs w:val="21"/>
                      <w:u w:val="none"/>
                      <w:lang w:val="en-US" w:eastAsia="zh-CN"/>
                    </w:rPr>
                    <w:t>51</w:t>
                  </w:r>
                </w:p>
              </w:tc>
              <w:tc>
                <w:tcPr>
                  <w:tcW w:w="884" w:type="pct"/>
                  <w:tcBorders>
                    <w:tl2br w:val="nil"/>
                    <w:tr2bl w:val="nil"/>
                  </w:tcBorders>
                  <w:noWrap w:val="0"/>
                  <w:vAlign w:val="center"/>
                </w:tcPr>
                <w:p>
                  <w:pPr>
                    <w:jc w:val="center"/>
                    <w:rPr>
                      <w:rFonts w:hint="default" w:hAnsi="宋体"/>
                      <w:color w:val="auto"/>
                      <w:szCs w:val="21"/>
                      <w:u w:val="none"/>
                      <w:lang w:val="en-US" w:eastAsia="zh-CN"/>
                    </w:rPr>
                  </w:pPr>
                  <w:r>
                    <w:rPr>
                      <w:rFonts w:hint="eastAsia" w:hAnsi="宋体"/>
                      <w:color w:val="auto"/>
                      <w:szCs w:val="21"/>
                      <w:u w:val="none"/>
                      <w:lang w:val="en-US" w:eastAsia="zh-CN"/>
                    </w:rPr>
                    <w:t>40</w:t>
                  </w:r>
                </w:p>
              </w:tc>
              <w:tc>
                <w:tcPr>
                  <w:tcW w:w="882" w:type="pct"/>
                  <w:vMerge w:val="restart"/>
                  <w:tcBorders>
                    <w:tl2br w:val="nil"/>
                    <w:tr2bl w:val="nil"/>
                  </w:tcBorders>
                  <w:noWrap w:val="0"/>
                  <w:vAlign w:val="center"/>
                </w:tcPr>
                <w:p>
                  <w:pPr>
                    <w:jc w:val="center"/>
                    <w:rPr>
                      <w:rFonts w:hint="eastAsia"/>
                      <w:color w:val="auto"/>
                      <w:szCs w:val="21"/>
                      <w:u w:val="none"/>
                      <w:lang w:eastAsia="zh-CN"/>
                    </w:rPr>
                  </w:pPr>
                  <w:r>
                    <w:rPr>
                      <w:rFonts w:hint="eastAsia" w:hAnsi="宋体"/>
                      <w:b w:val="0"/>
                      <w:bCs w:val="0"/>
                      <w:color w:val="auto"/>
                      <w:szCs w:val="21"/>
                      <w:u w:val="none"/>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95" w:type="pct"/>
                  <w:gridSpan w:val="2"/>
                  <w:vMerge w:val="continue"/>
                  <w:tcBorders>
                    <w:tl2br w:val="nil"/>
                    <w:tr2bl w:val="nil"/>
                  </w:tcBorders>
                  <w:noWrap w:val="0"/>
                  <w:vAlign w:val="center"/>
                </w:tcPr>
                <w:p>
                  <w:pPr>
                    <w:spacing w:line="240" w:lineRule="auto"/>
                    <w:jc w:val="center"/>
                    <w:rPr>
                      <w:color w:val="auto"/>
                      <w:szCs w:val="21"/>
                      <w:u w:val="none"/>
                    </w:rPr>
                  </w:pPr>
                </w:p>
              </w:tc>
              <w:tc>
                <w:tcPr>
                  <w:tcW w:w="794" w:type="pct"/>
                  <w:gridSpan w:val="2"/>
                  <w:vMerge w:val="continue"/>
                  <w:tcBorders>
                    <w:tl2br w:val="nil"/>
                    <w:tr2bl w:val="nil"/>
                  </w:tcBorders>
                  <w:noWrap w:val="0"/>
                  <w:vAlign w:val="center"/>
                </w:tcPr>
                <w:p>
                  <w:pPr>
                    <w:spacing w:line="240" w:lineRule="auto"/>
                    <w:jc w:val="center"/>
                    <w:rPr>
                      <w:color w:val="auto"/>
                      <w:szCs w:val="21"/>
                      <w:u w:val="none"/>
                    </w:rPr>
                  </w:pPr>
                </w:p>
              </w:tc>
              <w:tc>
                <w:tcPr>
                  <w:tcW w:w="805" w:type="pct"/>
                  <w:tcBorders>
                    <w:tl2br w:val="nil"/>
                    <w:tr2bl w:val="nil"/>
                  </w:tcBorders>
                  <w:noWrap w:val="0"/>
                  <w:vAlign w:val="center"/>
                </w:tcPr>
                <w:p>
                  <w:pPr>
                    <w:jc w:val="center"/>
                    <w:rPr>
                      <w:rFonts w:hint="eastAsia" w:hAnsi="宋体" w:eastAsia="宋体"/>
                      <w:color w:val="auto"/>
                      <w:kern w:val="2"/>
                      <w:sz w:val="21"/>
                      <w:szCs w:val="21"/>
                      <w:u w:val="none"/>
                      <w:lang w:val="en-US" w:eastAsia="zh-CN" w:bidi="ar-SA"/>
                    </w:rPr>
                  </w:pPr>
                  <w:r>
                    <w:rPr>
                      <w:rFonts w:hint="eastAsia"/>
                      <w:color w:val="auto"/>
                      <w:u w:val="none"/>
                      <w:lang w:val="en-US" w:eastAsia="zh-CN"/>
                    </w:rPr>
                    <w:t>5月27日</w:t>
                  </w:r>
                </w:p>
              </w:tc>
              <w:tc>
                <w:tcPr>
                  <w:tcW w:w="938" w:type="pct"/>
                  <w:tcBorders>
                    <w:tl2br w:val="nil"/>
                    <w:tr2bl w:val="nil"/>
                  </w:tcBorders>
                  <w:noWrap w:val="0"/>
                  <w:vAlign w:val="center"/>
                </w:tcPr>
                <w:p>
                  <w:pPr>
                    <w:jc w:val="center"/>
                    <w:rPr>
                      <w:rFonts w:hint="default" w:eastAsia="宋体"/>
                      <w:color w:val="auto"/>
                      <w:szCs w:val="21"/>
                      <w:u w:val="none"/>
                      <w:lang w:val="en-US" w:eastAsia="zh-CN"/>
                    </w:rPr>
                  </w:pPr>
                  <w:r>
                    <w:rPr>
                      <w:rFonts w:hint="eastAsia"/>
                      <w:color w:val="auto"/>
                      <w:szCs w:val="21"/>
                      <w:u w:val="none"/>
                      <w:lang w:val="en-US" w:eastAsia="zh-CN"/>
                    </w:rPr>
                    <w:t>50</w:t>
                  </w:r>
                </w:p>
              </w:tc>
              <w:tc>
                <w:tcPr>
                  <w:tcW w:w="884" w:type="pct"/>
                  <w:tcBorders>
                    <w:tl2br w:val="nil"/>
                    <w:tr2bl w:val="nil"/>
                  </w:tcBorders>
                  <w:noWrap w:val="0"/>
                  <w:vAlign w:val="center"/>
                </w:tcPr>
                <w:p>
                  <w:pPr>
                    <w:jc w:val="center"/>
                    <w:rPr>
                      <w:rFonts w:hint="default" w:hAnsi="宋体"/>
                      <w:color w:val="auto"/>
                      <w:szCs w:val="21"/>
                      <w:u w:val="none"/>
                      <w:lang w:val="en-US" w:eastAsia="zh-CN"/>
                    </w:rPr>
                  </w:pPr>
                  <w:r>
                    <w:rPr>
                      <w:rFonts w:hint="eastAsia" w:hAnsi="宋体"/>
                      <w:color w:val="auto"/>
                      <w:szCs w:val="21"/>
                      <w:u w:val="none"/>
                      <w:lang w:val="en-US" w:eastAsia="zh-CN"/>
                    </w:rPr>
                    <w:t>40</w:t>
                  </w:r>
                </w:p>
              </w:tc>
              <w:tc>
                <w:tcPr>
                  <w:tcW w:w="882" w:type="pct"/>
                  <w:vMerge w:val="continue"/>
                  <w:tcBorders>
                    <w:tl2br w:val="nil"/>
                    <w:tr2bl w:val="nil"/>
                  </w:tcBorders>
                  <w:noWrap w:val="0"/>
                  <w:vAlign w:val="center"/>
                </w:tcPr>
                <w:p>
                  <w:pPr>
                    <w:jc w:val="center"/>
                    <w:rPr>
                      <w:rFonts w:hint="eastAsia"/>
                      <w:color w:val="auto"/>
                      <w:szCs w:val="21"/>
                      <w:u w:val="none"/>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5" w:type="pct"/>
                  <w:gridSpan w:val="5"/>
                  <w:tcBorders>
                    <w:tl2br w:val="nil"/>
                    <w:tr2bl w:val="nil"/>
                  </w:tcBorders>
                  <w:noWrap w:val="0"/>
                  <w:vAlign w:val="center"/>
                </w:tcPr>
                <w:p>
                  <w:pPr>
                    <w:spacing w:line="240" w:lineRule="auto"/>
                    <w:jc w:val="center"/>
                    <w:rPr>
                      <w:rFonts w:hint="eastAsia"/>
                      <w:color w:val="auto"/>
                      <w:szCs w:val="21"/>
                      <w:u w:val="none"/>
                      <w:lang w:eastAsia="zh-CN"/>
                    </w:rPr>
                  </w:pPr>
                  <w:r>
                    <w:rPr>
                      <w:rFonts w:hint="eastAsia" w:ascii="Times New Roman" w:hAnsi="Times New Roman" w:cs="Times New Roman"/>
                      <w:szCs w:val="21"/>
                      <w:u w:val="none"/>
                      <w:lang w:eastAsia="zh-CN"/>
                    </w:rPr>
                    <w:t>标准值</w:t>
                  </w:r>
                </w:p>
              </w:tc>
              <w:tc>
                <w:tcPr>
                  <w:tcW w:w="938" w:type="pct"/>
                  <w:tcBorders>
                    <w:tl2br w:val="nil"/>
                    <w:tr2bl w:val="nil"/>
                  </w:tcBorders>
                  <w:noWrap w:val="0"/>
                  <w:vAlign w:val="center"/>
                </w:tcPr>
                <w:p>
                  <w:pPr>
                    <w:jc w:val="center"/>
                    <w:rPr>
                      <w:rFonts w:hint="default" w:eastAsia="宋体"/>
                      <w:color w:val="auto"/>
                      <w:szCs w:val="21"/>
                      <w:u w:val="none"/>
                      <w:lang w:val="en-US" w:eastAsia="zh-CN"/>
                    </w:rPr>
                  </w:pPr>
                  <w:r>
                    <w:rPr>
                      <w:rFonts w:hint="eastAsia"/>
                      <w:color w:val="auto"/>
                      <w:szCs w:val="21"/>
                      <w:u w:val="none"/>
                      <w:lang w:val="en-US" w:eastAsia="zh-CN"/>
                    </w:rPr>
                    <w:t>60</w:t>
                  </w:r>
                </w:p>
              </w:tc>
              <w:tc>
                <w:tcPr>
                  <w:tcW w:w="884" w:type="pct"/>
                  <w:tcBorders>
                    <w:tl2br w:val="nil"/>
                    <w:tr2bl w:val="nil"/>
                  </w:tcBorders>
                  <w:noWrap w:val="0"/>
                  <w:vAlign w:val="center"/>
                </w:tcPr>
                <w:p>
                  <w:pPr>
                    <w:jc w:val="center"/>
                    <w:rPr>
                      <w:rFonts w:hint="default" w:hAnsi="宋体"/>
                      <w:color w:val="auto"/>
                      <w:szCs w:val="21"/>
                      <w:u w:val="none"/>
                      <w:lang w:val="en-US" w:eastAsia="zh-CN"/>
                    </w:rPr>
                  </w:pPr>
                  <w:r>
                    <w:rPr>
                      <w:rFonts w:hint="eastAsia" w:hAnsi="宋体"/>
                      <w:color w:val="auto"/>
                      <w:szCs w:val="21"/>
                      <w:u w:val="none"/>
                      <w:lang w:val="en-US" w:eastAsia="zh-CN"/>
                    </w:rPr>
                    <w:t>50</w:t>
                  </w:r>
                </w:p>
              </w:tc>
              <w:tc>
                <w:tcPr>
                  <w:tcW w:w="882" w:type="pct"/>
                  <w:tcBorders>
                    <w:tl2br w:val="nil"/>
                    <w:tr2bl w:val="nil"/>
                  </w:tcBorders>
                  <w:noWrap w:val="0"/>
                  <w:vAlign w:val="center"/>
                </w:tcPr>
                <w:p>
                  <w:pPr>
                    <w:jc w:val="center"/>
                    <w:rPr>
                      <w:rFonts w:hint="default"/>
                      <w:color w:val="auto"/>
                      <w:szCs w:val="21"/>
                      <w:u w:val="none"/>
                      <w:lang w:val="en-US" w:eastAsia="zh-CN"/>
                    </w:rPr>
                  </w:pPr>
                  <w:r>
                    <w:rPr>
                      <w:rFonts w:hint="eastAsia"/>
                      <w:color w:val="auto"/>
                      <w:szCs w:val="21"/>
                      <w:u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由上表监测数据可知，</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rPr>
              <w:t>N1~N4</w:t>
            </w:r>
            <w:r>
              <w:rPr>
                <w:rFonts w:hint="eastAsia" w:ascii="Times New Roman" w:hAnsi="Times New Roman" w:eastAsia="宋体" w:cs="Times New Roman"/>
                <w:color w:val="auto"/>
                <w:sz w:val="24"/>
                <w:szCs w:val="24"/>
                <w:highlight w:val="none"/>
                <w:lang w:eastAsia="zh-CN"/>
              </w:rPr>
              <w:t>厂界</w:t>
            </w:r>
            <w:r>
              <w:rPr>
                <w:rFonts w:hint="default" w:ascii="Times New Roman" w:hAnsi="Times New Roman" w:eastAsia="宋体" w:cs="Times New Roman"/>
                <w:color w:val="auto"/>
                <w:sz w:val="24"/>
                <w:szCs w:val="24"/>
                <w:highlight w:val="none"/>
              </w:rPr>
              <w:t>外的环境噪声昼间、夜间监测值均未超出《声环境质量标准》（GB3096-2008</w:t>
            </w:r>
            <w:r>
              <w:rPr>
                <w:rFonts w:hint="default" w:ascii="Times New Roman" w:hAnsi="Times New Roman" w:eastAsia="宋体" w:cs="Times New Roman"/>
                <w:color w:val="auto"/>
                <w:sz w:val="24"/>
                <w:szCs w:val="24"/>
              </w:rPr>
              <w:t>）中的</w:t>
            </w:r>
            <w:r>
              <w:rPr>
                <w:rFonts w:hint="default" w:ascii="Times New Roman" w:hAnsi="Times New Roman" w:eastAsia="宋体" w:cs="Times New Roman"/>
                <w:color w:val="auto"/>
                <w:sz w:val="24"/>
                <w:szCs w:val="24"/>
                <w:lang w:val="en-US" w:eastAsia="zh-CN"/>
              </w:rPr>
              <w:t>3类</w:t>
            </w:r>
            <w:r>
              <w:rPr>
                <w:rFonts w:hint="default" w:ascii="Times New Roman" w:hAnsi="Times New Roman" w:eastAsia="宋体" w:cs="Times New Roman"/>
                <w:color w:val="auto"/>
                <w:sz w:val="24"/>
                <w:szCs w:val="24"/>
              </w:rPr>
              <w:t>标准要求</w:t>
            </w:r>
            <w:r>
              <w:rPr>
                <w:rFonts w:hint="default" w:ascii="Times New Roman" w:hAnsi="Times New Roman" w:eastAsia="宋体" w:cs="Times New Roman"/>
                <w:color w:val="auto"/>
                <w:sz w:val="24"/>
                <w:szCs w:val="24"/>
                <w:lang w:eastAsia="zh-CN"/>
              </w:rPr>
              <w:t>，</w:t>
            </w:r>
            <w:r>
              <w:rPr>
                <w:sz w:val="24"/>
                <w:szCs w:val="24"/>
              </w:rPr>
              <w:t>项目</w:t>
            </w:r>
            <w:r>
              <w:rPr>
                <w:rFonts w:hint="eastAsia"/>
                <w:color w:val="auto"/>
                <w:sz w:val="24"/>
                <w:szCs w:val="24"/>
                <w:u w:val="none"/>
              </w:rPr>
              <w:t>西南侧居民</w:t>
            </w:r>
            <w:r>
              <w:rPr>
                <w:sz w:val="24"/>
                <w:szCs w:val="24"/>
              </w:rPr>
              <w:t>监测点位昼、夜噪声监测值</w:t>
            </w:r>
            <w:r>
              <w:rPr>
                <w:rFonts w:hint="eastAsia"/>
                <w:sz w:val="24"/>
                <w:szCs w:val="24"/>
              </w:rPr>
              <w:t>满足</w:t>
            </w:r>
            <w:r>
              <w:rPr>
                <w:sz w:val="24"/>
                <w:szCs w:val="24"/>
              </w:rPr>
              <w:t>《声环境质量标准》（GB3096-2008）</w:t>
            </w:r>
            <w:r>
              <w:rPr>
                <w:rFonts w:hint="eastAsia"/>
                <w:sz w:val="24"/>
                <w:szCs w:val="24"/>
                <w:lang w:val="en-US" w:eastAsia="zh-CN"/>
              </w:rPr>
              <w:t>2</w:t>
            </w:r>
            <w:r>
              <w:rPr>
                <w:sz w:val="24"/>
                <w:szCs w:val="24"/>
              </w:rPr>
              <w:t>类</w:t>
            </w:r>
            <w:r>
              <w:rPr>
                <w:rFonts w:hint="eastAsia"/>
                <w:sz w:val="24"/>
                <w:szCs w:val="24"/>
              </w:rPr>
              <w:t>标准</w:t>
            </w:r>
            <w:r>
              <w:rPr>
                <w:sz w:val="24"/>
                <w:szCs w:val="24"/>
              </w:rPr>
              <w:t>要求。</w:t>
            </w:r>
            <w:r>
              <w:rPr>
                <w:rFonts w:hint="default" w:ascii="Times New Roman" w:hAnsi="Times New Roman" w:eastAsia="宋体" w:cs="Times New Roman"/>
                <w:color w:val="auto"/>
                <w:sz w:val="24"/>
                <w:szCs w:val="24"/>
                <w:lang w:eastAsia="zh-CN"/>
              </w:rPr>
              <w:t>说明</w:t>
            </w:r>
            <w:r>
              <w:rPr>
                <w:rFonts w:hint="default" w:ascii="Times New Roman" w:hAnsi="Times New Roman" w:eastAsia="宋体" w:cs="Times New Roman"/>
                <w:color w:val="auto"/>
                <w:sz w:val="24"/>
                <w:szCs w:val="24"/>
              </w:rPr>
              <w:t>本项目用地所处的区域声环境现状较好</w:t>
            </w:r>
            <w:r>
              <w:rPr>
                <w:rFonts w:hint="default" w:ascii="Times New Roman" w:hAnsi="Times New Roman" w:eastAsia="宋体" w:cs="Times New Roman"/>
                <w:color w:val="auto"/>
                <w:sz w:val="24"/>
                <w:szCs w:val="24"/>
                <w:lang w:eastAsia="zh-CN"/>
              </w:rPr>
              <w:t>。</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b/>
                <w:bCs/>
                <w:sz w:val="24"/>
                <w:szCs w:val="24"/>
              </w:rPr>
            </w:pPr>
            <w:r>
              <w:rPr>
                <w:rFonts w:hint="eastAsia"/>
                <w:b/>
                <w:bCs/>
                <w:sz w:val="24"/>
                <w:szCs w:val="24"/>
                <w:lang w:val="en-US" w:eastAsia="zh-CN"/>
              </w:rPr>
              <w:t>4</w:t>
            </w:r>
            <w:r>
              <w:rPr>
                <w:rFonts w:hint="eastAsia"/>
                <w:b/>
                <w:bCs/>
                <w:sz w:val="24"/>
                <w:szCs w:val="24"/>
              </w:rPr>
              <w:t>、电磁辐射</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sz w:val="24"/>
                <w:szCs w:val="24"/>
              </w:rPr>
            </w:pPr>
            <w:r>
              <w:rPr>
                <w:rFonts w:hint="eastAsia"/>
                <w:sz w:val="24"/>
                <w:szCs w:val="24"/>
              </w:rPr>
              <w:t>根据生态环境部办公厅2020年12月24日印发的《建设项目环境影响报告表编制技术指南（污染影响类）（试行）》，新建或改建、扩建广播电台、差转台、电视塔台、卫星地球上行站、雷达等电磁辐射类项目，应根据相关技术导则对项目电磁辐射现状开展监测与评价。本项目属于废弃资源综合利用业，不属于电磁辐射类项目，因此不开展电磁辐射现状监测与评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lang w:val="en-US" w:eastAsia="zh-CN"/>
              </w:rPr>
              <w:t>、地下水环境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default" w:ascii="Times New Roman" w:hAnsi="Times New Roman" w:eastAsia="宋体" w:cs="Times New Roman"/>
                <w:color w:val="auto"/>
                <w:sz w:val="24"/>
                <w:szCs w:val="24"/>
                <w:lang w:val="en-US" w:eastAsia="zh-CN"/>
              </w:rPr>
              <w:t>根据《建设项目环境影响报告表编制技术指南(污染影响类)》，原则上不开展地下水环境质量现状调查。项目所在区域为工业园区，根据现场勘查，园区用水均来园区管网供水，区域无地下水取水点等敏感目标，项目周边都基本进行了地面硬化防渗，对地下水环境基本无污染途径。因此，可不开展地下水现状监测</w:t>
            </w:r>
            <w:r>
              <w:rPr>
                <w:rFonts w:hint="default" w:ascii="Times New Roman" w:hAnsi="Times New Roman" w:eastAsia="宋体" w:cs="Times New Roman"/>
                <w:color w:val="auto"/>
                <w:sz w:val="24"/>
                <w:szCs w:val="24"/>
                <w:highlight w:val="none"/>
                <w:lang w:val="en-US" w:eastAsia="zh-CN"/>
              </w:rPr>
              <w:t>。</w:t>
            </w:r>
          </w:p>
          <w:p>
            <w:pPr>
              <w:adjustRightInd w:val="0"/>
              <w:snapToGrid w:val="0"/>
              <w:spacing w:line="360" w:lineRule="auto"/>
              <w:ind w:firstLine="482" w:firstLineChars="200"/>
              <w:jc w:val="left"/>
              <w:rPr>
                <w:rFonts w:hint="eastAsia"/>
                <w:b/>
                <w:kern w:val="0"/>
                <w:sz w:val="24"/>
                <w:szCs w:val="24"/>
              </w:rPr>
            </w:pPr>
            <w:r>
              <w:rPr>
                <w:rFonts w:hint="eastAsia"/>
                <w:b/>
                <w:kern w:val="0"/>
                <w:sz w:val="24"/>
                <w:szCs w:val="24"/>
                <w:lang w:val="en-US" w:eastAsia="zh-CN"/>
              </w:rPr>
              <w:t>6、</w:t>
            </w:r>
            <w:r>
              <w:rPr>
                <w:rFonts w:hint="eastAsia"/>
                <w:b/>
                <w:kern w:val="0"/>
                <w:sz w:val="24"/>
                <w:szCs w:val="24"/>
              </w:rPr>
              <w:t>土壤环境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根据《建设项目环境影响报告表编制技术指南(污染影响类)》，原则上不开展土壤环境质量现状调查。</w:t>
            </w:r>
            <w:r>
              <w:rPr>
                <w:rFonts w:hint="eastAsia"/>
                <w:kern w:val="0"/>
                <w:sz w:val="24"/>
                <w:szCs w:val="24"/>
              </w:rPr>
              <w:t>项</w:t>
            </w:r>
            <w:r>
              <w:rPr>
                <w:rFonts w:hint="default" w:ascii="Times New Roman" w:hAnsi="Times New Roman" w:eastAsia="宋体" w:cs="Times New Roman"/>
                <w:color w:val="auto"/>
                <w:sz w:val="24"/>
                <w:szCs w:val="24"/>
                <w:lang w:val="en-US" w:eastAsia="zh-CN"/>
              </w:rPr>
              <w:t>目位于</w:t>
            </w:r>
            <w:r>
              <w:rPr>
                <w:rFonts w:hint="eastAsia" w:ascii="Times New Roman" w:hAnsi="Times New Roman" w:eastAsia="宋体" w:cs="Times New Roman"/>
                <w:color w:val="auto"/>
                <w:sz w:val="24"/>
                <w:szCs w:val="24"/>
                <w:lang w:val="en-US" w:eastAsia="zh-CN"/>
              </w:rPr>
              <w:t>工业园</w:t>
            </w:r>
            <w:r>
              <w:rPr>
                <w:rFonts w:hint="default" w:ascii="Times New Roman" w:hAnsi="Times New Roman" w:eastAsia="宋体" w:cs="Times New Roman"/>
                <w:color w:val="auto"/>
                <w:sz w:val="24"/>
                <w:szCs w:val="24"/>
                <w:lang w:val="en-US" w:eastAsia="zh-CN"/>
              </w:rPr>
              <w:t>，基本无土壤污染途径。因此可不开展土壤环境现状调查</w:t>
            </w:r>
            <w:r>
              <w:rPr>
                <w:rFonts w:hint="eastAsia" w:ascii="Times New Roman" w:hAnsi="Times New Roman" w:eastAsia="宋体" w:cs="Times New Roman"/>
                <w:color w:val="auto"/>
                <w:sz w:val="24"/>
                <w:szCs w:val="24"/>
                <w:lang w:val="en-US" w:eastAsia="zh-CN"/>
              </w:rPr>
              <w:t>。</w:t>
            </w:r>
          </w:p>
          <w:p>
            <w:pPr>
              <w:adjustRightInd w:val="0"/>
              <w:snapToGrid w:val="0"/>
              <w:spacing w:line="360" w:lineRule="auto"/>
              <w:ind w:firstLine="482" w:firstLineChars="200"/>
              <w:jc w:val="left"/>
              <w:rPr>
                <w:rFonts w:hint="eastAsia"/>
                <w:b/>
                <w:kern w:val="0"/>
                <w:sz w:val="24"/>
                <w:szCs w:val="24"/>
              </w:rPr>
            </w:pPr>
            <w:r>
              <w:rPr>
                <w:rFonts w:hint="eastAsia"/>
                <w:b/>
                <w:kern w:val="0"/>
                <w:sz w:val="24"/>
                <w:szCs w:val="24"/>
                <w:lang w:val="en-US" w:eastAsia="zh-CN"/>
              </w:rPr>
              <w:t>7、</w:t>
            </w:r>
            <w:r>
              <w:rPr>
                <w:rFonts w:hint="eastAsia"/>
                <w:b/>
                <w:kern w:val="0"/>
                <w:sz w:val="24"/>
                <w:szCs w:val="24"/>
              </w:rPr>
              <w:t>生态环境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项目场地位于靖州县</w:t>
            </w:r>
            <w:r>
              <w:rPr>
                <w:rFonts w:hint="eastAsia" w:ascii="Times New Roman" w:hAnsi="Times New Roman" w:cs="Times New Roman"/>
                <w:color w:val="auto"/>
                <w:sz w:val="24"/>
                <w:szCs w:val="24"/>
                <w:highlight w:val="none"/>
                <w:lang w:eastAsia="zh-CN"/>
              </w:rPr>
              <w:t>工业集中区</w:t>
            </w:r>
            <w:r>
              <w:rPr>
                <w:rFonts w:hint="default" w:ascii="Times New Roman" w:hAnsi="Times New Roman" w:eastAsia="宋体" w:cs="Times New Roman"/>
                <w:color w:val="auto"/>
                <w:sz w:val="24"/>
                <w:szCs w:val="24"/>
                <w:lang w:val="en-US" w:eastAsia="zh-CN"/>
              </w:rPr>
              <w:t>，项目周边主要为园区工业企业，且用地范围内不涉及生态环境保护目标，</w:t>
            </w:r>
            <w:r>
              <w:rPr>
                <w:rFonts w:hint="eastAsia" w:ascii="Times New Roman" w:hAnsi="Times New Roman" w:eastAsia="宋体" w:cs="Times New Roman"/>
                <w:color w:val="auto"/>
                <w:sz w:val="24"/>
                <w:szCs w:val="24"/>
                <w:lang w:val="en-US" w:eastAsia="zh-CN"/>
              </w:rPr>
              <w:t>因此，未</w:t>
            </w:r>
            <w:r>
              <w:rPr>
                <w:rFonts w:hint="default" w:ascii="Times New Roman" w:hAnsi="Times New Roman" w:eastAsia="宋体" w:cs="Times New Roman"/>
                <w:color w:val="auto"/>
                <w:sz w:val="24"/>
                <w:szCs w:val="24"/>
                <w:lang w:val="en-US" w:eastAsia="zh-CN"/>
              </w:rPr>
              <w:t>进行生态现状调查</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本项目评价范围内尚未发现国家重点保护珍稀动植物及需特殊保护的人文景观及文物单位。</w:t>
            </w:r>
          </w:p>
          <w:p>
            <w:pPr>
              <w:adjustRightInd w:val="0"/>
              <w:snapToGrid w:val="0"/>
              <w:spacing w:line="360" w:lineRule="auto"/>
              <w:ind w:firstLine="420" w:firstLineChars="200"/>
              <w:jc w:val="left"/>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68" w:hRule="atLeast"/>
          <w:jc w:val="center"/>
        </w:trPr>
        <w:tc>
          <w:tcPr>
            <w:tcW w:w="800" w:type="dxa"/>
            <w:noWrap w:val="0"/>
            <w:vAlign w:val="center"/>
          </w:tcPr>
          <w:p>
            <w:pPr>
              <w:adjustRightInd w:val="0"/>
              <w:snapToGrid w:val="0"/>
              <w:jc w:val="center"/>
              <w:rPr>
                <w:kern w:val="0"/>
                <w:szCs w:val="21"/>
              </w:rPr>
            </w:pPr>
            <w:r>
              <w:rPr>
                <w:rFonts w:hAnsi="宋体"/>
                <w:kern w:val="0"/>
                <w:szCs w:val="21"/>
              </w:rPr>
              <w:t>环境</w:t>
            </w:r>
          </w:p>
          <w:p>
            <w:pPr>
              <w:adjustRightInd w:val="0"/>
              <w:snapToGrid w:val="0"/>
              <w:jc w:val="center"/>
              <w:rPr>
                <w:kern w:val="0"/>
                <w:szCs w:val="21"/>
              </w:rPr>
            </w:pPr>
            <w:r>
              <w:rPr>
                <w:rFonts w:hAnsi="宋体"/>
                <w:kern w:val="0"/>
                <w:szCs w:val="21"/>
              </w:rPr>
              <w:t>保护</w:t>
            </w:r>
          </w:p>
          <w:p>
            <w:pPr>
              <w:adjustRightInd w:val="0"/>
              <w:snapToGrid w:val="0"/>
              <w:jc w:val="center"/>
              <w:rPr>
                <w:kern w:val="0"/>
                <w:szCs w:val="21"/>
              </w:rPr>
            </w:pPr>
            <w:r>
              <w:rPr>
                <w:rFonts w:hAnsi="宋体"/>
                <w:kern w:val="0"/>
                <w:szCs w:val="21"/>
              </w:rPr>
              <w:t>目标</w:t>
            </w:r>
          </w:p>
        </w:tc>
        <w:tc>
          <w:tcPr>
            <w:tcW w:w="819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lang w:val="en-US" w:eastAsia="zh-CN" w:bidi="ar-SA"/>
              </w:rPr>
            </w:pPr>
            <w:r>
              <w:rPr>
                <w:rFonts w:hint="eastAsia" w:ascii="Times New Roman" w:hAnsi="Times New Roman" w:eastAsia="宋体" w:cs="Times New Roman"/>
                <w:b/>
                <w:bCs/>
                <w:color w:val="auto"/>
                <w:kern w:val="0"/>
                <w:sz w:val="24"/>
                <w:szCs w:val="24"/>
                <w:u w:val="none"/>
                <w:lang w:val="en-US" w:eastAsia="zh-CN" w:bidi="ar-SA"/>
              </w:rPr>
              <w:t>8、</w:t>
            </w:r>
            <w:r>
              <w:rPr>
                <w:rFonts w:hint="default" w:ascii="Times New Roman" w:hAnsi="Times New Roman" w:eastAsia="宋体" w:cs="Times New Roman"/>
                <w:b/>
                <w:bCs/>
                <w:color w:val="auto"/>
                <w:kern w:val="0"/>
                <w:sz w:val="24"/>
                <w:szCs w:val="24"/>
                <w:u w:val="none"/>
                <w:lang w:val="en-US" w:eastAsia="zh-CN" w:bidi="ar-SA"/>
              </w:rPr>
              <w:t>大气环境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项目厂界外500米范围内的无自然保护区、风景名胜区。大气环境保护目标具体见</w:t>
            </w:r>
            <w:r>
              <w:rPr>
                <w:rFonts w:hint="eastAsia" w:ascii="Times New Roman" w:hAnsi="Times New Roman" w:eastAsia="宋体" w:cs="Times New Roman"/>
                <w:color w:val="auto"/>
                <w:kern w:val="0"/>
                <w:sz w:val="24"/>
                <w:szCs w:val="24"/>
                <w:u w:val="none"/>
                <w:lang w:val="en-US" w:eastAsia="zh-CN" w:bidi="ar-SA"/>
              </w:rPr>
              <w:t>表3-6</w:t>
            </w:r>
            <w:r>
              <w:rPr>
                <w:rFonts w:hint="default" w:ascii="Times New Roman" w:hAnsi="Times New Roman" w:eastAsia="宋体" w:cs="Times New Roman"/>
                <w:color w:val="auto"/>
                <w:kern w:val="0"/>
                <w:sz w:val="24"/>
                <w:szCs w:val="24"/>
                <w:u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lang w:val="en-US" w:eastAsia="zh-CN" w:bidi="ar-SA"/>
              </w:rPr>
            </w:pPr>
            <w:r>
              <w:rPr>
                <w:rFonts w:hint="eastAsia" w:ascii="Times New Roman" w:hAnsi="Times New Roman" w:eastAsia="宋体" w:cs="Times New Roman"/>
                <w:b/>
                <w:bCs/>
                <w:color w:val="auto"/>
                <w:kern w:val="0"/>
                <w:sz w:val="24"/>
                <w:szCs w:val="24"/>
                <w:u w:val="none"/>
                <w:lang w:val="en-US" w:eastAsia="zh-CN" w:bidi="ar-SA"/>
              </w:rPr>
              <w:t>9、</w:t>
            </w:r>
            <w:r>
              <w:rPr>
                <w:rFonts w:hint="default" w:ascii="Times New Roman" w:hAnsi="Times New Roman" w:eastAsia="宋体" w:cs="Times New Roman"/>
                <w:b/>
                <w:bCs/>
                <w:color w:val="auto"/>
                <w:kern w:val="0"/>
                <w:sz w:val="24"/>
                <w:szCs w:val="24"/>
                <w:u w:val="none"/>
                <w:lang w:val="en-US" w:eastAsia="zh-CN" w:bidi="ar-SA"/>
              </w:rPr>
              <w:t>声环境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u w:val="none"/>
              </w:rPr>
            </w:pPr>
            <w:r>
              <w:rPr>
                <w:rFonts w:hint="default" w:ascii="Times New Roman" w:hAnsi="Times New Roman" w:eastAsia="宋体" w:cs="Times New Roman"/>
                <w:color w:val="auto"/>
                <w:kern w:val="0"/>
                <w:sz w:val="24"/>
                <w:szCs w:val="24"/>
                <w:u w:val="none"/>
                <w:lang w:val="en-US" w:eastAsia="zh-CN" w:bidi="ar-SA"/>
              </w:rPr>
              <w:t>厂界外</w:t>
            </w:r>
            <w:r>
              <w:rPr>
                <w:rFonts w:hint="default" w:ascii="Times New Roman" w:hAnsi="Times New Roman" w:eastAsia="宋体" w:cs="Times New Roman"/>
                <w:color w:val="auto"/>
                <w:kern w:val="0"/>
                <w:sz w:val="24"/>
                <w:szCs w:val="24"/>
                <w:highlight w:val="none"/>
                <w:u w:val="none"/>
                <w:lang w:val="en-US" w:eastAsia="zh-CN" w:bidi="ar-SA"/>
              </w:rPr>
              <w:t>50米</w:t>
            </w:r>
            <w:r>
              <w:rPr>
                <w:rFonts w:hint="default" w:ascii="Times New Roman" w:hAnsi="Times New Roman" w:eastAsia="宋体" w:cs="Times New Roman"/>
                <w:color w:val="auto"/>
                <w:kern w:val="0"/>
                <w:sz w:val="24"/>
                <w:szCs w:val="24"/>
                <w:u w:val="none"/>
                <w:lang w:val="en-US" w:eastAsia="zh-CN" w:bidi="ar-SA"/>
              </w:rPr>
              <w:t>范围内声环境保护目标</w:t>
            </w:r>
            <w:r>
              <w:rPr>
                <w:rFonts w:hint="eastAsia" w:ascii="Times New Roman" w:hAnsi="Times New Roman" w:eastAsia="宋体" w:cs="Times New Roman"/>
                <w:color w:val="auto"/>
                <w:kern w:val="0"/>
                <w:sz w:val="24"/>
                <w:szCs w:val="24"/>
                <w:u w:val="none"/>
                <w:lang w:val="en-US" w:eastAsia="zh-CN" w:bidi="ar-SA"/>
              </w:rPr>
              <w:t>详见下表</w:t>
            </w:r>
            <w:r>
              <w:rPr>
                <w:rFonts w:hint="default" w:ascii="Times New Roman" w:hAnsi="Times New Roman" w:eastAsia="宋体" w:cs="Times New Roman"/>
                <w:color w:val="auto"/>
                <w:kern w:val="0"/>
                <w:sz w:val="24"/>
                <w:szCs w:val="24"/>
                <w:u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lang w:val="en-US" w:eastAsia="zh-CN" w:bidi="ar-SA"/>
              </w:rPr>
            </w:pPr>
            <w:r>
              <w:rPr>
                <w:rFonts w:hint="eastAsia" w:ascii="Times New Roman" w:hAnsi="Times New Roman" w:eastAsia="宋体" w:cs="Times New Roman"/>
                <w:b/>
                <w:bCs/>
                <w:color w:val="auto"/>
                <w:kern w:val="0"/>
                <w:sz w:val="24"/>
                <w:szCs w:val="24"/>
                <w:u w:val="none"/>
                <w:lang w:val="en-US" w:eastAsia="zh-CN" w:bidi="ar-SA"/>
              </w:rPr>
              <w:t>10、</w:t>
            </w:r>
            <w:r>
              <w:rPr>
                <w:rFonts w:hint="default" w:ascii="Times New Roman" w:hAnsi="Times New Roman" w:eastAsia="宋体" w:cs="Times New Roman"/>
                <w:b/>
                <w:bCs/>
                <w:color w:val="auto"/>
                <w:kern w:val="0"/>
                <w:sz w:val="24"/>
                <w:szCs w:val="24"/>
                <w:u w:val="none"/>
                <w:lang w:val="en-US" w:eastAsia="zh-CN" w:bidi="ar-SA"/>
              </w:rPr>
              <w:t>地表水环境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项目地表水环境保护目标详见下表。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u w:val="none"/>
                <w:lang w:val="en-US" w:eastAsia="zh-CN" w:bidi="ar-SA"/>
              </w:rPr>
            </w:pPr>
            <w:r>
              <w:rPr>
                <w:rFonts w:hint="eastAsia" w:ascii="Times New Roman" w:hAnsi="Times New Roman" w:eastAsia="宋体" w:cs="Times New Roman"/>
                <w:b/>
                <w:bCs/>
                <w:color w:val="auto"/>
                <w:kern w:val="0"/>
                <w:sz w:val="24"/>
                <w:szCs w:val="24"/>
                <w:u w:val="none"/>
                <w:lang w:val="en-US" w:eastAsia="zh-CN" w:bidi="ar-SA"/>
              </w:rPr>
              <w:t>11、</w:t>
            </w:r>
            <w:r>
              <w:rPr>
                <w:rFonts w:hint="default" w:ascii="Times New Roman" w:hAnsi="Times New Roman" w:eastAsia="宋体" w:cs="Times New Roman"/>
                <w:b/>
                <w:bCs/>
                <w:color w:val="auto"/>
                <w:kern w:val="0"/>
                <w:sz w:val="24"/>
                <w:szCs w:val="24"/>
                <w:u w:val="none"/>
                <w:lang w:val="en-US" w:eastAsia="zh-CN" w:bidi="ar-SA"/>
              </w:rPr>
              <w:t>地下水环境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u w:val="none"/>
              </w:rPr>
            </w:pPr>
            <w:r>
              <w:rPr>
                <w:rFonts w:hint="default" w:ascii="Times New Roman" w:hAnsi="Times New Roman" w:eastAsia="宋体" w:cs="Times New Roman"/>
                <w:color w:val="auto"/>
                <w:kern w:val="0"/>
                <w:sz w:val="24"/>
                <w:szCs w:val="24"/>
                <w:u w:val="none"/>
                <w:lang w:val="en-US" w:eastAsia="zh-CN" w:bidi="ar-SA"/>
              </w:rPr>
              <w:t>厂界外500米范围内无地下水集中式饮用水水源和热水、矿泉水、温泉等特殊地下水资源。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u w:val="none"/>
                <w:lang w:val="en-US" w:eastAsia="zh-CN" w:bidi="ar-SA"/>
              </w:rPr>
            </w:pPr>
            <w:r>
              <w:rPr>
                <w:rFonts w:hint="eastAsia" w:ascii="Times New Roman" w:hAnsi="Times New Roman" w:eastAsia="宋体" w:cs="Times New Roman"/>
                <w:b/>
                <w:bCs/>
                <w:color w:val="auto"/>
                <w:kern w:val="0"/>
                <w:sz w:val="24"/>
                <w:szCs w:val="24"/>
                <w:highlight w:val="none"/>
                <w:u w:val="none"/>
                <w:lang w:val="en-US" w:eastAsia="zh-CN" w:bidi="ar-SA"/>
              </w:rPr>
              <w:t>12、</w:t>
            </w:r>
            <w:r>
              <w:rPr>
                <w:rFonts w:hint="default" w:ascii="Times New Roman" w:hAnsi="Times New Roman" w:eastAsia="宋体" w:cs="Times New Roman"/>
                <w:b/>
                <w:bCs/>
                <w:color w:val="auto"/>
                <w:kern w:val="0"/>
                <w:sz w:val="24"/>
                <w:szCs w:val="24"/>
                <w:highlight w:val="none"/>
                <w:u w:val="none"/>
                <w:lang w:val="en-US" w:eastAsia="zh-CN" w:bidi="ar-SA"/>
              </w:rPr>
              <w:t>生态环境</w:t>
            </w:r>
          </w:p>
          <w:p>
            <w:pPr>
              <w:keepNext w:val="0"/>
              <w:keepLines w:val="0"/>
              <w:pageBreakBefore w:val="0"/>
              <w:widowControl w:val="0"/>
              <w:tabs>
                <w:tab w:val="left" w:pos="4288"/>
              </w:tabs>
              <w:kinsoku/>
              <w:wordWrap/>
              <w:overflowPunct/>
              <w:topLinePunct w:val="0"/>
              <w:autoSpaceDE/>
              <w:autoSpaceDN/>
              <w:bidi w:val="0"/>
              <w:adjustRightInd/>
              <w:snapToGrid/>
              <w:spacing w:before="94" w:after="38" w:line="360" w:lineRule="auto"/>
              <w:ind w:firstLine="480" w:firstLineChars="200"/>
              <w:jc w:val="both"/>
              <w:textAlignment w:val="auto"/>
              <w:rPr>
                <w:rFonts w:hint="default" w:ascii="Times New Roman" w:hAnsi="Times New Roman" w:eastAsia="宋体" w:cs="Times New Roman"/>
                <w:b/>
                <w:bCs/>
                <w:color w:val="auto"/>
                <w:kern w:val="0"/>
                <w:sz w:val="24"/>
                <w:szCs w:val="24"/>
                <w:u w:val="none"/>
                <w:lang w:val="en-US" w:eastAsia="zh-CN" w:bidi="ar-SA"/>
              </w:rPr>
            </w:pPr>
            <w:r>
              <w:rPr>
                <w:rFonts w:hint="default" w:ascii="Times New Roman" w:hAnsi="Times New Roman" w:eastAsia="宋体" w:cs="Times New Roman"/>
                <w:color w:val="auto"/>
                <w:kern w:val="0"/>
                <w:sz w:val="24"/>
                <w:szCs w:val="24"/>
                <w:u w:val="none"/>
                <w:lang w:val="en-US" w:eastAsia="zh-CN" w:bidi="ar-SA"/>
              </w:rPr>
              <w:t>本项目位于</w:t>
            </w:r>
            <w:r>
              <w:rPr>
                <w:rFonts w:hint="eastAsia" w:ascii="Times New Roman" w:hAnsi="Times New Roman" w:eastAsia="宋体" w:cs="Times New Roman"/>
                <w:color w:val="auto"/>
                <w:kern w:val="0"/>
                <w:sz w:val="24"/>
                <w:szCs w:val="24"/>
                <w:highlight w:val="none"/>
                <w:u w:val="none"/>
                <w:lang w:val="en-US" w:eastAsia="zh-CN" w:bidi="ar-SA"/>
              </w:rPr>
              <w:t>靖州县工业集中区</w:t>
            </w:r>
            <w:r>
              <w:rPr>
                <w:rFonts w:hint="default" w:ascii="Times New Roman" w:hAnsi="Times New Roman" w:eastAsia="宋体" w:cs="Times New Roman"/>
                <w:color w:val="auto"/>
                <w:kern w:val="0"/>
                <w:sz w:val="24"/>
                <w:szCs w:val="24"/>
                <w:u w:val="none"/>
                <w:lang w:val="en-US" w:eastAsia="zh-CN" w:bidi="ar-SA"/>
              </w:rPr>
              <w:t>，属于工业园区，不涉及生态红线、自然保护区、风景名胜区等敏感目标。</w:t>
            </w:r>
          </w:p>
          <w:p>
            <w:pPr>
              <w:keepNext w:val="0"/>
              <w:keepLines w:val="0"/>
              <w:pageBreakBefore w:val="0"/>
              <w:widowControl w:val="0"/>
              <w:tabs>
                <w:tab w:val="left" w:pos="4288"/>
              </w:tabs>
              <w:kinsoku/>
              <w:wordWrap/>
              <w:overflowPunct/>
              <w:topLinePunct w:val="0"/>
              <w:autoSpaceDE/>
              <w:autoSpaceDN/>
              <w:bidi w:val="0"/>
              <w:adjustRightInd/>
              <w:snapToGrid/>
              <w:spacing w:before="94" w:after="38" w:line="240" w:lineRule="auto"/>
              <w:ind w:firstLine="422" w:firstLineChars="200"/>
              <w:jc w:val="center"/>
              <w:textAlignment w:val="auto"/>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表3-</w:t>
            </w:r>
            <w:r>
              <w:rPr>
                <w:rFonts w:hint="eastAsia" w:ascii="Times New Roman" w:hAnsi="Times New Roman" w:eastAsia="宋体" w:cs="Times New Roman"/>
                <w:b/>
                <w:bCs/>
                <w:color w:val="auto"/>
                <w:kern w:val="0"/>
                <w:sz w:val="21"/>
                <w:szCs w:val="21"/>
                <w:u w:val="none"/>
                <w:lang w:val="en-US" w:eastAsia="zh-CN" w:bidi="ar-SA"/>
              </w:rPr>
              <w:t>6</w:t>
            </w:r>
            <w:r>
              <w:rPr>
                <w:rFonts w:hint="default" w:ascii="Times New Roman" w:hAnsi="Times New Roman" w:eastAsia="宋体" w:cs="Times New Roman"/>
                <w:b/>
                <w:bCs/>
                <w:color w:val="auto"/>
                <w:kern w:val="0"/>
                <w:sz w:val="21"/>
                <w:szCs w:val="21"/>
                <w:u w:val="none"/>
                <w:lang w:val="en-US" w:eastAsia="zh-CN" w:bidi="ar-SA"/>
              </w:rPr>
              <w:t xml:space="preserve"> 环境敏感目标一览表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17"/>
              <w:gridCol w:w="1000"/>
              <w:gridCol w:w="1238"/>
              <w:gridCol w:w="1645"/>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环境因素</w:t>
                  </w:r>
                </w:p>
              </w:tc>
              <w:tc>
                <w:tcPr>
                  <w:tcW w:w="114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保护对象名称</w:t>
                  </w:r>
                </w:p>
              </w:tc>
              <w:tc>
                <w:tcPr>
                  <w:tcW w:w="6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lang w:val="en-US" w:eastAsia="zh-CN"/>
                    </w:rPr>
                  </w:pPr>
                  <w:r>
                    <w:rPr>
                      <w:rFonts w:hint="default" w:ascii="Times New Roman" w:hAnsi="Times New Roman" w:eastAsia="宋体" w:cs="Times New Roman"/>
                      <w:b/>
                      <w:color w:val="auto"/>
                      <w:sz w:val="21"/>
                      <w:szCs w:val="21"/>
                      <w:u w:val="none"/>
                    </w:rPr>
                    <w:t>规模</w:t>
                  </w:r>
                  <w:r>
                    <w:rPr>
                      <w:rFonts w:hint="default" w:ascii="Times New Roman" w:hAnsi="Times New Roman" w:eastAsia="宋体" w:cs="Times New Roman"/>
                      <w:b/>
                      <w:color w:val="auto"/>
                      <w:sz w:val="21"/>
                      <w:szCs w:val="21"/>
                      <w:u w:val="none"/>
                      <w:lang w:val="en-US" w:eastAsia="zh-CN"/>
                    </w:rPr>
                    <w:t>/功能</w:t>
                  </w:r>
                </w:p>
              </w:tc>
              <w:tc>
                <w:tcPr>
                  <w:tcW w:w="1810"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lang w:val="en-US" w:eastAsia="zh-CN"/>
                    </w:rPr>
                  </w:pPr>
                  <w:r>
                    <w:rPr>
                      <w:rFonts w:hint="default" w:ascii="Times New Roman" w:hAnsi="Times New Roman" w:eastAsia="宋体" w:cs="Times New Roman"/>
                      <w:b/>
                      <w:color w:val="auto"/>
                      <w:sz w:val="21"/>
                      <w:szCs w:val="21"/>
                      <w:u w:val="none"/>
                    </w:rPr>
                    <w:t>距离厂界的相对位置</w:t>
                  </w:r>
                  <w:r>
                    <w:rPr>
                      <w:rFonts w:hint="default" w:ascii="Times New Roman" w:hAnsi="Times New Roman" w:eastAsia="宋体" w:cs="Times New Roman"/>
                      <w:b/>
                      <w:color w:val="auto"/>
                      <w:sz w:val="21"/>
                      <w:szCs w:val="21"/>
                      <w:u w:val="none"/>
                      <w:lang w:val="en-US" w:eastAsia="zh-CN"/>
                    </w:rPr>
                    <w:t>及坐标</w:t>
                  </w:r>
                </w:p>
              </w:tc>
              <w:tc>
                <w:tcPr>
                  <w:tcW w:w="11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p>
              </w:tc>
              <w:tc>
                <w:tcPr>
                  <w:tcW w:w="114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p>
              </w:tc>
              <w:tc>
                <w:tcPr>
                  <w:tcW w:w="6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lang w:val="en-US" w:eastAsia="zh-CN"/>
                    </w:rPr>
                  </w:pPr>
                  <w:r>
                    <w:rPr>
                      <w:rFonts w:hint="default" w:ascii="Times New Roman" w:hAnsi="Times New Roman" w:eastAsia="宋体" w:cs="Times New Roman"/>
                      <w:b/>
                      <w:color w:val="auto"/>
                      <w:sz w:val="21"/>
                      <w:szCs w:val="21"/>
                      <w:u w:val="none"/>
                    </w:rPr>
                    <w:t>方位</w:t>
                  </w:r>
                  <w:r>
                    <w:rPr>
                      <w:rFonts w:hint="default" w:ascii="Times New Roman" w:hAnsi="Times New Roman" w:eastAsia="宋体" w:cs="Times New Roman"/>
                      <w:b/>
                      <w:color w:val="auto"/>
                      <w:sz w:val="21"/>
                      <w:szCs w:val="21"/>
                      <w:u w:val="none"/>
                      <w:lang w:eastAsia="zh-CN"/>
                    </w:rPr>
                    <w:t>，与本项目最近</w:t>
                  </w:r>
                  <w:r>
                    <w:rPr>
                      <w:rFonts w:hint="default" w:ascii="Times New Roman" w:hAnsi="Times New Roman" w:eastAsia="宋体" w:cs="Times New Roman"/>
                      <w:b/>
                      <w:color w:val="auto"/>
                      <w:sz w:val="21"/>
                      <w:szCs w:val="21"/>
                      <w:u w:val="none"/>
                      <w:lang w:val="en-US" w:eastAsia="zh-CN"/>
                    </w:rPr>
                    <w:t>距离</w:t>
                  </w:r>
                  <w:r>
                    <w:rPr>
                      <w:rFonts w:hint="default" w:ascii="Times New Roman" w:hAnsi="Times New Roman" w:eastAsia="宋体" w:cs="Times New Roman"/>
                      <w:b/>
                      <w:color w:val="auto"/>
                      <w:sz w:val="21"/>
                      <w:szCs w:val="21"/>
                      <w:u w:val="none"/>
                    </w:rPr>
                    <w:t>（m）</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r>
                    <w:rPr>
                      <w:rFonts w:hint="eastAsia" w:ascii="Times New Roman" w:hAnsi="Times New Roman" w:eastAsia="宋体" w:cs="Times New Roman"/>
                      <w:b/>
                      <w:color w:val="auto"/>
                      <w:sz w:val="21"/>
                      <w:szCs w:val="21"/>
                      <w:u w:val="none"/>
                      <w:lang w:val="en-US" w:eastAsia="zh-CN"/>
                    </w:rPr>
                    <w:t>中心坐标</w:t>
                  </w:r>
                </w:p>
              </w:tc>
              <w:tc>
                <w:tcPr>
                  <w:tcW w:w="11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2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大气环境</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旗家庄1#居民点</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w:t>
                  </w:r>
                  <w:r>
                    <w:rPr>
                      <w:rFonts w:hint="eastAsia" w:ascii="Times New Roman" w:hAnsi="Times New Roman" w:eastAsia="宋体" w:cs="Times New Roman"/>
                      <w:color w:val="auto"/>
                      <w:sz w:val="21"/>
                      <w:szCs w:val="21"/>
                      <w:u w:val="none"/>
                      <w:lang w:val="en-US" w:eastAsia="zh-CN"/>
                    </w:rPr>
                    <w:t>0</w:t>
                  </w:r>
                  <w:r>
                    <w:rPr>
                      <w:rFonts w:hint="default" w:ascii="Times New Roman" w:hAnsi="Times New Roman" w:eastAsia="宋体" w:cs="Times New Roman"/>
                      <w:color w:val="auto"/>
                      <w:sz w:val="21"/>
                      <w:szCs w:val="21"/>
                      <w:u w:val="none"/>
                      <w:lang w:val="en-US" w:eastAsia="zh-CN"/>
                    </w:rPr>
                    <w:t>户，</w:t>
                  </w:r>
                  <w:r>
                    <w:rPr>
                      <w:rFonts w:hint="eastAsia" w:ascii="Times New Roman" w:hAnsi="Times New Roman" w:eastAsia="宋体" w:cs="Times New Roman"/>
                      <w:color w:val="auto"/>
                      <w:sz w:val="21"/>
                      <w:szCs w:val="21"/>
                      <w:u w:val="none"/>
                      <w:lang w:val="en-US" w:eastAsia="zh-CN"/>
                    </w:rPr>
                    <w:t>70</w:t>
                  </w:r>
                  <w:r>
                    <w:rPr>
                      <w:rFonts w:hint="default" w:ascii="Times New Roman" w:hAnsi="Times New Roman" w:eastAsia="宋体" w:cs="Times New Roman"/>
                      <w:color w:val="auto"/>
                      <w:sz w:val="21"/>
                      <w:szCs w:val="21"/>
                      <w:u w:val="none"/>
                      <w:lang w:val="en-US" w:eastAsia="zh-CN"/>
                    </w:rPr>
                    <w:t>人</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西</w:t>
                  </w:r>
                  <w:r>
                    <w:rPr>
                      <w:rFonts w:hint="eastAsia" w:ascii="Times New Roman" w:hAnsi="Times New Roman" w:eastAsia="宋体" w:cs="Times New Roman"/>
                      <w:color w:val="auto"/>
                      <w:sz w:val="21"/>
                      <w:szCs w:val="21"/>
                      <w:u w:val="none"/>
                      <w:lang w:val="en-US" w:eastAsia="zh-CN"/>
                    </w:rPr>
                    <w:t>侧</w:t>
                  </w:r>
                  <w:r>
                    <w:rPr>
                      <w:rFonts w:hint="default" w:ascii="Times New Roman" w:hAnsi="Times New Roman" w:eastAsia="宋体" w:cs="Times New Roman"/>
                      <w:color w:val="auto"/>
                      <w:sz w:val="21"/>
                      <w:szCs w:val="21"/>
                      <w:u w:val="none"/>
                      <w:lang w:val="en-US" w:eastAsia="zh-CN"/>
                    </w:rPr>
                    <w:t>，</w:t>
                  </w:r>
                  <w:r>
                    <w:rPr>
                      <w:rFonts w:hint="eastAsia" w:ascii="Times New Roman" w:hAnsi="Times New Roman" w:eastAsia="宋体" w:cs="Times New Roman"/>
                      <w:color w:val="auto"/>
                      <w:sz w:val="21"/>
                      <w:szCs w:val="21"/>
                      <w:u w:val="none"/>
                      <w:lang w:val="en-US" w:eastAsia="zh-CN"/>
                    </w:rPr>
                    <w:t>350</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eastAsia="zh-CN"/>
                    </w:rPr>
                    <w:t>109.705746420</w:t>
                  </w:r>
                  <w:r>
                    <w:rPr>
                      <w:rFonts w:hint="eastAsia"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26.706800236</w:t>
                  </w:r>
                </w:p>
              </w:tc>
              <w:tc>
                <w:tcPr>
                  <w:tcW w:w="11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《环境空气质量标准》（GB3095-2012）中二级标准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u w:val="none"/>
                    </w:rPr>
                  </w:pP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kern w:val="0"/>
                      <w:sz w:val="21"/>
                      <w:szCs w:val="21"/>
                      <w:u w:val="none"/>
                      <w:lang w:val="en-US" w:eastAsia="zh-CN" w:bidi="ar-SA"/>
                    </w:rPr>
                    <w:t>旗家庄</w:t>
                  </w:r>
                  <w:r>
                    <w:rPr>
                      <w:rFonts w:hint="eastAsia" w:ascii="Times New Roman" w:hAnsi="Times New Roman" w:eastAsia="宋体" w:cs="Times New Roman"/>
                      <w:color w:val="auto"/>
                      <w:sz w:val="21"/>
                      <w:szCs w:val="21"/>
                      <w:u w:val="none"/>
                      <w:lang w:val="en-US" w:eastAsia="zh-CN"/>
                    </w:rPr>
                    <w:t>2#居民点</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17</w:t>
                  </w:r>
                  <w:r>
                    <w:rPr>
                      <w:rFonts w:hint="default" w:ascii="Times New Roman" w:hAnsi="Times New Roman" w:eastAsia="宋体" w:cs="Times New Roman"/>
                      <w:color w:val="auto"/>
                      <w:kern w:val="0"/>
                      <w:sz w:val="21"/>
                      <w:szCs w:val="21"/>
                      <w:u w:val="none"/>
                      <w:lang w:val="en-US" w:eastAsia="zh-CN" w:bidi="ar-SA"/>
                    </w:rPr>
                    <w:t>户，约</w:t>
                  </w:r>
                  <w:r>
                    <w:rPr>
                      <w:rFonts w:hint="eastAsia" w:ascii="Times New Roman" w:hAnsi="Times New Roman" w:eastAsia="宋体" w:cs="Times New Roman"/>
                      <w:color w:val="auto"/>
                      <w:kern w:val="0"/>
                      <w:sz w:val="21"/>
                      <w:szCs w:val="21"/>
                      <w:u w:val="none"/>
                      <w:lang w:val="en-US" w:eastAsia="zh-CN" w:bidi="ar-SA"/>
                    </w:rPr>
                    <w:t>60</w:t>
                  </w:r>
                  <w:r>
                    <w:rPr>
                      <w:rFonts w:hint="default" w:ascii="Times New Roman" w:hAnsi="Times New Roman" w:eastAsia="宋体" w:cs="Times New Roman"/>
                      <w:color w:val="auto"/>
                      <w:kern w:val="0"/>
                      <w:sz w:val="21"/>
                      <w:szCs w:val="21"/>
                      <w:u w:val="none"/>
                      <w:lang w:val="en-US" w:eastAsia="zh-CN" w:bidi="ar-SA"/>
                    </w:rPr>
                    <w:t>人</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西南侧，15米</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kern w:val="0"/>
                      <w:sz w:val="21"/>
                      <w:szCs w:val="21"/>
                      <w:u w:val="none"/>
                      <w:lang w:val="en-US" w:eastAsia="zh-CN" w:bidi="ar-SA"/>
                    </w:rPr>
                    <w:t>109.708294519，26.704810037</w:t>
                  </w:r>
                </w:p>
              </w:tc>
              <w:tc>
                <w:tcPr>
                  <w:tcW w:w="11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u w:val="none"/>
                    </w:rPr>
                  </w:pP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旗家庄</w:t>
                  </w:r>
                  <w:r>
                    <w:rPr>
                      <w:rFonts w:hint="eastAsia" w:ascii="Times New Roman" w:hAnsi="Times New Roman" w:eastAsia="宋体" w:cs="Times New Roman"/>
                      <w:color w:val="auto"/>
                      <w:sz w:val="21"/>
                      <w:szCs w:val="21"/>
                      <w:u w:val="none"/>
                      <w:lang w:val="en-US" w:eastAsia="zh-CN"/>
                    </w:rPr>
                    <w:t>3#居民点</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14</w:t>
                  </w:r>
                  <w:r>
                    <w:rPr>
                      <w:rFonts w:hint="default" w:ascii="Times New Roman" w:hAnsi="Times New Roman" w:eastAsia="宋体" w:cs="Times New Roman"/>
                      <w:color w:val="auto"/>
                      <w:sz w:val="21"/>
                      <w:szCs w:val="21"/>
                      <w:u w:val="none"/>
                      <w:lang w:val="en-US" w:eastAsia="zh-CN"/>
                    </w:rPr>
                    <w:t>户，</w:t>
                  </w:r>
                  <w:r>
                    <w:rPr>
                      <w:rFonts w:hint="eastAsia" w:ascii="Times New Roman" w:hAnsi="Times New Roman" w:eastAsia="宋体" w:cs="Times New Roman"/>
                      <w:color w:val="auto"/>
                      <w:sz w:val="21"/>
                      <w:szCs w:val="21"/>
                      <w:u w:val="none"/>
                      <w:lang w:val="en-US" w:eastAsia="zh-CN"/>
                    </w:rPr>
                    <w:t>50</w:t>
                  </w:r>
                  <w:r>
                    <w:rPr>
                      <w:rFonts w:hint="default" w:ascii="Times New Roman" w:hAnsi="Times New Roman" w:eastAsia="宋体" w:cs="Times New Roman"/>
                      <w:color w:val="auto"/>
                      <w:sz w:val="21"/>
                      <w:szCs w:val="21"/>
                      <w:u w:val="none"/>
                      <w:lang w:val="en-US" w:eastAsia="zh-CN"/>
                    </w:rPr>
                    <w:t>人</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东南侧，134</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lang w:eastAsia="zh-CN"/>
                    </w:rPr>
                    <w:t>109.710499295</w:t>
                  </w:r>
                  <w:r>
                    <w:rPr>
                      <w:rFonts w:hint="eastAsia"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lang w:eastAsia="zh-CN"/>
                    </w:rPr>
                    <w:t>26.703458204</w:t>
                  </w:r>
                </w:p>
              </w:tc>
              <w:tc>
                <w:tcPr>
                  <w:tcW w:w="11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6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地表水环境</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color w:val="auto"/>
                      <w:sz w:val="21"/>
                      <w:szCs w:val="21"/>
                      <w:lang w:eastAsia="zh-CN"/>
                    </w:rPr>
                    <w:t>渠水（</w:t>
                  </w:r>
                  <w:r>
                    <w:rPr>
                      <w:rFonts w:ascii="Times New Roman"/>
                      <w:color w:val="auto"/>
                      <w:sz w:val="21"/>
                      <w:szCs w:val="21"/>
                    </w:rPr>
                    <w:t>靖州甘太自来水厂</w:t>
                  </w:r>
                  <w:r>
                    <w:rPr>
                      <w:rFonts w:hint="eastAsia" w:ascii="Times New Roman"/>
                      <w:color w:val="auto"/>
                      <w:sz w:val="21"/>
                      <w:szCs w:val="21"/>
                    </w:rPr>
                    <w:t>取水口上游330米至下游30米的河道水域</w:t>
                  </w:r>
                  <w:r>
                    <w:rPr>
                      <w:rFonts w:hint="eastAsia" w:ascii="Times New Roman"/>
                      <w:color w:val="auto"/>
                      <w:sz w:val="21"/>
                      <w:szCs w:val="21"/>
                      <w:lang w:eastAsia="zh-CN"/>
                    </w:rPr>
                    <w:t>）</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sz w:val="21"/>
                      <w:szCs w:val="21"/>
                    </w:rPr>
                    <w:t>饮用水源一级保护区</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上游515</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109</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423249854,26</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415746075</w:t>
                  </w:r>
                </w:p>
              </w:tc>
              <w:tc>
                <w:tcPr>
                  <w:tcW w:w="11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《地表水环境质量标准》(GB3838-2002)中</w:t>
                  </w:r>
                  <w:r>
                    <w:rPr>
                      <w:rFonts w:hint="eastAsia" w:cs="宋体"/>
                      <w:color w:val="auto"/>
                      <w:kern w:val="2"/>
                      <w:sz w:val="21"/>
                      <w:szCs w:val="21"/>
                    </w:rPr>
                    <w:t>II</w:t>
                  </w:r>
                  <w:r>
                    <w:rPr>
                      <w:rFonts w:hint="default" w:ascii="Times New Roman" w:hAnsi="Times New Roman" w:eastAsia="宋体" w:cs="Times New Roman"/>
                      <w:color w:val="auto"/>
                      <w:kern w:val="0"/>
                      <w:sz w:val="21"/>
                      <w:szCs w:val="21"/>
                      <w:u w:val="none"/>
                      <w:lang w:val="en-US" w:eastAsia="zh-CN" w:bidi="ar-SA"/>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lang w:val="en-US" w:eastAsia="zh-CN" w:bidi="ar-SA"/>
                    </w:rPr>
                  </w:pP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rPr>
                    <w:t>渠水（一级保护区水域上边界上溯670米、下边界下延70米的河道水域）</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sz w:val="21"/>
                      <w:szCs w:val="21"/>
                    </w:rPr>
                    <w:t>饮用水源二级保护区</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上游480</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109</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42326258,</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26</w:t>
                  </w:r>
                  <w:r>
                    <w:rPr>
                      <w:rFonts w:hint="eastAsia" w:ascii="Times New Roman" w:hAnsi="Times New Roman" w:eastAsia="宋体" w:cs="Times New Roman"/>
                      <w:color w:val="auto"/>
                      <w:kern w:val="0"/>
                      <w:sz w:val="21"/>
                      <w:szCs w:val="21"/>
                      <w:u w:val="none"/>
                      <w:lang w:val="en-US" w:eastAsia="zh-CN" w:bidi="ar-SA"/>
                    </w:rPr>
                    <w:t>.</w:t>
                  </w:r>
                  <w:r>
                    <w:rPr>
                      <w:rFonts w:hint="default" w:ascii="Times New Roman" w:hAnsi="Times New Roman" w:eastAsia="宋体" w:cs="Times New Roman"/>
                      <w:color w:val="auto"/>
                      <w:kern w:val="0"/>
                      <w:sz w:val="21"/>
                      <w:szCs w:val="21"/>
                      <w:u w:val="none"/>
                      <w:lang w:val="en-US" w:eastAsia="zh-CN" w:bidi="ar-SA"/>
                    </w:rPr>
                    <w:t>415784699</w:t>
                  </w:r>
                </w:p>
              </w:tc>
              <w:tc>
                <w:tcPr>
                  <w:tcW w:w="11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《地表水环境质量标准》(GB3838-2002)中Ⅲ类标准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6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lang w:val="en-US" w:eastAsia="zh-CN" w:bidi="ar-SA"/>
                    </w:rPr>
                  </w:pP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red"/>
                      <w:u w:val="single"/>
                      <w:lang w:val="en-US" w:eastAsia="zh-CN" w:bidi="ar-SA"/>
                    </w:rPr>
                  </w:pPr>
                  <w:r>
                    <w:rPr>
                      <w:rFonts w:hint="eastAsia" w:ascii="Times New Roman"/>
                      <w:color w:val="auto"/>
                      <w:spacing w:val="-8"/>
                      <w:sz w:val="21"/>
                      <w:szCs w:val="21"/>
                      <w:u w:val="single"/>
                      <w:lang w:eastAsia="zh-CN"/>
                    </w:rPr>
                    <w:t>渠水靖州段</w:t>
                  </w:r>
                  <w:r>
                    <w:rPr>
                      <w:rFonts w:ascii="Times New Roman"/>
                      <w:color w:val="auto"/>
                      <w:spacing w:val="-8"/>
                      <w:sz w:val="21"/>
                      <w:szCs w:val="21"/>
                      <w:u w:val="single"/>
                    </w:rPr>
                    <w:t>埋头鲤省级水产种质资源保护区</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渔业用水</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single"/>
                      <w:lang w:val="en-US" w:eastAsia="zh-CN" w:bidi="ar-SA"/>
                    </w:rPr>
                  </w:pPr>
                  <w:r>
                    <w:rPr>
                      <w:rFonts w:hint="eastAsia" w:ascii="Times New Roman" w:hAnsi="Times New Roman" w:eastAsia="宋体" w:cs="Times New Roman"/>
                      <w:color w:val="auto"/>
                      <w:kern w:val="0"/>
                      <w:sz w:val="21"/>
                      <w:szCs w:val="21"/>
                      <w:u w:val="single"/>
                      <w:lang w:val="en-US" w:eastAsia="zh-CN" w:bidi="ar-SA"/>
                    </w:rPr>
                    <w:t>北</w:t>
                  </w:r>
                  <w:r>
                    <w:rPr>
                      <w:rFonts w:hint="default" w:ascii="Times New Roman" w:hAnsi="Times New Roman" w:eastAsia="宋体" w:cs="Times New Roman"/>
                      <w:color w:val="auto"/>
                      <w:kern w:val="0"/>
                      <w:sz w:val="21"/>
                      <w:szCs w:val="21"/>
                      <w:u w:val="single"/>
                      <w:lang w:val="en-US" w:eastAsia="zh-CN" w:bidi="ar-SA"/>
                    </w:rPr>
                    <w:t>侧，</w:t>
                  </w:r>
                  <w:r>
                    <w:rPr>
                      <w:rFonts w:hint="eastAsia" w:ascii="Times New Roman" w:hAnsi="Times New Roman" w:eastAsia="宋体" w:cs="Times New Roman"/>
                      <w:color w:val="auto"/>
                      <w:kern w:val="0"/>
                      <w:sz w:val="21"/>
                      <w:szCs w:val="21"/>
                      <w:u w:val="single"/>
                      <w:lang w:val="en-US" w:eastAsia="zh-CN" w:bidi="ar-SA"/>
                    </w:rPr>
                    <w:t>910</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109.712137012,26.714399199</w:t>
                  </w:r>
                </w:p>
              </w:tc>
              <w:tc>
                <w:tcPr>
                  <w:tcW w:w="11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single"/>
                      <w:lang w:val="en-US" w:eastAsia="zh-CN" w:bidi="ar-SA"/>
                    </w:rPr>
                  </w:pPr>
                  <w:r>
                    <w:rPr>
                      <w:rFonts w:hint="default" w:ascii="Times New Roman" w:hAnsi="Times New Roman" w:eastAsia="宋体" w:cs="Times New Roman"/>
                      <w:color w:val="auto"/>
                      <w:kern w:val="0"/>
                      <w:sz w:val="21"/>
                      <w:szCs w:val="21"/>
                      <w:u w:val="single"/>
                      <w:lang w:val="en-US" w:eastAsia="zh-CN" w:bidi="ar-SA"/>
                    </w:rPr>
                    <w:t>《地表水环境质量标准》(GB3838-2002)中Ⅲ类标准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声</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环境</w:t>
                  </w:r>
                </w:p>
              </w:tc>
              <w:tc>
                <w:tcPr>
                  <w:tcW w:w="11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旗家庄</w:t>
                  </w:r>
                  <w:r>
                    <w:rPr>
                      <w:rFonts w:hint="eastAsia" w:ascii="Times New Roman" w:hAnsi="Times New Roman" w:eastAsia="宋体" w:cs="Times New Roman"/>
                      <w:color w:val="auto"/>
                      <w:sz w:val="21"/>
                      <w:szCs w:val="21"/>
                      <w:u w:val="none"/>
                      <w:lang w:val="en-US" w:eastAsia="zh-CN"/>
                    </w:rPr>
                    <w:t>2#居民点</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17</w:t>
                  </w:r>
                  <w:r>
                    <w:rPr>
                      <w:rFonts w:hint="default" w:ascii="Times New Roman" w:hAnsi="Times New Roman" w:eastAsia="宋体" w:cs="Times New Roman"/>
                      <w:color w:val="auto"/>
                      <w:kern w:val="0"/>
                      <w:sz w:val="21"/>
                      <w:szCs w:val="21"/>
                      <w:u w:val="none"/>
                      <w:lang w:val="en-US" w:eastAsia="zh-CN" w:bidi="ar-SA"/>
                    </w:rPr>
                    <w:t>户，约</w:t>
                  </w:r>
                  <w:r>
                    <w:rPr>
                      <w:rFonts w:hint="eastAsia" w:ascii="Times New Roman" w:hAnsi="Times New Roman" w:eastAsia="宋体" w:cs="Times New Roman"/>
                      <w:color w:val="auto"/>
                      <w:kern w:val="0"/>
                      <w:sz w:val="21"/>
                      <w:szCs w:val="21"/>
                      <w:u w:val="none"/>
                      <w:lang w:val="en-US" w:eastAsia="zh-CN" w:bidi="ar-SA"/>
                    </w:rPr>
                    <w:t>60</w:t>
                  </w:r>
                  <w:r>
                    <w:rPr>
                      <w:rFonts w:hint="default" w:ascii="Times New Roman" w:hAnsi="Times New Roman" w:eastAsia="宋体" w:cs="Times New Roman"/>
                      <w:color w:val="auto"/>
                      <w:kern w:val="0"/>
                      <w:sz w:val="21"/>
                      <w:szCs w:val="21"/>
                      <w:u w:val="none"/>
                      <w:lang w:val="en-US" w:eastAsia="zh-CN" w:bidi="ar-SA"/>
                    </w:rPr>
                    <w:t>人</w:t>
                  </w:r>
                </w:p>
              </w:tc>
              <w:tc>
                <w:tcPr>
                  <w:tcW w:w="77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西南侧，15米</w:t>
                  </w:r>
                </w:p>
              </w:tc>
              <w:tc>
                <w:tcPr>
                  <w:tcW w:w="10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109.708294519，26.704810037</w:t>
                  </w:r>
                </w:p>
              </w:tc>
              <w:tc>
                <w:tcPr>
                  <w:tcW w:w="115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u w:val="none"/>
                      <w:lang w:val="en-US" w:eastAsia="zh-CN"/>
                    </w:rPr>
                    <w:t>《声环境质量标准》（GB3096-2008）2类</w:t>
                  </w:r>
                  <w:r>
                    <w:rPr>
                      <w:rFonts w:hint="eastAsia"/>
                      <w:u w:val="none"/>
                      <w:lang w:val="en-US" w:eastAsia="zh-CN"/>
                    </w:rPr>
                    <w:t>标准</w:t>
                  </w:r>
                </w:p>
              </w:tc>
            </w:tr>
          </w:tbl>
          <w:p>
            <w:pPr>
              <w:adjustRightInd w:val="0"/>
              <w:snapToGrid w:val="0"/>
              <w:spacing w:line="360" w:lineRule="auto"/>
              <w:jc w:val="left"/>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800" w:type="dxa"/>
            <w:noWrap w:val="0"/>
            <w:tcMar>
              <w:left w:w="28" w:type="dxa"/>
              <w:right w:w="28" w:type="dxa"/>
            </w:tcMar>
            <w:vAlign w:val="center"/>
          </w:tcPr>
          <w:p>
            <w:pPr>
              <w:adjustRightInd w:val="0"/>
              <w:snapToGrid w:val="0"/>
              <w:jc w:val="center"/>
              <w:rPr>
                <w:kern w:val="0"/>
                <w:szCs w:val="21"/>
              </w:rPr>
            </w:pPr>
            <w:r>
              <w:rPr>
                <w:rFonts w:hAnsi="宋体"/>
                <w:kern w:val="0"/>
                <w:szCs w:val="21"/>
              </w:rPr>
              <w:t>污染</w:t>
            </w:r>
          </w:p>
          <w:p>
            <w:pPr>
              <w:adjustRightInd w:val="0"/>
              <w:snapToGrid w:val="0"/>
              <w:jc w:val="center"/>
              <w:rPr>
                <w:kern w:val="0"/>
                <w:szCs w:val="21"/>
              </w:rPr>
            </w:pPr>
            <w:r>
              <w:rPr>
                <w:rFonts w:hAnsi="宋体"/>
                <w:kern w:val="0"/>
                <w:szCs w:val="21"/>
              </w:rPr>
              <w:t>物排</w:t>
            </w:r>
          </w:p>
          <w:p>
            <w:pPr>
              <w:adjustRightInd w:val="0"/>
              <w:snapToGrid w:val="0"/>
              <w:jc w:val="center"/>
              <w:rPr>
                <w:kern w:val="0"/>
                <w:szCs w:val="21"/>
              </w:rPr>
            </w:pPr>
            <w:r>
              <w:rPr>
                <w:rFonts w:hAnsi="宋体"/>
                <w:kern w:val="0"/>
                <w:szCs w:val="21"/>
              </w:rPr>
              <w:t>放控</w:t>
            </w:r>
          </w:p>
          <w:p>
            <w:pPr>
              <w:adjustRightInd w:val="0"/>
              <w:snapToGrid w:val="0"/>
              <w:jc w:val="center"/>
              <w:rPr>
                <w:kern w:val="0"/>
                <w:szCs w:val="21"/>
              </w:rPr>
            </w:pPr>
            <w:r>
              <w:rPr>
                <w:rFonts w:hAnsi="宋体"/>
                <w:kern w:val="0"/>
                <w:szCs w:val="21"/>
              </w:rPr>
              <w:t>制标</w:t>
            </w:r>
          </w:p>
          <w:p>
            <w:pPr>
              <w:adjustRightInd w:val="0"/>
              <w:snapToGrid w:val="0"/>
              <w:jc w:val="center"/>
              <w:rPr>
                <w:kern w:val="0"/>
                <w:szCs w:val="21"/>
              </w:rPr>
            </w:pPr>
            <w:r>
              <w:rPr>
                <w:rFonts w:hAnsi="宋体"/>
                <w:kern w:val="0"/>
                <w:szCs w:val="21"/>
              </w:rPr>
              <w:t>准</w:t>
            </w:r>
          </w:p>
        </w:tc>
        <w:tc>
          <w:tcPr>
            <w:tcW w:w="8190" w:type="dxa"/>
            <w:noWrap w:val="0"/>
            <w:vAlign w:val="center"/>
          </w:tcPr>
          <w:p>
            <w:pPr>
              <w:spacing w:line="360" w:lineRule="auto"/>
              <w:ind w:firstLine="482" w:firstLineChars="200"/>
              <w:rPr>
                <w:b/>
                <w:bCs/>
                <w:sz w:val="24"/>
                <w:szCs w:val="24"/>
              </w:rPr>
            </w:pPr>
            <w:r>
              <w:rPr>
                <w:rFonts w:hint="eastAsia"/>
                <w:b/>
                <w:bCs/>
                <w:sz w:val="24"/>
                <w:szCs w:val="24"/>
                <w:lang w:val="en-US" w:eastAsia="zh-CN"/>
              </w:rPr>
              <w:t>13、</w:t>
            </w:r>
            <w:r>
              <w:rPr>
                <w:b/>
                <w:bCs/>
                <w:sz w:val="24"/>
                <w:szCs w:val="24"/>
              </w:rPr>
              <w:t>废气排放标准</w:t>
            </w:r>
          </w:p>
          <w:p>
            <w:pPr>
              <w:spacing w:line="360" w:lineRule="auto"/>
              <w:ind w:firstLine="480" w:firstLineChars="200"/>
              <w:rPr>
                <w:rFonts w:hint="eastAsia"/>
                <w:sz w:val="24"/>
                <w:szCs w:val="24"/>
                <w:u w:val="none"/>
              </w:rPr>
            </w:pPr>
            <w:r>
              <w:rPr>
                <w:rFonts w:hint="eastAsia"/>
                <w:sz w:val="24"/>
                <w:szCs w:val="24"/>
                <w:u w:val="none"/>
                <w:lang w:eastAsia="zh-CN"/>
              </w:rPr>
              <w:t>本项目颗粒物、</w:t>
            </w:r>
            <w:r>
              <w:rPr>
                <w:rFonts w:hint="eastAsia"/>
                <w:sz w:val="24"/>
                <w:szCs w:val="24"/>
                <w:u w:val="none"/>
              </w:rPr>
              <w:t>非甲烷总烃</w:t>
            </w:r>
            <w:r>
              <w:rPr>
                <w:rFonts w:hint="eastAsia"/>
                <w:sz w:val="24"/>
                <w:szCs w:val="24"/>
                <w:u w:val="none"/>
                <w:lang w:eastAsia="zh-CN"/>
              </w:rPr>
              <w:t>、</w:t>
            </w:r>
            <w:r>
              <w:rPr>
                <w:rFonts w:hint="eastAsia"/>
                <w:sz w:val="24"/>
                <w:szCs w:val="24"/>
                <w:u w:val="none"/>
                <w:lang w:val="en-US" w:eastAsia="zh-CN"/>
              </w:rPr>
              <w:t>氟化物</w:t>
            </w:r>
            <w:r>
              <w:rPr>
                <w:rFonts w:hint="eastAsia"/>
                <w:sz w:val="24"/>
                <w:szCs w:val="24"/>
                <w:u w:val="none"/>
                <w:lang w:eastAsia="zh-CN"/>
              </w:rPr>
              <w:t>执行</w:t>
            </w:r>
            <w:r>
              <w:rPr>
                <w:rFonts w:hint="eastAsia"/>
                <w:sz w:val="24"/>
                <w:szCs w:val="24"/>
                <w:u w:val="none"/>
              </w:rPr>
              <w:t>《大气污染物综合排放标准》（GB16297-1996）表</w:t>
            </w:r>
            <w:r>
              <w:rPr>
                <w:rFonts w:hint="eastAsia"/>
                <w:sz w:val="24"/>
                <w:szCs w:val="24"/>
                <w:u w:val="none"/>
                <w:lang w:val="en-US" w:eastAsia="zh-CN"/>
              </w:rPr>
              <w:t>2</w:t>
            </w:r>
            <w:r>
              <w:rPr>
                <w:rFonts w:hint="eastAsia"/>
                <w:sz w:val="24"/>
                <w:szCs w:val="24"/>
                <w:u w:val="none"/>
              </w:rPr>
              <w:t>排放限值及无组织排放监控浓度限值要求</w:t>
            </w:r>
            <w:r>
              <w:rPr>
                <w:rFonts w:hint="eastAsia"/>
                <w:sz w:val="24"/>
                <w:szCs w:val="24"/>
                <w:u w:val="none"/>
                <w:lang w:eastAsia="zh-CN"/>
              </w:rPr>
              <w:t>；厂内</w:t>
            </w:r>
            <w:r>
              <w:rPr>
                <w:rFonts w:hint="eastAsia"/>
                <w:sz w:val="24"/>
                <w:szCs w:val="24"/>
                <w:u w:val="none"/>
                <w:lang w:val="en-US" w:eastAsia="zh-CN"/>
              </w:rPr>
              <w:t>非甲烷总烃按照《挥发性有机物无组织排放控制标准》（GB37822-2019）排放限值要求；</w:t>
            </w:r>
            <w:r>
              <w:rPr>
                <w:rFonts w:hint="eastAsia" w:ascii="Times New Roman" w:hAnsi="Times New Roman" w:eastAsia="宋体" w:cs="Times New Roman"/>
                <w:bCs/>
                <w:color w:val="auto"/>
                <w:sz w:val="24"/>
                <w:u w:val="none"/>
                <w:lang w:eastAsia="zh-CN"/>
              </w:rPr>
              <w:t>食堂</w:t>
            </w:r>
            <w:r>
              <w:rPr>
                <w:rFonts w:hint="default" w:ascii="Times New Roman" w:hAnsi="Times New Roman" w:eastAsia="宋体" w:cs="Times New Roman"/>
                <w:bCs/>
                <w:color w:val="auto"/>
                <w:sz w:val="24"/>
                <w:u w:val="none"/>
                <w:lang w:eastAsia="zh-CN"/>
              </w:rPr>
              <w:t>油烟参照执行《饮食业油烟排放标准（试行）》（GB18483-2001）</w:t>
            </w:r>
            <w:r>
              <w:rPr>
                <w:rFonts w:hint="eastAsia" w:ascii="Times New Roman" w:hAnsi="Times New Roman" w:eastAsia="宋体" w:cs="Times New Roman"/>
                <w:bCs/>
                <w:color w:val="auto"/>
                <w:sz w:val="24"/>
                <w:u w:val="none"/>
                <w:lang w:eastAsia="zh-CN"/>
              </w:rPr>
              <w:t>。</w:t>
            </w:r>
          </w:p>
          <w:p>
            <w:pPr>
              <w:spacing w:line="360" w:lineRule="auto"/>
              <w:ind w:firstLine="480" w:firstLineChars="200"/>
              <w:rPr>
                <w:sz w:val="24"/>
                <w:szCs w:val="24"/>
                <w:u w:val="none"/>
              </w:rPr>
            </w:pPr>
            <w:r>
              <w:rPr>
                <w:rFonts w:hint="eastAsia"/>
                <w:sz w:val="24"/>
                <w:szCs w:val="24"/>
                <w:u w:val="none"/>
              </w:rPr>
              <w:t>具体</w:t>
            </w:r>
            <w:r>
              <w:rPr>
                <w:sz w:val="24"/>
                <w:szCs w:val="24"/>
                <w:u w:val="none"/>
              </w:rPr>
              <w:t>标准限值要求</w:t>
            </w:r>
            <w:r>
              <w:rPr>
                <w:rFonts w:hint="eastAsia"/>
                <w:sz w:val="24"/>
                <w:szCs w:val="24"/>
                <w:u w:val="none"/>
              </w:rPr>
              <w:t>见下表：</w:t>
            </w:r>
          </w:p>
          <w:p>
            <w:pPr>
              <w:adjustRightInd w:val="0"/>
              <w:snapToGrid w:val="0"/>
              <w:jc w:val="center"/>
              <w:rPr>
                <w:b w:val="0"/>
                <w:bCs/>
                <w:szCs w:val="21"/>
              </w:rPr>
            </w:pPr>
            <w:r>
              <w:rPr>
                <w:b/>
                <w:szCs w:val="21"/>
              </w:rPr>
              <w:t>表</w:t>
            </w:r>
            <w:r>
              <w:rPr>
                <w:rFonts w:hint="eastAsia"/>
                <w:b/>
                <w:szCs w:val="21"/>
              </w:rPr>
              <w:t>3</w:t>
            </w:r>
            <w:r>
              <w:rPr>
                <w:b/>
                <w:szCs w:val="21"/>
              </w:rPr>
              <w:t>-</w:t>
            </w:r>
            <w:r>
              <w:rPr>
                <w:rFonts w:hint="eastAsia"/>
                <w:b/>
                <w:szCs w:val="21"/>
                <w:lang w:val="en-US" w:eastAsia="zh-CN"/>
              </w:rPr>
              <w:t xml:space="preserve">7 </w:t>
            </w:r>
            <w:r>
              <w:rPr>
                <w:rFonts w:hint="eastAsia"/>
                <w:b/>
                <w:szCs w:val="21"/>
              </w:rPr>
              <w:t xml:space="preserve"> </w:t>
            </w:r>
            <w:r>
              <w:rPr>
                <w:b/>
                <w:szCs w:val="21"/>
              </w:rPr>
              <w:t>大气污染物排放标准</w:t>
            </w:r>
            <w:r>
              <w:rPr>
                <w:rFonts w:hint="eastAsia"/>
                <w:b/>
                <w:szCs w:val="21"/>
                <w:lang w:val="en-US" w:eastAsia="zh-CN"/>
              </w:rPr>
              <w:t xml:space="preserve">    </w:t>
            </w:r>
            <w:r>
              <w:rPr>
                <w:b w:val="0"/>
                <w:bCs/>
                <w:szCs w:val="21"/>
              </w:rPr>
              <w:t>单位：mg/m</w:t>
            </w:r>
            <w:r>
              <w:rPr>
                <w:b w:val="0"/>
                <w:bCs/>
                <w:szCs w:val="21"/>
                <w:vertAlign w:val="superscript"/>
              </w:rPr>
              <w:t>3</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035"/>
              <w:gridCol w:w="1377"/>
              <w:gridCol w:w="991"/>
              <w:gridCol w:w="1004"/>
              <w:gridCol w:w="1233"/>
              <w:gridCol w:w="13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7" w:type="pct"/>
                  <w:vMerge w:val="restart"/>
                  <w:noWrap w:val="0"/>
                  <w:vAlign w:val="center"/>
                </w:tcPr>
                <w:p>
                  <w:pPr>
                    <w:adjustRightInd w:val="0"/>
                    <w:snapToGrid w:val="0"/>
                    <w:jc w:val="center"/>
                    <w:rPr>
                      <w:kern w:val="0"/>
                      <w:szCs w:val="21"/>
                      <w:u w:val="none"/>
                    </w:rPr>
                  </w:pPr>
                  <w:r>
                    <w:rPr>
                      <w:rFonts w:hint="eastAsia"/>
                      <w:kern w:val="0"/>
                      <w:szCs w:val="21"/>
                      <w:u w:val="none"/>
                    </w:rPr>
                    <w:t>标准名称</w:t>
                  </w:r>
                </w:p>
              </w:tc>
              <w:tc>
                <w:tcPr>
                  <w:tcW w:w="864" w:type="pct"/>
                  <w:vMerge w:val="restart"/>
                  <w:noWrap w:val="0"/>
                  <w:vAlign w:val="center"/>
                </w:tcPr>
                <w:p>
                  <w:pPr>
                    <w:adjustRightInd w:val="0"/>
                    <w:snapToGrid w:val="0"/>
                    <w:jc w:val="center"/>
                    <w:rPr>
                      <w:rFonts w:hint="eastAsia"/>
                      <w:kern w:val="0"/>
                      <w:szCs w:val="21"/>
                      <w:u w:val="none"/>
                    </w:rPr>
                  </w:pPr>
                  <w:r>
                    <w:rPr>
                      <w:kern w:val="0"/>
                      <w:szCs w:val="21"/>
                      <w:u w:val="none"/>
                    </w:rPr>
                    <w:t>污染物</w:t>
                  </w:r>
                </w:p>
                <w:p>
                  <w:pPr>
                    <w:adjustRightInd w:val="0"/>
                    <w:snapToGrid w:val="0"/>
                    <w:jc w:val="center"/>
                    <w:rPr>
                      <w:kern w:val="0"/>
                      <w:szCs w:val="21"/>
                      <w:u w:val="none"/>
                    </w:rPr>
                  </w:pPr>
                  <w:r>
                    <w:rPr>
                      <w:kern w:val="0"/>
                      <w:szCs w:val="21"/>
                      <w:u w:val="none"/>
                    </w:rPr>
                    <w:t>名称</w:t>
                  </w:r>
                </w:p>
              </w:tc>
              <w:tc>
                <w:tcPr>
                  <w:tcW w:w="622" w:type="pct"/>
                  <w:vMerge w:val="restart"/>
                  <w:tcBorders>
                    <w:right w:val="single" w:color="auto" w:sz="4" w:space="0"/>
                  </w:tcBorders>
                  <w:noWrap w:val="0"/>
                  <w:vAlign w:val="center"/>
                </w:tcPr>
                <w:p>
                  <w:pPr>
                    <w:adjustRightInd w:val="0"/>
                    <w:snapToGrid w:val="0"/>
                    <w:jc w:val="center"/>
                    <w:rPr>
                      <w:kern w:val="0"/>
                      <w:szCs w:val="21"/>
                      <w:u w:val="none"/>
                    </w:rPr>
                  </w:pPr>
                  <w:r>
                    <w:rPr>
                      <w:kern w:val="0"/>
                      <w:szCs w:val="21"/>
                      <w:u w:val="none"/>
                    </w:rPr>
                    <w:t>排放浓度限值(mg/m</w:t>
                  </w:r>
                  <w:r>
                    <w:rPr>
                      <w:kern w:val="0"/>
                      <w:szCs w:val="21"/>
                      <w:u w:val="none"/>
                      <w:vertAlign w:val="superscript"/>
                    </w:rPr>
                    <w:t>3</w:t>
                  </w:r>
                  <w:r>
                    <w:rPr>
                      <w:kern w:val="0"/>
                      <w:szCs w:val="21"/>
                      <w:u w:val="none"/>
                    </w:rPr>
                    <w:t>)</w:t>
                  </w:r>
                </w:p>
              </w:tc>
              <w:tc>
                <w:tcPr>
                  <w:tcW w:w="630" w:type="pct"/>
                  <w:vMerge w:val="restart"/>
                  <w:tcBorders>
                    <w:left w:val="single" w:color="auto" w:sz="4" w:space="0"/>
                  </w:tcBorders>
                  <w:noWrap w:val="0"/>
                  <w:vAlign w:val="center"/>
                </w:tcPr>
                <w:p>
                  <w:pPr>
                    <w:adjustRightInd w:val="0"/>
                    <w:snapToGrid w:val="0"/>
                    <w:jc w:val="center"/>
                    <w:rPr>
                      <w:rFonts w:hint="eastAsia"/>
                      <w:kern w:val="0"/>
                      <w:szCs w:val="21"/>
                      <w:u w:val="none"/>
                    </w:rPr>
                  </w:pPr>
                  <w:r>
                    <w:rPr>
                      <w:kern w:val="0"/>
                      <w:szCs w:val="21"/>
                      <w:u w:val="none"/>
                    </w:rPr>
                    <w:t>排放</w:t>
                  </w:r>
                </w:p>
                <w:p>
                  <w:pPr>
                    <w:adjustRightInd w:val="0"/>
                    <w:snapToGrid w:val="0"/>
                    <w:jc w:val="center"/>
                    <w:rPr>
                      <w:kern w:val="0"/>
                      <w:szCs w:val="21"/>
                      <w:u w:val="none"/>
                    </w:rPr>
                  </w:pPr>
                  <w:r>
                    <w:rPr>
                      <w:kern w:val="0"/>
                      <w:szCs w:val="21"/>
                      <w:u w:val="none"/>
                    </w:rPr>
                    <w:t>速率（kg/h）</w:t>
                  </w:r>
                </w:p>
              </w:tc>
              <w:tc>
                <w:tcPr>
                  <w:tcW w:w="1605" w:type="pct"/>
                  <w:gridSpan w:val="2"/>
                  <w:noWrap w:val="0"/>
                  <w:vAlign w:val="center"/>
                </w:tcPr>
                <w:p>
                  <w:pPr>
                    <w:adjustRightInd w:val="0"/>
                    <w:snapToGrid w:val="0"/>
                    <w:jc w:val="center"/>
                    <w:rPr>
                      <w:kern w:val="0"/>
                      <w:szCs w:val="21"/>
                      <w:u w:val="none"/>
                    </w:rPr>
                  </w:pPr>
                  <w:r>
                    <w:rPr>
                      <w:kern w:val="0"/>
                      <w:szCs w:val="21"/>
                      <w:u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7" w:type="pct"/>
                  <w:vMerge w:val="continue"/>
                  <w:noWrap w:val="0"/>
                  <w:vAlign w:val="center"/>
                </w:tcPr>
                <w:p>
                  <w:pPr>
                    <w:adjustRightInd w:val="0"/>
                    <w:snapToGrid w:val="0"/>
                    <w:jc w:val="center"/>
                    <w:rPr>
                      <w:kern w:val="0"/>
                      <w:szCs w:val="21"/>
                      <w:u w:val="none"/>
                    </w:rPr>
                  </w:pPr>
                </w:p>
              </w:tc>
              <w:tc>
                <w:tcPr>
                  <w:tcW w:w="864" w:type="pct"/>
                  <w:vMerge w:val="continue"/>
                  <w:noWrap w:val="0"/>
                  <w:vAlign w:val="center"/>
                </w:tcPr>
                <w:p>
                  <w:pPr>
                    <w:adjustRightInd w:val="0"/>
                    <w:snapToGrid w:val="0"/>
                    <w:jc w:val="center"/>
                    <w:rPr>
                      <w:kern w:val="0"/>
                      <w:szCs w:val="21"/>
                      <w:u w:val="none"/>
                    </w:rPr>
                  </w:pPr>
                </w:p>
              </w:tc>
              <w:tc>
                <w:tcPr>
                  <w:tcW w:w="622" w:type="pct"/>
                  <w:vMerge w:val="continue"/>
                  <w:tcBorders>
                    <w:right w:val="single" w:color="auto" w:sz="4" w:space="0"/>
                  </w:tcBorders>
                  <w:noWrap w:val="0"/>
                  <w:vAlign w:val="center"/>
                </w:tcPr>
                <w:p>
                  <w:pPr>
                    <w:adjustRightInd w:val="0"/>
                    <w:snapToGrid w:val="0"/>
                    <w:jc w:val="center"/>
                    <w:rPr>
                      <w:kern w:val="0"/>
                      <w:szCs w:val="21"/>
                      <w:u w:val="none"/>
                    </w:rPr>
                  </w:pPr>
                </w:p>
              </w:tc>
              <w:tc>
                <w:tcPr>
                  <w:tcW w:w="630" w:type="pct"/>
                  <w:vMerge w:val="continue"/>
                  <w:tcBorders>
                    <w:left w:val="single" w:color="auto" w:sz="4" w:space="0"/>
                  </w:tcBorders>
                  <w:noWrap w:val="0"/>
                  <w:vAlign w:val="center"/>
                </w:tcPr>
                <w:p>
                  <w:pPr>
                    <w:adjustRightInd w:val="0"/>
                    <w:snapToGrid w:val="0"/>
                    <w:jc w:val="center"/>
                    <w:rPr>
                      <w:kern w:val="0"/>
                      <w:szCs w:val="21"/>
                      <w:u w:val="none"/>
                    </w:rPr>
                  </w:pPr>
                </w:p>
              </w:tc>
              <w:tc>
                <w:tcPr>
                  <w:tcW w:w="774" w:type="pct"/>
                  <w:noWrap w:val="0"/>
                  <w:vAlign w:val="center"/>
                </w:tcPr>
                <w:p>
                  <w:pPr>
                    <w:adjustRightInd w:val="0"/>
                    <w:snapToGrid w:val="0"/>
                    <w:jc w:val="center"/>
                    <w:rPr>
                      <w:kern w:val="0"/>
                      <w:szCs w:val="21"/>
                      <w:u w:val="none"/>
                    </w:rPr>
                  </w:pPr>
                  <w:r>
                    <w:rPr>
                      <w:kern w:val="0"/>
                      <w:szCs w:val="21"/>
                      <w:u w:val="none"/>
                    </w:rPr>
                    <w:t>监控点</w:t>
                  </w:r>
                </w:p>
              </w:tc>
              <w:tc>
                <w:tcPr>
                  <w:tcW w:w="831" w:type="pct"/>
                  <w:noWrap w:val="0"/>
                  <w:vAlign w:val="center"/>
                </w:tcPr>
                <w:p>
                  <w:pPr>
                    <w:adjustRightInd w:val="0"/>
                    <w:snapToGrid w:val="0"/>
                    <w:jc w:val="center"/>
                    <w:rPr>
                      <w:kern w:val="0"/>
                      <w:szCs w:val="21"/>
                      <w:u w:val="none"/>
                    </w:rPr>
                  </w:pPr>
                  <w:r>
                    <w:rPr>
                      <w:kern w:val="0"/>
                      <w:szCs w:val="21"/>
                      <w:u w:val="none"/>
                    </w:rPr>
                    <w:t>浓度(mg/m</w:t>
                  </w:r>
                  <w:r>
                    <w:rPr>
                      <w:kern w:val="0"/>
                      <w:szCs w:val="21"/>
                      <w:u w:val="none"/>
                      <w:vertAlign w:val="superscript"/>
                    </w:rPr>
                    <w:t>3</w:t>
                  </w:r>
                  <w:r>
                    <w:rPr>
                      <w:kern w:val="0"/>
                      <w:szCs w:val="21"/>
                      <w:u w:val="none"/>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7" w:type="pct"/>
                  <w:vMerge w:val="restart"/>
                  <w:noWrap w:val="0"/>
                  <w:vAlign w:val="center"/>
                </w:tcPr>
                <w:p>
                  <w:pPr>
                    <w:adjustRightInd w:val="0"/>
                    <w:snapToGrid w:val="0"/>
                    <w:jc w:val="center"/>
                    <w:rPr>
                      <w:kern w:val="0"/>
                      <w:szCs w:val="21"/>
                      <w:u w:val="none"/>
                    </w:rPr>
                  </w:pPr>
                  <w:r>
                    <w:rPr>
                      <w:rFonts w:hint="eastAsia"/>
                      <w:kern w:val="0"/>
                      <w:szCs w:val="21"/>
                      <w:u w:val="none"/>
                    </w:rPr>
                    <w:t>《大气污染物综合排放标准》（GB16297-1996）</w:t>
                  </w:r>
                </w:p>
              </w:tc>
              <w:tc>
                <w:tcPr>
                  <w:tcW w:w="864" w:type="pct"/>
                  <w:noWrap w:val="0"/>
                  <w:vAlign w:val="center"/>
                </w:tcPr>
                <w:p>
                  <w:pPr>
                    <w:adjustRightInd w:val="0"/>
                    <w:snapToGrid w:val="0"/>
                    <w:jc w:val="center"/>
                    <w:rPr>
                      <w:kern w:val="0"/>
                      <w:szCs w:val="21"/>
                      <w:u w:val="none"/>
                    </w:rPr>
                  </w:pPr>
                  <w:r>
                    <w:rPr>
                      <w:rFonts w:hint="eastAsia"/>
                      <w:kern w:val="0"/>
                      <w:szCs w:val="21"/>
                      <w:u w:val="none"/>
                    </w:rPr>
                    <w:t>颗粒物</w:t>
                  </w:r>
                </w:p>
              </w:tc>
              <w:tc>
                <w:tcPr>
                  <w:tcW w:w="622" w:type="pct"/>
                  <w:tcBorders>
                    <w:right w:val="single" w:color="auto" w:sz="4" w:space="0"/>
                  </w:tcBorders>
                  <w:noWrap w:val="0"/>
                  <w:vAlign w:val="center"/>
                </w:tcPr>
                <w:p>
                  <w:pPr>
                    <w:snapToGrid w:val="0"/>
                    <w:jc w:val="center"/>
                    <w:rPr>
                      <w:rFonts w:hint="default" w:eastAsia="宋体"/>
                      <w:szCs w:val="21"/>
                      <w:u w:val="none"/>
                      <w:lang w:val="en-US" w:eastAsia="zh-CN"/>
                    </w:rPr>
                  </w:pPr>
                  <w:r>
                    <w:rPr>
                      <w:rFonts w:hint="eastAsia"/>
                      <w:szCs w:val="21"/>
                      <w:u w:val="none"/>
                      <w:lang w:val="en-US" w:eastAsia="zh-CN"/>
                    </w:rPr>
                    <w:t>120</w:t>
                  </w:r>
                </w:p>
              </w:tc>
              <w:tc>
                <w:tcPr>
                  <w:tcW w:w="630" w:type="pct"/>
                  <w:tcBorders>
                    <w:left w:val="single" w:color="auto" w:sz="4" w:space="0"/>
                  </w:tcBorders>
                  <w:noWrap w:val="0"/>
                  <w:vAlign w:val="center"/>
                </w:tcPr>
                <w:p>
                  <w:pPr>
                    <w:snapToGrid w:val="0"/>
                    <w:jc w:val="center"/>
                    <w:rPr>
                      <w:rFonts w:hint="default" w:eastAsia="宋体"/>
                      <w:szCs w:val="21"/>
                      <w:u w:val="none"/>
                      <w:lang w:val="en-US" w:eastAsia="zh-CN"/>
                    </w:rPr>
                  </w:pPr>
                  <w:r>
                    <w:rPr>
                      <w:rFonts w:hint="eastAsia"/>
                      <w:szCs w:val="21"/>
                      <w:u w:val="none"/>
                      <w:lang w:val="en-US" w:eastAsia="zh-CN"/>
                    </w:rPr>
                    <w:t>2.5</w:t>
                  </w:r>
                </w:p>
              </w:tc>
              <w:tc>
                <w:tcPr>
                  <w:tcW w:w="774" w:type="pct"/>
                  <w:vMerge w:val="restart"/>
                  <w:noWrap w:val="0"/>
                  <w:vAlign w:val="center"/>
                </w:tcPr>
                <w:p>
                  <w:pPr>
                    <w:adjustRightInd w:val="0"/>
                    <w:snapToGrid w:val="0"/>
                    <w:jc w:val="center"/>
                    <w:rPr>
                      <w:kern w:val="0"/>
                      <w:szCs w:val="21"/>
                      <w:u w:val="none"/>
                    </w:rPr>
                  </w:pPr>
                  <w:r>
                    <w:rPr>
                      <w:rFonts w:hint="eastAsia"/>
                      <w:kern w:val="0"/>
                      <w:szCs w:val="21"/>
                      <w:u w:val="none"/>
                    </w:rPr>
                    <w:t>周界外浓度最高点</w:t>
                  </w:r>
                </w:p>
              </w:tc>
              <w:tc>
                <w:tcPr>
                  <w:tcW w:w="831" w:type="pct"/>
                  <w:noWrap w:val="0"/>
                  <w:vAlign w:val="center"/>
                </w:tcPr>
                <w:p>
                  <w:pPr>
                    <w:adjustRightInd w:val="0"/>
                    <w:snapToGrid w:val="0"/>
                    <w:jc w:val="center"/>
                    <w:rPr>
                      <w:kern w:val="0"/>
                      <w:szCs w:val="21"/>
                      <w:u w:val="none"/>
                    </w:rPr>
                  </w:pPr>
                  <w:r>
                    <w:rPr>
                      <w:rFonts w:hint="eastAsia"/>
                      <w:kern w:val="0"/>
                      <w:szCs w:val="21"/>
                      <w:u w:val="none"/>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7" w:type="pct"/>
                  <w:vMerge w:val="continue"/>
                  <w:noWrap w:val="0"/>
                  <w:vAlign w:val="center"/>
                </w:tcPr>
                <w:p>
                  <w:pPr>
                    <w:adjustRightInd w:val="0"/>
                    <w:snapToGrid w:val="0"/>
                    <w:jc w:val="center"/>
                    <w:rPr>
                      <w:kern w:val="0"/>
                      <w:szCs w:val="21"/>
                      <w:u w:val="none"/>
                    </w:rPr>
                  </w:pPr>
                </w:p>
              </w:tc>
              <w:tc>
                <w:tcPr>
                  <w:tcW w:w="864" w:type="pct"/>
                  <w:noWrap w:val="0"/>
                  <w:vAlign w:val="center"/>
                </w:tcPr>
                <w:p>
                  <w:pPr>
                    <w:adjustRightInd w:val="0"/>
                    <w:snapToGrid w:val="0"/>
                    <w:jc w:val="center"/>
                    <w:rPr>
                      <w:rFonts w:hint="eastAsia" w:eastAsia="宋体"/>
                      <w:kern w:val="0"/>
                      <w:szCs w:val="21"/>
                      <w:u w:val="none"/>
                      <w:lang w:eastAsia="zh-CN"/>
                    </w:rPr>
                  </w:pPr>
                  <w:r>
                    <w:rPr>
                      <w:rFonts w:hint="eastAsia"/>
                      <w:kern w:val="0"/>
                      <w:szCs w:val="21"/>
                      <w:u w:val="none"/>
                      <w:lang w:val="en-US" w:eastAsia="zh-CN"/>
                    </w:rPr>
                    <w:t>非甲烷总烃</w:t>
                  </w:r>
                </w:p>
              </w:tc>
              <w:tc>
                <w:tcPr>
                  <w:tcW w:w="622" w:type="pct"/>
                  <w:tcBorders>
                    <w:right w:val="single" w:color="auto" w:sz="4" w:space="0"/>
                  </w:tcBorders>
                  <w:noWrap w:val="0"/>
                  <w:vAlign w:val="center"/>
                </w:tcPr>
                <w:p>
                  <w:pPr>
                    <w:snapToGrid w:val="0"/>
                    <w:jc w:val="center"/>
                    <w:rPr>
                      <w:rFonts w:hint="default" w:eastAsia="宋体"/>
                      <w:szCs w:val="21"/>
                      <w:u w:val="none"/>
                      <w:lang w:val="en-US" w:eastAsia="zh-CN"/>
                    </w:rPr>
                  </w:pPr>
                  <w:r>
                    <w:rPr>
                      <w:rFonts w:hint="eastAsia"/>
                      <w:szCs w:val="21"/>
                      <w:u w:val="none"/>
                      <w:lang w:val="en-US" w:eastAsia="zh-CN"/>
                    </w:rPr>
                    <w:t>120</w:t>
                  </w:r>
                </w:p>
              </w:tc>
              <w:tc>
                <w:tcPr>
                  <w:tcW w:w="630" w:type="pct"/>
                  <w:tcBorders>
                    <w:left w:val="single" w:color="auto" w:sz="4" w:space="0"/>
                  </w:tcBorders>
                  <w:noWrap w:val="0"/>
                  <w:vAlign w:val="center"/>
                </w:tcPr>
                <w:p>
                  <w:pPr>
                    <w:snapToGrid w:val="0"/>
                    <w:jc w:val="center"/>
                    <w:rPr>
                      <w:rFonts w:hint="default" w:eastAsia="宋体"/>
                      <w:szCs w:val="21"/>
                      <w:u w:val="none"/>
                      <w:lang w:val="en-US" w:eastAsia="zh-CN"/>
                    </w:rPr>
                  </w:pPr>
                  <w:r>
                    <w:rPr>
                      <w:rFonts w:hint="eastAsia"/>
                      <w:szCs w:val="21"/>
                      <w:u w:val="none"/>
                      <w:lang w:val="en-US" w:eastAsia="zh-CN"/>
                    </w:rPr>
                    <w:t>10</w:t>
                  </w:r>
                </w:p>
              </w:tc>
              <w:tc>
                <w:tcPr>
                  <w:tcW w:w="774" w:type="pct"/>
                  <w:vMerge w:val="continue"/>
                  <w:noWrap w:val="0"/>
                  <w:vAlign w:val="center"/>
                </w:tcPr>
                <w:p>
                  <w:pPr>
                    <w:adjustRightInd w:val="0"/>
                    <w:snapToGrid w:val="0"/>
                    <w:jc w:val="center"/>
                    <w:rPr>
                      <w:kern w:val="0"/>
                      <w:szCs w:val="21"/>
                      <w:u w:val="none"/>
                    </w:rPr>
                  </w:pPr>
                </w:p>
              </w:tc>
              <w:tc>
                <w:tcPr>
                  <w:tcW w:w="831" w:type="pct"/>
                  <w:noWrap w:val="0"/>
                  <w:vAlign w:val="center"/>
                </w:tcPr>
                <w:p>
                  <w:pPr>
                    <w:adjustRightInd w:val="0"/>
                    <w:snapToGrid w:val="0"/>
                    <w:jc w:val="center"/>
                    <w:rPr>
                      <w:rFonts w:hint="default" w:eastAsia="宋体"/>
                      <w:kern w:val="0"/>
                      <w:szCs w:val="21"/>
                      <w:u w:val="none"/>
                      <w:lang w:val="en-US" w:eastAsia="zh-CN"/>
                    </w:rPr>
                  </w:pPr>
                  <w:r>
                    <w:rPr>
                      <w:rFonts w:hint="eastAsia"/>
                      <w:kern w:val="0"/>
                      <w:szCs w:val="21"/>
                      <w:u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77" w:type="pct"/>
                  <w:vMerge w:val="continue"/>
                  <w:noWrap w:val="0"/>
                  <w:vAlign w:val="center"/>
                </w:tcPr>
                <w:p>
                  <w:pPr>
                    <w:adjustRightInd w:val="0"/>
                    <w:snapToGrid w:val="0"/>
                    <w:jc w:val="center"/>
                    <w:rPr>
                      <w:kern w:val="0"/>
                      <w:szCs w:val="21"/>
                      <w:u w:val="none"/>
                    </w:rPr>
                  </w:pPr>
                </w:p>
              </w:tc>
              <w:tc>
                <w:tcPr>
                  <w:tcW w:w="864" w:type="pct"/>
                  <w:noWrap w:val="0"/>
                  <w:vAlign w:val="center"/>
                </w:tcPr>
                <w:p>
                  <w:pPr>
                    <w:adjustRightInd w:val="0"/>
                    <w:snapToGrid w:val="0"/>
                    <w:jc w:val="center"/>
                    <w:rPr>
                      <w:rFonts w:hint="eastAsia"/>
                      <w:kern w:val="0"/>
                      <w:szCs w:val="21"/>
                      <w:u w:val="none"/>
                      <w:lang w:val="en-US" w:eastAsia="zh-CN"/>
                    </w:rPr>
                  </w:pPr>
                  <w:r>
                    <w:rPr>
                      <w:rFonts w:hint="eastAsia"/>
                      <w:b w:val="0"/>
                      <w:bCs w:val="0"/>
                      <w:vertAlign w:val="baseline"/>
                      <w:lang w:val="en-US" w:eastAsia="zh-CN"/>
                    </w:rPr>
                    <w:t>氟化物</w:t>
                  </w:r>
                </w:p>
              </w:tc>
              <w:tc>
                <w:tcPr>
                  <w:tcW w:w="622" w:type="pct"/>
                  <w:tcBorders>
                    <w:right w:val="single" w:color="auto" w:sz="4" w:space="0"/>
                  </w:tcBorders>
                  <w:noWrap w:val="0"/>
                  <w:vAlign w:val="center"/>
                </w:tcPr>
                <w:p>
                  <w:pPr>
                    <w:snapToGrid w:val="0"/>
                    <w:jc w:val="center"/>
                    <w:rPr>
                      <w:rFonts w:hint="default"/>
                      <w:szCs w:val="21"/>
                      <w:u w:val="none"/>
                      <w:lang w:val="en-US" w:eastAsia="zh-CN"/>
                    </w:rPr>
                  </w:pPr>
                  <w:r>
                    <w:rPr>
                      <w:rFonts w:hint="eastAsia"/>
                      <w:szCs w:val="21"/>
                      <w:u w:val="none"/>
                      <w:lang w:val="en-US" w:eastAsia="zh-CN"/>
                    </w:rPr>
                    <w:t>9.0</w:t>
                  </w:r>
                </w:p>
              </w:tc>
              <w:tc>
                <w:tcPr>
                  <w:tcW w:w="630" w:type="pct"/>
                  <w:tcBorders>
                    <w:left w:val="single" w:color="auto" w:sz="4" w:space="0"/>
                  </w:tcBorders>
                  <w:noWrap w:val="0"/>
                  <w:vAlign w:val="center"/>
                </w:tcPr>
                <w:p>
                  <w:pPr>
                    <w:snapToGrid w:val="0"/>
                    <w:jc w:val="center"/>
                    <w:rPr>
                      <w:rFonts w:hint="default"/>
                      <w:szCs w:val="21"/>
                      <w:u w:val="none"/>
                      <w:lang w:val="en-US" w:eastAsia="zh-CN"/>
                    </w:rPr>
                  </w:pPr>
                  <w:r>
                    <w:rPr>
                      <w:rFonts w:hint="eastAsia"/>
                      <w:szCs w:val="21"/>
                      <w:u w:val="none"/>
                      <w:lang w:val="en-US" w:eastAsia="zh-CN"/>
                    </w:rPr>
                    <w:t>0.10</w:t>
                  </w:r>
                </w:p>
              </w:tc>
              <w:tc>
                <w:tcPr>
                  <w:tcW w:w="774" w:type="pct"/>
                  <w:vMerge w:val="continue"/>
                  <w:noWrap w:val="0"/>
                  <w:vAlign w:val="center"/>
                </w:tcPr>
                <w:p>
                  <w:pPr>
                    <w:adjustRightInd w:val="0"/>
                    <w:snapToGrid w:val="0"/>
                    <w:jc w:val="center"/>
                    <w:rPr>
                      <w:kern w:val="0"/>
                      <w:szCs w:val="21"/>
                      <w:u w:val="none"/>
                    </w:rPr>
                  </w:pPr>
                </w:p>
              </w:tc>
              <w:tc>
                <w:tcPr>
                  <w:tcW w:w="831" w:type="pct"/>
                  <w:noWrap w:val="0"/>
                  <w:vAlign w:val="center"/>
                </w:tcPr>
                <w:p>
                  <w:pPr>
                    <w:adjustRightInd w:val="0"/>
                    <w:snapToGrid w:val="0"/>
                    <w:jc w:val="center"/>
                    <w:rPr>
                      <w:rFonts w:hint="eastAsia"/>
                      <w:kern w:val="0"/>
                      <w:szCs w:val="21"/>
                      <w:u w:val="none"/>
                      <w:lang w:val="en-US" w:eastAsia="zh-CN"/>
                    </w:rPr>
                  </w:pPr>
                  <w:r>
                    <w:rPr>
                      <w:rFonts w:hint="eastAsia"/>
                      <w:b w:val="0"/>
                      <w:bCs w:val="0"/>
                      <w:vertAlign w:val="baseline"/>
                      <w:lang w:val="en-US" w:eastAsia="zh-CN"/>
                    </w:rPr>
                    <w:t>0.02</w:t>
                  </w:r>
                </w:p>
              </w:tc>
            </w:tr>
          </w:tbl>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cs="Times New Roman"/>
                <w:b/>
                <w:bCs/>
              </w:rPr>
            </w:pPr>
            <w:r>
              <w:rPr>
                <w:rFonts w:hint="default" w:ascii="Times New Roman" w:hAnsi="Times New Roman" w:cs="Times New Roman"/>
                <w:b/>
                <w:bCs/>
              </w:rPr>
              <w:t xml:space="preserve">表 </w:t>
            </w:r>
            <w:r>
              <w:rPr>
                <w:rFonts w:hint="eastAsia" w:ascii="Times New Roman" w:hAnsi="Times New Roman" w:cs="Times New Roman"/>
                <w:b/>
                <w:bCs/>
                <w:lang w:val="en-US" w:eastAsia="zh-CN"/>
              </w:rPr>
              <w:t>3</w:t>
            </w:r>
            <w:r>
              <w:rPr>
                <w:rFonts w:hint="default" w:ascii="Times New Roman" w:hAnsi="Times New Roman" w:cs="Times New Roman"/>
                <w:b/>
                <w:bCs/>
              </w:rPr>
              <w:t>-</w:t>
            </w:r>
            <w:r>
              <w:rPr>
                <w:rFonts w:hint="eastAsia" w:ascii="Times New Roman" w:hAnsi="Times New Roman" w:cs="Times New Roman"/>
                <w:b/>
                <w:bCs/>
                <w:lang w:val="en-US" w:eastAsia="zh-CN"/>
              </w:rPr>
              <w:t>8</w:t>
            </w:r>
            <w:r>
              <w:rPr>
                <w:rFonts w:hint="default" w:ascii="Times New Roman" w:hAnsi="Times New Roman" w:cs="Times New Roman"/>
                <w:b/>
                <w:bCs/>
              </w:rPr>
              <w:t xml:space="preserve"> 挥发性有机物无组织排放控制标准 单位：mg/m</w:t>
            </w:r>
            <w:r>
              <w:rPr>
                <w:rFonts w:hint="default" w:ascii="Times New Roman" w:hAnsi="Times New Roman" w:cs="Times New Roman"/>
                <w:b/>
                <w:bCs/>
                <w:vertAlign w:val="superscript"/>
              </w:rPr>
              <w:t>3</w:t>
            </w:r>
          </w:p>
          <w:tbl>
            <w:tblPr>
              <w:tblStyle w:val="17"/>
              <w:tblW w:w="4998"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112"/>
              <w:gridCol w:w="1518"/>
              <w:gridCol w:w="2263"/>
              <w:gridCol w:w="2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 w:type="pct"/>
                  <w:tcBorders>
                    <w:tl2br w:val="nil"/>
                    <w:tr2bl w:val="nil"/>
                  </w:tcBorders>
                  <w:noWrap w:val="0"/>
                  <w:vAlign w:val="center"/>
                </w:tcPr>
                <w:p>
                  <w:pPr>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污染物</w:t>
                  </w:r>
                </w:p>
              </w:tc>
              <w:tc>
                <w:tcPr>
                  <w:tcW w:w="700" w:type="pct"/>
                  <w:tcBorders>
                    <w:tl2br w:val="nil"/>
                    <w:tr2bl w:val="nil"/>
                  </w:tcBorders>
                  <w:noWrap w:val="0"/>
                  <w:vAlign w:val="center"/>
                </w:tcPr>
                <w:p>
                  <w:pPr>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排放限值</w:t>
                  </w:r>
                </w:p>
              </w:tc>
              <w:tc>
                <w:tcPr>
                  <w:tcW w:w="955" w:type="pct"/>
                  <w:tcBorders>
                    <w:tl2br w:val="nil"/>
                    <w:tr2bl w:val="nil"/>
                  </w:tcBorders>
                  <w:noWrap w:val="0"/>
                  <w:vAlign w:val="center"/>
                </w:tcPr>
                <w:p>
                  <w:pPr>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限值含义</w:t>
                  </w:r>
                </w:p>
              </w:tc>
              <w:tc>
                <w:tcPr>
                  <w:tcW w:w="1424" w:type="pct"/>
                  <w:tcBorders>
                    <w:tl2br w:val="nil"/>
                    <w:tr2bl w:val="nil"/>
                  </w:tcBorders>
                  <w:noWrap w:val="0"/>
                  <w:vAlign w:val="center"/>
                </w:tcPr>
                <w:p>
                  <w:pPr>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无组织排放监控位置</w:t>
                  </w:r>
                </w:p>
              </w:tc>
              <w:tc>
                <w:tcPr>
                  <w:tcW w:w="1319" w:type="pct"/>
                  <w:tcBorders>
                    <w:tl2br w:val="nil"/>
                    <w:tr2bl w:val="nil"/>
                  </w:tcBorders>
                  <w:noWrap w:val="0"/>
                  <w:vAlign w:val="center"/>
                </w:tcPr>
                <w:p>
                  <w:pPr>
                    <w:bidi w:val="0"/>
                    <w:jc w:val="center"/>
                    <w:rPr>
                      <w:rFonts w:hint="default" w:ascii="Times New Roman" w:hAnsi="Times New Roman" w:eastAsia="宋体" w:cs="Times New Roman"/>
                      <w:lang w:eastAsia="zh-CN"/>
                    </w:rPr>
                  </w:pPr>
                  <w:r>
                    <w:rPr>
                      <w:rFonts w:hint="default" w:ascii="Times New Roman" w:hAnsi="Times New Roman" w:cs="Times New Roman"/>
                      <w:lang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 w:type="pct"/>
                  <w:vMerge w:val="restart"/>
                  <w:tcBorders>
                    <w:tl2br w:val="nil"/>
                    <w:tr2bl w:val="nil"/>
                  </w:tcBorders>
                  <w:noWrap w:val="0"/>
                  <w:vAlign w:val="center"/>
                </w:tcPr>
                <w:p>
                  <w:pPr>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NMHC</w:t>
                  </w:r>
                </w:p>
              </w:tc>
              <w:tc>
                <w:tcPr>
                  <w:tcW w:w="700" w:type="pct"/>
                  <w:tcBorders>
                    <w:tl2br w:val="nil"/>
                    <w:tr2bl w:val="nil"/>
                  </w:tcBorders>
                  <w:noWrap w:val="0"/>
                  <w:vAlign w:val="center"/>
                </w:tcPr>
                <w:p>
                  <w:pPr>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955" w:type="pct"/>
                  <w:tcBorders>
                    <w:tl2br w:val="nil"/>
                    <w:tr2bl w:val="nil"/>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监控点处1h平均浓度值</w:t>
                  </w:r>
                </w:p>
              </w:tc>
              <w:tc>
                <w:tcPr>
                  <w:tcW w:w="1424" w:type="pct"/>
                  <w:vMerge w:val="restart"/>
                  <w:tcBorders>
                    <w:tl2br w:val="nil"/>
                    <w:tr2bl w:val="nil"/>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在厂房外设置监控点</w:t>
                  </w:r>
                </w:p>
              </w:tc>
              <w:tc>
                <w:tcPr>
                  <w:tcW w:w="1319" w:type="pct"/>
                  <w:vMerge w:val="restart"/>
                  <w:tcBorders>
                    <w:tl2br w:val="nil"/>
                    <w:tr2bl w:val="nil"/>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《挥发性有机物无</w:t>
                  </w:r>
                </w:p>
                <w:p>
                  <w:pPr>
                    <w:bidi w:val="0"/>
                    <w:jc w:val="center"/>
                    <w:rPr>
                      <w:rFonts w:hint="default" w:ascii="Times New Roman" w:hAnsi="Times New Roman" w:cs="Times New Roman"/>
                    </w:rPr>
                  </w:pPr>
                  <w:r>
                    <w:rPr>
                      <w:rFonts w:hint="default" w:ascii="Times New Roman" w:hAnsi="Times New Roman" w:cs="Times New Roman"/>
                    </w:rPr>
                    <w:t>组织排放控制标准》（GB37822-2019）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99" w:type="pct"/>
                  <w:vMerge w:val="continue"/>
                  <w:tcBorders>
                    <w:tl2br w:val="nil"/>
                    <w:tr2bl w:val="nil"/>
                  </w:tcBorders>
                  <w:noWrap w:val="0"/>
                  <w:vAlign w:val="center"/>
                </w:tcPr>
                <w:p>
                  <w:pPr>
                    <w:bidi w:val="0"/>
                    <w:jc w:val="center"/>
                    <w:rPr>
                      <w:rFonts w:hint="default" w:ascii="Times New Roman" w:hAnsi="Times New Roman" w:cs="Times New Roman"/>
                    </w:rPr>
                  </w:pPr>
                </w:p>
              </w:tc>
              <w:tc>
                <w:tcPr>
                  <w:tcW w:w="700" w:type="pct"/>
                  <w:tcBorders>
                    <w:tl2br w:val="nil"/>
                    <w:tr2bl w:val="nil"/>
                  </w:tcBorders>
                  <w:noWrap w:val="0"/>
                  <w:vAlign w:val="center"/>
                </w:tcPr>
                <w:p>
                  <w:pPr>
                    <w:bidi w:val="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c>
                <w:tcPr>
                  <w:tcW w:w="955" w:type="pct"/>
                  <w:tcBorders>
                    <w:tl2br w:val="nil"/>
                    <w:tr2bl w:val="nil"/>
                  </w:tcBorders>
                  <w:noWrap w:val="0"/>
                  <w:vAlign w:val="center"/>
                </w:tcPr>
                <w:p>
                  <w:pPr>
                    <w:bidi w:val="0"/>
                    <w:jc w:val="center"/>
                    <w:rPr>
                      <w:rFonts w:hint="default" w:ascii="Times New Roman" w:hAnsi="Times New Roman" w:cs="Times New Roman"/>
                    </w:rPr>
                  </w:pPr>
                  <w:r>
                    <w:rPr>
                      <w:rFonts w:hint="default" w:ascii="Times New Roman" w:hAnsi="Times New Roman" w:cs="Times New Roman"/>
                    </w:rPr>
                    <w:t>监控点处任意1次浓度值</w:t>
                  </w:r>
                </w:p>
              </w:tc>
              <w:tc>
                <w:tcPr>
                  <w:tcW w:w="1424" w:type="pct"/>
                  <w:vMerge w:val="continue"/>
                  <w:tcBorders>
                    <w:tl2br w:val="nil"/>
                    <w:tr2bl w:val="nil"/>
                  </w:tcBorders>
                  <w:noWrap w:val="0"/>
                  <w:vAlign w:val="center"/>
                </w:tcPr>
                <w:p>
                  <w:pPr>
                    <w:bidi w:val="0"/>
                    <w:jc w:val="center"/>
                    <w:rPr>
                      <w:rFonts w:hint="default" w:ascii="Times New Roman" w:hAnsi="Times New Roman" w:cs="Times New Roman"/>
                    </w:rPr>
                  </w:pPr>
                </w:p>
              </w:tc>
              <w:tc>
                <w:tcPr>
                  <w:tcW w:w="1319" w:type="pct"/>
                  <w:vMerge w:val="continue"/>
                  <w:tcBorders>
                    <w:tl2br w:val="nil"/>
                    <w:tr2bl w:val="nil"/>
                  </w:tcBorders>
                  <w:noWrap w:val="0"/>
                  <w:vAlign w:val="center"/>
                </w:tcPr>
                <w:p>
                  <w:pPr>
                    <w:bidi w:val="0"/>
                    <w:jc w:val="center"/>
                    <w:rPr>
                      <w:rFonts w:hint="default" w:ascii="Times New Roman" w:hAnsi="Times New Roman" w:cs="Times New Roman"/>
                    </w:rPr>
                  </w:pPr>
                </w:p>
              </w:tc>
            </w:tr>
          </w:tbl>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宋体" w:cs="Times New Roman"/>
                <w:b/>
                <w:color w:val="auto"/>
                <w:sz w:val="21"/>
                <w:szCs w:val="21"/>
                <w:lang w:val="zh-CN"/>
              </w:rPr>
            </w:pPr>
            <w:r>
              <w:rPr>
                <w:rFonts w:hint="default" w:ascii="Times New Roman" w:hAnsi="Times New Roman" w:eastAsia="宋体" w:cs="Times New Roman"/>
                <w:b/>
                <w:color w:val="auto"/>
                <w:sz w:val="21"/>
                <w:szCs w:val="21"/>
                <w:lang w:val="zh-CN"/>
              </w:rPr>
              <w:t>表</w:t>
            </w:r>
            <w:r>
              <w:rPr>
                <w:rFonts w:hint="eastAsia" w:ascii="Times New Roman" w:hAnsi="Times New Roman" w:eastAsia="宋体" w:cs="Times New Roman"/>
                <w:b/>
                <w:color w:val="auto"/>
                <w:sz w:val="21"/>
                <w:szCs w:val="21"/>
                <w:lang w:val="en-US" w:eastAsia="zh-CN"/>
              </w:rPr>
              <w:t>3-9</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val="zh-CN"/>
              </w:rPr>
              <w:t xml:space="preserve"> 《饮食业油烟排放标准（试行）》（GB18483-2001）</w:t>
            </w:r>
          </w:p>
          <w:tbl>
            <w:tblPr>
              <w:tblStyle w:val="16"/>
              <w:tblW w:w="4999"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35"/>
              <w:gridCol w:w="442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2221"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规模</w:t>
                  </w:r>
                </w:p>
              </w:tc>
              <w:tc>
                <w:tcPr>
                  <w:tcW w:w="2778"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小型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221"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基准灶头数（个）</w:t>
                  </w:r>
                </w:p>
              </w:tc>
              <w:tc>
                <w:tcPr>
                  <w:tcW w:w="2778"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≥1，&lt;3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7" w:hRule="atLeast"/>
              </w:trPr>
              <w:tc>
                <w:tcPr>
                  <w:tcW w:w="2221"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最高允许排放浓度(mg/m³)</w:t>
                  </w:r>
                </w:p>
              </w:tc>
              <w:tc>
                <w:tcPr>
                  <w:tcW w:w="2778"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2221"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净化设施最低去除效率(%)</w:t>
                  </w:r>
                </w:p>
              </w:tc>
              <w:tc>
                <w:tcPr>
                  <w:tcW w:w="2778" w:type="pct"/>
                  <w:noWrap w:val="0"/>
                  <w:vAlign w:val="bottom"/>
                </w:tcPr>
                <w:p>
                  <w:pPr>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sz w:val="24"/>
                <w:szCs w:val="24"/>
              </w:rPr>
            </w:pPr>
            <w:r>
              <w:rPr>
                <w:rFonts w:hint="eastAsia"/>
                <w:b/>
                <w:bCs/>
                <w:sz w:val="24"/>
                <w:szCs w:val="24"/>
                <w:lang w:val="en-US" w:eastAsia="zh-CN"/>
              </w:rPr>
              <w:t>14、</w:t>
            </w:r>
            <w:r>
              <w:rPr>
                <w:b/>
                <w:bCs/>
                <w:sz w:val="24"/>
                <w:szCs w:val="24"/>
              </w:rPr>
              <w:t>废水排放标准</w:t>
            </w:r>
          </w:p>
          <w:p>
            <w:pPr>
              <w:pStyle w:val="35"/>
              <w:adjustRightInd w:val="0"/>
              <w:snapToGrid w:val="0"/>
              <w:spacing w:line="360" w:lineRule="auto"/>
              <w:ind w:firstLine="480" w:firstLineChars="200"/>
              <w:jc w:val="both"/>
              <w:rPr>
                <w:rFonts w:hint="default" w:ascii="Times New Roman" w:hAnsi="Times New Roman" w:cs="Times New Roman"/>
                <w:b w:val="0"/>
                <w:bCs w:val="0"/>
                <w:color w:val="auto"/>
                <w:sz w:val="24"/>
                <w:szCs w:val="24"/>
                <w:u w:val="none"/>
                <w:lang w:eastAsia="zh-CN"/>
              </w:rPr>
            </w:pPr>
            <w:r>
              <w:rPr>
                <w:rFonts w:hint="default" w:ascii="Times New Roman" w:hAnsi="Times New Roman" w:cs="Times New Roman"/>
                <w:b w:val="0"/>
                <w:bCs w:val="0"/>
                <w:color w:val="auto"/>
                <w:sz w:val="24"/>
                <w:szCs w:val="24"/>
                <w:u w:val="none"/>
                <w:lang w:eastAsia="zh-CN"/>
              </w:rPr>
              <w:t>运营期，</w:t>
            </w:r>
            <w:r>
              <w:rPr>
                <w:rFonts w:hint="eastAsia"/>
                <w:sz w:val="24"/>
                <w:szCs w:val="24"/>
              </w:rPr>
              <w:t>本项目生活废水经化粪池处理后</w:t>
            </w:r>
            <w:r>
              <w:rPr>
                <w:rFonts w:hint="eastAsia"/>
                <w:sz w:val="24"/>
                <w:szCs w:val="24"/>
                <w:lang w:val="en-US" w:eastAsia="zh-CN"/>
              </w:rPr>
              <w:t>、</w:t>
            </w:r>
            <w:r>
              <w:rPr>
                <w:rFonts w:hint="eastAsia"/>
                <w:bCs/>
                <w:sz w:val="24"/>
                <w:szCs w:val="24"/>
                <w:u w:val="none"/>
                <w:lang w:val="en-US" w:eastAsia="zh-CN"/>
              </w:rPr>
              <w:t>初期</w:t>
            </w:r>
            <w:r>
              <w:rPr>
                <w:rFonts w:hint="eastAsia"/>
                <w:bCs/>
                <w:sz w:val="24"/>
                <w:szCs w:val="24"/>
                <w:u w:val="none"/>
              </w:rPr>
              <w:t>雨水</w:t>
            </w:r>
            <w:r>
              <w:rPr>
                <w:rFonts w:hint="eastAsia"/>
                <w:bCs/>
                <w:sz w:val="24"/>
                <w:szCs w:val="24"/>
                <w:u w:val="none"/>
                <w:lang w:val="en-US" w:eastAsia="zh-CN"/>
              </w:rPr>
              <w:t>+</w:t>
            </w:r>
            <w:r>
              <w:rPr>
                <w:rFonts w:hint="eastAsia"/>
                <w:bCs/>
                <w:sz w:val="24"/>
                <w:szCs w:val="24"/>
                <w:u w:val="none"/>
              </w:rPr>
              <w:t>拆解</w:t>
            </w:r>
            <w:r>
              <w:rPr>
                <w:rFonts w:hint="eastAsia"/>
                <w:bCs/>
                <w:sz w:val="24"/>
                <w:szCs w:val="24"/>
                <w:u w:val="none"/>
                <w:lang w:eastAsia="zh-CN"/>
              </w:rPr>
              <w:t>区</w:t>
            </w:r>
            <w:r>
              <w:rPr>
                <w:rFonts w:hint="eastAsia"/>
                <w:bCs/>
                <w:sz w:val="24"/>
                <w:szCs w:val="24"/>
                <w:u w:val="none"/>
              </w:rPr>
              <w:t>地面清洁废水</w:t>
            </w:r>
            <w:r>
              <w:rPr>
                <w:rFonts w:hint="eastAsia"/>
                <w:bCs/>
                <w:sz w:val="24"/>
                <w:szCs w:val="24"/>
                <w:u w:val="none"/>
                <w:lang w:val="en-US" w:eastAsia="zh-CN"/>
              </w:rPr>
              <w:t>经污水处理设施（隔油池+</w:t>
            </w:r>
            <w:r>
              <w:rPr>
                <w:rFonts w:hint="eastAsia" w:ascii="Times New Roman" w:hAnsi="Times New Roman" w:cs="Times New Roman"/>
                <w:color w:val="auto"/>
                <w:sz w:val="24"/>
                <w:szCs w:val="24"/>
                <w:highlight w:val="none"/>
                <w:lang w:val="en-US" w:eastAsia="zh-CN"/>
              </w:rPr>
              <w:t>气浮机</w:t>
            </w:r>
            <w:r>
              <w:rPr>
                <w:rFonts w:hint="eastAsia"/>
                <w:bCs/>
                <w:sz w:val="24"/>
                <w:szCs w:val="24"/>
                <w:u w:val="none"/>
                <w:lang w:val="en-US" w:eastAsia="zh-CN"/>
              </w:rPr>
              <w:t>）</w:t>
            </w:r>
            <w:r>
              <w:rPr>
                <w:rFonts w:hint="eastAsia" w:ascii="Times New Roman" w:hAnsi="Times New Roman" w:cs="Times New Roman"/>
                <w:color w:val="auto"/>
                <w:sz w:val="24"/>
                <w:szCs w:val="24"/>
                <w:highlight w:val="none"/>
                <w:lang w:val="en-US" w:eastAsia="zh-CN"/>
              </w:rPr>
              <w:t>处理后一并</w:t>
            </w:r>
            <w:r>
              <w:rPr>
                <w:rFonts w:hint="eastAsia" w:ascii="Times New Roman" w:hAnsi="Times New Roman" w:eastAsia="宋体" w:cs="Times New Roman"/>
                <w:b w:val="0"/>
                <w:bCs w:val="0"/>
                <w:color w:val="auto"/>
                <w:sz w:val="24"/>
                <w:szCs w:val="24"/>
                <w:u w:val="none"/>
                <w:shd w:val="clear" w:color="auto" w:fill="auto"/>
                <w:lang w:val="en-US" w:eastAsia="zh-CN"/>
              </w:rPr>
              <w:t>进</w:t>
            </w:r>
            <w:r>
              <w:rPr>
                <w:rFonts w:hint="default" w:ascii="Times New Roman" w:hAnsi="Times New Roman" w:eastAsia="宋体" w:cs="Times New Roman"/>
                <w:b w:val="0"/>
                <w:bCs w:val="0"/>
                <w:color w:val="auto"/>
                <w:sz w:val="24"/>
                <w:szCs w:val="24"/>
                <w:u w:val="none"/>
                <w:shd w:val="clear" w:color="auto" w:fill="auto"/>
                <w:lang w:val="en-US" w:eastAsia="zh-CN"/>
              </w:rPr>
              <w:t>入</w:t>
            </w:r>
            <w:r>
              <w:rPr>
                <w:rFonts w:hint="eastAsia"/>
                <w:sz w:val="24"/>
                <w:szCs w:val="24"/>
              </w:rPr>
              <w:t>园区污水</w:t>
            </w:r>
            <w:r>
              <w:rPr>
                <w:rFonts w:hint="default" w:ascii="Times New Roman" w:hAnsi="Times New Roman" w:eastAsia="宋体" w:cs="Times New Roman"/>
                <w:b w:val="0"/>
                <w:bCs w:val="0"/>
                <w:color w:val="auto"/>
                <w:sz w:val="24"/>
                <w:szCs w:val="24"/>
                <w:u w:val="none"/>
                <w:shd w:val="clear" w:color="auto" w:fill="auto"/>
                <w:lang w:val="en-US" w:eastAsia="zh-CN"/>
              </w:rPr>
              <w:t>管网</w:t>
            </w:r>
            <w:r>
              <w:rPr>
                <w:rFonts w:hint="default" w:ascii="Times New Roman" w:hAnsi="Times New Roman" w:cs="Times New Roman"/>
                <w:color w:val="auto"/>
                <w:highlight w:val="none"/>
                <w:lang w:val="en-US" w:eastAsia="zh-CN"/>
              </w:rPr>
              <w:t>执行《污水综合排放标准》（GB8978-1996）表4中三级标准</w:t>
            </w:r>
            <w:r>
              <w:rPr>
                <w:rFonts w:hint="eastAsia"/>
                <w:sz w:val="24"/>
                <w:szCs w:val="24"/>
              </w:rPr>
              <w:t>排</w:t>
            </w:r>
            <w:r>
              <w:rPr>
                <w:rFonts w:hint="eastAsia"/>
                <w:sz w:val="24"/>
                <w:szCs w:val="24"/>
                <w:lang w:val="en-US" w:eastAsia="zh-CN"/>
              </w:rPr>
              <w:t>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eastAsia" w:ascii="Times New Roman" w:hAnsi="Times New Roman" w:eastAsia="宋体" w:cs="Times New Roman"/>
                <w:color w:val="auto"/>
                <w:sz w:val="24"/>
                <w:szCs w:val="24"/>
              </w:rPr>
              <w:t>处理</w:t>
            </w:r>
            <w:r>
              <w:rPr>
                <w:rFonts w:hint="eastAsia" w:ascii="Times New Roman" w:hAnsi="Times New Roman" w:eastAsia="宋体" w:cs="Times New Roman"/>
                <w:color w:val="auto"/>
                <w:sz w:val="24"/>
                <w:szCs w:val="24"/>
                <w:lang w:eastAsia="zh-CN"/>
              </w:rPr>
              <w:t>后达标排放。</w:t>
            </w:r>
          </w:p>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1"/>
                <w:szCs w:val="21"/>
                <w:lang w:val="en-US" w:eastAsia="zh-CN"/>
              </w:rPr>
              <w:t>表3-10 靖州县工业集中区甘太污水处理厂进水水质标准</w:t>
            </w:r>
          </w:p>
          <w:tbl>
            <w:tblPr>
              <w:tblStyle w:val="16"/>
              <w:tblW w:w="9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403"/>
              <w:gridCol w:w="1403"/>
              <w:gridCol w:w="1148"/>
              <w:gridCol w:w="1147"/>
              <w:gridCol w:w="952"/>
              <w:gridCol w:w="953"/>
              <w:gridCol w:w="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0"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749"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p>
              </w:tc>
              <w:tc>
                <w:tcPr>
                  <w:tcW w:w="749"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61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u w:val="none"/>
                    </w:rPr>
                    <w:t>BOD</w:t>
                  </w:r>
                  <w:r>
                    <w:rPr>
                      <w:rFonts w:hint="default" w:ascii="Times New Roman" w:hAnsi="Times New Roman" w:cs="Times New Roman"/>
                      <w:color w:val="auto"/>
                      <w:sz w:val="21"/>
                      <w:szCs w:val="21"/>
                      <w:u w:val="none"/>
                      <w:vertAlign w:val="subscript"/>
                    </w:rPr>
                    <w:t>5</w:t>
                  </w:r>
                </w:p>
              </w:tc>
              <w:tc>
                <w:tcPr>
                  <w:tcW w:w="61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508"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总磷</w:t>
                  </w:r>
                </w:p>
              </w:tc>
              <w:tc>
                <w:tcPr>
                  <w:tcW w:w="508"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508" w:type="pct"/>
                  <w:tcBorders>
                    <w:tl2br w:val="nil"/>
                    <w:tr2bl w:val="nil"/>
                  </w:tcBorders>
                  <w:noWrap w:val="0"/>
                  <w:vAlign w:val="center"/>
                </w:tcPr>
                <w:p>
                  <w:pPr>
                    <w:snapToGrid w:val="0"/>
                    <w:spacing w:line="36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50"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749"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eastAsia" w:ascii="Times New Roman" w:hAnsi="Times New Roman" w:eastAsia="宋体" w:cs="Times New Roman"/>
                      <w:color w:val="auto"/>
                      <w:sz w:val="21"/>
                      <w:szCs w:val="21"/>
                      <w:lang w:val="en-US" w:eastAsia="zh-CN"/>
                    </w:rPr>
                  </w:pPr>
                </w:p>
              </w:tc>
              <w:tc>
                <w:tcPr>
                  <w:tcW w:w="749"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480</w:t>
                  </w:r>
                </w:p>
              </w:tc>
              <w:tc>
                <w:tcPr>
                  <w:tcW w:w="61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w:t>
                  </w:r>
                </w:p>
              </w:tc>
              <w:tc>
                <w:tcPr>
                  <w:tcW w:w="612"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w:t>
                  </w:r>
                </w:p>
              </w:tc>
              <w:tc>
                <w:tcPr>
                  <w:tcW w:w="508"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08"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508"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r>
          </w:tbl>
          <w:p>
            <w:pPr>
              <w:pStyle w:val="36"/>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11</w:t>
            </w:r>
            <w:r>
              <w:rPr>
                <w:rFonts w:hint="default" w:ascii="Times New Roman" w:hAnsi="Times New Roman" w:cs="Times New Roman"/>
                <w:b/>
                <w:bCs/>
                <w:color w:val="auto"/>
                <w:sz w:val="21"/>
                <w:szCs w:val="21"/>
                <w:lang w:val="en-US" w:eastAsia="zh-CN"/>
              </w:rPr>
              <w:t xml:space="preserve"> 污水综合排放标准  单位：mg/L</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1594"/>
              <w:gridCol w:w="1305"/>
              <w:gridCol w:w="1195"/>
              <w:gridCol w:w="1190"/>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001"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指标</w:t>
                  </w:r>
                </w:p>
              </w:tc>
              <w:tc>
                <w:tcPr>
                  <w:tcW w:w="1001"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819"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u w:val="none"/>
                    </w:rPr>
                    <w:t>BOD</w:t>
                  </w:r>
                  <w:r>
                    <w:rPr>
                      <w:rFonts w:hint="default" w:ascii="Times New Roman" w:hAnsi="Times New Roman" w:cs="Times New Roman"/>
                      <w:color w:val="auto"/>
                      <w:sz w:val="21"/>
                      <w:szCs w:val="21"/>
                      <w:u w:val="none"/>
                      <w:vertAlign w:val="subscript"/>
                    </w:rPr>
                    <w:t>5</w:t>
                  </w:r>
                </w:p>
              </w:tc>
              <w:tc>
                <w:tcPr>
                  <w:tcW w:w="750"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747"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动植物油</w:t>
                  </w:r>
                </w:p>
              </w:tc>
              <w:tc>
                <w:tcPr>
                  <w:tcW w:w="679"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001"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1001" w:type="pct"/>
                  <w:tcBorders>
                    <w:tl2br w:val="nil"/>
                    <w:tr2bl w:val="nil"/>
                  </w:tcBorders>
                  <w:noWrap w:val="0"/>
                  <w:tcMar>
                    <w:top w:w="18" w:type="dxa"/>
                    <w:left w:w="18" w:type="dxa"/>
                    <w:bottom w:w="0" w:type="dxa"/>
                    <w:right w:w="18" w:type="dxa"/>
                  </w:tcMar>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819"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300</w:t>
                  </w:r>
                </w:p>
              </w:tc>
              <w:tc>
                <w:tcPr>
                  <w:tcW w:w="750"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747"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100</w:t>
                  </w:r>
                </w:p>
              </w:tc>
              <w:tc>
                <w:tcPr>
                  <w:tcW w:w="679" w:type="pct"/>
                  <w:tcBorders>
                    <w:tl2br w:val="nil"/>
                    <w:tr2bl w:val="nil"/>
                  </w:tcBorders>
                  <w:noWrap w:val="0"/>
                  <w:vAlign w:val="center"/>
                </w:tcPr>
                <w:p>
                  <w:pPr>
                    <w:snapToGrid w:val="0"/>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rPr>
            </w:pPr>
            <w:r>
              <w:rPr>
                <w:rFonts w:hint="eastAsia"/>
                <w:b/>
                <w:bCs/>
                <w:sz w:val="24"/>
                <w:szCs w:val="24"/>
                <w:lang w:val="en-US" w:eastAsia="zh-CN"/>
              </w:rPr>
              <w:t>15、</w:t>
            </w:r>
            <w:r>
              <w:rPr>
                <w:b/>
                <w:bCs/>
                <w:sz w:val="24"/>
                <w:szCs w:val="24"/>
              </w:rPr>
              <w:t>噪声排放标准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u w:val="none"/>
                <w:shd w:val="clear" w:color="auto" w:fill="auto"/>
              </w:rPr>
            </w:pPr>
            <w:r>
              <w:rPr>
                <w:rFonts w:hint="default" w:ascii="Times New Roman" w:hAnsi="Times New Roman" w:eastAsia="宋体" w:cs="Times New Roman"/>
                <w:color w:val="auto"/>
                <w:sz w:val="24"/>
                <w:u w:val="none"/>
                <w:shd w:val="clear" w:color="auto" w:fill="auto"/>
              </w:rPr>
              <w:t>项目施工期噪声执行《建筑施工场界环境噪声排放标准》（GB12523-2011）中的排放限值，具体标准限值如表</w:t>
            </w:r>
            <w:r>
              <w:rPr>
                <w:rFonts w:hint="default" w:ascii="Times New Roman" w:hAnsi="Times New Roman" w:eastAsia="宋体" w:cs="Times New Roman"/>
                <w:color w:val="auto"/>
                <w:sz w:val="24"/>
                <w:u w:val="none"/>
                <w:shd w:val="clear" w:color="auto" w:fill="auto"/>
                <w:lang w:val="en-US" w:eastAsia="zh-CN"/>
              </w:rPr>
              <w:t>3-</w:t>
            </w:r>
            <w:r>
              <w:rPr>
                <w:rFonts w:hint="eastAsia" w:ascii="Times New Roman" w:hAnsi="Times New Roman" w:eastAsia="宋体" w:cs="Times New Roman"/>
                <w:color w:val="auto"/>
                <w:sz w:val="24"/>
                <w:u w:val="none"/>
                <w:shd w:val="clear" w:color="auto" w:fill="auto"/>
                <w:lang w:val="en-US" w:eastAsia="zh-CN"/>
              </w:rPr>
              <w:t>12</w:t>
            </w:r>
            <w:r>
              <w:rPr>
                <w:rFonts w:hint="default" w:ascii="Times New Roman" w:hAnsi="Times New Roman" w:eastAsia="宋体" w:cs="Times New Roman"/>
                <w:color w:val="auto"/>
                <w:sz w:val="24"/>
                <w:u w:val="none"/>
                <w:shd w:val="clear" w:color="auto" w:fill="auto"/>
              </w:rPr>
              <w:t>所示</w:t>
            </w:r>
            <w:r>
              <w:rPr>
                <w:rFonts w:hint="eastAsia" w:ascii="Times New Roman" w:hAnsi="Times New Roman" w:eastAsia="宋体" w:cs="Times New Roman"/>
                <w:color w:val="auto"/>
                <w:sz w:val="24"/>
                <w:u w:val="none"/>
                <w:shd w:val="clear" w:color="auto" w:fill="auto"/>
                <w:lang w:eastAsia="zh-CN"/>
              </w:rPr>
              <w:t>；</w:t>
            </w:r>
            <w:r>
              <w:rPr>
                <w:rFonts w:hint="default" w:ascii="Times New Roman" w:hAnsi="Times New Roman" w:eastAsia="宋体" w:cs="Times New Roman"/>
                <w:color w:val="auto"/>
                <w:sz w:val="24"/>
                <w:u w:val="none"/>
                <w:shd w:val="clear" w:color="auto" w:fill="auto"/>
              </w:rPr>
              <w:t>营运期</w:t>
            </w:r>
            <w:r>
              <w:rPr>
                <w:rFonts w:hint="default" w:ascii="Times New Roman" w:hAnsi="Times New Roman" w:eastAsia="宋体" w:cs="Times New Roman"/>
                <w:color w:val="auto"/>
                <w:sz w:val="24"/>
                <w:u w:val="none"/>
                <w:shd w:val="clear" w:color="auto" w:fill="auto"/>
                <w:lang w:eastAsia="zh-CN"/>
              </w:rPr>
              <w:t>，厂界东、西、北侧噪声执行《工业企业厂界环境噪声排放标准》（GB12348-2008）</w:t>
            </w:r>
            <w:r>
              <w:rPr>
                <w:rFonts w:hint="default" w:ascii="Times New Roman" w:hAnsi="Times New Roman" w:eastAsia="宋体" w:cs="Times New Roman"/>
                <w:color w:val="auto"/>
                <w:sz w:val="24"/>
                <w:u w:val="none"/>
                <w:shd w:val="clear" w:color="auto" w:fill="auto"/>
                <w:lang w:val="en-US" w:eastAsia="zh-CN"/>
              </w:rPr>
              <w:t>3</w:t>
            </w:r>
            <w:r>
              <w:rPr>
                <w:rFonts w:hint="default" w:ascii="Times New Roman" w:hAnsi="Times New Roman" w:eastAsia="宋体" w:cs="Times New Roman"/>
                <w:color w:val="auto"/>
                <w:sz w:val="24"/>
                <w:u w:val="none"/>
                <w:shd w:val="clear" w:color="auto" w:fill="auto"/>
                <w:lang w:eastAsia="zh-CN"/>
              </w:rPr>
              <w:t>类标准，南侧噪声执行《工业企业厂界环境噪声排放标准》（GB12348-2008）</w:t>
            </w:r>
            <w:r>
              <w:rPr>
                <w:rFonts w:hint="default" w:ascii="Times New Roman" w:hAnsi="Times New Roman" w:eastAsia="宋体" w:cs="Times New Roman"/>
                <w:color w:val="auto"/>
                <w:sz w:val="24"/>
                <w:u w:val="none"/>
                <w:shd w:val="clear" w:color="auto" w:fill="auto"/>
                <w:lang w:val="en-US" w:eastAsia="zh-CN"/>
              </w:rPr>
              <w:t>2</w:t>
            </w:r>
            <w:r>
              <w:rPr>
                <w:rFonts w:hint="default" w:ascii="Times New Roman" w:hAnsi="Times New Roman" w:eastAsia="宋体" w:cs="Times New Roman"/>
                <w:color w:val="auto"/>
                <w:sz w:val="24"/>
                <w:u w:val="none"/>
                <w:shd w:val="clear" w:color="auto" w:fill="auto"/>
                <w:lang w:eastAsia="zh-CN"/>
              </w:rPr>
              <w:t>类标准</w:t>
            </w:r>
            <w:r>
              <w:rPr>
                <w:rFonts w:hint="default" w:ascii="Times New Roman" w:hAnsi="Times New Roman" w:eastAsia="宋体" w:cs="Times New Roman"/>
                <w:color w:val="auto"/>
                <w:sz w:val="24"/>
                <w:u w:val="none"/>
                <w:shd w:val="clear" w:color="auto" w:fill="auto"/>
              </w:rPr>
              <w:t>，具体标准限值如表</w:t>
            </w:r>
            <w:r>
              <w:rPr>
                <w:rFonts w:hint="default" w:ascii="Times New Roman" w:hAnsi="Times New Roman" w:eastAsia="宋体" w:cs="Times New Roman"/>
                <w:color w:val="auto"/>
                <w:sz w:val="24"/>
                <w:u w:val="none"/>
                <w:shd w:val="clear" w:color="auto" w:fill="auto"/>
                <w:lang w:val="en-US" w:eastAsia="zh-CN"/>
              </w:rPr>
              <w:t>3-</w:t>
            </w:r>
            <w:r>
              <w:rPr>
                <w:rFonts w:hint="eastAsia" w:ascii="Times New Roman" w:hAnsi="Times New Roman" w:eastAsia="宋体" w:cs="Times New Roman"/>
                <w:color w:val="auto"/>
                <w:sz w:val="24"/>
                <w:u w:val="none"/>
                <w:shd w:val="clear" w:color="auto" w:fill="auto"/>
                <w:lang w:val="en-US" w:eastAsia="zh-CN"/>
              </w:rPr>
              <w:t>13</w:t>
            </w:r>
            <w:r>
              <w:rPr>
                <w:rFonts w:hint="default" w:ascii="Times New Roman" w:hAnsi="Times New Roman" w:eastAsia="宋体" w:cs="Times New Roman"/>
                <w:color w:val="auto"/>
                <w:sz w:val="24"/>
                <w:u w:val="none"/>
                <w:shd w:val="clear" w:color="auto" w:fill="auto"/>
              </w:rPr>
              <w:t>所示。</w:t>
            </w:r>
          </w:p>
          <w:p>
            <w:pPr>
              <w:adjustRightInd w:val="0"/>
              <w:snapToGrid w:val="0"/>
              <w:jc w:val="center"/>
              <w:rPr>
                <w:rFonts w:ascii="Times New Roman" w:hAnsi="Times New Roman" w:cs="Times New Roman"/>
                <w:b/>
                <w:color w:val="auto"/>
                <w:sz w:val="21"/>
                <w:szCs w:val="21"/>
              </w:rPr>
            </w:pPr>
            <w:r>
              <w:rPr>
                <w:rFonts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3-</w:t>
            </w:r>
            <w:r>
              <w:rPr>
                <w:rFonts w:hint="eastAsia" w:ascii="Times New Roman" w:hAnsi="Times New Roman" w:cs="Times New Roman"/>
                <w:b/>
                <w:color w:val="auto"/>
                <w:sz w:val="21"/>
                <w:szCs w:val="21"/>
                <w:lang w:val="en-US" w:eastAsia="zh-CN"/>
              </w:rPr>
              <w:t>12</w:t>
            </w:r>
            <w:r>
              <w:rPr>
                <w:rFonts w:ascii="Times New Roman" w:hAnsi="Times New Roman" w:cs="Times New Roman"/>
                <w:b/>
                <w:color w:val="auto"/>
                <w:sz w:val="21"/>
                <w:szCs w:val="21"/>
              </w:rPr>
              <w:t xml:space="preserve">  建筑施工场界环境噪声排放限值  单位：dB（A）</w:t>
            </w:r>
          </w:p>
          <w:tbl>
            <w:tblPr>
              <w:tblStyle w:val="16"/>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72"/>
              <w:gridCol w:w="3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500" w:type="pct"/>
                  <w:tcBorders>
                    <w:tl2br w:val="nil"/>
                    <w:tr2bl w:val="nil"/>
                  </w:tcBorders>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昼间</w:t>
                  </w:r>
                </w:p>
              </w:tc>
              <w:tc>
                <w:tcPr>
                  <w:tcW w:w="2500" w:type="pct"/>
                  <w:tcBorders>
                    <w:tl2br w:val="nil"/>
                    <w:tr2bl w:val="nil"/>
                  </w:tcBorders>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2500" w:type="pct"/>
                  <w:tcBorders>
                    <w:tl2br w:val="nil"/>
                    <w:tr2bl w:val="nil"/>
                  </w:tcBorders>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70</w:t>
                  </w:r>
                </w:p>
              </w:tc>
              <w:tc>
                <w:tcPr>
                  <w:tcW w:w="2500" w:type="pct"/>
                  <w:tcBorders>
                    <w:tl2br w:val="nil"/>
                    <w:tr2bl w:val="nil"/>
                  </w:tcBorders>
                  <w:noWrap w:val="0"/>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55</w:t>
                  </w:r>
                </w:p>
              </w:tc>
            </w:tr>
          </w:tbl>
          <w:p>
            <w:pPr>
              <w:tabs>
                <w:tab w:val="left" w:pos="4288"/>
              </w:tabs>
              <w:spacing w:before="94" w:after="38"/>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表3-</w:t>
            </w:r>
            <w:r>
              <w:rPr>
                <w:rFonts w:hint="eastAsia" w:ascii="Times New Roman" w:hAnsi="Times New Roman" w:cs="Times New Roman"/>
                <w:b/>
                <w:bCs/>
                <w:color w:val="auto"/>
                <w:sz w:val="21"/>
                <w:szCs w:val="21"/>
                <w:u w:val="none"/>
                <w:lang w:val="en-US" w:eastAsia="zh-CN"/>
              </w:rPr>
              <w:t>13</w:t>
            </w:r>
            <w:r>
              <w:rPr>
                <w:rFonts w:hint="default" w:ascii="Times New Roman" w:hAnsi="Times New Roman" w:cs="Times New Roman"/>
                <w:b/>
                <w:bCs/>
                <w:color w:val="auto"/>
                <w:sz w:val="21"/>
                <w:szCs w:val="21"/>
                <w:u w:val="none"/>
                <w:lang w:val="en-US" w:eastAsia="zh-CN"/>
              </w:rPr>
              <w:t>工业企业厂界环境噪声排放标准限值 单位：dB（A）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653"/>
              <w:gridCol w:w="2654"/>
              <w:gridCol w:w="26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5" w:hRule="atLeast"/>
                <w:jc w:val="center"/>
              </w:trPr>
              <w:tc>
                <w:tcPr>
                  <w:tcW w:w="1666" w:type="pct"/>
                  <w:noWrap w:val="0"/>
                  <w:vAlign w:val="center"/>
                </w:tcPr>
                <w:p>
                  <w:pPr>
                    <w:spacing w:line="240" w:lineRule="atLeast"/>
                    <w:ind w:firstLine="48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类别</w:t>
                  </w:r>
                </w:p>
              </w:tc>
              <w:tc>
                <w:tcPr>
                  <w:tcW w:w="1666" w:type="pct"/>
                  <w:noWrap w:val="0"/>
                  <w:vAlign w:val="center"/>
                </w:tcPr>
                <w:p>
                  <w:pPr>
                    <w:spacing w:line="240" w:lineRule="atLeast"/>
                    <w:ind w:firstLine="48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昼间</w:t>
                  </w:r>
                </w:p>
              </w:tc>
              <w:tc>
                <w:tcPr>
                  <w:tcW w:w="1666" w:type="pct"/>
                  <w:noWrap w:val="0"/>
                  <w:vAlign w:val="center"/>
                </w:tcPr>
                <w:p>
                  <w:pPr>
                    <w:spacing w:line="240" w:lineRule="atLeast"/>
                    <w:ind w:firstLine="480"/>
                    <w:jc w:val="center"/>
                    <w:rPr>
                      <w:rFonts w:hint="default" w:ascii="Times New Roman" w:hAnsi="Times New Roman" w:eastAsia="宋体" w:cs="Times New Roman"/>
                      <w:color w:val="auto"/>
                      <w:sz w:val="21"/>
                      <w:szCs w:val="22"/>
                      <w:u w:val="none"/>
                    </w:rPr>
                  </w:pPr>
                  <w:r>
                    <w:rPr>
                      <w:rFonts w:hint="default" w:ascii="Times New Roman" w:hAnsi="Times New Roman" w:eastAsia="宋体" w:cs="Times New Roman"/>
                      <w:color w:val="auto"/>
                      <w:sz w:val="21"/>
                      <w:szCs w:val="22"/>
                      <w:u w:val="none"/>
                    </w:rPr>
                    <w:t>夜间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666" w:type="pct"/>
                  <w:noWrap w:val="0"/>
                  <w:vAlign w:val="center"/>
                </w:tcPr>
                <w:p>
                  <w:pPr>
                    <w:spacing w:line="240" w:lineRule="atLeast"/>
                    <w:ind w:firstLine="480"/>
                    <w:jc w:val="center"/>
                    <w:rPr>
                      <w:rFonts w:hint="default" w:ascii="Times New Roman" w:hAnsi="Times New Roman" w:eastAsia="宋体" w:cs="Times New Roman"/>
                      <w:color w:val="auto"/>
                      <w:sz w:val="21"/>
                      <w:szCs w:val="22"/>
                      <w:highlight w:val="none"/>
                      <w:u w:val="none"/>
                    </w:rPr>
                  </w:pPr>
                  <w:r>
                    <w:rPr>
                      <w:rFonts w:hint="eastAsia" w:ascii="Times New Roman" w:hAnsi="Times New Roman" w:eastAsia="宋体" w:cs="Times New Roman"/>
                      <w:color w:val="auto"/>
                      <w:sz w:val="21"/>
                      <w:szCs w:val="22"/>
                      <w:highlight w:val="none"/>
                      <w:u w:val="none"/>
                      <w:lang w:val="en-US" w:eastAsia="zh-CN"/>
                    </w:rPr>
                    <w:t>2</w:t>
                  </w:r>
                  <w:r>
                    <w:rPr>
                      <w:rFonts w:hint="default" w:ascii="Times New Roman" w:hAnsi="Times New Roman" w:eastAsia="宋体" w:cs="Times New Roman"/>
                      <w:color w:val="auto"/>
                      <w:sz w:val="21"/>
                      <w:szCs w:val="22"/>
                      <w:highlight w:val="none"/>
                      <w:u w:val="none"/>
                      <w:lang w:val="en-US" w:eastAsia="zh-CN"/>
                    </w:rPr>
                    <w:t>类</w:t>
                  </w:r>
                </w:p>
              </w:tc>
              <w:tc>
                <w:tcPr>
                  <w:tcW w:w="1666" w:type="pct"/>
                  <w:noWrap w:val="0"/>
                  <w:vAlign w:val="center"/>
                </w:tcPr>
                <w:p>
                  <w:pPr>
                    <w:spacing w:line="240" w:lineRule="atLeast"/>
                    <w:ind w:firstLine="480"/>
                    <w:jc w:val="center"/>
                    <w:rPr>
                      <w:rFonts w:hint="default" w:ascii="Times New Roman" w:hAnsi="Times New Roman" w:eastAsia="宋体" w:cs="Times New Roman"/>
                      <w:color w:val="auto"/>
                      <w:sz w:val="21"/>
                      <w:szCs w:val="22"/>
                      <w:highlight w:val="none"/>
                      <w:u w:val="none"/>
                      <w:lang w:val="en-US" w:eastAsia="zh-CN"/>
                    </w:rPr>
                  </w:pPr>
                  <w:r>
                    <w:rPr>
                      <w:rFonts w:hint="default" w:ascii="Times New Roman" w:hAnsi="Times New Roman" w:eastAsia="宋体" w:cs="Times New Roman"/>
                      <w:color w:val="auto"/>
                      <w:sz w:val="21"/>
                      <w:szCs w:val="22"/>
                      <w:highlight w:val="none"/>
                      <w:u w:val="none"/>
                      <w:lang w:val="en-US" w:eastAsia="zh-CN"/>
                    </w:rPr>
                    <w:t>6</w:t>
                  </w:r>
                  <w:r>
                    <w:rPr>
                      <w:rFonts w:hint="eastAsia" w:ascii="Times New Roman" w:hAnsi="Times New Roman" w:eastAsia="宋体" w:cs="Times New Roman"/>
                      <w:color w:val="auto"/>
                      <w:sz w:val="21"/>
                      <w:szCs w:val="22"/>
                      <w:highlight w:val="none"/>
                      <w:u w:val="none"/>
                      <w:lang w:val="en-US" w:eastAsia="zh-CN"/>
                    </w:rPr>
                    <w:t>0</w:t>
                  </w:r>
                </w:p>
              </w:tc>
              <w:tc>
                <w:tcPr>
                  <w:tcW w:w="1666" w:type="pct"/>
                  <w:noWrap w:val="0"/>
                  <w:vAlign w:val="center"/>
                </w:tcPr>
                <w:p>
                  <w:pPr>
                    <w:spacing w:line="240" w:lineRule="atLeast"/>
                    <w:ind w:firstLine="480"/>
                    <w:jc w:val="center"/>
                    <w:rPr>
                      <w:rFonts w:hint="default" w:ascii="Times New Roman" w:hAnsi="Times New Roman" w:eastAsia="宋体" w:cs="Times New Roman"/>
                      <w:color w:val="auto"/>
                      <w:sz w:val="21"/>
                      <w:szCs w:val="22"/>
                      <w:highlight w:val="none"/>
                      <w:u w:val="none"/>
                      <w:lang w:val="en-US" w:eastAsia="zh-CN"/>
                    </w:rPr>
                  </w:pPr>
                  <w:r>
                    <w:rPr>
                      <w:rFonts w:hint="default" w:ascii="Times New Roman" w:hAnsi="Times New Roman" w:eastAsia="宋体" w:cs="Times New Roman"/>
                      <w:color w:val="auto"/>
                      <w:sz w:val="21"/>
                      <w:szCs w:val="22"/>
                      <w:highlight w:val="none"/>
                      <w:u w:val="none"/>
                      <w:lang w:val="en-US" w:eastAsia="zh-CN"/>
                    </w:rPr>
                    <w:t>5</w:t>
                  </w:r>
                  <w:r>
                    <w:rPr>
                      <w:rFonts w:hint="eastAsia" w:ascii="Times New Roman" w:hAnsi="Times New Roman" w:eastAsia="宋体" w:cs="Times New Roman"/>
                      <w:color w:val="auto"/>
                      <w:sz w:val="21"/>
                      <w:szCs w:val="22"/>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666" w:type="pct"/>
                  <w:noWrap w:val="0"/>
                  <w:vAlign w:val="center"/>
                </w:tcPr>
                <w:p>
                  <w:pPr>
                    <w:spacing w:line="240" w:lineRule="atLeast"/>
                    <w:ind w:firstLine="480" w:firstLineChars="0"/>
                    <w:jc w:val="center"/>
                    <w:rPr>
                      <w:rFonts w:hint="default" w:ascii="Times New Roman" w:hAnsi="Times New Roman" w:eastAsia="宋体" w:cs="Times New Roman"/>
                      <w:color w:val="auto"/>
                      <w:kern w:val="2"/>
                      <w:sz w:val="21"/>
                      <w:szCs w:val="22"/>
                      <w:highlight w:val="none"/>
                      <w:u w:val="none"/>
                      <w:lang w:val="en-US" w:eastAsia="zh-CN" w:bidi="ar-SA"/>
                    </w:rPr>
                  </w:pPr>
                  <w:r>
                    <w:rPr>
                      <w:rFonts w:hint="default" w:ascii="Times New Roman" w:hAnsi="Times New Roman" w:eastAsia="宋体" w:cs="Times New Roman"/>
                      <w:color w:val="auto"/>
                      <w:sz w:val="21"/>
                      <w:szCs w:val="22"/>
                      <w:highlight w:val="none"/>
                      <w:u w:val="none"/>
                      <w:lang w:val="en-US" w:eastAsia="zh-CN"/>
                    </w:rPr>
                    <w:t>3类</w:t>
                  </w:r>
                </w:p>
              </w:tc>
              <w:tc>
                <w:tcPr>
                  <w:tcW w:w="1666" w:type="pct"/>
                  <w:noWrap w:val="0"/>
                  <w:vAlign w:val="center"/>
                </w:tcPr>
                <w:p>
                  <w:pPr>
                    <w:spacing w:line="240" w:lineRule="atLeast"/>
                    <w:ind w:firstLine="480" w:firstLineChars="0"/>
                    <w:jc w:val="center"/>
                    <w:rPr>
                      <w:rFonts w:hint="default" w:ascii="Times New Roman" w:hAnsi="Times New Roman" w:eastAsia="宋体" w:cs="Times New Roman"/>
                      <w:color w:val="auto"/>
                      <w:kern w:val="2"/>
                      <w:sz w:val="21"/>
                      <w:szCs w:val="22"/>
                      <w:highlight w:val="none"/>
                      <w:u w:val="none"/>
                      <w:lang w:val="en-US" w:eastAsia="zh-CN" w:bidi="ar-SA"/>
                    </w:rPr>
                  </w:pPr>
                  <w:r>
                    <w:rPr>
                      <w:rFonts w:hint="default" w:ascii="Times New Roman" w:hAnsi="Times New Roman" w:eastAsia="宋体" w:cs="Times New Roman"/>
                      <w:color w:val="auto"/>
                      <w:sz w:val="21"/>
                      <w:szCs w:val="22"/>
                      <w:highlight w:val="none"/>
                      <w:u w:val="none"/>
                      <w:lang w:val="en-US" w:eastAsia="zh-CN"/>
                    </w:rPr>
                    <w:t>65</w:t>
                  </w:r>
                </w:p>
              </w:tc>
              <w:tc>
                <w:tcPr>
                  <w:tcW w:w="1666" w:type="pct"/>
                  <w:noWrap w:val="0"/>
                  <w:vAlign w:val="center"/>
                </w:tcPr>
                <w:p>
                  <w:pPr>
                    <w:spacing w:line="240" w:lineRule="atLeast"/>
                    <w:ind w:firstLine="480" w:firstLineChars="0"/>
                    <w:jc w:val="center"/>
                    <w:rPr>
                      <w:rFonts w:hint="default" w:ascii="Times New Roman" w:hAnsi="Times New Roman" w:eastAsia="宋体" w:cs="Times New Roman"/>
                      <w:color w:val="auto"/>
                      <w:kern w:val="2"/>
                      <w:sz w:val="21"/>
                      <w:szCs w:val="22"/>
                      <w:highlight w:val="none"/>
                      <w:u w:val="none"/>
                      <w:lang w:val="en-US" w:eastAsia="zh-CN" w:bidi="ar-SA"/>
                    </w:rPr>
                  </w:pPr>
                  <w:r>
                    <w:rPr>
                      <w:rFonts w:hint="default" w:ascii="Times New Roman" w:hAnsi="Times New Roman" w:eastAsia="宋体" w:cs="Times New Roman"/>
                      <w:color w:val="auto"/>
                      <w:sz w:val="21"/>
                      <w:szCs w:val="22"/>
                      <w:highlight w:val="none"/>
                      <w:u w:val="none"/>
                      <w:lang w:val="en-US" w:eastAsia="zh-CN"/>
                    </w:rPr>
                    <w:t>55</w:t>
                  </w:r>
                </w:p>
              </w:tc>
            </w:tr>
          </w:tbl>
          <w:p>
            <w:pPr>
              <w:spacing w:line="360" w:lineRule="auto"/>
              <w:ind w:firstLine="482" w:firstLineChars="200"/>
              <w:rPr>
                <w:sz w:val="24"/>
                <w:szCs w:val="24"/>
              </w:rPr>
            </w:pPr>
            <w:r>
              <w:rPr>
                <w:rFonts w:hint="eastAsia"/>
                <w:b/>
                <w:bCs/>
                <w:sz w:val="24"/>
                <w:szCs w:val="24"/>
                <w:lang w:val="en-US" w:eastAsia="zh-CN"/>
              </w:rPr>
              <w:t>16、</w:t>
            </w:r>
            <w:r>
              <w:rPr>
                <w:b/>
                <w:bCs/>
                <w:sz w:val="24"/>
                <w:szCs w:val="24"/>
              </w:rPr>
              <w:t>固体废物</w:t>
            </w:r>
          </w:p>
          <w:p>
            <w:pPr>
              <w:adjustRightInd w:val="0"/>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生活垃圾执行《生活垃圾填埋场污染控制标准》（GB16889-2008）；</w:t>
            </w:r>
          </w:p>
          <w:p>
            <w:pPr>
              <w:adjustRightInd w:val="0"/>
              <w:snapToGrid w:val="0"/>
              <w:spacing w:line="360" w:lineRule="auto"/>
              <w:jc w:val="left"/>
              <w:rPr>
                <w:kern w:val="0"/>
                <w:szCs w:val="21"/>
              </w:rPr>
            </w:pPr>
            <w:r>
              <w:rPr>
                <w:sz w:val="24"/>
                <w:szCs w:val="24"/>
              </w:rPr>
              <w:t>一般工业固废</w:t>
            </w:r>
            <w:r>
              <w:rPr>
                <w:rFonts w:hint="eastAsia"/>
                <w:sz w:val="24"/>
                <w:szCs w:val="24"/>
              </w:rPr>
              <w:t>厂内暂存</w:t>
            </w:r>
            <w:r>
              <w:rPr>
                <w:sz w:val="24"/>
                <w:szCs w:val="24"/>
              </w:rPr>
              <w:t>执行《一般工业固体废物贮存</w:t>
            </w:r>
            <w:r>
              <w:rPr>
                <w:rFonts w:hint="eastAsia"/>
                <w:sz w:val="24"/>
                <w:szCs w:val="24"/>
              </w:rPr>
              <w:t>和填埋</w:t>
            </w:r>
            <w:r>
              <w:rPr>
                <w:sz w:val="24"/>
                <w:szCs w:val="24"/>
              </w:rPr>
              <w:t>污染控制标准》（GB18599-20</w:t>
            </w:r>
            <w:r>
              <w:rPr>
                <w:rFonts w:hint="eastAsia"/>
                <w:sz w:val="24"/>
                <w:szCs w:val="24"/>
              </w:rPr>
              <w:t>20</w:t>
            </w:r>
            <w:r>
              <w:rPr>
                <w:sz w:val="24"/>
                <w:szCs w:val="24"/>
              </w:rPr>
              <w:t>），危险废物</w:t>
            </w:r>
            <w:r>
              <w:rPr>
                <w:rFonts w:hint="eastAsia"/>
                <w:sz w:val="24"/>
                <w:szCs w:val="24"/>
              </w:rPr>
              <w:t>厂内暂存执行</w:t>
            </w:r>
            <w:r>
              <w:rPr>
                <w:sz w:val="24"/>
                <w:szCs w:val="24"/>
              </w:rPr>
              <w:t>《危险废物贮存污染控制标准》（GB18597-2001）及2013修改单标准。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kern w:val="0"/>
                <w:szCs w:val="21"/>
              </w:rPr>
            </w:pPr>
            <w:r>
              <w:rPr>
                <w:rFonts w:hAnsi="宋体"/>
                <w:kern w:val="0"/>
                <w:szCs w:val="21"/>
              </w:rPr>
              <w:t>总量</w:t>
            </w:r>
          </w:p>
          <w:p>
            <w:pPr>
              <w:adjustRightInd w:val="0"/>
              <w:snapToGrid w:val="0"/>
              <w:jc w:val="center"/>
              <w:rPr>
                <w:kern w:val="0"/>
                <w:szCs w:val="21"/>
              </w:rPr>
            </w:pPr>
            <w:r>
              <w:rPr>
                <w:rFonts w:hAnsi="宋体"/>
                <w:kern w:val="0"/>
                <w:szCs w:val="21"/>
              </w:rPr>
              <w:t>控制</w:t>
            </w:r>
          </w:p>
          <w:p>
            <w:pPr>
              <w:adjustRightInd w:val="0"/>
              <w:snapToGrid w:val="0"/>
              <w:jc w:val="center"/>
              <w:rPr>
                <w:kern w:val="0"/>
                <w:szCs w:val="21"/>
              </w:rPr>
            </w:pPr>
            <w:r>
              <w:rPr>
                <w:rFonts w:hAnsi="宋体"/>
                <w:kern w:val="0"/>
                <w:szCs w:val="21"/>
              </w:rPr>
              <w:t>指标</w:t>
            </w:r>
          </w:p>
        </w:tc>
        <w:tc>
          <w:tcPr>
            <w:tcW w:w="8190" w:type="dxa"/>
            <w:noWrap w:val="0"/>
            <w:vAlign w:val="center"/>
          </w:tcPr>
          <w:p>
            <w:pPr>
              <w:spacing w:line="360" w:lineRule="auto"/>
              <w:ind w:firstLine="480" w:firstLineChars="200"/>
              <w:rPr>
                <w:rFonts w:hint="eastAsia"/>
                <w:sz w:val="24"/>
                <w:szCs w:val="24"/>
              </w:rPr>
            </w:pPr>
            <w:r>
              <w:rPr>
                <w:rFonts w:hint="eastAsia"/>
                <w:sz w:val="24"/>
                <w:szCs w:val="24"/>
              </w:rPr>
              <w:t>本项目污染物总量控制因子为：水污染物总量控制因子：COD、NH</w:t>
            </w:r>
            <w:r>
              <w:rPr>
                <w:rFonts w:hint="eastAsia"/>
                <w:sz w:val="24"/>
                <w:szCs w:val="24"/>
                <w:vertAlign w:val="subscript"/>
              </w:rPr>
              <w:t>3</w:t>
            </w:r>
            <w:r>
              <w:rPr>
                <w:rFonts w:hint="eastAsia"/>
                <w:sz w:val="24"/>
                <w:szCs w:val="24"/>
              </w:rPr>
              <w:t>-N；大气污染总量控制因子：VOCs。</w:t>
            </w:r>
          </w:p>
          <w:p>
            <w:pPr>
              <w:spacing w:line="360" w:lineRule="auto"/>
              <w:ind w:firstLine="482" w:firstLineChars="200"/>
              <w:rPr>
                <w:rFonts w:hint="default" w:eastAsia="宋体"/>
                <w:bCs/>
                <w:sz w:val="24"/>
                <w:szCs w:val="24"/>
                <w:u w:val="none"/>
                <w:lang w:val="en-US" w:eastAsia="zh-CN"/>
              </w:rPr>
            </w:pPr>
            <w:r>
              <w:rPr>
                <w:rFonts w:hint="default" w:ascii="Times New Roman" w:hAnsi="Times New Roman" w:cs="Times New Roman"/>
                <w:b/>
                <w:bCs/>
                <w:color w:val="auto"/>
                <w:sz w:val="24"/>
                <w:u w:val="none"/>
              </w:rPr>
              <w:t>水污染物</w:t>
            </w:r>
            <w:r>
              <w:rPr>
                <w:rFonts w:hint="eastAsia" w:ascii="Times New Roman" w:hAnsi="Times New Roman" w:cs="Times New Roman"/>
                <w:b/>
                <w:bCs/>
                <w:color w:val="auto"/>
                <w:sz w:val="24"/>
                <w:u w:val="none"/>
                <w:lang w:val="en-US" w:eastAsia="zh-CN"/>
              </w:rPr>
              <w:t>:</w:t>
            </w:r>
            <w:r>
              <w:rPr>
                <w:rFonts w:hint="eastAsia"/>
                <w:sz w:val="24"/>
                <w:szCs w:val="24"/>
              </w:rPr>
              <w:t>本项目废气中无二氧化硫、氮氧化物产生，主要为非甲烷总烃、颗粒物。本项目生活废水经化粪池处理后，由园区污水管网排</w:t>
            </w:r>
            <w:r>
              <w:rPr>
                <w:rFonts w:hint="eastAsia"/>
                <w:sz w:val="24"/>
                <w:szCs w:val="24"/>
                <w:lang w:val="en-US" w:eastAsia="zh-CN"/>
              </w:rPr>
              <w:t>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eastAsia"/>
                <w:sz w:val="24"/>
                <w:szCs w:val="24"/>
              </w:rPr>
              <w:t>，</w:t>
            </w:r>
            <w:r>
              <w:rPr>
                <w:rFonts w:hint="eastAsia"/>
                <w:bCs/>
                <w:sz w:val="24"/>
                <w:szCs w:val="24"/>
                <w:u w:val="none"/>
                <w:lang w:val="en-US" w:eastAsia="zh-CN"/>
              </w:rPr>
              <w:t>初期</w:t>
            </w:r>
            <w:r>
              <w:rPr>
                <w:rFonts w:hint="eastAsia"/>
                <w:bCs/>
                <w:sz w:val="24"/>
                <w:szCs w:val="24"/>
                <w:u w:val="none"/>
              </w:rPr>
              <w:t>雨水</w:t>
            </w:r>
            <w:r>
              <w:rPr>
                <w:rFonts w:hint="eastAsia"/>
                <w:bCs/>
                <w:sz w:val="24"/>
                <w:szCs w:val="24"/>
                <w:u w:val="none"/>
                <w:lang w:val="en-US" w:eastAsia="zh-CN"/>
              </w:rPr>
              <w:t>+</w:t>
            </w:r>
            <w:r>
              <w:rPr>
                <w:rFonts w:hint="eastAsia"/>
                <w:bCs/>
                <w:sz w:val="24"/>
                <w:szCs w:val="24"/>
                <w:u w:val="none"/>
              </w:rPr>
              <w:t>拆解</w:t>
            </w:r>
            <w:r>
              <w:rPr>
                <w:rFonts w:hint="eastAsia"/>
                <w:bCs/>
                <w:sz w:val="24"/>
                <w:szCs w:val="24"/>
                <w:u w:val="none"/>
                <w:lang w:eastAsia="zh-CN"/>
              </w:rPr>
              <w:t>区</w:t>
            </w:r>
            <w:r>
              <w:rPr>
                <w:rFonts w:hint="eastAsia"/>
                <w:bCs/>
                <w:sz w:val="24"/>
                <w:szCs w:val="24"/>
                <w:u w:val="none"/>
              </w:rPr>
              <w:t>地面清洁废水</w:t>
            </w:r>
            <w:r>
              <w:rPr>
                <w:rFonts w:hint="eastAsia"/>
                <w:bCs/>
                <w:sz w:val="24"/>
                <w:szCs w:val="24"/>
                <w:u w:val="none"/>
                <w:lang w:val="en-US" w:eastAsia="zh-CN"/>
              </w:rPr>
              <w:t>经污水处理设施（隔油池+</w:t>
            </w:r>
            <w:r>
              <w:rPr>
                <w:rFonts w:hint="eastAsia" w:ascii="Times New Roman" w:hAnsi="Times New Roman" w:cs="Times New Roman"/>
                <w:color w:val="auto"/>
                <w:sz w:val="24"/>
                <w:szCs w:val="24"/>
                <w:highlight w:val="none"/>
                <w:lang w:val="en-US" w:eastAsia="zh-CN"/>
              </w:rPr>
              <w:t>气浮机</w:t>
            </w:r>
            <w:r>
              <w:rPr>
                <w:rFonts w:hint="eastAsia"/>
                <w:bCs/>
                <w:sz w:val="24"/>
                <w:szCs w:val="24"/>
                <w:u w:val="none"/>
                <w:lang w:val="en-US" w:eastAsia="zh-CN"/>
              </w:rPr>
              <w:t>）</w:t>
            </w:r>
            <w:r>
              <w:rPr>
                <w:rFonts w:hint="eastAsia" w:ascii="Times New Roman" w:hAnsi="Times New Roman" w:cs="Times New Roman"/>
                <w:color w:val="auto"/>
                <w:sz w:val="24"/>
                <w:szCs w:val="24"/>
                <w:highlight w:val="none"/>
                <w:lang w:val="en-US" w:eastAsia="zh-CN"/>
              </w:rPr>
              <w:t>处理后</w:t>
            </w:r>
            <w:r>
              <w:rPr>
                <w:rFonts w:hint="eastAsia" w:ascii="Times New Roman" w:hAnsi="Times New Roman" w:eastAsia="宋体" w:cs="Times New Roman"/>
                <w:b w:val="0"/>
                <w:bCs w:val="0"/>
                <w:color w:val="auto"/>
                <w:sz w:val="24"/>
                <w:szCs w:val="24"/>
                <w:u w:val="none"/>
                <w:shd w:val="clear" w:color="auto" w:fill="auto"/>
                <w:lang w:val="en-US" w:eastAsia="zh-CN"/>
              </w:rPr>
              <w:t>进</w:t>
            </w:r>
            <w:r>
              <w:rPr>
                <w:rFonts w:hint="default" w:ascii="Times New Roman" w:hAnsi="Times New Roman" w:eastAsia="宋体" w:cs="Times New Roman"/>
                <w:b w:val="0"/>
                <w:bCs w:val="0"/>
                <w:color w:val="auto"/>
                <w:sz w:val="24"/>
                <w:szCs w:val="24"/>
                <w:u w:val="none"/>
                <w:shd w:val="clear" w:color="auto" w:fill="auto"/>
                <w:lang w:val="en-US" w:eastAsia="zh-CN"/>
              </w:rPr>
              <w:t>入</w:t>
            </w:r>
            <w:r>
              <w:rPr>
                <w:rFonts w:hint="eastAsia"/>
                <w:sz w:val="24"/>
                <w:szCs w:val="24"/>
              </w:rPr>
              <w:t>园区污水</w:t>
            </w:r>
            <w:r>
              <w:rPr>
                <w:rFonts w:hint="default" w:ascii="Times New Roman" w:hAnsi="Times New Roman" w:eastAsia="宋体" w:cs="Times New Roman"/>
                <w:b w:val="0"/>
                <w:bCs w:val="0"/>
                <w:color w:val="auto"/>
                <w:sz w:val="24"/>
                <w:szCs w:val="24"/>
                <w:u w:val="none"/>
                <w:shd w:val="clear" w:color="auto" w:fill="auto"/>
                <w:lang w:val="en-US" w:eastAsia="zh-CN"/>
              </w:rPr>
              <w:t>管网</w:t>
            </w:r>
            <w:r>
              <w:rPr>
                <w:rFonts w:hint="eastAsia"/>
                <w:sz w:val="24"/>
                <w:szCs w:val="24"/>
              </w:rPr>
              <w:t>排</w:t>
            </w:r>
            <w:r>
              <w:rPr>
                <w:rFonts w:hint="eastAsia"/>
                <w:sz w:val="24"/>
                <w:szCs w:val="24"/>
                <w:lang w:val="en-US" w:eastAsia="zh-CN"/>
              </w:rPr>
              <w:t>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eastAsia" w:ascii="Times New Roman" w:hAnsi="Times New Roman" w:eastAsia="宋体" w:cs="Times New Roman"/>
                <w:b w:val="0"/>
                <w:bCs w:val="0"/>
                <w:color w:val="auto"/>
                <w:sz w:val="24"/>
                <w:szCs w:val="24"/>
                <w:highlight w:val="none"/>
                <w:u w:val="single"/>
                <w:shd w:val="clear" w:color="auto" w:fill="auto"/>
                <w:lang w:val="en-US" w:eastAsia="zh-CN"/>
              </w:rPr>
              <w:t>则本项目总量控制指标为：COD：0.085t/a，需要申请总量指标。</w:t>
            </w:r>
          </w:p>
          <w:p>
            <w:pPr>
              <w:pStyle w:val="4"/>
              <w:keepNext w:val="0"/>
              <w:keepLines w:val="0"/>
              <w:pageBreakBefore w:val="0"/>
              <w:widowControl/>
              <w:kinsoku/>
              <w:wordWrap/>
              <w:overflowPunct/>
              <w:topLinePunct w:val="0"/>
              <w:autoSpaceDE/>
              <w:autoSpaceDN/>
              <w:bidi w:val="0"/>
              <w:adjustRightInd/>
              <w:snapToGrid w:val="0"/>
              <w:spacing w:after="0" w:line="260" w:lineRule="auto"/>
              <w:ind w:right="113"/>
              <w:jc w:val="center"/>
              <w:textAlignment w:val="auto"/>
              <w:rPr>
                <w:rFonts w:hint="eastAsia" w:eastAsia="宋体"/>
                <w:b/>
                <w:bCs/>
                <w:sz w:val="21"/>
                <w:szCs w:val="21"/>
                <w:lang w:eastAsia="zh-CN"/>
              </w:rPr>
            </w:pPr>
            <w:r>
              <w:rPr>
                <w:rFonts w:hint="eastAsia"/>
                <w:b/>
                <w:bCs/>
                <w:sz w:val="21"/>
                <w:szCs w:val="21"/>
                <w:lang w:val="en-US" w:eastAsia="zh-CN"/>
              </w:rPr>
              <w:t xml:space="preserve">表3-14 </w:t>
            </w:r>
            <w:r>
              <w:rPr>
                <w:rFonts w:hint="eastAsia"/>
                <w:b/>
                <w:bCs/>
                <w:sz w:val="21"/>
                <w:szCs w:val="21"/>
              </w:rPr>
              <w:t>水污染物总量控制建议指标一览表（单位：t/a</w:t>
            </w:r>
            <w:r>
              <w:rPr>
                <w:rFonts w:hint="eastAsia"/>
                <w:b/>
                <w:bCs/>
                <w:sz w:val="21"/>
                <w:szCs w:val="21"/>
                <w:lang w:eastAsia="zh-CN"/>
              </w:rPr>
              <w:t>）</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592"/>
              <w:gridCol w:w="1592"/>
              <w:gridCol w:w="1592"/>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排放源</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控制因子</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产生量（t/a）</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排放量（t/a）</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vertAlign w:val="baseline"/>
                      <w:lang w:eastAsia="zh-CN"/>
                    </w:rPr>
                  </w:pPr>
                  <w:r>
                    <w:rPr>
                      <w:sz w:val="21"/>
                      <w:szCs w:val="21"/>
                    </w:rPr>
                    <w:t>建议总量控制指标</w:t>
                  </w:r>
                  <w:r>
                    <w:rPr>
                      <w:rFonts w:hint="eastAsia"/>
                      <w:sz w:val="21"/>
                      <w:szCs w:val="21"/>
                      <w:lang w:eastAsia="zh-CN"/>
                    </w:rPr>
                    <w:t>（</w:t>
                  </w:r>
                  <w:r>
                    <w:rPr>
                      <w:rFonts w:hint="eastAsia"/>
                      <w:sz w:val="21"/>
                      <w:szCs w:val="21"/>
                      <w:lang w:val="en-US" w:eastAsia="zh-CN"/>
                    </w:rPr>
                    <w:t>t/a</w:t>
                  </w:r>
                  <w:r>
                    <w:rPr>
                      <w:rFonts w:hint="eastAsia"/>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生活污水</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废水量</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vertAlign w:val="baseline"/>
                    </w:rPr>
                  </w:pPr>
                  <w:r>
                    <w:rPr>
                      <w:rFonts w:hint="default" w:ascii="Times New Roman" w:hAnsi="Times New Roman" w:eastAsia="宋体" w:cs="Times New Roman"/>
                      <w:color w:val="auto"/>
                      <w:kern w:val="2"/>
                      <w:sz w:val="21"/>
                      <w:szCs w:val="21"/>
                      <w:highlight w:val="none"/>
                      <w:u w:val="none" w:color="auto"/>
                      <w:lang w:val="en-US" w:eastAsia="zh-CN" w:bidi="ar-SA"/>
                    </w:rPr>
                    <w:t>1848</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vertAlign w:val="baseline"/>
                    </w:rPr>
                  </w:pPr>
                  <w:r>
                    <w:rPr>
                      <w:rFonts w:hint="default" w:ascii="Times New Roman" w:hAnsi="Times New Roman" w:eastAsia="宋体" w:cs="Times New Roman"/>
                      <w:color w:val="auto"/>
                      <w:kern w:val="2"/>
                      <w:sz w:val="21"/>
                      <w:szCs w:val="21"/>
                      <w:highlight w:val="none"/>
                      <w:u w:val="none" w:color="auto"/>
                      <w:lang w:val="en-US" w:eastAsia="zh-CN" w:bidi="ar-SA"/>
                    </w:rPr>
                    <w:t>1848</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vertAlign w:val="baseline"/>
                    </w:rPr>
                  </w:pP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COD</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vertAlign w:val="baseline"/>
                    </w:rPr>
                  </w:pPr>
                  <w:r>
                    <w:rPr>
                      <w:rFonts w:hint="eastAsia" w:ascii="Times New Roman" w:hAnsi="Times New Roman" w:eastAsia="宋体" w:cs="Times New Roman"/>
                      <w:color w:val="auto"/>
                      <w:sz w:val="21"/>
                      <w:szCs w:val="21"/>
                      <w:highlight w:val="none"/>
                      <w:u w:val="none" w:color="auto"/>
                      <w:lang w:val="en-US" w:eastAsia="zh-CN"/>
                    </w:rPr>
                    <w:t>0.5082</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0.0924</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kern w:val="2"/>
                      <w:sz w:val="21"/>
                      <w:szCs w:val="21"/>
                      <w:vertAlign w:val="baseline"/>
                      <w:lang w:val="en-US" w:eastAsia="zh-CN" w:bidi="ar-SA"/>
                    </w:rPr>
                  </w:pPr>
                  <w:r>
                    <w:rPr>
                      <w:rFonts w:hint="eastAsia"/>
                      <w:sz w:val="21"/>
                      <w:szCs w:val="21"/>
                      <w:vertAlign w:val="baseline"/>
                      <w:lang w:val="en-US" w:eastAsia="zh-CN"/>
                    </w:rPr>
                    <w:t>0.0924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vertAlign w:val="baseline"/>
                    </w:rPr>
                  </w:pP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NH</w:t>
                  </w:r>
                  <w:r>
                    <w:rPr>
                      <w:rFonts w:hint="eastAsia"/>
                      <w:sz w:val="21"/>
                      <w:szCs w:val="21"/>
                      <w:vertAlign w:val="subscript"/>
                      <w:lang w:val="en-US" w:eastAsia="zh-CN"/>
                    </w:rPr>
                    <w:t>3</w:t>
                  </w:r>
                  <w:r>
                    <w:rPr>
                      <w:rFonts w:hint="eastAsia"/>
                      <w:sz w:val="21"/>
                      <w:szCs w:val="21"/>
                      <w:vertAlign w:val="baseline"/>
                      <w:lang w:val="en-US" w:eastAsia="zh-CN"/>
                    </w:rPr>
                    <w:t>-N</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vertAlign w:val="baseline"/>
                    </w:rPr>
                  </w:pPr>
                  <w:r>
                    <w:rPr>
                      <w:rFonts w:hint="eastAsia" w:ascii="Times New Roman" w:hAnsi="Times New Roman" w:eastAsia="宋体" w:cs="Times New Roman"/>
                      <w:color w:val="auto"/>
                      <w:sz w:val="21"/>
                      <w:szCs w:val="21"/>
                      <w:highlight w:val="none"/>
                      <w:u w:val="none" w:color="auto"/>
                      <w:lang w:val="en-US" w:eastAsia="zh-CN"/>
                    </w:rPr>
                    <w:t>0.0399</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0.015</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kern w:val="2"/>
                      <w:sz w:val="21"/>
                      <w:szCs w:val="21"/>
                      <w:vertAlign w:val="baseline"/>
                      <w:lang w:val="en-US" w:eastAsia="zh-CN" w:bidi="ar-SA"/>
                    </w:rPr>
                  </w:pPr>
                  <w:r>
                    <w:rPr>
                      <w:rFonts w:hint="eastAsia"/>
                      <w:sz w:val="21"/>
                      <w:szCs w:val="21"/>
                      <w:vertAlign w:val="baseline"/>
                      <w:lang w:val="en-US" w:eastAsia="zh-CN"/>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u w:val="single"/>
                      <w:vertAlign w:val="baseline"/>
                      <w:lang w:val="en-US" w:eastAsia="zh-CN"/>
                    </w:rPr>
                  </w:pPr>
                  <w:r>
                    <w:rPr>
                      <w:rFonts w:hint="eastAsia"/>
                      <w:sz w:val="21"/>
                      <w:szCs w:val="21"/>
                      <w:u w:val="single"/>
                      <w:vertAlign w:val="baseline"/>
                    </w:rPr>
                    <w:t>拆解</w:t>
                  </w:r>
                  <w:r>
                    <w:rPr>
                      <w:rFonts w:hint="eastAsia"/>
                      <w:sz w:val="21"/>
                      <w:szCs w:val="21"/>
                      <w:u w:val="single"/>
                      <w:vertAlign w:val="baseline"/>
                      <w:lang w:eastAsia="zh-CN"/>
                    </w:rPr>
                    <w:t>区</w:t>
                  </w:r>
                  <w:r>
                    <w:rPr>
                      <w:rFonts w:hint="eastAsia"/>
                      <w:sz w:val="21"/>
                      <w:szCs w:val="21"/>
                      <w:u w:val="single"/>
                      <w:vertAlign w:val="baseline"/>
                    </w:rPr>
                    <w:t>地面清洁废水</w:t>
                  </w:r>
                  <w:r>
                    <w:rPr>
                      <w:rFonts w:hint="eastAsia"/>
                      <w:sz w:val="21"/>
                      <w:szCs w:val="21"/>
                      <w:u w:val="single"/>
                      <w:vertAlign w:val="baseline"/>
                      <w:lang w:val="en-US" w:eastAsia="zh-CN"/>
                    </w:rPr>
                    <w:t>+初期雨水</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废水量</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sz w:val="21"/>
                      <w:szCs w:val="21"/>
                      <w:u w:val="single"/>
                      <w:vertAlign w:val="baseline"/>
                      <w:lang w:val="en-US"/>
                    </w:rPr>
                  </w:pPr>
                  <w:r>
                    <w:rPr>
                      <w:rFonts w:hint="default"/>
                      <w:sz w:val="21"/>
                      <w:szCs w:val="21"/>
                      <w:u w:val="single"/>
                      <w:vertAlign w:val="baseline"/>
                      <w:lang w:val="en-US" w:eastAsia="zh-CN"/>
                    </w:rPr>
                    <w:t>1699.6</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sz w:val="21"/>
                      <w:szCs w:val="21"/>
                      <w:u w:val="single"/>
                      <w:vertAlign w:val="baseline"/>
                      <w:lang w:val="en-US"/>
                    </w:rPr>
                  </w:pPr>
                  <w:r>
                    <w:rPr>
                      <w:rFonts w:hint="default"/>
                      <w:sz w:val="21"/>
                      <w:szCs w:val="21"/>
                      <w:u w:val="single"/>
                      <w:vertAlign w:val="baseline"/>
                      <w:lang w:val="en-US" w:eastAsia="zh-CN"/>
                    </w:rPr>
                    <w:t>1699.6</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eastAsia="宋体"/>
                      <w:sz w:val="21"/>
                      <w:szCs w:val="21"/>
                      <w:u w:val="single"/>
                      <w:vertAlign w:val="baseline"/>
                      <w:lang w:val="en-US" w:eastAsia="zh-CN"/>
                    </w:rPr>
                  </w:pPr>
                  <w:r>
                    <w:rPr>
                      <w:rFonts w:hint="eastAsia"/>
                      <w:sz w:val="21"/>
                      <w:szCs w:val="21"/>
                      <w:u w:val="singl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99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u w:val="single"/>
                      <w:vertAlign w:val="baseline"/>
                    </w:rPr>
                  </w:pP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sz w:val="21"/>
                      <w:szCs w:val="21"/>
                      <w:u w:val="single"/>
                      <w:vertAlign w:val="baseline"/>
                      <w:lang w:val="en-US" w:eastAsia="zh-CN"/>
                    </w:rPr>
                  </w:pPr>
                  <w:r>
                    <w:rPr>
                      <w:rFonts w:hint="eastAsia"/>
                      <w:sz w:val="21"/>
                      <w:szCs w:val="21"/>
                      <w:u w:val="single"/>
                      <w:vertAlign w:val="baseline"/>
                      <w:lang w:val="en-US" w:eastAsia="zh-CN"/>
                    </w:rPr>
                    <w:t>COD</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sz w:val="21"/>
                      <w:szCs w:val="21"/>
                      <w:u w:val="single"/>
                      <w:vertAlign w:val="baseline"/>
                    </w:rPr>
                  </w:pPr>
                  <w:r>
                    <w:rPr>
                      <w:rFonts w:hint="eastAsia"/>
                      <w:sz w:val="21"/>
                      <w:szCs w:val="21"/>
                      <w:u w:val="single"/>
                      <w:vertAlign w:val="baseline"/>
                      <w:lang w:val="en-US" w:eastAsia="zh-CN"/>
                    </w:rPr>
                    <w:t>0.297</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eastAsia="宋体"/>
                      <w:sz w:val="21"/>
                      <w:szCs w:val="21"/>
                      <w:u w:val="single"/>
                      <w:vertAlign w:val="baseline"/>
                      <w:lang w:val="en-US" w:eastAsia="zh-CN"/>
                    </w:rPr>
                  </w:pPr>
                  <w:r>
                    <w:rPr>
                      <w:rFonts w:hint="eastAsia" w:eastAsia="宋体"/>
                      <w:sz w:val="21"/>
                      <w:szCs w:val="21"/>
                      <w:u w:val="single"/>
                      <w:vertAlign w:val="baseline"/>
                      <w:lang w:val="en-US" w:eastAsia="zh-CN"/>
                    </w:rPr>
                    <w:t>0.085</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default"/>
                      <w:sz w:val="21"/>
                      <w:szCs w:val="21"/>
                      <w:u w:val="single"/>
                      <w:vertAlign w:val="baseline"/>
                      <w:lang w:val="en-US"/>
                    </w:rPr>
                  </w:pPr>
                  <w:r>
                    <w:rPr>
                      <w:rFonts w:hint="eastAsia" w:eastAsia="宋体"/>
                      <w:sz w:val="21"/>
                      <w:szCs w:val="21"/>
                      <w:u w:val="single"/>
                      <w:vertAlign w:val="baseline"/>
                      <w:lang w:val="en-US" w:eastAsia="zh-CN"/>
                    </w:rPr>
                    <w:t>0.085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val="0"/>
                <w:bCs w:val="0"/>
                <w:color w:val="auto"/>
                <w:sz w:val="24"/>
                <w:u w:val="none"/>
              </w:rPr>
            </w:pPr>
            <w:r>
              <w:rPr>
                <w:rFonts w:hint="default" w:ascii="Times New Roman" w:hAnsi="Times New Roman" w:cs="Times New Roman"/>
                <w:b/>
                <w:bCs/>
                <w:color w:val="auto"/>
                <w:sz w:val="24"/>
                <w:u w:val="none"/>
              </w:rPr>
              <w:t>大气污染：</w:t>
            </w:r>
            <w:r>
              <w:rPr>
                <w:rFonts w:hint="default" w:ascii="Times New Roman" w:hAnsi="Times New Roman" w:cs="Times New Roman"/>
                <w:b w:val="0"/>
                <w:bCs w:val="0"/>
                <w:color w:val="auto"/>
                <w:sz w:val="24"/>
                <w:u w:val="none"/>
              </w:rPr>
              <w:t>本项目废气中无二氧化硫、氮氧化物产生，主要为非甲烷总烃、颗粒物。</w:t>
            </w:r>
          </w:p>
          <w:p>
            <w:pPr>
              <w:spacing w:line="360" w:lineRule="auto"/>
              <w:jc w:val="center"/>
              <w:rPr>
                <w:b/>
                <w:szCs w:val="21"/>
              </w:rPr>
            </w:pPr>
            <w:r>
              <w:rPr>
                <w:b/>
                <w:szCs w:val="21"/>
              </w:rPr>
              <w:t>表3-1</w:t>
            </w:r>
            <w:r>
              <w:rPr>
                <w:rFonts w:hint="eastAsia"/>
                <w:b/>
                <w:szCs w:val="21"/>
                <w:lang w:val="en-US" w:eastAsia="zh-CN"/>
              </w:rPr>
              <w:t>5</w:t>
            </w:r>
            <w:r>
              <w:rPr>
                <w:b/>
                <w:szCs w:val="21"/>
              </w:rPr>
              <w:t xml:space="preserve"> 大气污染物排放总量控制</w:t>
            </w:r>
            <w:r>
              <w:rPr>
                <w:rFonts w:hint="eastAsia"/>
                <w:b/>
                <w:bCs/>
                <w:sz w:val="21"/>
                <w:szCs w:val="21"/>
              </w:rPr>
              <w:t>建议指标一览表</w:t>
            </w:r>
            <w:r>
              <w:rPr>
                <w:b/>
                <w:szCs w:val="21"/>
              </w:rPr>
              <w:t>（t/a）</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4"/>
              <w:gridCol w:w="2711"/>
              <w:gridCol w:w="1365"/>
              <w:gridCol w:w="2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94" w:type="dxa"/>
                  <w:noWrap w:val="0"/>
                  <w:vAlign w:val="center"/>
                </w:tcPr>
                <w:p>
                  <w:pPr>
                    <w:pStyle w:val="37"/>
                  </w:pPr>
                  <w:r>
                    <w:t>污染类型</w:t>
                  </w:r>
                </w:p>
              </w:tc>
              <w:tc>
                <w:tcPr>
                  <w:tcW w:w="2711" w:type="dxa"/>
                  <w:noWrap w:val="0"/>
                  <w:vAlign w:val="center"/>
                </w:tcPr>
                <w:p>
                  <w:pPr>
                    <w:pStyle w:val="37"/>
                  </w:pPr>
                  <w:r>
                    <w:t>污染物名称</w:t>
                  </w:r>
                </w:p>
              </w:tc>
              <w:tc>
                <w:tcPr>
                  <w:tcW w:w="1365" w:type="dxa"/>
                  <w:noWrap w:val="0"/>
                  <w:vAlign w:val="center"/>
                </w:tcPr>
                <w:p>
                  <w:pPr>
                    <w:pStyle w:val="37"/>
                  </w:pPr>
                  <w:r>
                    <w:t>排放量</w:t>
                  </w:r>
                </w:p>
              </w:tc>
              <w:tc>
                <w:tcPr>
                  <w:tcW w:w="2394" w:type="dxa"/>
                  <w:noWrap w:val="0"/>
                  <w:vAlign w:val="center"/>
                </w:tcPr>
                <w:p>
                  <w:pPr>
                    <w:pStyle w:val="37"/>
                  </w:pPr>
                  <w:r>
                    <w:t>建议申请总量控制指标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94" w:type="dxa"/>
                  <w:noWrap w:val="0"/>
                  <w:vAlign w:val="center"/>
                </w:tcPr>
                <w:p>
                  <w:pPr>
                    <w:pStyle w:val="37"/>
                  </w:pPr>
                  <w:r>
                    <w:t>废气污染物</w:t>
                  </w:r>
                </w:p>
              </w:tc>
              <w:tc>
                <w:tcPr>
                  <w:tcW w:w="2711" w:type="dxa"/>
                  <w:noWrap w:val="0"/>
                  <w:vAlign w:val="center"/>
                </w:tcPr>
                <w:p>
                  <w:pPr>
                    <w:jc w:val="center"/>
                    <w:rPr>
                      <w:rFonts w:hint="eastAsia" w:eastAsia="宋体"/>
                      <w:kern w:val="2"/>
                      <w:sz w:val="21"/>
                      <w:szCs w:val="21"/>
                      <w:lang w:val="en-US" w:eastAsia="zh-CN" w:bidi="ar-SA"/>
                    </w:rPr>
                  </w:pPr>
                  <w:r>
                    <w:rPr>
                      <w:rFonts w:hint="eastAsia"/>
                      <w:bCs/>
                      <w:szCs w:val="21"/>
                      <w:lang w:eastAsia="zh-CN"/>
                    </w:rPr>
                    <w:t>非甲烷总烃（</w:t>
                  </w:r>
                  <w:r>
                    <w:rPr>
                      <w:bCs/>
                      <w:szCs w:val="21"/>
                    </w:rPr>
                    <w:t>VOCs</w:t>
                  </w:r>
                  <w:r>
                    <w:rPr>
                      <w:rFonts w:hint="eastAsia"/>
                      <w:bCs/>
                      <w:szCs w:val="21"/>
                      <w:lang w:eastAsia="zh-CN"/>
                    </w:rPr>
                    <w:t>）</w:t>
                  </w:r>
                </w:p>
              </w:tc>
              <w:tc>
                <w:tcPr>
                  <w:tcW w:w="1365" w:type="dxa"/>
                  <w:noWrap w:val="0"/>
                  <w:vAlign w:val="center"/>
                </w:tcPr>
                <w:p>
                  <w:pPr>
                    <w:jc w:val="center"/>
                    <w:rPr>
                      <w:rFonts w:hint="default" w:eastAsia="宋体"/>
                      <w:kern w:val="2"/>
                      <w:sz w:val="21"/>
                      <w:szCs w:val="21"/>
                      <w:lang w:val="en-US" w:eastAsia="zh-CN" w:bidi="ar-SA"/>
                    </w:rPr>
                  </w:pPr>
                  <w:r>
                    <w:rPr>
                      <w:rFonts w:hint="eastAsia" w:eastAsia="宋体"/>
                      <w:szCs w:val="21"/>
                      <w:lang w:val="en-US" w:eastAsia="zh-CN"/>
                    </w:rPr>
                    <w:t>0.0781</w:t>
                  </w:r>
                </w:p>
              </w:tc>
              <w:tc>
                <w:tcPr>
                  <w:tcW w:w="2394" w:type="dxa"/>
                  <w:noWrap w:val="0"/>
                  <w:vAlign w:val="center"/>
                </w:tcPr>
                <w:p>
                  <w:pPr>
                    <w:jc w:val="center"/>
                    <w:rPr>
                      <w:rFonts w:hint="default" w:eastAsia="宋体"/>
                      <w:kern w:val="2"/>
                      <w:sz w:val="21"/>
                      <w:szCs w:val="21"/>
                      <w:lang w:val="en-US" w:eastAsia="zh-CN" w:bidi="ar-SA"/>
                    </w:rPr>
                  </w:pPr>
                  <w:r>
                    <w:rPr>
                      <w:rFonts w:hint="eastAsia" w:eastAsia="宋体"/>
                      <w:szCs w:val="21"/>
                      <w:lang w:val="en-US" w:eastAsia="zh-CN"/>
                    </w:rPr>
                    <w:t>0.0781</w:t>
                  </w:r>
                </w:p>
              </w:tc>
            </w:tr>
          </w:tbl>
          <w:p>
            <w:pPr>
              <w:spacing w:line="360" w:lineRule="auto"/>
              <w:ind w:firstLine="480" w:firstLineChars="200"/>
              <w:rPr>
                <w:rFonts w:hint="eastAsia" w:ascii="Times New Roman" w:hAnsi="Times New Roman" w:eastAsia="宋体" w:cs="Times New Roman"/>
                <w:color w:val="auto"/>
                <w:sz w:val="24"/>
                <w:szCs w:val="24"/>
                <w:u w:val="none" w:color="auto"/>
                <w:lang w:val="zh-CN" w:eastAsia="zh-CN"/>
              </w:rPr>
            </w:pPr>
            <w:r>
              <w:rPr>
                <w:rFonts w:hint="eastAsia"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lang w:val="en-US" w:eastAsia="zh-CN"/>
              </w:rPr>
              <w:t>建议本项目</w:t>
            </w:r>
            <w:r>
              <w:rPr>
                <w:rFonts w:ascii="Times New Roman" w:hAnsi="Times New Roman" w:eastAsia="宋体" w:cs="Times New Roman"/>
                <w:color w:val="auto"/>
                <w:sz w:val="24"/>
                <w:szCs w:val="24"/>
                <w:u w:val="none" w:color="auto"/>
                <w:lang w:val="zh-CN"/>
              </w:rPr>
              <w:t>VOCs</w:t>
            </w:r>
            <w:r>
              <w:rPr>
                <w:rFonts w:hint="default" w:ascii="Times New Roman" w:hAnsi="Times New Roman" w:eastAsia="宋体" w:cs="Times New Roman"/>
                <w:color w:val="auto"/>
                <w:sz w:val="24"/>
                <w:szCs w:val="24"/>
                <w:u w:val="none" w:color="auto"/>
                <w:lang w:val="en-US" w:eastAsia="zh-CN"/>
              </w:rPr>
              <w:t>总量控制指标</w:t>
            </w:r>
            <w:r>
              <w:rPr>
                <w:rFonts w:hint="eastAsia" w:ascii="Times New Roman" w:hAnsi="Times New Roman" w:eastAsia="宋体" w:cs="Times New Roman"/>
                <w:color w:val="auto"/>
                <w:sz w:val="24"/>
                <w:szCs w:val="24"/>
                <w:u w:val="none" w:color="auto"/>
                <w:lang w:val="en-US" w:eastAsia="zh-CN"/>
              </w:rPr>
              <w:t>0.0781</w:t>
            </w:r>
            <w:r>
              <w:rPr>
                <w:rFonts w:ascii="Times New Roman" w:hAnsi="Times New Roman" w:eastAsia="宋体" w:cs="Times New Roman"/>
                <w:color w:val="auto"/>
                <w:sz w:val="24"/>
                <w:szCs w:val="24"/>
                <w:u w:val="none" w:color="auto"/>
                <w:lang w:val="zh-CN"/>
              </w:rPr>
              <w:t>t/a</w:t>
            </w:r>
            <w:r>
              <w:rPr>
                <w:rFonts w:hint="default" w:ascii="Times New Roman" w:hAnsi="Times New Roman" w:eastAsia="宋体" w:cs="Times New Roman"/>
                <w:color w:val="auto"/>
                <w:sz w:val="24"/>
                <w:szCs w:val="24"/>
                <w:u w:val="none" w:color="auto"/>
                <w:lang w:val="en-US" w:eastAsia="zh-CN"/>
              </w:rPr>
              <w:t>，该</w:t>
            </w:r>
            <w:r>
              <w:rPr>
                <w:rFonts w:ascii="Times New Roman" w:hAnsi="Times New Roman" w:eastAsia="宋体" w:cs="Times New Roman"/>
                <w:color w:val="auto"/>
                <w:sz w:val="24"/>
                <w:szCs w:val="24"/>
                <w:u w:val="none" w:color="auto"/>
                <w:lang w:val="zh-CN"/>
              </w:rPr>
              <w:t>VOCs</w:t>
            </w:r>
            <w:r>
              <w:rPr>
                <w:rFonts w:hint="default" w:ascii="Times New Roman" w:hAnsi="Times New Roman" w:eastAsia="宋体" w:cs="Times New Roman"/>
                <w:color w:val="auto"/>
                <w:sz w:val="24"/>
                <w:szCs w:val="24"/>
                <w:u w:val="none" w:color="auto"/>
                <w:lang w:val="en-US" w:eastAsia="zh-CN"/>
              </w:rPr>
              <w:t>指标无需购买</w:t>
            </w:r>
            <w:r>
              <w:rPr>
                <w:rFonts w:hint="eastAsia" w:ascii="Times New Roman" w:hAnsi="Times New Roman" w:eastAsia="宋体" w:cs="Times New Roman"/>
                <w:color w:val="auto"/>
                <w:sz w:val="24"/>
                <w:szCs w:val="24"/>
                <w:u w:val="none" w:color="auto"/>
                <w:lang w:val="en-US" w:eastAsia="zh-CN"/>
              </w:rPr>
              <w:t>。</w:t>
            </w:r>
          </w:p>
          <w:p>
            <w:pPr>
              <w:spacing w:line="360" w:lineRule="auto"/>
              <w:ind w:firstLine="480" w:firstLineChars="200"/>
              <w:rPr>
                <w:rFonts w:hint="eastAsia"/>
                <w:sz w:val="24"/>
                <w:szCs w:val="24"/>
                <w:lang w:val="zh-CN"/>
              </w:rPr>
            </w:pPr>
            <w:r>
              <w:rPr>
                <w:rFonts w:hint="eastAsia"/>
                <w:sz w:val="24"/>
                <w:szCs w:val="24"/>
                <w:lang w:val="zh-CN"/>
              </w:rPr>
              <w:t>（</w:t>
            </w:r>
            <w:r>
              <w:rPr>
                <w:rFonts w:hint="eastAsia"/>
                <w:sz w:val="24"/>
                <w:szCs w:val="24"/>
                <w:lang w:val="en-US" w:eastAsia="zh-CN"/>
              </w:rPr>
              <w:t>2</w:t>
            </w:r>
            <w:r>
              <w:rPr>
                <w:rFonts w:hint="eastAsia"/>
                <w:sz w:val="24"/>
                <w:szCs w:val="24"/>
                <w:lang w:val="zh-CN"/>
              </w:rPr>
              <w:t>）</w:t>
            </w:r>
            <w:r>
              <w:rPr>
                <w:sz w:val="24"/>
                <w:szCs w:val="24"/>
                <w:lang w:val="zh-CN"/>
              </w:rPr>
              <w:t>生活污水进入</w:t>
            </w:r>
            <w:r>
              <w:rPr>
                <w:rFonts w:hint="eastAsia"/>
                <w:sz w:val="24"/>
                <w:szCs w:val="24"/>
                <w:lang w:val="zh-CN"/>
              </w:rPr>
              <w:t>园区</w:t>
            </w:r>
            <w:r>
              <w:rPr>
                <w:sz w:val="24"/>
                <w:szCs w:val="24"/>
                <w:lang w:val="zh-CN"/>
              </w:rPr>
              <w:t>污水处理厂处理，水污染物排放总量由区域性调控解决，不另行分配总量控制指标</w:t>
            </w:r>
            <w:r>
              <w:rPr>
                <w:rFonts w:hint="eastAsia"/>
                <w:sz w:val="24"/>
                <w:szCs w:val="24"/>
                <w:lang w:val="zh-CN"/>
              </w:rPr>
              <w:t>。</w:t>
            </w:r>
          </w:p>
          <w:p>
            <w:pPr>
              <w:spacing w:line="360" w:lineRule="auto"/>
              <w:ind w:firstLine="480" w:firstLineChars="200"/>
              <w:rPr>
                <w:sz w:val="24"/>
                <w:szCs w:val="24"/>
              </w:rPr>
            </w:pPr>
          </w:p>
          <w:p>
            <w:pPr>
              <w:adjustRightInd w:val="0"/>
              <w:snapToGrid w:val="0"/>
              <w:spacing w:line="360" w:lineRule="auto"/>
              <w:jc w:val="left"/>
              <w:rPr>
                <w:rFonts w:hint="eastAsia"/>
                <w:kern w:val="0"/>
                <w:szCs w:val="21"/>
              </w:rPr>
            </w:pPr>
          </w:p>
          <w:p>
            <w:pPr>
              <w:adjustRightInd w:val="0"/>
              <w:snapToGrid w:val="0"/>
              <w:spacing w:line="360" w:lineRule="auto"/>
              <w:jc w:val="left"/>
              <w:rPr>
                <w:rFonts w:hint="eastAsia"/>
                <w:kern w:val="0"/>
                <w:szCs w:val="21"/>
              </w:rPr>
            </w:pPr>
          </w:p>
          <w:p>
            <w:pPr>
              <w:adjustRightInd w:val="0"/>
              <w:snapToGrid w:val="0"/>
              <w:spacing w:line="360" w:lineRule="auto"/>
              <w:jc w:val="left"/>
              <w:rPr>
                <w:rFonts w:hint="eastAsia"/>
                <w:kern w:val="0"/>
                <w:szCs w:val="21"/>
              </w:rPr>
            </w:pPr>
          </w:p>
          <w:p>
            <w:pPr>
              <w:adjustRightInd w:val="0"/>
              <w:snapToGrid w:val="0"/>
              <w:spacing w:line="360" w:lineRule="auto"/>
              <w:jc w:val="left"/>
              <w:rPr>
                <w:rFonts w:hint="eastAsia"/>
                <w:kern w:val="0"/>
                <w:szCs w:val="21"/>
              </w:rPr>
            </w:pPr>
          </w:p>
          <w:p>
            <w:pPr>
              <w:adjustRightInd w:val="0"/>
              <w:snapToGrid w:val="0"/>
              <w:spacing w:line="360" w:lineRule="auto"/>
              <w:jc w:val="left"/>
              <w:rPr>
                <w:rFonts w:hint="eastAsia"/>
                <w:kern w:val="0"/>
                <w:szCs w:val="21"/>
              </w:rPr>
            </w:pPr>
          </w:p>
          <w:p>
            <w:pPr>
              <w:adjustRightInd w:val="0"/>
              <w:snapToGrid w:val="0"/>
              <w:spacing w:line="360" w:lineRule="auto"/>
              <w:jc w:val="left"/>
              <w:rPr>
                <w:rFonts w:hint="eastAsia"/>
                <w:kern w:val="0"/>
                <w:szCs w:val="21"/>
              </w:rPr>
            </w:pPr>
          </w:p>
          <w:p>
            <w:pPr>
              <w:adjustRightInd w:val="0"/>
              <w:snapToGrid w:val="0"/>
              <w:spacing w:line="360" w:lineRule="auto"/>
              <w:jc w:val="left"/>
              <w:rPr>
                <w:kern w:val="0"/>
                <w:szCs w:val="21"/>
              </w:rPr>
            </w:pPr>
          </w:p>
        </w:tc>
      </w:tr>
    </w:tbl>
    <w:p>
      <w:pPr>
        <w:pStyle w:val="13"/>
        <w:keepNext w:val="0"/>
        <w:keepLines w:val="0"/>
        <w:pageBreakBefore w:val="0"/>
        <w:widowControl/>
        <w:kinsoku/>
        <w:wordWrap/>
        <w:overflowPunct/>
        <w:topLinePunct w:val="0"/>
        <w:autoSpaceDE/>
        <w:autoSpaceDN/>
        <w:bidi w:val="0"/>
        <w:adjustRightInd/>
        <w:snapToGrid/>
        <w:spacing w:before="0" w:beforeAutospacing="0" w:after="157" w:afterLines="50" w:afterAutospacing="0"/>
        <w:jc w:val="center"/>
        <w:textAlignment w:val="auto"/>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6" w:name="_Toc78811930"/>
      <w:r>
        <w:rPr>
          <w:rFonts w:ascii="Times New Roman" w:hAnsi="黑体" w:eastAsia="黑体"/>
          <w:snapToGrid w:val="0"/>
          <w:sz w:val="30"/>
          <w:szCs w:val="30"/>
        </w:rPr>
        <w:t>四、主要环境影响和保护措施</w:t>
      </w:r>
      <w:bookmarkEnd w:id="6"/>
    </w:p>
    <w:tbl>
      <w:tblPr>
        <w:tblStyle w:val="1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72"/>
        <w:gridCol w:w="87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272" w:type="dxa"/>
            <w:noWrap w:val="0"/>
            <w:tcMar>
              <w:left w:w="28" w:type="dxa"/>
              <w:right w:w="28" w:type="dxa"/>
            </w:tcMar>
            <w:vAlign w:val="center"/>
          </w:tcPr>
          <w:p>
            <w:pPr>
              <w:pStyle w:val="13"/>
              <w:adjustRightInd w:val="0"/>
              <w:snapToGrid w:val="0"/>
              <w:spacing w:before="0" w:beforeAutospacing="0" w:after="0" w:afterAutospacing="0"/>
              <w:jc w:val="center"/>
              <w:rPr>
                <w:rFonts w:ascii="Times New Roman" w:hAnsi="Times New Roman"/>
                <w:kern w:val="2"/>
                <w:sz w:val="21"/>
                <w:szCs w:val="21"/>
                <w:lang w:val="en-US" w:eastAsia="zh-CN"/>
              </w:rPr>
            </w:pPr>
            <w:r>
              <w:rPr>
                <w:rFonts w:ascii="Times New Roman"/>
                <w:kern w:val="2"/>
                <w:sz w:val="21"/>
                <w:szCs w:val="21"/>
                <w:lang w:val="en-US" w:eastAsia="zh-CN"/>
              </w:rPr>
              <w:t>施工</w:t>
            </w:r>
          </w:p>
          <w:p>
            <w:pPr>
              <w:pStyle w:val="13"/>
              <w:adjustRightInd w:val="0"/>
              <w:snapToGrid w:val="0"/>
              <w:spacing w:before="0" w:beforeAutospacing="0" w:after="0" w:afterAutospacing="0"/>
              <w:jc w:val="center"/>
              <w:rPr>
                <w:rFonts w:ascii="Times New Roman" w:hAnsi="Times New Roman"/>
                <w:kern w:val="2"/>
                <w:sz w:val="21"/>
                <w:szCs w:val="21"/>
                <w:lang w:val="en-US" w:eastAsia="zh-CN"/>
              </w:rPr>
            </w:pPr>
            <w:r>
              <w:rPr>
                <w:rFonts w:ascii="Times New Roman"/>
                <w:kern w:val="2"/>
                <w:sz w:val="21"/>
                <w:szCs w:val="21"/>
                <w:lang w:val="en-US" w:eastAsia="zh-CN"/>
              </w:rPr>
              <w:t>期环</w:t>
            </w:r>
          </w:p>
          <w:p>
            <w:pPr>
              <w:pStyle w:val="13"/>
              <w:adjustRightInd w:val="0"/>
              <w:snapToGrid w:val="0"/>
              <w:spacing w:before="0" w:beforeAutospacing="0" w:after="0" w:afterAutospacing="0"/>
              <w:jc w:val="center"/>
              <w:rPr>
                <w:rFonts w:ascii="Times New Roman" w:hAnsi="Times New Roman"/>
                <w:kern w:val="2"/>
                <w:sz w:val="21"/>
                <w:szCs w:val="21"/>
                <w:lang w:val="en-US" w:eastAsia="zh-CN"/>
              </w:rPr>
            </w:pPr>
            <w:r>
              <w:rPr>
                <w:rFonts w:ascii="Times New Roman"/>
                <w:kern w:val="2"/>
                <w:sz w:val="21"/>
                <w:szCs w:val="21"/>
                <w:lang w:val="en-US" w:eastAsia="zh-CN"/>
              </w:rPr>
              <w:t>境保</w:t>
            </w:r>
          </w:p>
          <w:p>
            <w:pPr>
              <w:pStyle w:val="13"/>
              <w:adjustRightInd w:val="0"/>
              <w:snapToGrid w:val="0"/>
              <w:spacing w:before="0" w:beforeAutospacing="0" w:after="0" w:afterAutospacing="0"/>
              <w:jc w:val="center"/>
              <w:rPr>
                <w:rFonts w:ascii="Times New Roman" w:hAnsi="Times New Roman"/>
                <w:kern w:val="2"/>
                <w:sz w:val="21"/>
                <w:szCs w:val="21"/>
                <w:lang w:val="en-US" w:eastAsia="zh-CN"/>
              </w:rPr>
            </w:pPr>
            <w:r>
              <w:rPr>
                <w:rFonts w:ascii="Times New Roman"/>
                <w:kern w:val="2"/>
                <w:sz w:val="21"/>
                <w:szCs w:val="21"/>
                <w:lang w:val="en-US" w:eastAsia="zh-CN"/>
              </w:rPr>
              <w:t>护措</w:t>
            </w:r>
          </w:p>
          <w:p>
            <w:pPr>
              <w:pStyle w:val="13"/>
              <w:adjustRightInd w:val="0"/>
              <w:snapToGrid w:val="0"/>
              <w:spacing w:before="0" w:beforeAutospacing="0" w:after="0" w:afterAutospacing="0"/>
              <w:jc w:val="center"/>
              <w:rPr>
                <w:rFonts w:ascii="Times New Roman" w:hAnsi="Times New Roman"/>
                <w:bCs/>
                <w:kern w:val="2"/>
                <w:sz w:val="21"/>
                <w:szCs w:val="21"/>
                <w:lang w:val="en-US" w:eastAsia="zh-CN"/>
              </w:rPr>
            </w:pPr>
            <w:r>
              <w:rPr>
                <w:rFonts w:ascii="Times New Roman"/>
                <w:kern w:val="2"/>
                <w:sz w:val="21"/>
                <w:szCs w:val="21"/>
                <w:lang w:val="en-US" w:eastAsia="zh-CN"/>
              </w:rPr>
              <w:t>施</w:t>
            </w:r>
          </w:p>
        </w:tc>
        <w:tc>
          <w:tcPr>
            <w:tcW w:w="87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pacing w:val="-10"/>
                <w:sz w:val="24"/>
                <w:szCs w:val="24"/>
                <w:u w:val="none" w:color="auto"/>
              </w:rPr>
            </w:pPr>
            <w:r>
              <w:rPr>
                <w:rFonts w:hint="eastAsia"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lang w:val="en-US" w:eastAsia="zh-CN"/>
              </w:rPr>
              <w:t>施工期大气保护措施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bidi="ar"/>
              </w:rPr>
              <w:t>1.1施工</w:t>
            </w:r>
            <w:r>
              <w:rPr>
                <w:rFonts w:hint="default" w:ascii="Times New Roman" w:hAnsi="Times New Roman" w:eastAsia="宋体" w:cs="Times New Roman"/>
                <w:b/>
                <w:color w:val="auto"/>
                <w:sz w:val="24"/>
                <w:szCs w:val="24"/>
                <w:lang w:bidi="ar"/>
              </w:rPr>
              <w:t>扬尘</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施工扬尘是施工期的主要大气污染源，主要</w:t>
            </w:r>
            <w:r>
              <w:rPr>
                <w:rFonts w:hint="default" w:ascii="Times New Roman" w:hAnsi="Times New Roman" w:eastAsia="宋体" w:cs="Times New Roman"/>
                <w:color w:val="auto"/>
                <w:sz w:val="24"/>
                <w:szCs w:val="24"/>
                <w:lang w:eastAsia="zh-CN" w:bidi="ar"/>
              </w:rPr>
              <w:t>来源于</w:t>
            </w:r>
            <w:r>
              <w:rPr>
                <w:rFonts w:hint="default" w:ascii="Times New Roman" w:hAnsi="Times New Roman" w:eastAsia="宋体" w:cs="Times New Roman"/>
                <w:color w:val="auto"/>
                <w:sz w:val="24"/>
                <w:szCs w:val="24"/>
                <w:lang w:bidi="ar"/>
              </w:rPr>
              <w:t>场地平整、结构施工、装修、绿化施工以及施工车辆行驶于场地及道路路面而扬起的灰土、渣土车装卸时的扬尘、泥土地面风吹扬尘等</w:t>
            </w:r>
            <w:r>
              <w:rPr>
                <w:rFonts w:hint="default" w:ascii="Times New Roman" w:hAnsi="Times New Roman" w:eastAsia="宋体" w:cs="Times New Roman"/>
                <w:color w:val="auto"/>
                <w:sz w:val="24"/>
                <w:szCs w:val="24"/>
                <w:lang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bidi="ar"/>
              </w:rPr>
              <w:t>减轻粉尘和扬尘污染程度和影响范围的主要对策有</w:t>
            </w:r>
            <w:r>
              <w:rPr>
                <w:rFonts w:hint="default" w:ascii="Times New Roman" w:hAnsi="Times New Roman" w:eastAsia="宋体" w:cs="Times New Roman"/>
                <w:b/>
                <w:bCs/>
                <w:color w:val="auto"/>
                <w:sz w:val="24"/>
                <w:szCs w:val="24"/>
                <w:lang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u w:val="none" w:color="auto"/>
                <w:lang w:val="en-US" w:eastAsia="zh-CN" w:bidi="ar"/>
              </w:rPr>
              <w:t>根据怀化市最新发布的《怀化市扬尘污染防治条例》（怀化市人民代表大会常务委员会公告第25号，2021年3月1日起施行）文件精神，项目施工期应满足</w:t>
            </w:r>
            <w:r>
              <w:rPr>
                <w:rFonts w:hint="eastAsia" w:ascii="Times New Roman" w:hAnsi="Times New Roman" w:eastAsia="宋体" w:cs="Times New Roman"/>
                <w:color w:val="auto"/>
                <w:sz w:val="24"/>
                <w:szCs w:val="24"/>
                <w:u w:val="none" w:color="auto"/>
                <w:lang w:val="en-US"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施工工地周围按照规范要求设置硬质围挡</w:t>
            </w:r>
            <w:r>
              <w:rPr>
                <w:rFonts w:hint="eastAsia" w:ascii="Times New Roman" w:hAnsi="Times New Roman" w:eastAsia="宋体" w:cs="Times New Roman"/>
                <w:color w:val="auto"/>
                <w:sz w:val="24"/>
                <w:szCs w:val="24"/>
                <w:lang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施工工地出入口、内部主要道路、加工区和物料堆放场地硬化并辅以喷淋、洒水等有效措施</w:t>
            </w:r>
            <w:r>
              <w:rPr>
                <w:rFonts w:hint="eastAsia" w:ascii="Times New Roman" w:hAnsi="Times New Roman" w:eastAsia="宋体" w:cs="Times New Roman"/>
                <w:color w:val="auto"/>
                <w:sz w:val="24"/>
                <w:szCs w:val="24"/>
                <w:lang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有施工车辆出入的施工工地出口内侧建设冲洗平台，安装车辆冲洗设备，车辆冲洗干净后方可驶出，确实不具备建设冲洗平台设施条件的，采取其他有效措施防止运输车辆造成扬尘污染</w:t>
            </w:r>
            <w:r>
              <w:rPr>
                <w:rFonts w:hint="eastAsia" w:ascii="Times New Roman" w:hAnsi="Times New Roman" w:eastAsia="宋体" w:cs="Times New Roman"/>
                <w:color w:val="auto"/>
                <w:sz w:val="24"/>
                <w:szCs w:val="24"/>
                <w:lang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施工工地内的裸露地面绿化或者覆盖密闭式防尘网（布）</w:t>
            </w:r>
            <w:r>
              <w:rPr>
                <w:rFonts w:hint="eastAsia" w:ascii="Times New Roman" w:hAnsi="Times New Roman" w:eastAsia="宋体" w:cs="Times New Roman"/>
                <w:color w:val="auto"/>
                <w:sz w:val="24"/>
                <w:szCs w:val="24"/>
                <w:lang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微软雅黑" w:cs="Times New Roman"/>
                <w:color w:val="auto"/>
                <w:sz w:val="24"/>
                <w:szCs w:val="24"/>
                <w:u w:val="none"/>
                <w:lang w:val="en-US" w:eastAsia="zh-CN" w:bidi="ar"/>
              </w:rPr>
            </w:pPr>
            <w:r>
              <w:rPr>
                <w:rFonts w:hint="default" w:ascii="Times New Roman" w:hAnsi="Times New Roman" w:eastAsia="宋体" w:cs="Times New Roman"/>
                <w:color w:val="auto"/>
                <w:sz w:val="24"/>
                <w:szCs w:val="24"/>
                <w:u w:val="none"/>
                <w:lang w:bidi="ar"/>
              </w:rPr>
              <w:t>施工过程中易产生扬尘环节实行湿法作业，但是按照规范要求不宜采取湿法作业的除外</w:t>
            </w:r>
            <w:r>
              <w:rPr>
                <w:rFonts w:hint="eastAsia" w:ascii="Times New Roman" w:hAnsi="Times New Roman" w:eastAsia="宋体" w:cs="Times New Roman"/>
                <w:color w:val="auto"/>
                <w:sz w:val="24"/>
                <w:szCs w:val="24"/>
                <w:u w:val="none"/>
                <w:lang w:eastAsia="zh-CN" w:bidi="ar"/>
              </w:rPr>
              <w:t>；</w:t>
            </w:r>
            <w:r>
              <w:rPr>
                <w:rFonts w:hint="default" w:ascii="Times New Roman" w:hAnsi="Times New Roman" w:eastAsia="宋体" w:cs="Times New Roman"/>
                <w:color w:val="auto"/>
                <w:sz w:val="24"/>
                <w:szCs w:val="24"/>
                <w:u w:val="none"/>
                <w:lang w:bidi="ar"/>
              </w:rPr>
              <w:t>施工工地周围按照规范要求设置硬质围挡</w:t>
            </w:r>
            <w:r>
              <w:rPr>
                <w:rFonts w:hint="eastAsia" w:ascii="Times New Roman" w:hAnsi="Times New Roman" w:eastAsia="宋体" w:cs="Times New Roman"/>
                <w:color w:val="auto"/>
                <w:sz w:val="24"/>
                <w:szCs w:val="24"/>
                <w:u w:val="none"/>
                <w:lang w:val="en-US"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施工工地作业产生泥浆的，设置泥浆池、泥浆沟，确保泥浆不溢流</w:t>
            </w:r>
            <w:r>
              <w:rPr>
                <w:rFonts w:hint="eastAsia" w:ascii="Times New Roman" w:hAnsi="Times New Roman" w:eastAsia="宋体" w:cs="Times New Roman"/>
                <w:color w:val="auto"/>
                <w:sz w:val="24"/>
                <w:szCs w:val="24"/>
                <w:u w:val="none"/>
                <w:lang w:eastAsia="zh-CN" w:bidi="ar"/>
              </w:rPr>
              <w:t>；</w:t>
            </w:r>
            <w:r>
              <w:rPr>
                <w:rFonts w:hint="default" w:ascii="Times New Roman" w:hAnsi="Times New Roman" w:eastAsia="宋体" w:cs="Times New Roman"/>
                <w:color w:val="auto"/>
                <w:sz w:val="24"/>
                <w:szCs w:val="24"/>
                <w:u w:val="none"/>
                <w:lang w:bidi="ar"/>
              </w:rPr>
              <w:t>易产生扬尘污染的材料采取有效覆盖措施，粉末状材料密封存放</w:t>
            </w:r>
            <w:r>
              <w:rPr>
                <w:rFonts w:hint="eastAsia" w:ascii="Times New Roman" w:hAnsi="Times New Roman" w:eastAsia="宋体" w:cs="Times New Roman"/>
                <w:color w:val="auto"/>
                <w:sz w:val="24"/>
                <w:szCs w:val="24"/>
                <w:u w:val="none"/>
                <w:lang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施工场地出口应设置洗车平台、沉淀池，运输车辆必须在除泥、冲洗干净后，方可出场。</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lang w:val="en-US" w:eastAsia="zh-CN" w:bidi="ar"/>
              </w:rPr>
            </w:pPr>
            <w:r>
              <w:rPr>
                <w:rFonts w:hint="default" w:ascii="Times New Roman" w:hAnsi="Times New Roman" w:eastAsia="宋体" w:cs="Times New Roman"/>
                <w:color w:val="auto"/>
                <w:sz w:val="24"/>
                <w:szCs w:val="24"/>
                <w:u w:val="none"/>
                <w:lang w:bidi="ar"/>
              </w:rPr>
              <w:t>施工现场运送土方、渣土、水泥和其他易飞扬的细颗粒建筑材料的车辆必须封闭或遮盖严密，严禁使用未按规定办理相关手续的渣土等运输车辆，严禁沿路遗撒和随意倾倒。</w:t>
            </w:r>
            <w:r>
              <w:rPr>
                <w:rFonts w:hint="default" w:ascii="Times New Roman" w:hAnsi="Times New Roman" w:eastAsia="宋体" w:cs="Times New Roman"/>
                <w:color w:val="auto"/>
                <w:sz w:val="24"/>
                <w:szCs w:val="24"/>
                <w:u w:val="none"/>
                <w:lang w:val="en-US" w:eastAsia="zh-CN" w:bidi="ar"/>
              </w:rPr>
              <w:t>建筑垃圾、工程渣土在二十四小时内清运，不能及时清运的，采取覆盖密闭式防尘网（布）等措施。</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lang w:val="en-US" w:eastAsia="zh-CN" w:bidi="ar"/>
              </w:rPr>
            </w:pPr>
            <w:r>
              <w:rPr>
                <w:rFonts w:hint="default" w:ascii="Times New Roman" w:hAnsi="Times New Roman" w:eastAsia="宋体" w:cs="Times New Roman"/>
                <w:color w:val="auto"/>
                <w:sz w:val="24"/>
                <w:szCs w:val="24"/>
                <w:u w:val="none"/>
                <w:lang w:val="en-US" w:eastAsia="zh-CN" w:bidi="ar"/>
              </w:rPr>
              <w:t>运输垃圾、渣土、土方、灰浆、泥浆、商品混凝土、预拌砂浆采用全密闭化车辆，保证车厢密闭完整，运输煤炭、砂石等其他散装物料的车辆采取覆盖等防止物料遗撒的措施，运输途中不得泄漏、撒落</w:t>
            </w:r>
            <w:r>
              <w:rPr>
                <w:rFonts w:hint="eastAsia" w:ascii="Times New Roman" w:hAnsi="Times New Roman" w:eastAsia="宋体" w:cs="Times New Roman"/>
                <w:color w:val="auto"/>
                <w:sz w:val="24"/>
                <w:szCs w:val="24"/>
                <w:u w:val="none"/>
                <w:lang w:val="en-US" w:eastAsia="zh-CN" w:bidi="ar"/>
              </w:rPr>
              <w:t>。</w:t>
            </w:r>
          </w:p>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val="en-US" w:eastAsia="zh-CN" w:bidi="ar"/>
              </w:rPr>
              <w:t>运输车辆在除泥、冲洗干净后方可驶出装卸场所；运输车辆倾倒物料后，继续采取覆盖或者密闭等措施，行驶途中不得泄漏、撒落。散装物料需要在城镇公共场所装卸作业的，应当装袋运输和装卸，不得泄漏、撒落</w:t>
            </w:r>
            <w:r>
              <w:rPr>
                <w:rFonts w:hint="eastAsia" w:ascii="Times New Roman" w:hAnsi="Times New Roman" w:eastAsia="宋体" w:cs="Times New Roman"/>
                <w:color w:val="auto"/>
                <w:sz w:val="24"/>
                <w:szCs w:val="24"/>
                <w:u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lang w:bidi="ar"/>
              </w:rPr>
            </w:pPr>
            <w:r>
              <w:rPr>
                <w:rFonts w:hint="default" w:ascii="Times New Roman" w:hAnsi="Times New Roman" w:eastAsia="宋体" w:cs="Times New Roman"/>
                <w:color w:val="auto"/>
                <w:sz w:val="24"/>
                <w:szCs w:val="24"/>
                <w:u w:val="none"/>
                <w:lang w:bidi="ar"/>
              </w:rPr>
              <w:t>在采取上述措施后施工期扬尘对周围环境影响有限。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lang w:val="en-US" w:eastAsia="zh-CN"/>
              </w:rPr>
              <w:t>施工期废水环境影响和保护措施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施工过程中产生的废水主要有施工废水、施工人员生活污水。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bidi="ar"/>
              </w:rPr>
              <w:t>2.</w:t>
            </w:r>
            <w:r>
              <w:rPr>
                <w:rFonts w:hint="default" w:ascii="Times New Roman" w:hAnsi="Times New Roman" w:eastAsia="宋体" w:cs="Times New Roman"/>
                <w:b/>
                <w:bCs/>
                <w:color w:val="auto"/>
                <w:sz w:val="24"/>
                <w:szCs w:val="24"/>
                <w:lang w:bidi="ar"/>
              </w:rPr>
              <w:t>1、施工废水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施工废水主要包括土地平整及基础施工阶段的泥浆废水和车辆冲洗废水。施工废水主要污染物有石油类、SS，含量分别为25mg/L、2000mg/L。施工废水随意排放会影响地表水环境，必须妥善处置。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bidi="ar"/>
              </w:rPr>
              <w:t>2.</w:t>
            </w:r>
            <w:r>
              <w:rPr>
                <w:rFonts w:hint="default" w:ascii="Times New Roman" w:hAnsi="Times New Roman" w:eastAsia="宋体" w:cs="Times New Roman"/>
                <w:b/>
                <w:bCs/>
                <w:color w:val="auto"/>
                <w:sz w:val="24"/>
                <w:szCs w:val="24"/>
                <w:lang w:bidi="ar"/>
              </w:rPr>
              <w:t>2、生活污水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工程施工单位应为建筑工人创造一定的文明生活、工作条件，同时注意建筑工地的环境保护。施工人员为当地工人，不在施工场地居住、用餐，生活污水产生量很少，主要为粪便污水。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eastAsia="zh-CN" w:bidi="ar"/>
              </w:rPr>
            </w:pPr>
            <w:r>
              <w:rPr>
                <w:rFonts w:hint="default" w:ascii="Times New Roman" w:hAnsi="Times New Roman" w:eastAsia="宋体" w:cs="Times New Roman"/>
                <w:b/>
                <w:bCs/>
                <w:color w:val="auto"/>
                <w:sz w:val="24"/>
                <w:szCs w:val="24"/>
                <w:lang w:eastAsia="zh-CN" w:bidi="ar"/>
              </w:rPr>
              <w:t>主要保护措施：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1</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项目施工期</w:t>
            </w:r>
            <w:r>
              <w:rPr>
                <w:rFonts w:hint="eastAsia" w:ascii="Times New Roman" w:hAnsi="Times New Roman" w:eastAsia="宋体" w:cs="Times New Roman"/>
                <w:color w:val="auto"/>
                <w:sz w:val="24"/>
                <w:szCs w:val="24"/>
                <w:lang w:eastAsia="zh-CN" w:bidi="ar"/>
              </w:rPr>
              <w:t>生活</w:t>
            </w:r>
            <w:r>
              <w:rPr>
                <w:rFonts w:hint="default" w:ascii="Times New Roman" w:hAnsi="Times New Roman" w:eastAsia="宋体" w:cs="Times New Roman"/>
                <w:color w:val="auto"/>
                <w:sz w:val="24"/>
                <w:szCs w:val="24"/>
                <w:lang w:bidi="ar"/>
              </w:rPr>
              <w:t>废水依托</w:t>
            </w:r>
            <w:r>
              <w:rPr>
                <w:rFonts w:hint="eastAsia" w:ascii="Times New Roman" w:hAnsi="Times New Roman" w:eastAsia="宋体" w:cs="Times New Roman"/>
                <w:color w:val="auto"/>
                <w:sz w:val="24"/>
                <w:szCs w:val="24"/>
                <w:lang w:eastAsia="zh-CN" w:bidi="ar"/>
              </w:rPr>
              <w:t>园区</w:t>
            </w:r>
            <w:r>
              <w:rPr>
                <w:rFonts w:hint="default" w:ascii="Times New Roman" w:hAnsi="Times New Roman" w:eastAsia="宋体" w:cs="Times New Roman"/>
                <w:color w:val="auto"/>
                <w:sz w:val="24"/>
                <w:szCs w:val="24"/>
                <w:lang w:bidi="ar"/>
              </w:rPr>
              <w:t>污水处理措施收集，收集后</w:t>
            </w:r>
            <w:r>
              <w:rPr>
                <w:rFonts w:hint="eastAsia" w:ascii="Times New Roman" w:hAnsi="Times New Roman" w:eastAsia="宋体" w:cs="Times New Roman"/>
                <w:color w:val="auto"/>
                <w:sz w:val="24"/>
                <w:szCs w:val="24"/>
                <w:lang w:eastAsia="zh-CN" w:bidi="ar"/>
              </w:rPr>
              <w:t>进入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eastAsia" w:ascii="Times New Roman" w:hAnsi="Times New Roman" w:eastAsia="宋体" w:cs="Times New Roman"/>
                <w:color w:val="auto"/>
                <w:sz w:val="24"/>
                <w:szCs w:val="24"/>
                <w:lang w:eastAsia="zh-CN" w:bidi="ar"/>
              </w:rPr>
              <w:t>处理达标后排放</w:t>
            </w:r>
            <w:r>
              <w:rPr>
                <w:rFonts w:hint="default" w:ascii="Times New Roman" w:hAnsi="Times New Roman" w:eastAsia="宋体" w:cs="Times New Roman"/>
                <w:color w:val="auto"/>
                <w:sz w:val="24"/>
                <w:szCs w:val="24"/>
                <w:lang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2</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环评要求工程施工应设置完善的配套排水系统，施工废水经隔油沉淀处理，沉淀时间不少于2小时，可循环用作冲洗或场地抑尘洒水；出施工场地的运输车辆经过冲洗后方可上路，冲洗废水经过沉淀处理后回用作为洗车水。</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3</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建筑材料、渣土堆放应加盖防雨布，减少雨水冲刷量，施工期生产废水，基挖掘时的地下水和浇筑砼和车辆冲洗水、建筑材料堆放、渣土堆放被雨水冲刷产生的污水经隔油沉砂池预处理后回用于施工场地洒水等，不外排。</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bidi="ar"/>
              </w:rPr>
              <w:t>经采取上述有效措施后施工期污水对周围水环境的影响较小</w:t>
            </w:r>
            <w:r>
              <w:rPr>
                <w:rFonts w:hint="default" w:ascii="Times New Roman" w:hAnsi="Times New Roman" w:eastAsia="宋体" w:cs="Times New Roman"/>
                <w:color w:val="auto"/>
                <w:sz w:val="24"/>
                <w:szCs w:val="24"/>
                <w:lang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施工期噪声保护措施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b/>
                <w:bCs/>
                <w:color w:val="auto"/>
                <w:sz w:val="24"/>
                <w:szCs w:val="24"/>
                <w:lang w:val="en-US" w:eastAsia="zh-CN" w:bidi="ar"/>
              </w:rPr>
              <w:t>3.1</w:t>
            </w:r>
            <w:r>
              <w:rPr>
                <w:rFonts w:hint="default" w:ascii="Times New Roman" w:hAnsi="Times New Roman" w:eastAsia="宋体" w:cs="Times New Roman"/>
                <w:b/>
                <w:bCs/>
                <w:color w:val="auto"/>
                <w:sz w:val="24"/>
                <w:szCs w:val="24"/>
                <w:lang w:bidi="ar"/>
              </w:rPr>
              <w:t>施工期噪声源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 w:val="24"/>
                <w:szCs w:val="24"/>
                <w:u w:val="none"/>
                <w:lang w:val="en-US" w:eastAsia="zh-CN"/>
              </w:rPr>
            </w:pPr>
            <w:r>
              <w:rPr>
                <w:rFonts w:hint="default" w:ascii="Times New Roman" w:hAnsi="Times New Roman" w:eastAsia="宋体" w:cs="Times New Roman"/>
                <w:color w:val="auto"/>
                <w:sz w:val="24"/>
                <w:szCs w:val="24"/>
                <w:lang w:bidi="ar"/>
              </w:rPr>
              <w:t>施工噪声主要为各种作业机械和运输车辆施工产生的噪声，施工作业及运输噪声可能会对沿线居民生活产生一定影响。</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3.2噪声防治措施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lang w:bidi="ar"/>
              </w:rPr>
              <w:t>为减轻施工</w:t>
            </w:r>
            <w:r>
              <w:rPr>
                <w:rFonts w:hint="default" w:ascii="Times New Roman" w:hAnsi="Times New Roman" w:eastAsia="宋体" w:cs="Times New Roman"/>
                <w:color w:val="auto"/>
                <w:sz w:val="24"/>
                <w:szCs w:val="24"/>
                <w:u w:val="none"/>
                <w:lang w:bidi="ar"/>
              </w:rPr>
              <w:t>期对周围环境的影响，施工单位应严格遵守《中华人民共和国环境噪声污染防治法》</w:t>
            </w:r>
            <w:r>
              <w:rPr>
                <w:rFonts w:hint="eastAsia" w:ascii="Times New Roman" w:hAnsi="Times New Roman" w:eastAsia="宋体" w:cs="Times New Roman"/>
                <w:color w:val="auto"/>
                <w:sz w:val="24"/>
                <w:szCs w:val="24"/>
                <w:u w:val="none"/>
                <w:lang w:eastAsia="zh-CN" w:bidi="ar"/>
              </w:rPr>
              <w:t>（</w:t>
            </w:r>
            <w:r>
              <w:rPr>
                <w:rFonts w:hint="eastAsia" w:ascii="Times New Roman" w:hAnsi="Times New Roman" w:eastAsia="宋体" w:cs="Times New Roman"/>
                <w:color w:val="auto"/>
                <w:sz w:val="24"/>
                <w:szCs w:val="24"/>
                <w:u w:val="none"/>
                <w:lang w:val="en-US" w:eastAsia="zh-CN" w:bidi="ar"/>
              </w:rPr>
              <w:t>2018年12月29日修正</w:t>
            </w:r>
            <w:r>
              <w:rPr>
                <w:rFonts w:hint="eastAsia" w:ascii="Times New Roman" w:hAnsi="Times New Roman" w:eastAsia="宋体" w:cs="Times New Roman"/>
                <w:color w:val="auto"/>
                <w:sz w:val="24"/>
                <w:szCs w:val="24"/>
                <w:u w:val="none"/>
                <w:lang w:eastAsia="zh-CN" w:bidi="ar"/>
              </w:rPr>
              <w:t>）</w:t>
            </w:r>
            <w:r>
              <w:rPr>
                <w:rFonts w:hint="default" w:ascii="Times New Roman" w:hAnsi="Times New Roman" w:eastAsia="宋体" w:cs="Times New Roman"/>
                <w:color w:val="auto"/>
                <w:sz w:val="24"/>
                <w:szCs w:val="24"/>
                <w:u w:val="none"/>
                <w:lang w:bidi="ar"/>
              </w:rPr>
              <w:t xml:space="preserve">中关于建筑施工噪声污染防治的有关规定和《建筑施工场界环境噪声排放标准》（GB12523-2011）的要求，建设单位合理安排施工计划并采取较严格的施工管理措施，应做到：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rPr>
            </w:pPr>
            <w:r>
              <w:rPr>
                <w:rFonts w:hint="default" w:ascii="Times New Roman" w:hAnsi="Times New Roman" w:eastAsia="宋体" w:cs="Times New Roman"/>
                <w:color w:val="auto"/>
                <w:sz w:val="24"/>
                <w:szCs w:val="24"/>
                <w:u w:val="none"/>
                <w:lang w:bidi="ar"/>
              </w:rPr>
              <w:t>①</w:t>
            </w:r>
            <w:r>
              <w:rPr>
                <w:rFonts w:hint="eastAsia" w:ascii="Times New Roman" w:hAnsi="Times New Roman" w:eastAsia="宋体" w:cs="Times New Roman"/>
                <w:color w:val="auto"/>
                <w:sz w:val="24"/>
                <w:szCs w:val="24"/>
                <w:u w:val="none"/>
                <w:lang w:bidi="ar"/>
              </w:rPr>
              <w:t>建筑施工过程中使用机械设备，可能产生环境噪声污染的，施工单位必须在工程开工十五日以前向工程所在地县级以上地方人民政府生态环境主管部门申报该工程的项目名称、施工场所和期限、可能产生的环境噪声值以及所采取的环境噪声污染防治措施的情况</w:t>
            </w:r>
            <w:r>
              <w:rPr>
                <w:rFonts w:hint="default" w:ascii="Times New Roman" w:hAnsi="Times New Roman" w:eastAsia="宋体" w:cs="Times New Roman"/>
                <w:color w:val="auto"/>
                <w:sz w:val="24"/>
                <w:szCs w:val="24"/>
                <w:u w:val="none"/>
                <w:lang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②施工单位要在施工准备时有施工组织设计，施工现场要制定环境保护措施，使各项作业有组织、有计划地进行，尽可能避免高噪声设备同时运作。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③从声源上控制，应要求建设单位使用的主要机械设备为低噪声机械设备，譬如：选液压机械取代燃油机械；同时在施工过程中施工单位应设专人对设备进行定期保养和维护，并负责对现场工作人员进行培训，严格按操作规范使用各类机械，避免多台机械同时施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bidi="ar"/>
              </w:rPr>
              <w:fldChar w:fldCharType="begin"/>
            </w:r>
            <w:r>
              <w:rPr>
                <w:rFonts w:hint="default" w:ascii="Times New Roman" w:hAnsi="Times New Roman" w:eastAsia="宋体" w:cs="Times New Roman"/>
                <w:color w:val="auto"/>
                <w:sz w:val="24"/>
                <w:szCs w:val="24"/>
                <w:lang w:bidi="ar"/>
              </w:rPr>
              <w:instrText xml:space="preserve"> = 4 \* GB3 </w:instrText>
            </w:r>
            <w:r>
              <w:rPr>
                <w:rFonts w:hint="default" w:ascii="Times New Roman" w:hAnsi="Times New Roman" w:eastAsia="宋体" w:cs="Times New Roman"/>
                <w:color w:val="auto"/>
                <w:sz w:val="24"/>
                <w:szCs w:val="24"/>
                <w:lang w:bidi="ar"/>
              </w:rPr>
              <w:fldChar w:fldCharType="separate"/>
            </w:r>
            <w:r>
              <w:rPr>
                <w:rFonts w:hint="default" w:ascii="Times New Roman" w:hAnsi="Times New Roman" w:eastAsia="宋体" w:cs="Times New Roman"/>
                <w:color w:val="auto"/>
                <w:sz w:val="24"/>
                <w:szCs w:val="24"/>
                <w:lang w:bidi="ar"/>
              </w:rPr>
              <w:t>④</w:t>
            </w:r>
            <w:r>
              <w:rPr>
                <w:rFonts w:hint="default" w:ascii="Times New Roman" w:hAnsi="Times New Roman" w:eastAsia="宋体" w:cs="Times New Roman"/>
                <w:color w:val="auto"/>
                <w:sz w:val="24"/>
                <w:szCs w:val="24"/>
                <w:lang w:bidi="ar"/>
              </w:rPr>
              <w:fldChar w:fldCharType="end"/>
            </w:r>
            <w:r>
              <w:rPr>
                <w:rFonts w:hint="default" w:ascii="Times New Roman" w:hAnsi="Times New Roman" w:eastAsia="宋体" w:cs="Times New Roman"/>
                <w:color w:val="auto"/>
                <w:sz w:val="24"/>
                <w:szCs w:val="24"/>
                <w:u w:val="none"/>
                <w:lang w:bidi="ar"/>
              </w:rPr>
              <w:t>合理安排施工时间，禁止夜间进行产生环境噪声污染的建筑施工作业，但抢修、抢险作业和因生产工艺上要求或者特殊需要必须连续作业的除外</w:t>
            </w:r>
            <w:r>
              <w:rPr>
                <w:rFonts w:hint="eastAsia" w:ascii="Times New Roman" w:hAnsi="Times New Roman" w:eastAsia="宋体" w:cs="Times New Roman"/>
                <w:color w:val="auto"/>
                <w:sz w:val="24"/>
                <w:szCs w:val="24"/>
                <w:u w:val="none"/>
                <w:lang w:eastAsia="zh-CN" w:bidi="ar"/>
              </w:rPr>
              <w:t>，</w:t>
            </w:r>
            <w:r>
              <w:rPr>
                <w:rFonts w:hint="default" w:ascii="Times New Roman" w:hAnsi="Times New Roman" w:eastAsia="宋体" w:cs="Times New Roman"/>
                <w:color w:val="auto"/>
                <w:sz w:val="24"/>
                <w:szCs w:val="24"/>
                <w:u w:val="none"/>
                <w:lang w:bidi="ar"/>
              </w:rPr>
              <w:t>施工噪声达到《建筑施工</w:t>
            </w:r>
            <w:r>
              <w:rPr>
                <w:rFonts w:hint="eastAsia" w:ascii="Times New Roman" w:hAnsi="Times New Roman" w:eastAsia="宋体" w:cs="Times New Roman"/>
                <w:color w:val="auto"/>
                <w:sz w:val="24"/>
                <w:szCs w:val="24"/>
                <w:u w:val="none"/>
                <w:lang w:eastAsia="zh-CN" w:bidi="ar"/>
              </w:rPr>
              <w:t>场</w:t>
            </w:r>
            <w:r>
              <w:rPr>
                <w:rFonts w:hint="default" w:ascii="Times New Roman" w:hAnsi="Times New Roman" w:eastAsia="宋体" w:cs="Times New Roman"/>
                <w:color w:val="auto"/>
                <w:sz w:val="24"/>
                <w:szCs w:val="24"/>
                <w:u w:val="none"/>
                <w:lang w:bidi="ar"/>
              </w:rPr>
              <w:t>界环境噪声排放标准》（GB12523-2011）规定的要求，尽可能减少噪声产生的影响</w:t>
            </w:r>
            <w:r>
              <w:rPr>
                <w:rFonts w:hint="eastAsia" w:ascii="Times New Roman" w:hAnsi="Times New Roman" w:eastAsia="宋体" w:cs="Times New Roman"/>
                <w:color w:val="auto"/>
                <w:sz w:val="24"/>
                <w:szCs w:val="24"/>
                <w:u w:val="none"/>
                <w:lang w:eastAsia="zh-CN"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fldChar w:fldCharType="begin"/>
            </w:r>
            <w:r>
              <w:rPr>
                <w:rFonts w:hint="default" w:ascii="Times New Roman" w:hAnsi="Times New Roman" w:eastAsia="宋体" w:cs="Times New Roman"/>
                <w:color w:val="auto"/>
                <w:sz w:val="24"/>
                <w:szCs w:val="24"/>
                <w:lang w:bidi="ar"/>
              </w:rPr>
              <w:instrText xml:space="preserve"> = 5 \* GB3 </w:instrText>
            </w:r>
            <w:r>
              <w:rPr>
                <w:rFonts w:hint="default" w:ascii="Times New Roman" w:hAnsi="Times New Roman" w:eastAsia="宋体" w:cs="Times New Roman"/>
                <w:color w:val="auto"/>
                <w:sz w:val="24"/>
                <w:szCs w:val="24"/>
                <w:lang w:bidi="ar"/>
              </w:rPr>
              <w:fldChar w:fldCharType="separate"/>
            </w:r>
            <w:r>
              <w:rPr>
                <w:rFonts w:hint="default" w:ascii="Times New Roman" w:hAnsi="Times New Roman" w:eastAsia="宋体" w:cs="Times New Roman"/>
                <w:color w:val="auto"/>
                <w:sz w:val="24"/>
                <w:szCs w:val="24"/>
                <w:lang w:bidi="ar"/>
              </w:rPr>
              <w:t>⑤</w:t>
            </w:r>
            <w:r>
              <w:rPr>
                <w:rFonts w:hint="default" w:ascii="Times New Roman" w:hAnsi="Times New Roman" w:eastAsia="宋体" w:cs="Times New Roman"/>
                <w:color w:val="auto"/>
                <w:sz w:val="24"/>
                <w:szCs w:val="24"/>
                <w:lang w:bidi="ar"/>
              </w:rPr>
              <w:fldChar w:fldCharType="end"/>
            </w:r>
            <w:r>
              <w:rPr>
                <w:rFonts w:hint="default" w:ascii="Times New Roman" w:hAnsi="Times New Roman" w:eastAsia="宋体" w:cs="Times New Roman"/>
                <w:color w:val="auto"/>
                <w:sz w:val="24"/>
                <w:szCs w:val="24"/>
                <w:lang w:bidi="ar"/>
              </w:rPr>
              <w:t>加强施工机械的维护管理工作，使设备正常平稳运转，避免设备非正常工况产生的高噪声污染；安排人工轮流进行机械操作，减少接触高噪声的时间；对在声源附近工作时间较长的工人，发放防声耳塞、头盔等，对工人进行自身保护。</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fldChar w:fldCharType="begin"/>
            </w:r>
            <w:r>
              <w:rPr>
                <w:rFonts w:hint="default" w:ascii="Times New Roman" w:hAnsi="Times New Roman" w:eastAsia="宋体" w:cs="Times New Roman"/>
                <w:color w:val="auto"/>
                <w:sz w:val="24"/>
                <w:szCs w:val="24"/>
                <w:lang w:bidi="ar"/>
              </w:rPr>
              <w:instrText xml:space="preserve"> = 6 \* GB3 </w:instrText>
            </w:r>
            <w:r>
              <w:rPr>
                <w:rFonts w:hint="default" w:ascii="Times New Roman" w:hAnsi="Times New Roman" w:eastAsia="宋体" w:cs="Times New Roman"/>
                <w:color w:val="auto"/>
                <w:sz w:val="24"/>
                <w:szCs w:val="24"/>
                <w:lang w:bidi="ar"/>
              </w:rPr>
              <w:fldChar w:fldCharType="separate"/>
            </w:r>
            <w:r>
              <w:rPr>
                <w:rFonts w:hint="default" w:ascii="Times New Roman" w:hAnsi="Times New Roman" w:eastAsia="宋体" w:cs="Times New Roman"/>
                <w:color w:val="auto"/>
                <w:sz w:val="24"/>
                <w:szCs w:val="24"/>
                <w:lang w:bidi="ar"/>
              </w:rPr>
              <w:t>⑥</w:t>
            </w:r>
            <w:r>
              <w:rPr>
                <w:rFonts w:hint="default" w:ascii="Times New Roman" w:hAnsi="Times New Roman" w:eastAsia="宋体" w:cs="Times New Roman"/>
                <w:color w:val="auto"/>
                <w:sz w:val="24"/>
                <w:szCs w:val="24"/>
                <w:lang w:bidi="ar"/>
              </w:rPr>
              <w:fldChar w:fldCharType="end"/>
            </w:r>
            <w:r>
              <w:rPr>
                <w:rFonts w:hint="default" w:ascii="Times New Roman" w:hAnsi="Times New Roman" w:eastAsia="宋体" w:cs="Times New Roman"/>
                <w:color w:val="auto"/>
                <w:sz w:val="24"/>
                <w:szCs w:val="24"/>
                <w:lang w:bidi="ar"/>
              </w:rPr>
              <w:t>施工单位应处理好与周围人员的关系，避免因噪声污染引发纠纷，影响社会稳定。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采取上述降噪措施后，施工过程对周围的环境敏感点的噪声影响将大大降低。并且随着工程施工的结束，施工噪声的影响将不再存在，施工噪声对环境的不利影响是暂时的，短期的。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30" w:leftChars="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4、</w:t>
            </w:r>
            <w:r>
              <w:rPr>
                <w:rFonts w:hint="default" w:ascii="Times New Roman" w:hAnsi="Times New Roman" w:eastAsia="宋体" w:cs="Times New Roman"/>
                <w:b/>
                <w:bCs/>
                <w:color w:val="auto"/>
                <w:sz w:val="24"/>
                <w:szCs w:val="24"/>
                <w:u w:val="none" w:color="auto"/>
                <w:lang w:val="en-US" w:eastAsia="zh-CN"/>
              </w:rPr>
              <w:t>施工期固废环境保护措施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本项目不设施工营地，施工人员均为当地居民可在家食宿，施工期固体废弃物主要为建筑垃圾和少量生活垃圾。建筑垃圾的主要成份是碎砖、废木材、混凝土碎块、废铁料等。</w:t>
            </w:r>
          </w:p>
          <w:p>
            <w:pPr>
              <w:keepNext/>
              <w:keepLines/>
              <w:wordWrap w:val="0"/>
              <w:spacing w:line="360" w:lineRule="auto"/>
              <w:ind w:firstLine="480" w:firstLineChars="200"/>
              <w:outlineLvl w:val="1"/>
              <w:rPr>
                <w:color w:val="auto"/>
                <w:kern w:val="0"/>
                <w:sz w:val="24"/>
                <w:u w:val="single"/>
              </w:rPr>
            </w:pPr>
            <w:r>
              <w:rPr>
                <w:color w:val="auto"/>
                <w:kern w:val="0"/>
                <w:sz w:val="24"/>
                <w:u w:val="single"/>
              </w:rPr>
              <w:t>本项目位于</w:t>
            </w:r>
            <w:r>
              <w:rPr>
                <w:color w:val="auto"/>
                <w:sz w:val="24"/>
                <w:u w:val="single"/>
              </w:rPr>
              <w:t>靖州县</w:t>
            </w:r>
            <w:r>
              <w:rPr>
                <w:rFonts w:hint="eastAsia"/>
                <w:color w:val="auto"/>
                <w:sz w:val="24"/>
                <w:u w:val="single"/>
                <w:lang w:eastAsia="zh-CN"/>
              </w:rPr>
              <w:t>甘太工业园</w:t>
            </w:r>
            <w:r>
              <w:rPr>
                <w:color w:val="auto"/>
                <w:kern w:val="0"/>
                <w:sz w:val="24"/>
                <w:u w:val="single"/>
              </w:rPr>
              <w:t>，根据业主提供的资料，本项目挖方量为7800m</w:t>
            </w:r>
            <w:r>
              <w:rPr>
                <w:color w:val="auto"/>
                <w:kern w:val="0"/>
                <w:sz w:val="24"/>
                <w:u w:val="single"/>
                <w:vertAlign w:val="superscript"/>
              </w:rPr>
              <w:t>3</w:t>
            </w:r>
            <w:r>
              <w:rPr>
                <w:color w:val="auto"/>
                <w:kern w:val="0"/>
                <w:sz w:val="24"/>
                <w:u w:val="single"/>
              </w:rPr>
              <w:t>，土石方全部回填，填方量为7800m</w:t>
            </w:r>
            <w:r>
              <w:rPr>
                <w:color w:val="auto"/>
                <w:kern w:val="0"/>
                <w:sz w:val="24"/>
                <w:u w:val="single"/>
                <w:vertAlign w:val="superscript"/>
              </w:rPr>
              <w:t>3</w:t>
            </w:r>
            <w:r>
              <w:rPr>
                <w:color w:val="auto"/>
                <w:kern w:val="0"/>
                <w:sz w:val="24"/>
                <w:u w:val="single"/>
              </w:rPr>
              <w:t>，无弃方量。</w:t>
            </w:r>
          </w:p>
          <w:p>
            <w:pPr>
              <w:keepNext/>
              <w:keepLines/>
              <w:wordWrap w:val="0"/>
              <w:spacing w:line="360" w:lineRule="auto"/>
              <w:ind w:firstLine="480" w:firstLineChars="200"/>
              <w:jc w:val="center"/>
              <w:outlineLvl w:val="1"/>
              <w:rPr>
                <w:color w:val="auto"/>
                <w:kern w:val="0"/>
                <w:sz w:val="24"/>
              </w:rPr>
            </w:pPr>
            <w:r>
              <w:rPr>
                <w:color w:val="auto"/>
                <w:kern w:val="0"/>
                <w:sz w:val="24"/>
              </w:rPr>
              <w:object>
                <v:shape id="_x0000_i1026" o:spt="75" type="#_x0000_t75" style="height:48pt;width:302.25pt;" o:ole="t" filled="f" o:preferrelative="t" stroked="f" coordsize="21600,21600">
                  <v:path/>
                  <v:fill on="f" focussize="0,0"/>
                  <v:stroke on="f"/>
                  <v:imagedata r:id="rId25" o:title=""/>
                  <o:lock v:ext="edit" aspectratio="f"/>
                  <w10:wrap type="none"/>
                  <w10:anchorlock/>
                </v:shape>
                <o:OLEObject Type="Embed" ProgID="Visio.Drawing.11" ShapeID="_x0000_i1026" DrawAspect="Content" ObjectID="_1468075726" r:id="rId24">
                  <o:LockedField>false</o:LockedField>
                </o:OLEObject>
              </w:object>
            </w:r>
          </w:p>
          <w:p>
            <w:pPr>
              <w:keepNext/>
              <w:keepLines/>
              <w:wordWrap w:val="0"/>
              <w:spacing w:line="360" w:lineRule="auto"/>
              <w:ind w:firstLine="422" w:firstLineChars="200"/>
              <w:jc w:val="center"/>
              <w:outlineLvl w:val="1"/>
              <w:rPr>
                <w:rFonts w:hint="default"/>
                <w:b/>
                <w:bCs/>
                <w:sz w:val="21"/>
                <w:szCs w:val="21"/>
                <w:u w:val="single"/>
              </w:rPr>
            </w:pPr>
            <w:r>
              <w:rPr>
                <w:rFonts w:hint="eastAsia"/>
                <w:b/>
                <w:bCs/>
                <w:color w:val="auto"/>
                <w:kern w:val="0"/>
                <w:sz w:val="21"/>
                <w:szCs w:val="21"/>
                <w:u w:val="single"/>
              </w:rPr>
              <w:t>图4-1 本项目土石方平衡图（单位：m</w:t>
            </w:r>
            <w:r>
              <w:rPr>
                <w:rFonts w:hint="eastAsia"/>
                <w:b/>
                <w:bCs/>
                <w:color w:val="auto"/>
                <w:kern w:val="0"/>
                <w:sz w:val="21"/>
                <w:szCs w:val="21"/>
                <w:u w:val="single"/>
                <w:vertAlign w:val="superscript"/>
              </w:rPr>
              <w:t>3</w:t>
            </w:r>
            <w:r>
              <w:rPr>
                <w:rFonts w:hint="eastAsia"/>
                <w:b/>
                <w:bCs/>
                <w:color w:val="auto"/>
                <w:kern w:val="0"/>
                <w:sz w:val="21"/>
                <w:szCs w:val="21"/>
                <w:u w:val="singl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bidi="ar"/>
              </w:rPr>
              <w:t>4.1</w:t>
            </w:r>
            <w:r>
              <w:rPr>
                <w:rFonts w:hint="default" w:ascii="Times New Roman" w:hAnsi="Times New Roman" w:eastAsia="宋体" w:cs="Times New Roman"/>
                <w:b/>
                <w:bCs/>
                <w:color w:val="auto"/>
                <w:sz w:val="24"/>
                <w:szCs w:val="24"/>
                <w:lang w:bidi="ar"/>
              </w:rPr>
              <w:t>建筑垃圾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本项目建筑垃圾，一部分如建筑废模块、建筑材料下角料、破钢管、断残钢筋头、包装袋以及废旧设备等基本上可以回收；而另一部分如弃土、废沙石等建筑材料废弃物等没有回收价值，如果随意倾倒和堆放，不但占用了土地，而且污染了周围环境，影响周围环境的景观。因此无回收价值的建筑废料必须统一分类收集后，作为填充材料充垫场地、便道等，或建设单位和</w:t>
            </w:r>
            <w:r>
              <w:rPr>
                <w:rFonts w:hint="eastAsia" w:ascii="Times New Roman" w:hAnsi="Times New Roman" w:eastAsia="宋体" w:cs="Times New Roman"/>
                <w:color w:val="auto"/>
                <w:sz w:val="24"/>
                <w:szCs w:val="24"/>
                <w:lang w:eastAsia="zh-CN" w:bidi="ar"/>
              </w:rPr>
              <w:t>靖州</w:t>
            </w:r>
            <w:r>
              <w:rPr>
                <w:rFonts w:hint="default" w:ascii="Times New Roman" w:hAnsi="Times New Roman" w:eastAsia="宋体" w:cs="Times New Roman"/>
                <w:color w:val="auto"/>
                <w:sz w:val="24"/>
                <w:szCs w:val="24"/>
                <w:lang w:eastAsia="zh-CN" w:bidi="ar"/>
              </w:rPr>
              <w:t>县</w:t>
            </w:r>
            <w:r>
              <w:rPr>
                <w:rFonts w:hint="default" w:ascii="Times New Roman" w:hAnsi="Times New Roman" w:eastAsia="宋体" w:cs="Times New Roman"/>
                <w:color w:val="auto"/>
                <w:sz w:val="24"/>
                <w:szCs w:val="24"/>
                <w:lang w:bidi="ar"/>
              </w:rPr>
              <w:t>渣土部门联系，外运至指定的填埋点进行安全填埋。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bidi="ar"/>
              </w:rPr>
              <w:t>4.2</w:t>
            </w:r>
            <w:r>
              <w:rPr>
                <w:rFonts w:hint="default" w:ascii="Times New Roman" w:hAnsi="Times New Roman" w:eastAsia="宋体" w:cs="Times New Roman"/>
                <w:b/>
                <w:bCs/>
                <w:color w:val="auto"/>
                <w:sz w:val="24"/>
                <w:szCs w:val="24"/>
                <w:lang w:bidi="ar"/>
              </w:rPr>
              <w:t>生活垃圾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项目施工期</w:t>
            </w:r>
            <w:r>
              <w:rPr>
                <w:rFonts w:hint="default" w:ascii="Times New Roman" w:hAnsi="Times New Roman" w:eastAsia="宋体" w:cs="Times New Roman"/>
                <w:color w:val="auto"/>
                <w:sz w:val="24"/>
                <w:szCs w:val="24"/>
                <w:lang w:eastAsia="zh-CN" w:bidi="ar"/>
              </w:rPr>
              <w:t>产生少量</w:t>
            </w:r>
            <w:r>
              <w:rPr>
                <w:rFonts w:hint="default" w:ascii="Times New Roman" w:hAnsi="Times New Roman" w:eastAsia="宋体" w:cs="Times New Roman"/>
                <w:color w:val="auto"/>
                <w:sz w:val="24"/>
                <w:szCs w:val="24"/>
                <w:lang w:bidi="ar"/>
              </w:rPr>
              <w:t>生活垃圾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施工期产生的生活垃圾可在施工场地内设置生活垃圾箱，经收集后</w:t>
            </w:r>
            <w:r>
              <w:rPr>
                <w:rFonts w:hint="default" w:ascii="Times New Roman" w:hAnsi="Times New Roman" w:eastAsia="宋体" w:cs="Times New Roman"/>
                <w:color w:val="auto"/>
                <w:sz w:val="24"/>
                <w:szCs w:val="24"/>
                <w:u w:val="none"/>
                <w:lang w:eastAsia="zh-CN"/>
              </w:rPr>
              <w:t>由当地环卫部门定期清运处理</w:t>
            </w:r>
            <w:r>
              <w:rPr>
                <w:rFonts w:hint="default" w:ascii="Times New Roman" w:hAnsi="Times New Roman" w:eastAsia="宋体" w:cs="Times New Roman"/>
                <w:color w:val="auto"/>
                <w:sz w:val="24"/>
                <w:szCs w:val="24"/>
                <w:u w:val="none"/>
                <w:lang w:bidi="ar"/>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bidi="ar"/>
              </w:rPr>
              <w:t>为有效防治施工过程中固废产生的影响，施工中应采取如下措施：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（1）科学规划，合理安排，挖填方配套作业，要求分区分片开挖和填压，及时运输挖方、及时压实填方，在挖填施工场地周围设临时排洪沟，确保暴雨时不出现对开挖面及填方区的冲刷，造成大量水土流失。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（2）设备堆放场、材料堆放场的防径流冲刷措施应加强，废土、废渣应及时清运填埋，不得随意堆放，防止出现废土、废渣处置不当而导致的水土流失。</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lang w:bidi="ar"/>
              </w:rPr>
              <w:t>项目采取以上措施后，施工固体废物均可得到有效处理，对区域环境影响较小</w:t>
            </w:r>
            <w:r>
              <w:rPr>
                <w:rFonts w:hint="default" w:ascii="Times New Roman" w:hAnsi="Times New Roman" w:eastAsia="宋体" w:cs="Times New Roman"/>
                <w:color w:val="auto"/>
                <w:sz w:val="24"/>
                <w:szCs w:val="24"/>
                <w:lang w:eastAsia="zh-CN" w:bidi="ar"/>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630" w:leftChars="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5、</w:t>
            </w:r>
            <w:r>
              <w:rPr>
                <w:rFonts w:hint="default" w:ascii="Times New Roman" w:hAnsi="Times New Roman" w:eastAsia="宋体" w:cs="Times New Roman"/>
                <w:b/>
                <w:bCs/>
                <w:color w:val="auto"/>
                <w:sz w:val="24"/>
                <w:szCs w:val="24"/>
                <w:u w:val="none" w:color="auto"/>
                <w:lang w:val="en-US" w:eastAsia="zh-CN"/>
              </w:rPr>
              <w:t>施工期生态环境保护措施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bidi="ar"/>
              </w:rPr>
              <w:t>项目施工期在道路及建设施工、地表开挖、填方等不同地貌部位和不同时期可能发生不同形式的水土流失及产生一定程度景观影响。在植被覆盖度低的地域，表层土壤可能在雨滴击溅和冲刷下随径流沿坡面向下移动造成流失；使区域局部生态结构发生一定变化</w:t>
            </w:r>
            <w:r>
              <w:rPr>
                <w:rFonts w:hint="default" w:ascii="Times New Roman" w:hAnsi="Times New Roman" w:eastAsia="宋体" w:cs="Times New Roman"/>
                <w:color w:val="auto"/>
                <w:sz w:val="24"/>
                <w:szCs w:val="24"/>
                <w:lang w:val="en-US" w:eastAsia="zh-CN" w:bidi="ar"/>
              </w:rPr>
              <w:t>。</w:t>
            </w:r>
          </w:p>
          <w:p>
            <w:pPr>
              <w:pStyle w:val="1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pPr>
            <w:r>
              <w:rPr>
                <w:rFonts w:hint="default" w:ascii="Times New Roman" w:hAnsi="Times New Roman" w:eastAsia="宋体" w:cs="Times New Roman"/>
                <w:color w:val="auto"/>
                <w:sz w:val="24"/>
                <w:szCs w:val="24"/>
                <w:lang w:val="en-US" w:eastAsia="zh-CN"/>
              </w:rPr>
              <w:t>本项目位于</w:t>
            </w:r>
            <w:r>
              <w:rPr>
                <w:rFonts w:hint="eastAsia" w:ascii="Times New Roman" w:hAnsi="Times New Roman" w:cs="Times New Roman"/>
                <w:color w:val="auto"/>
                <w:sz w:val="24"/>
                <w:szCs w:val="24"/>
                <w:highlight w:val="none"/>
                <w:lang w:eastAsia="zh-CN"/>
              </w:rPr>
              <w:t>靖州县工业集中区</w:t>
            </w:r>
            <w:r>
              <w:rPr>
                <w:rFonts w:hint="default" w:ascii="Times New Roman" w:hAnsi="Times New Roman" w:eastAsia="宋体" w:cs="Times New Roman"/>
                <w:color w:val="auto"/>
                <w:sz w:val="24"/>
                <w:szCs w:val="24"/>
                <w:lang w:val="en-US" w:eastAsia="zh-CN"/>
              </w:rPr>
              <w:t>，用地性质为</w:t>
            </w:r>
            <w:r>
              <w:rPr>
                <w:rFonts w:hint="eastAsia" w:ascii="Times New Roman" w:hAnsi="Times New Roman" w:eastAsia="宋体" w:cs="Times New Roman"/>
                <w:color w:val="auto"/>
                <w:sz w:val="24"/>
                <w:szCs w:val="24"/>
                <w:lang w:val="en-US" w:eastAsia="zh-CN"/>
              </w:rPr>
              <w:t>工业</w:t>
            </w:r>
            <w:r>
              <w:rPr>
                <w:rFonts w:hint="default" w:ascii="Times New Roman" w:hAnsi="Times New Roman" w:eastAsia="宋体" w:cs="Times New Roman"/>
                <w:color w:val="auto"/>
                <w:sz w:val="24"/>
                <w:szCs w:val="24"/>
                <w:lang w:val="en-US" w:eastAsia="zh-CN"/>
              </w:rPr>
              <w:t>用地，且用地范围内不涉及生态环境保护目标，项目建成后厂区绿化面积</w:t>
            </w:r>
            <w:r>
              <w:rPr>
                <w:rFonts w:hint="eastAsia" w:ascii="Times New Roman" w:hAnsi="Times New Roman" w:eastAsia="宋体" w:cs="Times New Roman"/>
                <w:color w:val="auto"/>
                <w:sz w:val="24"/>
                <w:szCs w:val="24"/>
                <w:lang w:val="en-US" w:eastAsia="zh-CN"/>
              </w:rPr>
              <w:t>5034.7</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bidi="ar"/>
              </w:rPr>
              <w:t>，可对原生态环境进行补偿， 因此项目的建设对区域生态环境影响较小</w:t>
            </w:r>
            <w:r>
              <w:rPr>
                <w:rFonts w:hint="default" w:ascii="Times New Roman" w:hAnsi="Times New Roman" w:eastAsia="宋体" w:cs="Times New Roman"/>
                <w:color w:val="auto"/>
                <w:sz w:val="24"/>
                <w:szCs w:val="24"/>
                <w:lang w:eastAsia="zh-CN"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7" w:hRule="atLeast"/>
          <w:jc w:val="center"/>
        </w:trPr>
        <w:tc>
          <w:tcPr>
            <w:tcW w:w="272" w:type="dxa"/>
            <w:noWrap w:val="0"/>
            <w:tcMar>
              <w:left w:w="28" w:type="dxa"/>
              <w:right w:w="28" w:type="dxa"/>
            </w:tcMar>
            <w:vAlign w:val="center"/>
          </w:tcPr>
          <w:p>
            <w:pPr>
              <w:adjustRightInd w:val="0"/>
              <w:snapToGrid w:val="0"/>
              <w:jc w:val="center"/>
              <w:rPr>
                <w:bCs/>
                <w:szCs w:val="21"/>
              </w:rPr>
            </w:pPr>
            <w:r>
              <w:rPr>
                <w:rFonts w:hAnsi="宋体"/>
                <w:bCs/>
                <w:szCs w:val="21"/>
              </w:rPr>
              <w:t>运营</w:t>
            </w:r>
          </w:p>
          <w:p>
            <w:pPr>
              <w:adjustRightInd w:val="0"/>
              <w:snapToGrid w:val="0"/>
              <w:jc w:val="center"/>
              <w:rPr>
                <w:bCs/>
                <w:szCs w:val="21"/>
              </w:rPr>
            </w:pPr>
            <w:r>
              <w:rPr>
                <w:rFonts w:hAnsi="宋体"/>
                <w:bCs/>
                <w:szCs w:val="21"/>
              </w:rPr>
              <w:t>期环</w:t>
            </w:r>
          </w:p>
          <w:p>
            <w:pPr>
              <w:adjustRightInd w:val="0"/>
              <w:snapToGrid w:val="0"/>
              <w:jc w:val="center"/>
              <w:rPr>
                <w:bCs/>
                <w:szCs w:val="21"/>
              </w:rPr>
            </w:pPr>
            <w:r>
              <w:rPr>
                <w:rFonts w:hAnsi="宋体"/>
                <w:bCs/>
                <w:szCs w:val="21"/>
              </w:rPr>
              <w:t>境影</w:t>
            </w:r>
          </w:p>
          <w:p>
            <w:pPr>
              <w:adjustRightInd w:val="0"/>
              <w:snapToGrid w:val="0"/>
              <w:jc w:val="center"/>
              <w:rPr>
                <w:bCs/>
                <w:szCs w:val="21"/>
              </w:rPr>
            </w:pPr>
            <w:r>
              <w:rPr>
                <w:rFonts w:hAnsi="宋体"/>
                <w:bCs/>
                <w:szCs w:val="21"/>
              </w:rPr>
              <w:t>响和</w:t>
            </w:r>
          </w:p>
          <w:p>
            <w:pPr>
              <w:adjustRightInd w:val="0"/>
              <w:snapToGrid w:val="0"/>
              <w:jc w:val="center"/>
              <w:rPr>
                <w:bCs/>
                <w:szCs w:val="21"/>
              </w:rPr>
            </w:pPr>
            <w:r>
              <w:rPr>
                <w:rFonts w:hAnsi="宋体"/>
                <w:bCs/>
                <w:szCs w:val="21"/>
              </w:rPr>
              <w:t>保护</w:t>
            </w:r>
          </w:p>
          <w:p>
            <w:pPr>
              <w:adjustRightInd w:val="0"/>
              <w:snapToGrid w:val="0"/>
              <w:jc w:val="center"/>
              <w:rPr>
                <w:bCs/>
                <w:szCs w:val="21"/>
              </w:rPr>
            </w:pPr>
            <w:r>
              <w:rPr>
                <w:rFonts w:hAnsi="宋体"/>
                <w:bCs/>
                <w:szCs w:val="21"/>
              </w:rPr>
              <w:t>措施</w:t>
            </w:r>
          </w:p>
        </w:tc>
        <w:tc>
          <w:tcPr>
            <w:tcW w:w="8709" w:type="dxa"/>
            <w:noWrap w:val="0"/>
            <w:vAlign w:val="center"/>
          </w:tcPr>
          <w:p>
            <w:pPr>
              <w:spacing w:line="360" w:lineRule="auto"/>
              <w:ind w:firstLine="482" w:firstLineChars="200"/>
              <w:rPr>
                <w:rFonts w:hint="eastAsia"/>
                <w:b/>
                <w:bCs/>
                <w:sz w:val="24"/>
                <w:szCs w:val="24"/>
                <w:lang w:val="en-US" w:eastAsia="zh-CN"/>
              </w:rPr>
            </w:pPr>
            <w:r>
              <w:rPr>
                <w:rFonts w:hint="eastAsia"/>
                <w:b/>
                <w:bCs/>
                <w:sz w:val="24"/>
                <w:szCs w:val="24"/>
                <w:lang w:val="en-US" w:eastAsia="zh-CN"/>
              </w:rPr>
              <w:t>1、废气</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sz w:val="24"/>
                <w:szCs w:val="24"/>
                <w:lang w:val="en-US" w:eastAsia="zh-CN"/>
              </w:rPr>
            </w:pPr>
            <w:r>
              <w:rPr>
                <w:rFonts w:hint="eastAsia"/>
                <w:b/>
                <w:bCs/>
                <w:sz w:val="24"/>
                <w:szCs w:val="24"/>
                <w:lang w:val="en-US" w:eastAsia="zh-CN"/>
              </w:rPr>
              <w:t>1.1报废机动车拆解</w:t>
            </w:r>
          </w:p>
          <w:p>
            <w:pPr>
              <w:spacing w:line="360" w:lineRule="auto"/>
              <w:ind w:firstLine="480" w:firstLineChars="200"/>
              <w:rPr>
                <w:rFonts w:hint="eastAsia"/>
                <w:b w:val="0"/>
                <w:bCs w:val="0"/>
                <w:lang w:val="en-US" w:eastAsia="zh-CN"/>
              </w:rPr>
            </w:pPr>
            <w:r>
              <w:rPr>
                <w:rFonts w:hint="eastAsia"/>
                <w:b w:val="0"/>
                <w:bCs w:val="0"/>
                <w:sz w:val="24"/>
                <w:szCs w:val="24"/>
                <w:lang w:val="en-US" w:eastAsia="zh-CN"/>
              </w:rPr>
              <w:t>汽车拆解过程主要产生的废气，包括</w:t>
            </w:r>
            <w:r>
              <w:rPr>
                <w:rFonts w:hint="default" w:ascii="Times New Roman" w:hAnsi="Times New Roman" w:cs="Times New Roman"/>
                <w:b w:val="0"/>
                <w:bCs w:val="0"/>
                <w:sz w:val="24"/>
                <w:szCs w:val="24"/>
                <w:lang w:val="en-US" w:eastAsia="zh-CN"/>
              </w:rPr>
              <w:t>废油液挥发废气</w:t>
            </w:r>
            <w:r>
              <w:rPr>
                <w:rFonts w:hint="eastAsia"/>
                <w:b w:val="0"/>
                <w:bCs w:val="0"/>
                <w:sz w:val="24"/>
                <w:szCs w:val="24"/>
                <w:lang w:val="en-US" w:eastAsia="zh-CN"/>
              </w:rPr>
              <w:t>、</w:t>
            </w:r>
            <w:r>
              <w:rPr>
                <w:rFonts w:hint="eastAsia"/>
                <w:sz w:val="24"/>
                <w:szCs w:val="24"/>
                <w:lang w:val="en-US" w:eastAsia="zh-CN"/>
              </w:rPr>
              <w:t>拆解粉尘、</w:t>
            </w:r>
            <w:r>
              <w:rPr>
                <w:sz w:val="24"/>
                <w:szCs w:val="24"/>
              </w:rPr>
              <w:t>安全气囊引爆废气</w:t>
            </w:r>
            <w:r>
              <w:rPr>
                <w:rFonts w:hint="eastAsia"/>
                <w:b w:val="0"/>
                <w:bCs w:val="0"/>
                <w:sz w:val="24"/>
                <w:szCs w:val="24"/>
                <w:lang w:val="en-US" w:eastAsia="zh-CN"/>
              </w:rPr>
              <w:t>、</w:t>
            </w:r>
            <w:r>
              <w:rPr>
                <w:rFonts w:hint="default" w:ascii="Times New Roman" w:hAnsi="Times New Roman" w:cs="Times New Roman"/>
                <w:b w:val="0"/>
                <w:bCs w:val="0"/>
                <w:sz w:val="24"/>
                <w:szCs w:val="24"/>
                <w:lang w:val="en-US" w:eastAsia="zh-CN"/>
              </w:rPr>
              <w:t>制冷剂废</w:t>
            </w:r>
            <w:r>
              <w:rPr>
                <w:rFonts w:hint="eastAsia" w:ascii="Times New Roman" w:hAnsi="Times New Roman" w:cs="Times New Roman"/>
                <w:b w:val="0"/>
                <w:bCs w:val="0"/>
                <w:sz w:val="24"/>
                <w:szCs w:val="24"/>
                <w:lang w:val="en-US" w:eastAsia="zh-CN"/>
              </w:rPr>
              <w:t>气、危废暂存间产生的非甲烷总烃</w:t>
            </w:r>
            <w:r>
              <w:rPr>
                <w:rFonts w:hint="eastAsia"/>
                <w:b w:val="0"/>
                <w:bCs w:val="0"/>
                <w:sz w:val="24"/>
                <w:szCs w:val="24"/>
                <w:lang w:val="en-US" w:eastAsia="zh-CN"/>
              </w:rPr>
              <w:t>。</w:t>
            </w:r>
          </w:p>
          <w:p>
            <w:pPr>
              <w:spacing w:line="360" w:lineRule="auto"/>
              <w:ind w:firstLine="480" w:firstLineChars="200"/>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①废油液挥发废气（以非甲烷总烃计）</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在报废机动车拆解前，需将汽油、柴油、润滑油、防冻液等废油液抽出，工程设计采用真空抽油机将废油液通过密闭管道收集至密闭容器内，在此过程中会有少量的挥发性有机废气产生，本评价以非甲烷总烃进行表征。根据《抑制汽油挥发技术进展》（2002年油气储运，作者浮东宝），石油及其产品在储运过程中的蒸发损耗率高达0.04～0.08%。经查阅资料可知，废油液抽取过程中油箱端未能完全密封抽取废油，会有部分油气外逸，故本评价取值0.08%进行计算。项目燃油、废油液总产生量149.2t，则非甲烷总烃的产生量为0.12t/a。本项目在抽油操作区上方设置集气罩（集气效率为80%），收集后引风管道引至活性炭吸附装置（处理效率为80%）净化处理后通过15m高的排气筒（DA001）排放，</w:t>
            </w:r>
            <w:r>
              <w:rPr>
                <w:rFonts w:hint="eastAsia" w:ascii="Times New Roman" w:hAnsi="Times New Roman" w:eastAsia="宋体" w:cs="Times New Roman"/>
                <w:b w:val="0"/>
                <w:bCs w:val="0"/>
                <w:color w:val="auto"/>
                <w:sz w:val="24"/>
                <w:szCs w:val="24"/>
                <w:vertAlign w:val="baseline"/>
                <w:lang w:val="en-US" w:eastAsia="zh-CN"/>
              </w:rPr>
              <w:t>配套风机风量为</w:t>
            </w:r>
            <w:r>
              <w:rPr>
                <w:rFonts w:hint="eastAsia"/>
                <w:b w:val="0"/>
                <w:bCs w:val="0"/>
                <w:sz w:val="24"/>
                <w:szCs w:val="24"/>
                <w:lang w:val="en-US" w:eastAsia="zh-CN"/>
              </w:rPr>
              <w:t>5000m</w:t>
            </w:r>
            <w:r>
              <w:rPr>
                <w:rFonts w:hint="eastAsia"/>
                <w:b w:val="0"/>
                <w:bCs w:val="0"/>
                <w:sz w:val="24"/>
                <w:szCs w:val="24"/>
                <w:vertAlign w:val="superscript"/>
                <w:lang w:val="en-US" w:eastAsia="zh-CN"/>
              </w:rPr>
              <w:t>3</w:t>
            </w:r>
            <w:r>
              <w:rPr>
                <w:rFonts w:hint="eastAsia"/>
                <w:b w:val="0"/>
                <w:bCs w:val="0"/>
                <w:sz w:val="24"/>
                <w:szCs w:val="24"/>
                <w:lang w:val="en-US" w:eastAsia="zh-CN"/>
              </w:rPr>
              <w:t>/h，则非甲烷总烃有组织排放量为0.0192t/a（0.007kg/h），排放浓度为1.45mg/m</w:t>
            </w:r>
            <w:r>
              <w:rPr>
                <w:rFonts w:hint="eastAsia"/>
                <w:b w:val="0"/>
                <w:bCs w:val="0"/>
                <w:sz w:val="24"/>
                <w:szCs w:val="24"/>
                <w:vertAlign w:val="superscript"/>
                <w:lang w:val="en-US" w:eastAsia="zh-CN"/>
              </w:rPr>
              <w:t>3</w:t>
            </w:r>
            <w:r>
              <w:rPr>
                <w:rFonts w:hint="eastAsia"/>
                <w:b w:val="0"/>
                <w:bCs w:val="0"/>
                <w:sz w:val="24"/>
                <w:szCs w:val="24"/>
                <w:lang w:val="en-US" w:eastAsia="zh-CN"/>
              </w:rPr>
              <w:t>，无组织排放量为0.024t/a，0.009kg/h。</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u w:val="single"/>
                <w:lang w:val="en-US" w:eastAsia="zh-CN"/>
              </w:rPr>
            </w:pPr>
            <w:r>
              <w:rPr>
                <w:rFonts w:hint="eastAsia"/>
                <w:sz w:val="24"/>
                <w:szCs w:val="24"/>
                <w:u w:val="single"/>
                <w:lang w:val="en-US" w:eastAsia="zh-CN"/>
              </w:rPr>
              <w:fldChar w:fldCharType="begin"/>
            </w:r>
            <w:r>
              <w:rPr>
                <w:rFonts w:hint="eastAsia"/>
                <w:sz w:val="24"/>
                <w:szCs w:val="24"/>
                <w:u w:val="single"/>
                <w:lang w:val="en-US" w:eastAsia="zh-CN"/>
              </w:rPr>
              <w:instrText xml:space="preserve"> = 2 \* GB3 \* MERGEFORMAT </w:instrText>
            </w:r>
            <w:r>
              <w:rPr>
                <w:rFonts w:hint="eastAsia"/>
                <w:sz w:val="24"/>
                <w:szCs w:val="24"/>
                <w:u w:val="single"/>
                <w:lang w:val="en-US" w:eastAsia="zh-CN"/>
              </w:rPr>
              <w:fldChar w:fldCharType="separate"/>
            </w:r>
            <w:r>
              <w:rPr>
                <w:rFonts w:hint="eastAsia"/>
                <w:sz w:val="24"/>
                <w:szCs w:val="24"/>
                <w:u w:val="single"/>
                <w:lang w:val="en-US" w:eastAsia="zh-CN"/>
              </w:rPr>
              <w:t>②</w:t>
            </w:r>
            <w:r>
              <w:rPr>
                <w:rFonts w:hint="eastAsia"/>
                <w:sz w:val="24"/>
                <w:szCs w:val="24"/>
                <w:u w:val="single"/>
                <w:lang w:val="en-US" w:eastAsia="zh-CN"/>
              </w:rPr>
              <w:fldChar w:fldCharType="end"/>
            </w:r>
            <w:r>
              <w:rPr>
                <w:rFonts w:hint="eastAsia"/>
                <w:sz w:val="24"/>
                <w:szCs w:val="24"/>
                <w:u w:val="single"/>
                <w:lang w:val="en-US" w:eastAsia="zh-CN"/>
              </w:rPr>
              <w:t>拆解粉尘</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sz w:val="24"/>
                <w:szCs w:val="24"/>
                <w:u w:val="single"/>
                <w:lang w:val="en-US" w:eastAsia="zh-CN"/>
              </w:rPr>
            </w:pPr>
            <w:r>
              <w:rPr>
                <w:rFonts w:hint="eastAsia"/>
                <w:sz w:val="24"/>
                <w:szCs w:val="24"/>
                <w:u w:val="single"/>
                <w:lang w:val="en-US" w:eastAsia="zh-CN"/>
              </w:rPr>
              <w:t>由于报废车辆本身在底盘、车轮等部位粘附着泥沙等，在拆解作业过程中因为液压剪、敲打、装卸等操作，会使泥沙脱落，经风力作用形成粉尘。预计小型车辆携带泥沙0.5kg/辆，大、中型车辆携带泥沙平均按1.5kg/辆，则泥沙总量约 6.4t/a。估算约有5%的泥沙在拆解过程中脱落形成粉尘，则产生粉尘约0.32t/a，大部分直接落在汽车拆解部位附近地面，拆解粉尘只需及时清扫地面的粉尘即可。企业对车间粉尘进行清扫后，预计约有20%的粉尘形成无组织排放，则排放量为 0.064t/a（0.024kg/h）。</w:t>
            </w:r>
          </w:p>
          <w:p>
            <w:pPr>
              <w:spacing w:line="360" w:lineRule="auto"/>
              <w:ind w:firstLine="480" w:firstLineChars="200"/>
              <w:rPr>
                <w:rFonts w:hint="default" w:ascii="Times New Roman" w:hAnsi="Times New Roman" w:cs="Times New Roman"/>
                <w:b w:val="0"/>
                <w:bCs w:val="0"/>
                <w:sz w:val="24"/>
                <w:szCs w:val="24"/>
                <w:lang w:val="en-US" w:eastAsia="zh-CN"/>
              </w:rPr>
            </w:pPr>
            <w:r>
              <w:rPr>
                <w:rFonts w:hint="eastAsia"/>
                <w:sz w:val="24"/>
                <w:szCs w:val="24"/>
                <w:lang w:val="en-US" w:eastAsia="zh-CN"/>
              </w:rPr>
              <w:t>③</w:t>
            </w:r>
            <w:r>
              <w:rPr>
                <w:rFonts w:hint="default" w:ascii="Times New Roman" w:hAnsi="Times New Roman" w:cs="Times New Roman"/>
                <w:b w:val="0"/>
                <w:bCs w:val="0"/>
                <w:sz w:val="24"/>
                <w:szCs w:val="24"/>
                <w:lang w:val="en-US" w:eastAsia="zh-CN"/>
              </w:rPr>
              <w:t>制冷剂废</w:t>
            </w:r>
            <w:r>
              <w:rPr>
                <w:rFonts w:hint="eastAsia" w:ascii="Times New Roman" w:hAnsi="Times New Roman" w:cs="Times New Roman"/>
                <w:b w:val="0"/>
                <w:bCs w:val="0"/>
                <w:sz w:val="24"/>
                <w:szCs w:val="24"/>
                <w:lang w:val="en-US" w:eastAsia="zh-CN"/>
              </w:rPr>
              <w:t>气</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R12是我国早期中小型制冷装置中使用较为广泛的制冷剂，由于R12中含氟利昂对臭氧层的损耗作用和较高的温室效应值，根据《蒙特利尔议定书》规定，我国于2010年1月1日起全面禁用氟利昂物质，R12的使用逐步在淘汰。而我国早在2000年就明令汽车空调维修企业必须以环保型R134a取代非环保产品R12。</w:t>
            </w:r>
          </w:p>
          <w:p>
            <w:pPr>
              <w:spacing w:line="360" w:lineRule="auto"/>
              <w:rPr>
                <w:rFonts w:hint="eastAsia"/>
                <w:b w:val="0"/>
                <w:bCs w:val="0"/>
                <w:sz w:val="24"/>
                <w:szCs w:val="24"/>
                <w:lang w:val="en-US" w:eastAsia="zh-CN"/>
              </w:rPr>
            </w:pPr>
            <w:r>
              <w:rPr>
                <w:rFonts w:hint="eastAsia"/>
                <w:b w:val="0"/>
                <w:bCs w:val="0"/>
                <w:sz w:val="24"/>
                <w:szCs w:val="24"/>
                <w:lang w:val="en-US" w:eastAsia="zh-CN"/>
              </w:rPr>
              <w:t>随着新型环保制冷剂的不断研发、推广和应用，汽车制冷剂中氟利昂将逐步淘汰。本项目回收拆解的报废机动车含有部分老式汽车，采用的制冷剂为氟利昂，因此在制冷剂抽排过程中散逸的制冷剂废气中含有少量氟利昂废气。故本项目回收拆解的报废机动车中制冷剂主要为R12、R134a、氢氟碳化物。</w:t>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本项目应采用专门的制冷剂回收装置对制冷剂进行回收，使用时将回收罐连接在回收装置的气阀上并把回收罐的液阀连接在制冷系统的液体一侧；降低回收罐的压力时，回收装置会把被回收设备中的液态制冷剂“拉出来”。从回收罐抽出蒸汽，又会进回收装置的运行，把它排到(推回)被回收设备的蒸汽入口处。在制冷剂的收集过程中，仅在连接、储存过程中会有少量制冷剂通过管线、阀门等以无组织形式释放到环境空气中，泄漏出来的制冷剂量非常小，对周围的环境影响很小。根据类比同类型项目，本项目制冷剂的氟化物产生量为0.002t/a。冷却剂应用专门的容器（一般为钢瓶）进行回收，不同类别制冷剂进行分类收集，并交由具有资质的单位处置。</w:t>
            </w:r>
          </w:p>
          <w:p>
            <w:pPr>
              <w:adjustRightInd w:val="0"/>
              <w:snapToGrid w:val="0"/>
              <w:spacing w:line="360" w:lineRule="auto"/>
              <w:ind w:firstLine="480" w:firstLineChars="200"/>
              <w:rPr>
                <w:sz w:val="24"/>
                <w:szCs w:val="24"/>
                <w:u w:val="none"/>
              </w:rPr>
            </w:pPr>
            <w:r>
              <w:rPr>
                <w:sz w:val="24"/>
                <w:szCs w:val="24"/>
                <w:u w:val="none"/>
              </w:rPr>
              <w:fldChar w:fldCharType="begin"/>
            </w:r>
            <w:r>
              <w:rPr>
                <w:sz w:val="24"/>
                <w:szCs w:val="24"/>
                <w:u w:val="none"/>
              </w:rPr>
              <w:instrText xml:space="preserve"> = 4 \* GB3 \* MERGEFORMAT </w:instrText>
            </w:r>
            <w:r>
              <w:rPr>
                <w:sz w:val="24"/>
                <w:szCs w:val="24"/>
                <w:u w:val="none"/>
              </w:rPr>
              <w:fldChar w:fldCharType="separate"/>
            </w:r>
            <w:r>
              <w:rPr>
                <w:sz w:val="24"/>
                <w:szCs w:val="24"/>
              </w:rPr>
              <w:t>④</w:t>
            </w:r>
            <w:r>
              <w:rPr>
                <w:sz w:val="24"/>
                <w:szCs w:val="24"/>
                <w:u w:val="none"/>
              </w:rPr>
              <w:fldChar w:fldCharType="end"/>
            </w:r>
            <w:r>
              <w:rPr>
                <w:sz w:val="24"/>
                <w:szCs w:val="24"/>
                <w:u w:val="none"/>
              </w:rPr>
              <w:t>安全气囊引爆废气</w:t>
            </w:r>
          </w:p>
          <w:p>
            <w:pPr>
              <w:adjustRightInd w:val="0"/>
              <w:snapToGrid w:val="0"/>
              <w:spacing w:line="360" w:lineRule="auto"/>
              <w:ind w:firstLine="480" w:firstLineChars="200"/>
              <w:rPr>
                <w:sz w:val="24"/>
                <w:szCs w:val="24"/>
                <w:u w:val="none"/>
              </w:rPr>
            </w:pPr>
            <w:r>
              <w:rPr>
                <w:sz w:val="24"/>
                <w:szCs w:val="24"/>
                <w:u w:val="none"/>
              </w:rPr>
              <w:t>项目采用将未引爆的安全气囊组件拆除后再引爆的方式处理安全气囊。项目在预处理区设置安全气囊引爆箱，拆解后的安全气囊在引爆箱内进行引爆。</w:t>
            </w:r>
          </w:p>
          <w:p>
            <w:pPr>
              <w:adjustRightInd w:val="0"/>
              <w:snapToGrid w:val="0"/>
              <w:spacing w:line="360" w:lineRule="auto"/>
              <w:ind w:firstLine="480" w:firstLineChars="200"/>
              <w:rPr>
                <w:sz w:val="24"/>
                <w:szCs w:val="24"/>
                <w:u w:val="none"/>
              </w:rPr>
            </w:pPr>
            <w:r>
              <w:rPr>
                <w:sz w:val="24"/>
                <w:szCs w:val="24"/>
                <w:u w:val="none"/>
              </w:rPr>
              <w:t>安全气囊中，填充物主要为NaN</w:t>
            </w:r>
            <w:r>
              <w:rPr>
                <w:sz w:val="24"/>
                <w:szCs w:val="24"/>
                <w:u w:val="none"/>
                <w:vertAlign w:val="subscript"/>
              </w:rPr>
              <w:t>3</w:t>
            </w:r>
            <w:r>
              <w:rPr>
                <w:sz w:val="24"/>
                <w:szCs w:val="24"/>
                <w:u w:val="none"/>
              </w:rPr>
              <w:t>、KNO</w:t>
            </w:r>
            <w:r>
              <w:rPr>
                <w:sz w:val="24"/>
                <w:szCs w:val="24"/>
                <w:u w:val="none"/>
                <w:vertAlign w:val="subscript"/>
              </w:rPr>
              <w:t>3</w:t>
            </w:r>
            <w:r>
              <w:rPr>
                <w:sz w:val="24"/>
                <w:szCs w:val="24"/>
                <w:u w:val="none"/>
              </w:rPr>
              <w:t>、SiO</w:t>
            </w:r>
            <w:r>
              <w:rPr>
                <w:sz w:val="24"/>
                <w:szCs w:val="24"/>
                <w:u w:val="none"/>
                <w:vertAlign w:val="subscript"/>
              </w:rPr>
              <w:t>2</w:t>
            </w:r>
            <w:r>
              <w:rPr>
                <w:sz w:val="24"/>
                <w:szCs w:val="24"/>
                <w:u w:val="none"/>
              </w:rPr>
              <w:t>。在触发碰撞传感器时，叠氮化钠发生分解反应，迅速产生氮气和固态钠，反应的方程式是：</w:t>
            </w:r>
          </w:p>
          <w:p>
            <w:pPr>
              <w:adjustRightInd w:val="0"/>
              <w:snapToGrid w:val="0"/>
              <w:spacing w:line="360" w:lineRule="auto"/>
              <w:jc w:val="center"/>
              <w:rPr>
                <w:sz w:val="24"/>
                <w:szCs w:val="24"/>
                <w:u w:val="none"/>
              </w:rPr>
            </w:pPr>
            <w:r>
              <w:rPr>
                <w:sz w:val="24"/>
                <w:szCs w:val="24"/>
                <w:u w:val="none"/>
              </w:rPr>
              <w:t>2NaN</w:t>
            </w:r>
            <w:r>
              <w:rPr>
                <w:sz w:val="24"/>
                <w:szCs w:val="24"/>
                <w:u w:val="none"/>
                <w:vertAlign w:val="subscript"/>
              </w:rPr>
              <w:t>3</w:t>
            </w:r>
            <w:r>
              <w:rPr>
                <w:sz w:val="24"/>
                <w:szCs w:val="24"/>
                <w:u w:val="none"/>
              </w:rPr>
              <w:t>=2Na+3N</w:t>
            </w:r>
            <w:r>
              <w:rPr>
                <w:sz w:val="24"/>
                <w:szCs w:val="24"/>
                <w:u w:val="none"/>
                <w:vertAlign w:val="subscript"/>
              </w:rPr>
              <w:t>2</w:t>
            </w:r>
            <w:r>
              <w:rPr>
                <w:sz w:val="24"/>
                <w:szCs w:val="24"/>
                <w:u w:val="none"/>
              </w:rPr>
              <w:t>↑</w:t>
            </w:r>
          </w:p>
          <w:p>
            <w:pPr>
              <w:adjustRightInd w:val="0"/>
              <w:snapToGrid w:val="0"/>
              <w:spacing w:line="360" w:lineRule="auto"/>
              <w:ind w:firstLine="480" w:firstLineChars="200"/>
              <w:rPr>
                <w:sz w:val="24"/>
                <w:szCs w:val="24"/>
                <w:u w:val="none"/>
              </w:rPr>
            </w:pPr>
            <w:r>
              <w:rPr>
                <w:sz w:val="24"/>
                <w:szCs w:val="24"/>
                <w:u w:val="none"/>
              </w:rPr>
              <w:t>KNO</w:t>
            </w:r>
            <w:r>
              <w:rPr>
                <w:sz w:val="24"/>
                <w:szCs w:val="24"/>
                <w:u w:val="none"/>
                <w:vertAlign w:val="subscript"/>
              </w:rPr>
              <w:t>3</w:t>
            </w:r>
            <w:r>
              <w:rPr>
                <w:sz w:val="24"/>
                <w:szCs w:val="24"/>
                <w:u w:val="none"/>
              </w:rPr>
              <w:t>的作用是与可能会对人体造成伤害的金属钠反应，生成氧化钠和氧化钾，反应的化学方程式为：</w:t>
            </w:r>
          </w:p>
          <w:p>
            <w:pPr>
              <w:adjustRightInd w:val="0"/>
              <w:snapToGrid w:val="0"/>
              <w:spacing w:line="360" w:lineRule="auto"/>
              <w:jc w:val="center"/>
              <w:rPr>
                <w:sz w:val="24"/>
                <w:szCs w:val="24"/>
                <w:u w:val="none"/>
              </w:rPr>
            </w:pPr>
            <w:r>
              <w:rPr>
                <w:sz w:val="24"/>
                <w:szCs w:val="24"/>
                <w:u w:val="none"/>
              </w:rPr>
              <w:t>10Na+2KNO</w:t>
            </w:r>
            <w:r>
              <w:rPr>
                <w:sz w:val="24"/>
                <w:szCs w:val="24"/>
                <w:u w:val="none"/>
                <w:vertAlign w:val="subscript"/>
              </w:rPr>
              <w:t>3</w:t>
            </w:r>
            <w:r>
              <w:rPr>
                <w:sz w:val="24"/>
                <w:szCs w:val="24"/>
                <w:u w:val="none"/>
              </w:rPr>
              <w:t>=K</w:t>
            </w:r>
            <w:r>
              <w:rPr>
                <w:sz w:val="24"/>
                <w:szCs w:val="24"/>
                <w:u w:val="none"/>
                <w:vertAlign w:val="subscript"/>
              </w:rPr>
              <w:t>2</w:t>
            </w:r>
            <w:r>
              <w:rPr>
                <w:sz w:val="24"/>
                <w:szCs w:val="24"/>
                <w:u w:val="none"/>
              </w:rPr>
              <w:t>O+5Na</w:t>
            </w:r>
            <w:r>
              <w:rPr>
                <w:sz w:val="24"/>
                <w:szCs w:val="24"/>
                <w:u w:val="none"/>
                <w:vertAlign w:val="subscript"/>
              </w:rPr>
              <w:t>2</w:t>
            </w:r>
            <w:r>
              <w:rPr>
                <w:sz w:val="24"/>
                <w:szCs w:val="24"/>
                <w:u w:val="none"/>
              </w:rPr>
              <w:t>O+N</w:t>
            </w:r>
            <w:r>
              <w:rPr>
                <w:sz w:val="24"/>
                <w:szCs w:val="24"/>
                <w:u w:val="none"/>
                <w:vertAlign w:val="subscript"/>
              </w:rPr>
              <w:t>2</w:t>
            </w:r>
            <w:r>
              <w:rPr>
                <w:sz w:val="24"/>
                <w:szCs w:val="24"/>
                <w:u w:val="none"/>
              </w:rPr>
              <w:t xml:space="preserve"> ↑</w:t>
            </w:r>
          </w:p>
          <w:p>
            <w:pPr>
              <w:adjustRightInd w:val="0"/>
              <w:snapToGrid w:val="0"/>
              <w:spacing w:line="360" w:lineRule="auto"/>
              <w:ind w:firstLine="480" w:firstLineChars="200"/>
              <w:rPr>
                <w:sz w:val="24"/>
                <w:szCs w:val="24"/>
                <w:u w:val="none"/>
              </w:rPr>
            </w:pPr>
            <w:r>
              <w:rPr>
                <w:sz w:val="24"/>
                <w:szCs w:val="24"/>
                <w:u w:val="none"/>
              </w:rPr>
              <w:t>生成的氧化钠和氧化钾分别与SiO</w:t>
            </w:r>
            <w:r>
              <w:rPr>
                <w:sz w:val="24"/>
                <w:szCs w:val="24"/>
                <w:u w:val="none"/>
                <w:vertAlign w:val="subscript"/>
              </w:rPr>
              <w:t>2</w:t>
            </w:r>
            <w:r>
              <w:rPr>
                <w:sz w:val="24"/>
                <w:szCs w:val="24"/>
                <w:u w:val="none"/>
              </w:rPr>
              <w:t>反应，反应的化学方程式为：</w:t>
            </w:r>
          </w:p>
          <w:p>
            <w:pPr>
              <w:adjustRightInd w:val="0"/>
              <w:snapToGrid w:val="0"/>
              <w:spacing w:line="360" w:lineRule="auto"/>
              <w:jc w:val="center"/>
              <w:rPr>
                <w:sz w:val="24"/>
                <w:szCs w:val="24"/>
                <w:u w:val="none"/>
              </w:rPr>
            </w:pPr>
            <w:r>
              <w:rPr>
                <w:sz w:val="24"/>
                <w:szCs w:val="24"/>
                <w:u w:val="none"/>
              </w:rPr>
              <w:t>K</w:t>
            </w:r>
            <w:r>
              <w:rPr>
                <w:sz w:val="24"/>
                <w:szCs w:val="24"/>
                <w:u w:val="none"/>
                <w:vertAlign w:val="subscript"/>
              </w:rPr>
              <w:t>2</w:t>
            </w:r>
            <w:r>
              <w:rPr>
                <w:sz w:val="24"/>
                <w:szCs w:val="24"/>
                <w:u w:val="none"/>
              </w:rPr>
              <w:t>O+SiO</w:t>
            </w:r>
            <w:r>
              <w:rPr>
                <w:sz w:val="24"/>
                <w:szCs w:val="24"/>
                <w:u w:val="none"/>
                <w:vertAlign w:val="subscript"/>
              </w:rPr>
              <w:t>2</w:t>
            </w:r>
            <w:r>
              <w:rPr>
                <w:sz w:val="24"/>
                <w:szCs w:val="24"/>
                <w:u w:val="none"/>
              </w:rPr>
              <w:t>=K</w:t>
            </w:r>
            <w:r>
              <w:rPr>
                <w:sz w:val="24"/>
                <w:szCs w:val="24"/>
                <w:u w:val="none"/>
                <w:vertAlign w:val="subscript"/>
              </w:rPr>
              <w:t>2</w:t>
            </w:r>
            <w:r>
              <w:rPr>
                <w:sz w:val="24"/>
                <w:szCs w:val="24"/>
                <w:u w:val="none"/>
              </w:rPr>
              <w:t>SiO</w:t>
            </w:r>
            <w:r>
              <w:rPr>
                <w:sz w:val="24"/>
                <w:szCs w:val="24"/>
                <w:u w:val="none"/>
                <w:vertAlign w:val="subscript"/>
              </w:rPr>
              <w:t>3</w:t>
            </w:r>
            <w:r>
              <w:rPr>
                <w:sz w:val="24"/>
                <w:szCs w:val="24"/>
                <w:u w:val="none"/>
              </w:rPr>
              <w:t xml:space="preserve">                 Na</w:t>
            </w:r>
            <w:r>
              <w:rPr>
                <w:sz w:val="24"/>
                <w:szCs w:val="24"/>
                <w:u w:val="none"/>
                <w:vertAlign w:val="subscript"/>
              </w:rPr>
              <w:t>2</w:t>
            </w:r>
            <w:r>
              <w:rPr>
                <w:sz w:val="24"/>
                <w:szCs w:val="24"/>
                <w:u w:val="none"/>
              </w:rPr>
              <w:t>O+SiO</w:t>
            </w:r>
            <w:r>
              <w:rPr>
                <w:sz w:val="24"/>
                <w:szCs w:val="24"/>
                <w:u w:val="none"/>
                <w:vertAlign w:val="subscript"/>
              </w:rPr>
              <w:t>2</w:t>
            </w:r>
            <w:r>
              <w:rPr>
                <w:sz w:val="24"/>
                <w:szCs w:val="24"/>
                <w:u w:val="none"/>
              </w:rPr>
              <w:t>=Na</w:t>
            </w:r>
            <w:r>
              <w:rPr>
                <w:sz w:val="24"/>
                <w:szCs w:val="24"/>
                <w:u w:val="none"/>
                <w:vertAlign w:val="subscript"/>
              </w:rPr>
              <w:t>2</w:t>
            </w:r>
            <w:r>
              <w:rPr>
                <w:sz w:val="24"/>
                <w:szCs w:val="24"/>
                <w:u w:val="none"/>
              </w:rPr>
              <w:t>SiO</w:t>
            </w:r>
            <w:r>
              <w:rPr>
                <w:sz w:val="24"/>
                <w:szCs w:val="24"/>
                <w:u w:val="none"/>
                <w:vertAlign w:val="subscript"/>
              </w:rPr>
              <w:t>3</w:t>
            </w:r>
          </w:p>
          <w:p>
            <w:pPr>
              <w:adjustRightInd w:val="0"/>
              <w:snapToGrid w:val="0"/>
              <w:spacing w:line="360" w:lineRule="auto"/>
              <w:ind w:firstLine="480" w:firstLineChars="200"/>
              <w:rPr>
                <w:sz w:val="24"/>
                <w:szCs w:val="24"/>
                <w:u w:val="none"/>
              </w:rPr>
            </w:pPr>
            <w:r>
              <w:rPr>
                <w:sz w:val="24"/>
                <w:szCs w:val="24"/>
                <w:u w:val="none"/>
              </w:rPr>
              <w:t>由上述可知，</w:t>
            </w:r>
            <w:r>
              <w:rPr>
                <w:rFonts w:hint="eastAsia"/>
                <w:sz w:val="24"/>
                <w:szCs w:val="24"/>
                <w:u w:val="none"/>
              </w:rPr>
              <w:t>引爆过程会产生的废气主要成分氮气和颗粒物，有害物质为颗粒物，产生量较小，且安全气囊引爆装置在气体排出口配置布袋集尘装置。剩余逸散的极少量颗粒物</w:t>
            </w:r>
            <w:r>
              <w:rPr>
                <w:sz w:val="24"/>
                <w:szCs w:val="24"/>
                <w:u w:val="none"/>
              </w:rPr>
              <w:t>在车间内无组织排放，无法进行定量评价</w:t>
            </w:r>
            <w:r>
              <w:rPr>
                <w:rFonts w:hint="eastAsia"/>
                <w:sz w:val="24"/>
                <w:szCs w:val="24"/>
                <w:u w:val="none"/>
                <w:lang w:eastAsia="zh-CN"/>
              </w:rPr>
              <w:t>，</w:t>
            </w:r>
            <w:r>
              <w:rPr>
                <w:sz w:val="24"/>
                <w:szCs w:val="24"/>
                <w:u w:val="none"/>
              </w:rPr>
              <w:t>本评价不对其进行定量分析及评价。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5 \* GB3 \* MERGEFORMAT </w:instrText>
            </w:r>
            <w:r>
              <w:rPr>
                <w:rFonts w:hint="eastAsia"/>
                <w:sz w:val="24"/>
                <w:szCs w:val="24"/>
                <w:lang w:val="en-US" w:eastAsia="zh-CN"/>
              </w:rPr>
              <w:fldChar w:fldCharType="separate"/>
            </w:r>
            <w:r>
              <w:t>⑤</w:t>
            </w:r>
            <w:r>
              <w:rPr>
                <w:rFonts w:hint="eastAsia"/>
                <w:sz w:val="24"/>
                <w:szCs w:val="24"/>
                <w:lang w:val="en-US" w:eastAsia="zh-CN"/>
              </w:rPr>
              <w:fldChar w:fldCharType="end"/>
            </w:r>
            <w:r>
              <w:rPr>
                <w:rFonts w:hint="eastAsia"/>
                <w:sz w:val="24"/>
                <w:szCs w:val="24"/>
                <w:lang w:val="en-US" w:eastAsia="zh-CN"/>
              </w:rPr>
              <w:t>危废暂存间产生的非甲烷总烃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本项目危险废物暂存间暂存废油液过程中会产生的少量非甲烷总烃，废油液的暂存量为96.8t/a，废气产生量以贮存量的1‰计，故危废暂存过程中非甲烷总烃产生量约为0.0968t/a。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sz w:val="24"/>
                <w:szCs w:val="24"/>
                <w:lang w:val="en-US" w:eastAsia="zh-CN"/>
              </w:rPr>
              <w:t>项目拟在该危废间设置</w:t>
            </w:r>
            <w:r>
              <w:rPr>
                <w:rFonts w:hint="eastAsia" w:ascii="Times New Roman" w:hAnsi="Times New Roman"/>
                <w:sz w:val="24"/>
                <w:szCs w:val="24"/>
                <w:u w:val="none"/>
              </w:rPr>
              <w:t>引风管道</w:t>
            </w:r>
            <w:r>
              <w:rPr>
                <w:rFonts w:hint="eastAsia"/>
                <w:sz w:val="24"/>
                <w:szCs w:val="24"/>
                <w:lang w:val="en-US" w:eastAsia="zh-CN"/>
              </w:rPr>
              <w:t>收集后引至活性炭吸附装置净化处理后</w:t>
            </w:r>
            <w:r>
              <w:rPr>
                <w:rFonts w:hint="default" w:ascii="Times New Roman" w:hAnsi="Times New Roman" w:eastAsia="宋体" w:cs="Times New Roman"/>
                <w:sz w:val="24"/>
                <w:lang w:eastAsia="zh-CN"/>
              </w:rPr>
              <w:t>与</w:t>
            </w:r>
            <w:r>
              <w:rPr>
                <w:rFonts w:hint="default" w:ascii="Times New Roman" w:hAnsi="Times New Roman" w:cs="Times New Roman"/>
                <w:b w:val="0"/>
                <w:bCs w:val="0"/>
                <w:sz w:val="24"/>
                <w:szCs w:val="24"/>
                <w:lang w:val="en-US" w:eastAsia="zh-CN"/>
              </w:rPr>
              <w:t>废油液挥发废气</w:t>
            </w:r>
            <w:r>
              <w:rPr>
                <w:rFonts w:hint="default" w:ascii="Times New Roman" w:hAnsi="Times New Roman" w:eastAsia="宋体" w:cs="Times New Roman"/>
                <w:sz w:val="24"/>
                <w:lang w:eastAsia="zh-CN"/>
              </w:rPr>
              <w:t>一并经15m高排气筒排放</w:t>
            </w:r>
            <w:r>
              <w:rPr>
                <w:rFonts w:hint="eastAsia"/>
                <w:sz w:val="24"/>
                <w:szCs w:val="24"/>
                <w:lang w:val="en-US" w:eastAsia="zh-CN"/>
              </w:rPr>
              <w:t>，集气效率为80%，活性炭吸附装置处理效率为80%，风机风量为2000m</w:t>
            </w:r>
            <w:r>
              <w:rPr>
                <w:rFonts w:hint="eastAsia"/>
                <w:sz w:val="24"/>
                <w:szCs w:val="24"/>
                <w:vertAlign w:val="superscript"/>
                <w:lang w:val="en-US" w:eastAsia="zh-CN"/>
              </w:rPr>
              <w:t>3</w:t>
            </w:r>
            <w:r>
              <w:rPr>
                <w:rFonts w:hint="eastAsia"/>
                <w:sz w:val="24"/>
                <w:szCs w:val="24"/>
                <w:lang w:val="en-US" w:eastAsia="zh-CN"/>
              </w:rPr>
              <w:t>/h，则非甲烷总烃有组织排放量为0.0155t/a，排放速率0.002kg/h，排放浓度为0.98mg/m</w:t>
            </w:r>
            <w:r>
              <w:rPr>
                <w:rFonts w:hint="eastAsia"/>
                <w:sz w:val="24"/>
                <w:szCs w:val="24"/>
                <w:vertAlign w:val="superscript"/>
                <w:lang w:val="en-US" w:eastAsia="zh-CN"/>
              </w:rPr>
              <w:t>3</w:t>
            </w:r>
            <w:r>
              <w:rPr>
                <w:rFonts w:hint="eastAsia"/>
                <w:sz w:val="24"/>
                <w:szCs w:val="24"/>
                <w:lang w:val="en-US" w:eastAsia="zh-CN"/>
              </w:rPr>
              <w:t>。未收集的无组织排放量为0.0194t/a，排放速率0.0024kg/h。</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default"/>
                <w:b/>
                <w:bCs/>
                <w:lang w:val="en-US" w:eastAsia="zh-CN"/>
              </w:rPr>
            </w:pPr>
            <w:r>
              <w:rPr>
                <w:rFonts w:hint="eastAsia"/>
                <w:b/>
                <w:bCs/>
                <w:sz w:val="24"/>
                <w:szCs w:val="24"/>
                <w:lang w:val="en-US" w:eastAsia="zh-CN"/>
              </w:rPr>
              <w:t>1.2废钢铁加工</w:t>
            </w:r>
          </w:p>
          <w:p>
            <w:pPr>
              <w:keepNext w:val="0"/>
              <w:keepLines w:val="0"/>
              <w:pageBreakBefore w:val="0"/>
              <w:widowControl w:val="0"/>
              <w:numPr>
                <w:ilvl w:val="0"/>
                <w:numId w:val="0"/>
              </w:numPr>
              <w:kinsoku/>
              <w:wordWrap/>
              <w:overflowPunct/>
              <w:topLinePunct w:val="0"/>
              <w:autoSpaceDE/>
              <w:autoSpaceDN/>
              <w:bidi w:val="0"/>
              <w:spacing w:line="360" w:lineRule="auto"/>
              <w:ind w:left="630" w:leftChars="0"/>
              <w:textAlignment w:val="auto"/>
              <w:rPr>
                <w:rFonts w:hint="default" w:ascii="Times New Roman" w:hAnsi="Times New Roman" w:cs="Times New Roman"/>
                <w:sz w:val="24"/>
                <w:szCs w:val="24"/>
              </w:rPr>
            </w:pPr>
            <w:r>
              <w:rPr>
                <w:rFonts w:hint="default" w:ascii="Times New Roman" w:hAnsi="Times New Roman" w:cs="Times New Roman"/>
                <w:sz w:val="24"/>
                <w:szCs w:val="24"/>
              </w:rPr>
              <w:t>①</w:t>
            </w:r>
            <w:r>
              <w:rPr>
                <w:rFonts w:hint="default" w:ascii="Times New Roman" w:hAnsi="Times New Roman" w:eastAsia="宋体" w:cs="Times New Roman"/>
                <w:b w:val="0"/>
                <w:bCs w:val="0"/>
                <w:sz w:val="24"/>
                <w:szCs w:val="24"/>
                <w:lang w:val="en-US" w:eastAsia="zh-CN"/>
              </w:rPr>
              <w:t>金属粉尘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vertAlign w:val="baseline"/>
                <w:lang w:val="en-US" w:eastAsia="zh-CN"/>
              </w:rPr>
            </w:pPr>
            <w:r>
              <w:rPr>
                <w:rFonts w:hint="eastAsia" w:ascii="Times New Roman" w:hAnsi="Times New Roman" w:eastAsia="宋体" w:cs="Times New Roman"/>
                <w:b w:val="0"/>
                <w:bCs w:val="0"/>
                <w:color w:val="auto"/>
                <w:sz w:val="24"/>
                <w:szCs w:val="24"/>
                <w:vertAlign w:val="baseline"/>
                <w:lang w:val="en-US" w:eastAsia="zh-CN"/>
              </w:rPr>
              <w:t>项目在废钢加工工艺中所使用的</w:t>
            </w:r>
            <w:r>
              <w:rPr>
                <w:rFonts w:hint="default" w:ascii="Times New Roman" w:hAnsi="Times New Roman" w:eastAsia="宋体" w:cs="Times New Roman"/>
                <w:b w:val="0"/>
                <w:bCs w:val="0"/>
                <w:color w:val="auto"/>
                <w:sz w:val="24"/>
                <w:szCs w:val="24"/>
                <w:vertAlign w:val="baseline"/>
                <w:lang w:val="en-US" w:eastAsia="zh-CN"/>
              </w:rPr>
              <w:t>原料来自收购的废钢</w:t>
            </w:r>
            <w:r>
              <w:rPr>
                <w:rFonts w:hint="eastAsia" w:ascii="Times New Roman" w:hAnsi="Times New Roman" w:cs="Times New Roman"/>
                <w:b w:val="0"/>
                <w:bCs w:val="0"/>
                <w:color w:val="auto"/>
                <w:sz w:val="24"/>
                <w:szCs w:val="24"/>
                <w:vertAlign w:val="baseline"/>
                <w:lang w:val="en-US" w:eastAsia="zh-CN"/>
              </w:rPr>
              <w:t>及报废机动车拆解产生的废钢</w:t>
            </w:r>
            <w:r>
              <w:rPr>
                <w:rFonts w:hint="default" w:ascii="Times New Roman" w:hAnsi="Times New Roman" w:eastAsia="宋体" w:cs="Times New Roman"/>
                <w:b w:val="0"/>
                <w:bCs w:val="0"/>
                <w:color w:val="auto"/>
                <w:sz w:val="24"/>
                <w:szCs w:val="24"/>
                <w:vertAlign w:val="baseline"/>
                <w:lang w:val="en-US" w:eastAsia="zh-CN"/>
              </w:rPr>
              <w:t>，</w:t>
            </w:r>
            <w:r>
              <w:rPr>
                <w:rFonts w:hint="eastAsia" w:ascii="Times New Roman" w:hAnsi="Times New Roman" w:cs="Times New Roman"/>
                <w:b w:val="0"/>
                <w:bCs w:val="0"/>
                <w:color w:val="auto"/>
                <w:sz w:val="24"/>
                <w:szCs w:val="24"/>
                <w:vertAlign w:val="baseline"/>
                <w:lang w:val="en-US" w:eastAsia="zh-CN"/>
              </w:rPr>
              <w:t>项目在剪切过程中会产生金属粉尘，</w:t>
            </w:r>
            <w:r>
              <w:rPr>
                <w:rFonts w:hint="default" w:ascii="Times New Roman" w:hAnsi="Times New Roman" w:eastAsia="宋体" w:cs="Times New Roman"/>
                <w:b w:val="0"/>
                <w:bCs w:val="0"/>
                <w:color w:val="auto"/>
                <w:sz w:val="24"/>
                <w:szCs w:val="24"/>
                <w:vertAlign w:val="baseline"/>
                <w:lang w:val="en-US" w:eastAsia="zh-CN"/>
              </w:rPr>
              <w:t>项目需要</w:t>
            </w:r>
            <w:r>
              <w:rPr>
                <w:rFonts w:hint="eastAsia" w:ascii="Times New Roman" w:hAnsi="Times New Roman" w:cs="Times New Roman"/>
                <w:b w:val="0"/>
                <w:bCs w:val="0"/>
                <w:color w:val="auto"/>
                <w:sz w:val="24"/>
                <w:szCs w:val="24"/>
                <w:vertAlign w:val="baseline"/>
                <w:lang w:val="en-US" w:eastAsia="zh-CN"/>
              </w:rPr>
              <w:t>剪切</w:t>
            </w:r>
            <w:r>
              <w:rPr>
                <w:rFonts w:hint="default" w:ascii="Times New Roman" w:hAnsi="Times New Roman" w:eastAsia="宋体" w:cs="Times New Roman"/>
                <w:b w:val="0"/>
                <w:bCs w:val="0"/>
                <w:color w:val="auto"/>
                <w:sz w:val="24"/>
                <w:szCs w:val="24"/>
                <w:vertAlign w:val="baseline"/>
                <w:lang w:val="en-US" w:eastAsia="zh-CN"/>
              </w:rPr>
              <w:t>的废钢量为</w:t>
            </w:r>
            <w:r>
              <w:rPr>
                <w:rFonts w:hint="eastAsia" w:ascii="Times New Roman" w:hAnsi="Times New Roman" w:eastAsia="宋体" w:cs="Times New Roman"/>
                <w:b w:val="0"/>
                <w:bCs w:val="0"/>
                <w:color w:val="auto"/>
                <w:sz w:val="24"/>
                <w:szCs w:val="24"/>
                <w:vertAlign w:val="baseline"/>
                <w:lang w:val="en-US" w:eastAsia="zh-CN"/>
              </w:rPr>
              <w:t>14</w:t>
            </w:r>
            <w:r>
              <w:rPr>
                <w:rFonts w:hint="default" w:ascii="Times New Roman" w:hAnsi="Times New Roman" w:eastAsia="宋体" w:cs="Times New Roman"/>
                <w:b w:val="0"/>
                <w:bCs w:val="0"/>
                <w:color w:val="auto"/>
                <w:sz w:val="24"/>
                <w:szCs w:val="24"/>
                <w:vertAlign w:val="baseline"/>
                <w:lang w:val="en-US" w:eastAsia="zh-CN"/>
              </w:rPr>
              <w:t>万吨/年，类比同类型企业数据，废钢</w:t>
            </w:r>
            <w:r>
              <w:rPr>
                <w:rFonts w:hint="eastAsia" w:ascii="Times New Roman" w:hAnsi="Times New Roman" w:eastAsia="宋体" w:cs="Times New Roman"/>
                <w:b w:val="0"/>
                <w:bCs w:val="0"/>
                <w:color w:val="auto"/>
                <w:sz w:val="24"/>
                <w:szCs w:val="24"/>
                <w:vertAlign w:val="baseline"/>
                <w:lang w:val="en-US" w:eastAsia="zh-CN"/>
              </w:rPr>
              <w:t>剪切</w:t>
            </w:r>
            <w:r>
              <w:rPr>
                <w:rFonts w:hint="default" w:ascii="Times New Roman" w:hAnsi="Times New Roman" w:eastAsia="宋体" w:cs="Times New Roman"/>
                <w:b w:val="0"/>
                <w:bCs w:val="0"/>
                <w:color w:val="auto"/>
                <w:sz w:val="24"/>
                <w:szCs w:val="24"/>
                <w:vertAlign w:val="baseline"/>
                <w:lang w:val="en-US" w:eastAsia="zh-CN"/>
              </w:rPr>
              <w:t>过程</w:t>
            </w:r>
            <w:r>
              <w:rPr>
                <w:rFonts w:hint="eastAsia" w:ascii="Times New Roman" w:hAnsi="Times New Roman" w:eastAsia="宋体" w:cs="Times New Roman"/>
                <w:b w:val="0"/>
                <w:bCs w:val="0"/>
                <w:color w:val="auto"/>
                <w:sz w:val="24"/>
                <w:szCs w:val="24"/>
                <w:vertAlign w:val="baseline"/>
                <w:lang w:val="en-US" w:eastAsia="zh-CN"/>
              </w:rPr>
              <w:t>中</w:t>
            </w:r>
            <w:r>
              <w:rPr>
                <w:rFonts w:hint="default" w:ascii="Times New Roman" w:hAnsi="Times New Roman" w:eastAsia="宋体" w:cs="Times New Roman"/>
                <w:b w:val="0"/>
                <w:bCs w:val="0"/>
                <w:color w:val="auto"/>
                <w:sz w:val="24"/>
                <w:szCs w:val="24"/>
                <w:vertAlign w:val="baseline"/>
                <w:lang w:val="en-US" w:eastAsia="zh-CN"/>
              </w:rPr>
              <w:t>颗粒物的产生量为原料用量的</w:t>
            </w:r>
            <w:r>
              <w:rPr>
                <w:rFonts w:hint="eastAsia" w:ascii="Times New Roman" w:hAnsi="Times New Roman" w:eastAsia="宋体" w:cs="Times New Roman"/>
                <w:b w:val="0"/>
                <w:bCs w:val="0"/>
                <w:color w:val="auto"/>
                <w:sz w:val="24"/>
                <w:szCs w:val="24"/>
                <w:vertAlign w:val="baseline"/>
                <w:lang w:val="en-US" w:eastAsia="zh-CN"/>
              </w:rPr>
              <w:t>0.001%，则剪切过程中颗粒物的产生量约为1.4t/a。</w:t>
            </w:r>
            <w:r>
              <w:rPr>
                <w:rFonts w:hint="eastAsia" w:ascii="Times New Roman" w:hAnsi="Times New Roman" w:cs="Times New Roman"/>
                <w:b w:val="0"/>
                <w:bCs w:val="0"/>
                <w:color w:val="auto"/>
                <w:sz w:val="24"/>
                <w:szCs w:val="24"/>
                <w:vertAlign w:val="baseline"/>
                <w:lang w:val="en-US" w:eastAsia="zh-CN"/>
              </w:rPr>
              <w:t>金属</w:t>
            </w:r>
            <w:r>
              <w:rPr>
                <w:rFonts w:hint="eastAsia" w:ascii="Times New Roman" w:hAnsi="Times New Roman" w:eastAsia="宋体" w:cs="Times New Roman"/>
                <w:b w:val="0"/>
                <w:bCs w:val="0"/>
                <w:color w:val="auto"/>
                <w:sz w:val="24"/>
                <w:szCs w:val="24"/>
                <w:vertAlign w:val="baseline"/>
                <w:lang w:val="en-US" w:eastAsia="zh-CN"/>
              </w:rPr>
              <w:t>粉尘经集气罩收集（收集效率约为90%）后，由引风机引至1套布袋除尘器处理（除尘效率85%），处理后由15m高排气筒排放。配套风机风量为5000m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 xml:space="preserve"> /h，</w:t>
            </w:r>
            <w:r>
              <w:rPr>
                <w:rFonts w:hint="eastAsia" w:eastAsia="宋体" w:cs="Times New Roman"/>
                <w:b w:val="0"/>
                <w:bCs w:val="0"/>
                <w:sz w:val="24"/>
                <w:szCs w:val="24"/>
                <w:lang w:val="en-US" w:eastAsia="zh-CN"/>
              </w:rPr>
              <w:t>按每天8h，年工作330天计</w:t>
            </w:r>
            <w:r>
              <w:rPr>
                <w:rFonts w:hint="eastAsia" w:ascii="Times New Roman" w:hAnsi="Times New Roman" w:eastAsia="宋体" w:cs="Times New Roman"/>
                <w:b w:val="0"/>
                <w:bCs w:val="0"/>
                <w:color w:val="auto"/>
                <w:sz w:val="24"/>
                <w:szCs w:val="24"/>
                <w:vertAlign w:val="baseline"/>
                <w:lang w:val="en-US" w:eastAsia="zh-CN"/>
              </w:rPr>
              <w:t>，</w:t>
            </w:r>
            <w:r>
              <w:rPr>
                <w:rFonts w:hint="eastAsia" w:eastAsia="宋体" w:cs="Times New Roman"/>
                <w:b w:val="0"/>
                <w:bCs w:val="0"/>
                <w:sz w:val="24"/>
                <w:szCs w:val="24"/>
                <w:lang w:val="en-US" w:eastAsia="zh-CN"/>
              </w:rPr>
              <w:t>由此计算出金属粉尘的排放量为1.071t/a（排放速率为0.406kg/h），排放浓度为81.1mg/m</w:t>
            </w:r>
            <w:r>
              <w:rPr>
                <w:rFonts w:hint="eastAsia" w:eastAsia="宋体" w:cs="Times New Roman"/>
                <w:b w:val="0"/>
                <w:bCs w:val="0"/>
                <w:sz w:val="24"/>
                <w:szCs w:val="24"/>
                <w:vertAlign w:val="superscript"/>
                <w:lang w:val="en-US" w:eastAsia="zh-CN"/>
              </w:rPr>
              <w:t>3</w:t>
            </w:r>
            <w:r>
              <w:rPr>
                <w:rFonts w:hint="eastAsia" w:eastAsia="宋体" w:cs="Times New Roman"/>
                <w:b w:val="0"/>
                <w:bCs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rPr>
            </w:pPr>
            <w:r>
              <w:rPr>
                <w:rFonts w:hint="eastAsia" w:ascii="Times New Roman" w:hAnsi="Times New Roman" w:eastAsia="宋体" w:cs="Times New Roman"/>
                <w:b w:val="0"/>
                <w:bCs w:val="0"/>
                <w:color w:val="auto"/>
                <w:sz w:val="24"/>
                <w:szCs w:val="24"/>
                <w:vertAlign w:val="baseline"/>
                <w:lang w:val="en-US" w:eastAsia="zh-CN"/>
              </w:rPr>
              <w:t>排放标准的浓度和速率分别为120mg/m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、1.25kg/h。本项目有组织废气排放浓度</w:t>
            </w:r>
            <w:r>
              <w:rPr>
                <w:rFonts w:hint="eastAsia" w:eastAsia="宋体" w:cs="Times New Roman"/>
                <w:b w:val="0"/>
                <w:bCs w:val="0"/>
                <w:sz w:val="24"/>
                <w:szCs w:val="24"/>
                <w:lang w:val="en-US" w:eastAsia="zh-CN"/>
              </w:rPr>
              <w:t>81.1</w:t>
            </w:r>
            <w:r>
              <w:rPr>
                <w:rFonts w:hint="eastAsia" w:ascii="Times New Roman" w:hAnsi="Times New Roman" w:eastAsia="宋体" w:cs="Times New Roman"/>
                <w:b w:val="0"/>
                <w:bCs w:val="0"/>
                <w:color w:val="auto"/>
                <w:sz w:val="24"/>
                <w:szCs w:val="24"/>
                <w:vertAlign w:val="baseline"/>
                <w:lang w:val="en-US" w:eastAsia="zh-CN"/>
              </w:rPr>
              <w:t>mg/m</w:t>
            </w:r>
            <w:r>
              <w:rPr>
                <w:rFonts w:hint="eastAsia" w:ascii="Times New Roman" w:hAnsi="Times New Roman" w:eastAsia="宋体" w:cs="Times New Roman"/>
                <w:b w:val="0"/>
                <w:bCs w:val="0"/>
                <w:color w:val="auto"/>
                <w:sz w:val="24"/>
                <w:szCs w:val="24"/>
                <w:vertAlign w:val="superscript"/>
                <w:lang w:val="en-US" w:eastAsia="zh-CN"/>
              </w:rPr>
              <w:t>3</w:t>
            </w:r>
            <w:r>
              <w:rPr>
                <w:rFonts w:hint="eastAsia" w:ascii="Times New Roman" w:hAnsi="Times New Roman" w:eastAsia="宋体" w:cs="Times New Roman"/>
                <w:b w:val="0"/>
                <w:bCs w:val="0"/>
                <w:color w:val="auto"/>
                <w:sz w:val="24"/>
                <w:szCs w:val="24"/>
                <w:vertAlign w:val="baseline"/>
                <w:lang w:val="en-US" w:eastAsia="zh-CN"/>
              </w:rPr>
              <w:t>，排放速率为0.406kg/h，满足《大气污染物综合排放》（GB16297-1996）二级排放标准的要求。另有10%的金属粉尘未被收集至集气罩，由于该类颗粒物主要成分为铁，其密度较大，基本在产生源附近1-2m就沉降至地面，且项目车间为标准厂房，除进出口外均密闭，故基本在车间内沉降，约5%的粉尘无组织逸散至车间外，则无组织粉尘产生量及产生速率为0.14t/a，0.053kg/h，经自然沉降及车间阻隔后，排放量及排放速率为0.07t/a，0.027kg/h。</w:t>
            </w:r>
          </w:p>
          <w:p>
            <w:pPr>
              <w:spacing w:line="360" w:lineRule="auto"/>
              <w:ind w:firstLine="482" w:firstLineChars="200"/>
              <w:rPr>
                <w:rFonts w:hint="eastAsia"/>
                <w:sz w:val="24"/>
                <w:szCs w:val="24"/>
                <w:lang w:val="en-US" w:eastAsia="zh-CN"/>
              </w:rPr>
            </w:pPr>
            <w:r>
              <w:rPr>
                <w:rFonts w:hint="eastAsia"/>
                <w:b/>
                <w:bCs/>
                <w:sz w:val="24"/>
                <w:szCs w:val="24"/>
                <w:lang w:val="en-US" w:eastAsia="zh-CN"/>
              </w:rPr>
              <w:t>1.3食堂油烟</w:t>
            </w:r>
          </w:p>
          <w:p>
            <w:pPr>
              <w:spacing w:line="360" w:lineRule="auto"/>
              <w:ind w:firstLine="480" w:firstLineChars="200"/>
              <w:rPr>
                <w:rFonts w:hint="eastAsia" w:ascii="Calibri" w:hAnsi="Calibri" w:eastAsia="宋体" w:cs="Times New Roman"/>
                <w:b w:val="0"/>
                <w:bCs w:val="0"/>
                <w:sz w:val="24"/>
                <w:szCs w:val="24"/>
                <w:lang w:val="en-US" w:eastAsia="zh-CN"/>
              </w:rPr>
            </w:pPr>
            <w:r>
              <w:rPr>
                <w:rFonts w:hint="eastAsia"/>
                <w:b w:val="0"/>
                <w:bCs w:val="0"/>
                <w:sz w:val="24"/>
                <w:szCs w:val="24"/>
                <w:lang w:val="en-US" w:eastAsia="zh-CN"/>
              </w:rPr>
              <w:t>根据建设单位提供的资料，本项目设置1个食堂，食堂内设置3个炒菜炉头，安装1套风量为5000m</w:t>
            </w:r>
            <w:r>
              <w:rPr>
                <w:rFonts w:hint="eastAsia"/>
                <w:b w:val="0"/>
                <w:bCs w:val="0"/>
                <w:sz w:val="24"/>
                <w:szCs w:val="24"/>
                <w:vertAlign w:val="superscript"/>
                <w:lang w:val="en-US" w:eastAsia="zh-CN"/>
              </w:rPr>
              <w:t>3</w:t>
            </w:r>
            <w:r>
              <w:rPr>
                <w:rFonts w:hint="eastAsia"/>
                <w:b w:val="0"/>
                <w:bCs w:val="0"/>
                <w:sz w:val="24"/>
                <w:szCs w:val="24"/>
                <w:lang w:val="en-US" w:eastAsia="zh-CN"/>
              </w:rPr>
              <w:t>/h 的油烟净化设备(油烟去除率80%以上)，年工作时间330天，每天使用5小时，以液化气为燃料。由于液化气属于清洁能源，产生的废气污染物很少。因此，食堂油烟中主要成分是动植物油烟。项目劳动定员50人，每人每天食用油消耗量按30g计算，油品挥发率取3%，则厨房油烟产生量约为0.045kg/d、14.85kg/a。油烟经净化设施处理后排放量为0.0029t/a，排放速率为0.0017kg/h，排放浓度为0.35mg/m</w:t>
            </w:r>
            <w:r>
              <w:rPr>
                <w:rFonts w:hint="eastAsia"/>
                <w:b w:val="0"/>
                <w:bCs w:val="0"/>
                <w:sz w:val="24"/>
                <w:szCs w:val="24"/>
                <w:vertAlign w:val="superscript"/>
                <w:lang w:val="en-US" w:eastAsia="zh-CN"/>
              </w:rPr>
              <w:t>3</w:t>
            </w:r>
            <w:r>
              <w:rPr>
                <w:rFonts w:hint="eastAsia"/>
                <w:b w:val="0"/>
                <w:bCs w:val="0"/>
                <w:sz w:val="24"/>
                <w:szCs w:val="24"/>
                <w:lang w:val="en-US" w:eastAsia="zh-CN"/>
              </w:rPr>
              <w:t>。项目食堂油烟经处理后能达到《饮食业油烟排放标准》(GB18483-2001)排放标准(2mg/m</w:t>
            </w:r>
            <w:r>
              <w:rPr>
                <w:rFonts w:hint="eastAsia"/>
                <w:b w:val="0"/>
                <w:bCs w:val="0"/>
                <w:sz w:val="24"/>
                <w:szCs w:val="24"/>
                <w:vertAlign w:val="superscript"/>
                <w:lang w:val="en-US" w:eastAsia="zh-CN"/>
              </w:rPr>
              <w:t>3</w:t>
            </w:r>
            <w:r>
              <w:rPr>
                <w:rFonts w:hint="eastAsia"/>
                <w:b w:val="0"/>
                <w:bCs w:val="0"/>
                <w:sz w:val="24"/>
                <w:szCs w:val="24"/>
                <w:lang w:val="en-US" w:eastAsia="zh-CN"/>
              </w:rPr>
              <w:t>)限值要求</w:t>
            </w:r>
            <w:r>
              <w:rPr>
                <w:rFonts w:hint="eastAsia" w:ascii="Calibri" w:hAnsi="Calibri" w:eastAsia="宋体" w:cs="Times New Roman"/>
                <w:b w:val="0"/>
                <w:bCs w:val="0"/>
                <w:sz w:val="24"/>
                <w:szCs w:val="24"/>
                <w:lang w:val="en-US" w:eastAsia="zh-CN"/>
              </w:rPr>
              <w:t>。</w:t>
            </w:r>
          </w:p>
          <w:p>
            <w:pPr>
              <w:spacing w:line="360" w:lineRule="auto"/>
              <w:ind w:firstLine="480" w:firstLineChars="200"/>
              <w:rPr>
                <w:rFonts w:hint="eastAsia"/>
                <w:sz w:val="24"/>
                <w:szCs w:val="24"/>
                <w:lang w:eastAsia="zh-CN"/>
              </w:rPr>
            </w:pPr>
            <w:r>
              <w:rPr>
                <w:rFonts w:hint="eastAsia"/>
                <w:sz w:val="24"/>
                <w:szCs w:val="24"/>
              </w:rPr>
              <w:t>项目废气污染源核算结果及相关参数详见下表</w:t>
            </w:r>
            <w:r>
              <w:rPr>
                <w:rFonts w:hint="eastAsia"/>
                <w:sz w:val="24"/>
                <w:szCs w:val="24"/>
                <w:lang w:eastAsia="zh-CN"/>
              </w:rPr>
              <w:t>。</w:t>
            </w:r>
          </w:p>
          <w:p>
            <w:pPr>
              <w:pStyle w:val="4"/>
              <w:keepNext w:val="0"/>
              <w:keepLines w:val="0"/>
              <w:pageBreakBefore w:val="0"/>
              <w:widowControl/>
              <w:kinsoku/>
              <w:wordWrap/>
              <w:overflowPunct/>
              <w:topLinePunct w:val="0"/>
              <w:autoSpaceDE/>
              <w:autoSpaceDN/>
              <w:bidi w:val="0"/>
              <w:adjustRightInd/>
              <w:snapToGrid w:val="0"/>
              <w:spacing w:after="0" w:line="260" w:lineRule="auto"/>
              <w:ind w:right="113"/>
              <w:jc w:val="center"/>
              <w:textAlignment w:val="auto"/>
              <w:rPr>
                <w:rFonts w:hint="default"/>
                <w:b/>
                <w:bCs/>
                <w:sz w:val="21"/>
                <w:szCs w:val="21"/>
                <w:lang w:val="en-US" w:eastAsia="zh-CN"/>
              </w:rPr>
            </w:pPr>
            <w:r>
              <w:rPr>
                <w:rFonts w:hint="eastAsia"/>
                <w:b/>
                <w:bCs/>
                <w:sz w:val="21"/>
                <w:szCs w:val="21"/>
                <w:lang w:eastAsia="zh-CN"/>
              </w:rPr>
              <w:t>表4-1 项目大气污染物排放情况一览</w:t>
            </w:r>
            <w:r>
              <w:rPr>
                <w:rFonts w:hint="eastAsia"/>
                <w:b/>
                <w:bCs/>
                <w:sz w:val="21"/>
                <w:szCs w:val="21"/>
                <w:lang w:val="en-US" w:eastAsia="zh-CN"/>
              </w:rPr>
              <w:t>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324"/>
              <w:gridCol w:w="732"/>
              <w:gridCol w:w="578"/>
              <w:gridCol w:w="324"/>
              <w:gridCol w:w="324"/>
              <w:gridCol w:w="645"/>
              <w:gridCol w:w="530"/>
              <w:gridCol w:w="530"/>
              <w:gridCol w:w="326"/>
              <w:gridCol w:w="732"/>
              <w:gridCol w:w="634"/>
              <w:gridCol w:w="550"/>
              <w:gridCol w:w="542"/>
              <w:gridCol w:w="324"/>
              <w:gridCol w:w="325"/>
              <w:gridCol w:w="325"/>
              <w:gridCol w:w="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环</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节</w:t>
                  </w:r>
                </w:p>
              </w:tc>
              <w:tc>
                <w:tcPr>
                  <w:tcW w:w="1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rPr>
                    <w:t>种</w:t>
                  </w:r>
                  <w:r>
                    <w:rPr>
                      <w:rFonts w:hint="eastAsia"/>
                      <w:sz w:val="21"/>
                      <w:szCs w:val="21"/>
                      <w:vertAlign w:val="baseline"/>
                      <w:lang w:val="en-US" w:eastAsia="zh-CN"/>
                    </w:rPr>
                    <w:t>类</w:t>
                  </w:r>
                </w:p>
              </w:tc>
              <w:tc>
                <w:tcPr>
                  <w:tcW w:w="772"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污染物产生情况</w:t>
                  </w:r>
                </w:p>
              </w:tc>
              <w:tc>
                <w:tcPr>
                  <w:tcW w:w="1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形</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式</w:t>
                  </w:r>
                </w:p>
              </w:tc>
              <w:tc>
                <w:tcPr>
                  <w:tcW w:w="1388" w:type="pct"/>
                  <w:gridSpan w:val="5"/>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主要污染治理设施</w:t>
                  </w:r>
                </w:p>
              </w:tc>
              <w:tc>
                <w:tcPr>
                  <w:tcW w:w="1129"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污染物排放情况</w:t>
                  </w:r>
                </w:p>
              </w:tc>
              <w:tc>
                <w:tcPr>
                  <w:tcW w:w="31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rPr>
                    <w:t>编</w:t>
                  </w:r>
                  <w:r>
                    <w:rPr>
                      <w:rFonts w:hint="eastAsia"/>
                      <w:sz w:val="21"/>
                      <w:szCs w:val="21"/>
                      <w:vertAlign w:val="baseline"/>
                      <w:lang w:val="en-US" w:eastAsia="zh-CN"/>
                    </w:rPr>
                    <w:t>号</w:t>
                  </w:r>
                </w:p>
              </w:tc>
              <w:tc>
                <w:tcPr>
                  <w:tcW w:w="19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有组织排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rPr>
                    <w:t>放口名</w:t>
                  </w:r>
                </w:p>
              </w:tc>
              <w:tc>
                <w:tcPr>
                  <w:tcW w:w="19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sz w:val="21"/>
                      <w:szCs w:val="21"/>
                      <w:vertAlign w:val="baseline"/>
                    </w:rPr>
                  </w:pPr>
                  <w:r>
                    <w:rPr>
                      <w:rFonts w:hint="eastAsia"/>
                      <w:sz w:val="21"/>
                      <w:szCs w:val="21"/>
                      <w:vertAlign w:val="baseline"/>
                    </w:rPr>
                    <w:t>排放口设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置是否符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rPr>
                    <w:t>合要求</w:t>
                  </w:r>
                </w:p>
              </w:tc>
              <w:tc>
                <w:tcPr>
                  <w:tcW w:w="19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rPr>
                    <w:t>排放口类</w:t>
                  </w:r>
                </w:p>
              </w:tc>
              <w:tc>
                <w:tcPr>
                  <w:tcW w:w="24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1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产生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浓度（mg/m</w:t>
                  </w:r>
                  <w:r>
                    <w:rPr>
                      <w:rFonts w:hint="eastAsia"/>
                      <w:sz w:val="21"/>
                      <w:szCs w:val="21"/>
                      <w:vertAlign w:val="superscript"/>
                    </w:rPr>
                    <w:t>3</w:t>
                  </w:r>
                  <w:r>
                    <w:rPr>
                      <w:rFonts w:hint="eastAsia"/>
                      <w:sz w:val="21"/>
                      <w:szCs w:val="21"/>
                      <w:vertAlign w:val="baseline"/>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产生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量（t/a</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w:t>
                  </w:r>
                </w:p>
              </w:tc>
              <w:tc>
                <w:tcPr>
                  <w:tcW w:w="1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治理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措施</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处理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能力（m</w:t>
                  </w:r>
                  <w:r>
                    <w:rPr>
                      <w:rFonts w:hint="eastAsia"/>
                      <w:sz w:val="21"/>
                      <w:szCs w:val="21"/>
                      <w:vertAlign w:val="superscript"/>
                    </w:rPr>
                    <w:t>3</w:t>
                  </w:r>
                  <w:r>
                    <w:rPr>
                      <w:rFonts w:hint="eastAsia"/>
                      <w:sz w:val="21"/>
                      <w:szCs w:val="21"/>
                      <w:vertAlign w:val="baseline"/>
                    </w:rPr>
                    <w:t>/h）</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收集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eastAsia="zh-CN"/>
                    </w:rPr>
                  </w:pPr>
                  <w:r>
                    <w:rPr>
                      <w:rFonts w:hint="eastAsia"/>
                      <w:sz w:val="21"/>
                      <w:szCs w:val="21"/>
                      <w:vertAlign w:val="baseline"/>
                    </w:rPr>
                    <w:t>效率（%</w:t>
                  </w:r>
                  <w:r>
                    <w:rPr>
                      <w:rFonts w:hint="eastAsia"/>
                      <w:sz w:val="21"/>
                      <w:szCs w:val="21"/>
                      <w:vertAlign w:val="baseline"/>
                      <w:lang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去除</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效率</w:t>
                  </w:r>
                  <w:r>
                    <w:rPr>
                      <w:rFonts w:hint="eastAsia"/>
                      <w:sz w:val="21"/>
                      <w:szCs w:val="21"/>
                      <w:vertAlign w:val="baseline"/>
                      <w:lang w:eastAsia="zh-CN"/>
                    </w:rPr>
                    <w:t>（</w:t>
                  </w:r>
                  <w:r>
                    <w:rPr>
                      <w:rFonts w:hint="eastAsia"/>
                      <w:sz w:val="21"/>
                      <w:szCs w:val="21"/>
                      <w:vertAlign w:val="baseline"/>
                    </w:rPr>
                    <w:t>%</w:t>
                  </w:r>
                  <w:r>
                    <w:rPr>
                      <w:rFonts w:hint="eastAsia"/>
                      <w:sz w:val="21"/>
                      <w:szCs w:val="21"/>
                      <w:vertAlign w:val="baseline"/>
                      <w:lang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是否</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为可</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浓度（mg/m</w:t>
                  </w:r>
                  <w:r>
                    <w:rPr>
                      <w:rFonts w:hint="eastAsia"/>
                      <w:sz w:val="21"/>
                      <w:szCs w:val="21"/>
                      <w:vertAlign w:val="superscript"/>
                    </w:rPr>
                    <w:t>3</w:t>
                  </w:r>
                  <w:r>
                    <w:rPr>
                      <w:rFonts w:hint="eastAsia"/>
                      <w:sz w:val="21"/>
                      <w:szCs w:val="21"/>
                      <w:vertAlign w:val="baseline"/>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排放速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率（kg/h）</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排放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rPr>
                    <w:t>量（t/a）</w:t>
                  </w:r>
                </w:p>
              </w:tc>
              <w:tc>
                <w:tcPr>
                  <w:tcW w:w="31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19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19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19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c>
                <w:tcPr>
                  <w:tcW w:w="24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vMerge w:val="restar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eastAsia="宋体"/>
                      <w:kern w:val="2"/>
                      <w:sz w:val="21"/>
                      <w:szCs w:val="21"/>
                      <w:lang w:val="en-US" w:eastAsia="zh-CN" w:bidi="ar-SA"/>
                    </w:rPr>
                  </w:pPr>
                  <w:r>
                    <w:rPr>
                      <w:rFonts w:hint="eastAsia"/>
                      <w:sz w:val="21"/>
                      <w:szCs w:val="21"/>
                      <w:lang w:eastAsia="zh-CN"/>
                    </w:rPr>
                    <w:t>废油液废气</w:t>
                  </w:r>
                </w:p>
              </w:tc>
              <w:tc>
                <w:tcPr>
                  <w:tcW w:w="190" w:type="pct"/>
                  <w:vMerge w:val="restar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eastAsia="宋体"/>
                      <w:kern w:val="2"/>
                      <w:sz w:val="21"/>
                      <w:szCs w:val="21"/>
                      <w:lang w:val="en-US" w:eastAsia="zh-CN" w:bidi="ar-SA"/>
                    </w:rPr>
                  </w:pPr>
                  <w:r>
                    <w:rPr>
                      <w:rFonts w:hint="eastAsia"/>
                      <w:sz w:val="21"/>
                      <w:szCs w:val="21"/>
                      <w:lang w:eastAsia="zh-CN"/>
                    </w:rPr>
                    <w:t>非甲烷总烃</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0.12</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kern w:val="2"/>
                      <w:sz w:val="21"/>
                      <w:szCs w:val="21"/>
                      <w:vertAlign w:val="baseline"/>
                      <w:lang w:val="en-US" w:eastAsia="zh-CN" w:bidi="ar-SA"/>
                    </w:rPr>
                    <w:t>有</w:t>
                  </w:r>
                  <w:r>
                    <w:rPr>
                      <w:rFonts w:hint="eastAsia"/>
                      <w:sz w:val="21"/>
                      <w:szCs w:val="21"/>
                    </w:rPr>
                    <w:t>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集气罩+活性炭吸附</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5000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80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80</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是</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0.007</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0.0192</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sz w:val="21"/>
                      <w:szCs w:val="21"/>
                      <w:vertAlign w:val="baseline"/>
                      <w:lang w:val="en-US" w:eastAsia="zh-CN"/>
                    </w:rPr>
                    <w:t>DA001</w:t>
                  </w:r>
                </w:p>
              </w:tc>
              <w:tc>
                <w:tcPr>
                  <w:tcW w:w="1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kern w:val="2"/>
                      <w:sz w:val="21"/>
                      <w:szCs w:val="21"/>
                      <w:vertAlign w:val="baseline"/>
                      <w:lang w:val="en-US" w:eastAsia="zh-CN" w:bidi="ar-SA"/>
                    </w:rPr>
                  </w:pPr>
                  <w:r>
                    <w:rPr>
                      <w:rFonts w:hint="eastAsia" w:eastAsia="宋体"/>
                      <w:kern w:val="2"/>
                      <w:sz w:val="21"/>
                      <w:szCs w:val="21"/>
                      <w:lang w:val="en-US" w:eastAsia="zh-CN" w:bidi="ar-SA"/>
                    </w:rPr>
                    <w:t>废油液废气排放口</w:t>
                  </w:r>
                </w:p>
              </w:tc>
              <w:tc>
                <w:tcPr>
                  <w:tcW w:w="191"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kern w:val="2"/>
                      <w:sz w:val="21"/>
                      <w:szCs w:val="21"/>
                      <w:lang w:val="en-US" w:eastAsia="zh-CN" w:bidi="ar-SA"/>
                    </w:rPr>
                  </w:pPr>
                  <w:r>
                    <w:rPr>
                      <w:rFonts w:hint="eastAsia" w:eastAsia="宋体"/>
                      <w:kern w:val="2"/>
                      <w:sz w:val="21"/>
                      <w:szCs w:val="21"/>
                      <w:lang w:val="en-US" w:eastAsia="zh-CN" w:bidi="ar-SA"/>
                    </w:rPr>
                    <w:t>是</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sz w:val="21"/>
                      <w:szCs w:val="21"/>
                      <w:vertAlign w:val="baseline"/>
                      <w:lang w:val="en-US" w:eastAsia="zh-CN"/>
                    </w:rPr>
                  </w:pPr>
                  <w:r>
                    <w:rPr>
                      <w:rFonts w:hint="eastAsia"/>
                      <w:sz w:val="21"/>
                      <w:szCs w:val="21"/>
                      <w:vertAlign w:val="baseline"/>
                      <w:lang w:val="en-US" w:eastAsia="zh-CN"/>
                    </w:rPr>
                    <w:t>一般排放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口</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排气筒高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vMerge w:val="continue"/>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p>
              </w:tc>
              <w:tc>
                <w:tcPr>
                  <w:tcW w:w="190" w:type="pct"/>
                  <w:vMerge w:val="continue"/>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lang w:val="en-US" w:eastAsia="zh-CN" w:bidi="ar-SA"/>
                    </w:rPr>
                  </w:pPr>
                  <w:r>
                    <w:rPr>
                      <w:rFonts w:hint="eastAsia"/>
                      <w:sz w:val="21"/>
                      <w:szCs w:val="21"/>
                      <w:lang w:eastAsia="zh-CN"/>
                    </w:rPr>
                    <w:t>无组织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sz w:val="21"/>
                      <w:szCs w:val="21"/>
                      <w:vertAlign w:val="baseline"/>
                      <w:lang w:val="en-US" w:eastAsia="zh-CN"/>
                    </w:rPr>
                    <w:t>/</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0.009</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0.024</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r>
                    <w:rPr>
                      <w:rFonts w:hint="eastAsia"/>
                      <w:sz w:val="21"/>
                      <w:szCs w:val="21"/>
                      <w:lang w:eastAsia="zh-CN"/>
                    </w:rPr>
                    <w:t>拆解粉尘</w:t>
                  </w:r>
                </w:p>
              </w:tc>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r>
                    <w:rPr>
                      <w:rFonts w:hint="eastAsia"/>
                      <w:sz w:val="21"/>
                      <w:szCs w:val="21"/>
                      <w:lang w:eastAsia="zh-CN"/>
                    </w:rPr>
                    <w:t>颗粒物</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0.32</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lang w:eastAsia="zh-CN"/>
                    </w:rPr>
                  </w:pPr>
                  <w:r>
                    <w:rPr>
                      <w:rFonts w:hint="eastAsia"/>
                      <w:sz w:val="21"/>
                      <w:szCs w:val="21"/>
                      <w:lang w:eastAsia="zh-CN"/>
                    </w:rPr>
                    <w:t>无组织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0.024</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0.064</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kern w:val="2"/>
                      <w:sz w:val="21"/>
                      <w:szCs w:val="21"/>
                      <w:lang w:val="en-US" w:eastAsia="zh-CN" w:bidi="ar-SA"/>
                    </w:rPr>
                  </w:pPr>
                  <w:r>
                    <w:rPr>
                      <w:rFonts w:hint="eastAsia"/>
                      <w:sz w:val="21"/>
                      <w:szCs w:val="21"/>
                      <w:lang w:eastAsia="zh-CN"/>
                    </w:rPr>
                    <w:t>制冷剂</w:t>
                  </w:r>
                  <w:r>
                    <w:rPr>
                      <w:rFonts w:hint="eastAsia"/>
                      <w:sz w:val="21"/>
                      <w:szCs w:val="21"/>
                    </w:rPr>
                    <w:t>废气</w:t>
                  </w:r>
                </w:p>
              </w:tc>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eastAsia="宋体"/>
                      <w:kern w:val="2"/>
                      <w:sz w:val="21"/>
                      <w:szCs w:val="21"/>
                      <w:lang w:val="en-US" w:eastAsia="zh-CN" w:bidi="ar-SA"/>
                    </w:rPr>
                  </w:pPr>
                  <w:r>
                    <w:rPr>
                      <w:rFonts w:hint="eastAsia"/>
                      <w:sz w:val="21"/>
                      <w:szCs w:val="21"/>
                      <w:lang w:eastAsia="zh-CN"/>
                    </w:rPr>
                    <w:t>氟化物</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0.002</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lang w:eastAsia="zh-CN"/>
                    </w:rPr>
                    <w:t>无</w:t>
                  </w:r>
                  <w:r>
                    <w:rPr>
                      <w:rFonts w:hint="eastAsia"/>
                      <w:sz w:val="21"/>
                      <w:szCs w:val="21"/>
                    </w:rPr>
                    <w:t>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sz w:val="21"/>
                      <w:szCs w:val="21"/>
                      <w:vertAlign w:val="baseline"/>
                      <w:lang w:val="en-US" w:eastAsia="zh-CN"/>
                    </w:rPr>
                    <w:t>0.0007</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0.002</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kern w:val="2"/>
                      <w:sz w:val="21"/>
                      <w:szCs w:val="21"/>
                      <w:lang w:val="en-US" w:eastAsia="zh-CN" w:bidi="ar-SA"/>
                    </w:rPr>
                  </w:pPr>
                  <w:r>
                    <w:rPr>
                      <w:rFonts w:hint="eastAsia"/>
                      <w:sz w:val="21"/>
                      <w:szCs w:val="21"/>
                      <w:lang w:eastAsia="zh-CN"/>
                    </w:rPr>
                    <w:t>安全气囊引爆废气</w:t>
                  </w:r>
                </w:p>
              </w:tc>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kern w:val="2"/>
                      <w:sz w:val="21"/>
                      <w:szCs w:val="21"/>
                      <w:lang w:val="en-US" w:eastAsia="zh-CN" w:bidi="ar-SA"/>
                    </w:rPr>
                  </w:pPr>
                  <w:r>
                    <w:rPr>
                      <w:rFonts w:hint="eastAsia"/>
                      <w:sz w:val="21"/>
                      <w:szCs w:val="21"/>
                      <w:lang w:eastAsia="zh-CN"/>
                    </w:rPr>
                    <w:t>颗粒物</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少量</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lang w:val="en-US" w:eastAsia="zh-CN" w:bidi="ar-SA"/>
                    </w:rPr>
                  </w:pPr>
                  <w:r>
                    <w:rPr>
                      <w:rFonts w:hint="eastAsia"/>
                      <w:sz w:val="21"/>
                      <w:szCs w:val="21"/>
                      <w:lang w:eastAsia="zh-CN"/>
                    </w:rPr>
                    <w:t>无</w:t>
                  </w:r>
                  <w:r>
                    <w:rPr>
                      <w:rFonts w:hint="eastAsia"/>
                      <w:sz w:val="21"/>
                      <w:szCs w:val="21"/>
                    </w:rPr>
                    <w:t>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自带布袋装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置</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是</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少量</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vMerge w:val="restar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kern w:val="2"/>
                      <w:sz w:val="21"/>
                      <w:szCs w:val="21"/>
                      <w:lang w:val="en-US" w:eastAsia="zh-CN" w:bidi="ar-SA"/>
                    </w:rPr>
                  </w:pPr>
                  <w:r>
                    <w:rPr>
                      <w:rFonts w:hint="eastAsia"/>
                      <w:sz w:val="21"/>
                      <w:szCs w:val="21"/>
                      <w:lang w:val="en-US" w:eastAsia="zh-CN"/>
                    </w:rPr>
                    <w:t>危废暂存间</w:t>
                  </w:r>
                </w:p>
              </w:tc>
              <w:tc>
                <w:tcPr>
                  <w:tcW w:w="190" w:type="pct"/>
                  <w:vMerge w:val="restar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kern w:val="2"/>
                      <w:sz w:val="21"/>
                      <w:szCs w:val="21"/>
                      <w:lang w:val="en-US" w:eastAsia="zh-CN" w:bidi="ar-SA"/>
                    </w:rPr>
                  </w:pPr>
                  <w:r>
                    <w:rPr>
                      <w:rFonts w:hint="eastAsia"/>
                      <w:sz w:val="21"/>
                      <w:szCs w:val="21"/>
                      <w:lang w:val="en-US" w:eastAsia="zh-CN"/>
                    </w:rPr>
                    <w:t>非甲烷总烃</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0.0968</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lang w:val="en-US" w:eastAsia="zh-CN" w:bidi="ar-SA"/>
                    </w:rPr>
                  </w:pPr>
                  <w:r>
                    <w:rPr>
                      <w:rFonts w:hint="eastAsia"/>
                      <w:sz w:val="21"/>
                      <w:szCs w:val="21"/>
                      <w:lang w:eastAsia="zh-CN"/>
                    </w:rPr>
                    <w:t>有组织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eastAsia="宋体"/>
                      <w:sz w:val="21"/>
                      <w:szCs w:val="21"/>
                      <w:vertAlign w:val="baseline"/>
                      <w:lang w:val="en-US" w:eastAsia="zh-CN"/>
                    </w:rPr>
                    <w:t>集气罩+活性炭</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2000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80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80</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是</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0.98</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0.002</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0.0155</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DA001</w:t>
                  </w:r>
                </w:p>
              </w:tc>
              <w:tc>
                <w:tcPr>
                  <w:tcW w:w="1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kern w:val="2"/>
                      <w:sz w:val="21"/>
                      <w:szCs w:val="21"/>
                      <w:vertAlign w:val="baseline"/>
                      <w:lang w:val="en-US" w:eastAsia="zh-CN" w:bidi="ar-SA"/>
                    </w:rPr>
                  </w:pPr>
                  <w:r>
                    <w:rPr>
                      <w:rFonts w:hint="eastAsia" w:eastAsia="宋体"/>
                      <w:kern w:val="2"/>
                      <w:sz w:val="21"/>
                      <w:szCs w:val="21"/>
                      <w:lang w:val="en-US" w:eastAsia="zh-CN" w:bidi="ar-SA"/>
                    </w:rPr>
                    <w:t>废油液废气排放口</w:t>
                  </w:r>
                </w:p>
              </w:tc>
              <w:tc>
                <w:tcPr>
                  <w:tcW w:w="191"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kern w:val="2"/>
                      <w:sz w:val="21"/>
                      <w:szCs w:val="21"/>
                      <w:lang w:val="en-US" w:eastAsia="zh-CN" w:bidi="ar-SA"/>
                    </w:rPr>
                  </w:pPr>
                  <w:r>
                    <w:rPr>
                      <w:rFonts w:hint="eastAsia" w:eastAsia="宋体"/>
                      <w:kern w:val="2"/>
                      <w:sz w:val="21"/>
                      <w:szCs w:val="21"/>
                      <w:lang w:val="en-US" w:eastAsia="zh-CN" w:bidi="ar-SA"/>
                    </w:rPr>
                    <w:t>是</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sz w:val="21"/>
                      <w:szCs w:val="21"/>
                      <w:vertAlign w:val="baseline"/>
                      <w:lang w:val="en-US" w:eastAsia="zh-CN"/>
                    </w:rPr>
                  </w:pPr>
                  <w:r>
                    <w:rPr>
                      <w:rFonts w:hint="eastAsia"/>
                      <w:sz w:val="21"/>
                      <w:szCs w:val="21"/>
                      <w:vertAlign w:val="baseline"/>
                      <w:lang w:val="en-US" w:eastAsia="zh-CN"/>
                    </w:rPr>
                    <w:t>一般排放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口</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排气筒高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vMerge w:val="continue"/>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p>
              </w:tc>
              <w:tc>
                <w:tcPr>
                  <w:tcW w:w="190" w:type="pct"/>
                  <w:vMerge w:val="continue"/>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lang w:val="en-US" w:eastAsia="zh-CN" w:bidi="ar-SA"/>
                    </w:rPr>
                  </w:pPr>
                  <w:r>
                    <w:rPr>
                      <w:rFonts w:hint="eastAsia"/>
                      <w:sz w:val="21"/>
                      <w:szCs w:val="21"/>
                      <w:lang w:eastAsia="zh-CN"/>
                    </w:rPr>
                    <w:t>无组织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sz w:val="21"/>
                      <w:szCs w:val="21"/>
                      <w:vertAlign w:val="baseline"/>
                      <w:lang w:val="en-US" w:eastAsia="zh-CN"/>
                    </w:rPr>
                    <w:t>/</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0.0024</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0.0194</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2"/>
                      <w:sz w:val="21"/>
                      <w:szCs w:val="21"/>
                      <w:lang w:val="en-US" w:eastAsia="zh-CN" w:bidi="ar-SA"/>
                    </w:rPr>
                  </w:pPr>
                  <w:r>
                    <w:rPr>
                      <w:rFonts w:hint="eastAsia" w:eastAsia="宋体"/>
                      <w:kern w:val="2"/>
                      <w:sz w:val="21"/>
                      <w:szCs w:val="21"/>
                      <w:lang w:val="en-US" w:eastAsia="zh-CN" w:bidi="ar-SA"/>
                    </w:rPr>
                    <w:t>/</w:t>
                  </w:r>
                </w:p>
              </w:tc>
              <w:tc>
                <w:tcPr>
                  <w:tcW w:w="191"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kern w:val="2"/>
                      <w:sz w:val="21"/>
                      <w:szCs w:val="21"/>
                      <w:lang w:val="en-US" w:eastAsia="zh-CN" w:bidi="ar-SA"/>
                    </w:rPr>
                  </w:pPr>
                  <w:r>
                    <w:rPr>
                      <w:rFonts w:hint="eastAsia" w:eastAsia="宋体"/>
                      <w:kern w:val="2"/>
                      <w:sz w:val="21"/>
                      <w:szCs w:val="21"/>
                      <w:lang w:val="en-US" w:eastAsia="zh-CN" w:bidi="ar-SA"/>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190" w:type="pct"/>
                  <w:vMerge w:val="restar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r>
                    <w:rPr>
                      <w:rFonts w:hint="eastAsia"/>
                      <w:sz w:val="21"/>
                      <w:szCs w:val="21"/>
                      <w:lang w:val="en-US" w:eastAsia="zh-CN"/>
                    </w:rPr>
                    <w:t>废钢铁加工</w:t>
                  </w:r>
                </w:p>
              </w:tc>
              <w:tc>
                <w:tcPr>
                  <w:tcW w:w="190" w:type="pct"/>
                  <w:vMerge w:val="restar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r>
                    <w:rPr>
                      <w:rFonts w:hint="eastAsia"/>
                      <w:sz w:val="21"/>
                      <w:szCs w:val="21"/>
                      <w:lang w:eastAsia="zh-CN"/>
                    </w:rPr>
                    <w:t>颗粒物</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1.4</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有组织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集尘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罩+</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布袋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除尘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器</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5000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90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85</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kern w:val="2"/>
                      <w:sz w:val="21"/>
                      <w:szCs w:val="21"/>
                      <w:vertAlign w:val="baseline"/>
                      <w:lang w:val="en-US" w:eastAsia="zh-CN" w:bidi="ar-SA"/>
                    </w:rPr>
                  </w:pPr>
                  <w:r>
                    <w:rPr>
                      <w:rFonts w:hint="eastAsia"/>
                      <w:kern w:val="2"/>
                      <w:sz w:val="21"/>
                      <w:szCs w:val="21"/>
                      <w:vertAlign w:val="baseline"/>
                      <w:lang w:val="en-US" w:eastAsia="zh-CN" w:bidi="ar-SA"/>
                    </w:rPr>
                    <w:t>是</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kern w:val="2"/>
                      <w:sz w:val="21"/>
                      <w:szCs w:val="21"/>
                      <w:vertAlign w:val="baseline"/>
                      <w:lang w:val="en-US" w:eastAsia="zh-CN" w:bidi="ar-SA"/>
                    </w:rPr>
                    <w:t>81.1</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0.406</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default"/>
                      <w:sz w:val="21"/>
                      <w:szCs w:val="21"/>
                      <w:vertAlign w:val="baseline"/>
                      <w:lang w:val="en-US" w:eastAsia="zh-CN"/>
                    </w:rPr>
                    <w:t>1.071</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eastAsia="宋体"/>
                      <w:sz w:val="21"/>
                      <w:szCs w:val="21"/>
                      <w:vertAlign w:val="baseline"/>
                      <w:lang w:val="en-US" w:eastAsia="zh-CN"/>
                    </w:rPr>
                    <w:t>DA002</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sz w:val="21"/>
                      <w:szCs w:val="21"/>
                      <w:vertAlign w:val="baseline"/>
                      <w:lang w:val="en-US" w:eastAsia="zh-CN"/>
                    </w:rPr>
                  </w:pPr>
                  <w:r>
                    <w:rPr>
                      <w:rFonts w:hint="eastAsia"/>
                      <w:sz w:val="21"/>
                      <w:szCs w:val="21"/>
                      <w:lang w:val="en-US" w:eastAsia="zh-CN"/>
                    </w:rPr>
                    <w:t>废钢铁废气</w:t>
                  </w:r>
                </w:p>
              </w:tc>
              <w:tc>
                <w:tcPr>
                  <w:tcW w:w="191" w:type="pc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kern w:val="2"/>
                      <w:sz w:val="21"/>
                      <w:szCs w:val="21"/>
                      <w:lang w:val="en-US" w:eastAsia="zh-CN" w:bidi="ar-SA"/>
                    </w:rPr>
                  </w:pPr>
                  <w:r>
                    <w:rPr>
                      <w:rFonts w:hint="eastAsia" w:eastAsia="宋体"/>
                      <w:kern w:val="2"/>
                      <w:sz w:val="21"/>
                      <w:szCs w:val="21"/>
                      <w:lang w:val="en-US" w:eastAsia="zh-CN" w:bidi="ar-SA"/>
                    </w:rPr>
                    <w:t>是</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rPr>
                      <w:rFonts w:hint="eastAsia"/>
                      <w:sz w:val="21"/>
                      <w:szCs w:val="21"/>
                      <w:vertAlign w:val="baseline"/>
                      <w:lang w:val="en-US" w:eastAsia="zh-CN"/>
                    </w:rPr>
                  </w:pPr>
                  <w:r>
                    <w:rPr>
                      <w:rFonts w:hint="eastAsia"/>
                      <w:sz w:val="21"/>
                      <w:szCs w:val="21"/>
                      <w:vertAlign w:val="baseline"/>
                      <w:lang w:val="en-US" w:eastAsia="zh-CN"/>
                    </w:rPr>
                    <w:t>一般排放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口</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排气筒高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kern w:val="2"/>
                      <w:sz w:val="21"/>
                      <w:szCs w:val="21"/>
                      <w:vertAlign w:val="baseline"/>
                      <w:lang w:val="en-US" w:eastAsia="zh-CN" w:bidi="ar-SA"/>
                    </w:rPr>
                  </w:pPr>
                  <w:r>
                    <w:rPr>
                      <w:rFonts w:hint="eastAsia"/>
                      <w:sz w:val="21"/>
                      <w:szCs w:val="21"/>
                      <w:vertAlign w:val="baseline"/>
                      <w:lang w:val="en-US" w:eastAsia="zh-CN"/>
                    </w:rPr>
                    <w:t>度15m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190" w:type="pct"/>
                  <w:vMerge w:val="continue"/>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val="en-US" w:eastAsia="zh-CN"/>
                    </w:rPr>
                  </w:pPr>
                </w:p>
              </w:tc>
              <w:tc>
                <w:tcPr>
                  <w:tcW w:w="190" w:type="pct"/>
                  <w:vMerge w:val="continue"/>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0.14</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lang w:val="en-US" w:eastAsia="zh-CN"/>
                    </w:rPr>
                  </w:pPr>
                  <w:r>
                    <w:rPr>
                      <w:rFonts w:hint="eastAsia"/>
                      <w:sz w:val="21"/>
                      <w:szCs w:val="21"/>
                      <w:lang w:val="en-US" w:eastAsia="zh-CN"/>
                    </w:rPr>
                    <w:t>无组织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车间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阻隔</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0.027</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0.07</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r>
                    <w:rPr>
                      <w:rFonts w:hint="eastAsia"/>
                      <w:sz w:val="21"/>
                      <w:szCs w:val="21"/>
                      <w:lang w:val="en-US" w:eastAsia="zh-CN"/>
                    </w:rPr>
                    <w:t>食堂油烟</w:t>
                  </w:r>
                </w:p>
              </w:tc>
              <w:tc>
                <w:tcPr>
                  <w:tcW w:w="190" w:type="pct"/>
                  <w:noWrap w:val="0"/>
                  <w:vAlign w:val="center"/>
                </w:tcPr>
                <w:p>
                  <w:pPr>
                    <w:keepNext w:val="0"/>
                    <w:keepLines w:val="0"/>
                    <w:pageBreakBefore w:val="0"/>
                    <w:widowControl w:val="0"/>
                    <w:kinsoku/>
                    <w:wordWrap/>
                    <w:overflowPunct/>
                    <w:topLinePunct w:val="0"/>
                    <w:autoSpaceDE w:val="0"/>
                    <w:autoSpaceDN/>
                    <w:bidi w:val="0"/>
                    <w:adjustRightInd w:val="0"/>
                    <w:snapToGrid/>
                    <w:ind w:left="0" w:leftChars="0" w:right="0" w:rightChars="0"/>
                    <w:contextualSpacing/>
                    <w:jc w:val="center"/>
                    <w:textAlignment w:val="auto"/>
                    <w:rPr>
                      <w:rFonts w:hint="eastAsia"/>
                      <w:sz w:val="21"/>
                      <w:szCs w:val="21"/>
                      <w:lang w:eastAsia="zh-CN"/>
                    </w:rPr>
                  </w:pPr>
                  <w:r>
                    <w:rPr>
                      <w:rFonts w:hint="eastAsia"/>
                      <w:sz w:val="21"/>
                      <w:szCs w:val="21"/>
                      <w:lang w:val="en-US" w:eastAsia="zh-CN"/>
                    </w:rPr>
                    <w:t>油烟</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34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0.01485</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lang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无</w:t>
                  </w:r>
                  <w:r>
                    <w:rPr>
                      <w:rFonts w:hint="default" w:ascii="Times New Roman" w:hAnsi="Times New Roman" w:eastAsia="宋体" w:cs="Times New Roman"/>
                      <w:i w:val="0"/>
                      <w:iCs w:val="0"/>
                      <w:color w:val="auto"/>
                      <w:kern w:val="0"/>
                      <w:sz w:val="21"/>
                      <w:szCs w:val="21"/>
                      <w:highlight w:val="none"/>
                      <w:u w:val="none"/>
                      <w:lang w:val="en-US" w:eastAsia="zh-CN" w:bidi="ar"/>
                    </w:rPr>
                    <w:t>组织</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油烟净化器</w:t>
                  </w:r>
                </w:p>
              </w:tc>
              <w:tc>
                <w:tcPr>
                  <w:tcW w:w="38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5000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b w:val="0"/>
                      <w:bCs w:val="0"/>
                      <w:sz w:val="21"/>
                      <w:szCs w:val="21"/>
                      <w:lang w:val="en-US" w:eastAsia="zh-CN"/>
                    </w:rPr>
                    <w:t>80%</w:t>
                  </w:r>
                </w:p>
              </w:tc>
              <w:tc>
                <w:tcPr>
                  <w:tcW w:w="3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p>
              </w:tc>
              <w:tc>
                <w:tcPr>
                  <w:tcW w:w="19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是</w:t>
                  </w:r>
                </w:p>
              </w:tc>
              <w:tc>
                <w:tcPr>
                  <w:tcW w:w="4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0.35</w:t>
                  </w:r>
                </w:p>
              </w:tc>
              <w:tc>
                <w:tcPr>
                  <w:tcW w:w="373"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b w:val="0"/>
                      <w:bCs w:val="0"/>
                      <w:sz w:val="21"/>
                      <w:szCs w:val="21"/>
                      <w:lang w:val="en-US" w:eastAsia="zh-CN"/>
                    </w:rPr>
                    <w:t>0.0017</w:t>
                  </w:r>
                </w:p>
              </w:tc>
              <w:tc>
                <w:tcPr>
                  <w:tcW w:w="3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b w:val="0"/>
                      <w:bCs w:val="0"/>
                      <w:sz w:val="21"/>
                      <w:szCs w:val="21"/>
                      <w:lang w:val="en-US" w:eastAsia="zh-CN"/>
                    </w:rPr>
                    <w:t>0.0029</w:t>
                  </w:r>
                </w:p>
              </w:tc>
              <w:tc>
                <w:tcPr>
                  <w:tcW w:w="31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sz w:val="21"/>
                      <w:szCs w:val="21"/>
                      <w:vertAlign w:val="baseline"/>
                      <w:lang w:val="en-US" w:eastAsia="zh-CN"/>
                    </w:rPr>
                  </w:pPr>
                  <w:r>
                    <w:rPr>
                      <w:rFonts w:hint="eastAsia"/>
                      <w:sz w:val="21"/>
                      <w:szCs w:val="21"/>
                      <w:vertAlign w:val="baseline"/>
                      <w:lang w:val="en-US" w:eastAsia="zh-CN"/>
                    </w:rPr>
                    <w:t>/</w:t>
                  </w:r>
                </w:p>
              </w:tc>
              <w:tc>
                <w:tcPr>
                  <w:tcW w:w="19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19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24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bl>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eastAsia"/>
                <w:bCs/>
                <w:sz w:val="24"/>
                <w:szCs w:val="24"/>
              </w:rPr>
            </w:pPr>
            <w:r>
              <w:rPr>
                <w:rFonts w:hint="eastAsia"/>
                <w:b/>
                <w:bCs w:val="0"/>
                <w:sz w:val="24"/>
                <w:szCs w:val="24"/>
                <w:lang w:eastAsia="zh-CN"/>
              </w:rPr>
              <w:t>（</w:t>
            </w:r>
            <w:r>
              <w:rPr>
                <w:rFonts w:hint="eastAsia"/>
                <w:b/>
                <w:bCs w:val="0"/>
                <w:sz w:val="24"/>
                <w:szCs w:val="24"/>
                <w:lang w:val="en-US" w:eastAsia="zh-CN"/>
              </w:rPr>
              <w:t>1</w:t>
            </w:r>
            <w:r>
              <w:rPr>
                <w:rFonts w:hint="eastAsia"/>
                <w:b/>
                <w:bCs w:val="0"/>
                <w:sz w:val="24"/>
                <w:szCs w:val="24"/>
                <w:lang w:eastAsia="zh-CN"/>
              </w:rPr>
              <w:t>）废气</w:t>
            </w:r>
            <w:r>
              <w:rPr>
                <w:rFonts w:hint="eastAsia"/>
                <w:b/>
                <w:bCs w:val="0"/>
                <w:sz w:val="24"/>
                <w:szCs w:val="24"/>
              </w:rPr>
              <w:t>排放口基本情况</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bCs/>
                <w:sz w:val="24"/>
                <w:szCs w:val="24"/>
              </w:rPr>
            </w:pPr>
            <w:r>
              <w:rPr>
                <w:rFonts w:hint="eastAsia"/>
                <w:bCs/>
                <w:sz w:val="24"/>
                <w:szCs w:val="24"/>
              </w:rPr>
              <w:t>项目共设置</w:t>
            </w:r>
            <w:r>
              <w:rPr>
                <w:rFonts w:hint="eastAsia"/>
                <w:bCs/>
                <w:sz w:val="24"/>
                <w:szCs w:val="24"/>
                <w:lang w:val="en-US" w:eastAsia="zh-CN"/>
              </w:rPr>
              <w:t>2</w:t>
            </w:r>
            <w:r>
              <w:rPr>
                <w:rFonts w:hint="eastAsia"/>
                <w:bCs/>
                <w:sz w:val="24"/>
                <w:szCs w:val="24"/>
              </w:rPr>
              <w:t>个</w:t>
            </w:r>
            <w:r>
              <w:rPr>
                <w:rFonts w:hint="eastAsia"/>
                <w:bCs/>
                <w:sz w:val="24"/>
                <w:szCs w:val="24"/>
                <w:lang w:eastAsia="zh-CN"/>
              </w:rPr>
              <w:t>废气</w:t>
            </w:r>
            <w:r>
              <w:rPr>
                <w:rFonts w:hint="eastAsia"/>
                <w:bCs/>
                <w:sz w:val="24"/>
                <w:szCs w:val="24"/>
              </w:rPr>
              <w:t>排放口，项目</w:t>
            </w:r>
            <w:r>
              <w:rPr>
                <w:rFonts w:hint="eastAsia"/>
                <w:bCs/>
                <w:sz w:val="24"/>
                <w:szCs w:val="24"/>
                <w:lang w:eastAsia="zh-CN"/>
              </w:rPr>
              <w:t>废气</w:t>
            </w:r>
            <w:r>
              <w:rPr>
                <w:rFonts w:hint="eastAsia"/>
                <w:bCs/>
                <w:sz w:val="24"/>
                <w:szCs w:val="24"/>
              </w:rPr>
              <w:t>排放口基本情况详见下表。</w:t>
            </w:r>
          </w:p>
          <w:p>
            <w:pPr>
              <w:pStyle w:val="25"/>
              <w:jc w:val="center"/>
              <w:rPr>
                <w:rFonts w:hint="eastAsia"/>
                <w:b/>
                <w:bCs/>
                <w:sz w:val="21"/>
                <w:szCs w:val="21"/>
              </w:rPr>
            </w:pPr>
            <w:r>
              <w:rPr>
                <w:rFonts w:hint="eastAsia"/>
                <w:b/>
                <w:bCs/>
                <w:sz w:val="21"/>
                <w:szCs w:val="21"/>
              </w:rPr>
              <w:t>表4-</w:t>
            </w:r>
            <w:r>
              <w:rPr>
                <w:rFonts w:hint="eastAsia"/>
                <w:b/>
                <w:bCs/>
                <w:sz w:val="21"/>
                <w:szCs w:val="21"/>
                <w:lang w:val="en-US" w:eastAsia="zh-CN"/>
              </w:rPr>
              <w:t>2</w:t>
            </w:r>
            <w:r>
              <w:rPr>
                <w:rFonts w:hint="eastAsia"/>
                <w:b/>
                <w:bCs/>
                <w:sz w:val="21"/>
                <w:szCs w:val="21"/>
              </w:rPr>
              <w:t xml:space="preserve">  </w:t>
            </w:r>
            <w:r>
              <w:rPr>
                <w:rFonts w:hint="eastAsia"/>
                <w:b/>
                <w:bCs/>
                <w:sz w:val="21"/>
                <w:szCs w:val="21"/>
                <w:lang w:eastAsia="zh-CN"/>
              </w:rPr>
              <w:t>废气</w:t>
            </w:r>
            <w:r>
              <w:rPr>
                <w:rFonts w:hint="eastAsia"/>
                <w:b/>
                <w:bCs/>
                <w:sz w:val="21"/>
                <w:szCs w:val="21"/>
              </w:rPr>
              <w:t>排放口基本情况一览表</w:t>
            </w:r>
          </w:p>
          <w:tbl>
            <w:tblPr>
              <w:tblStyle w:val="17"/>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50"/>
              <w:gridCol w:w="884"/>
              <w:gridCol w:w="1162"/>
              <w:gridCol w:w="888"/>
              <w:gridCol w:w="839"/>
              <w:gridCol w:w="851"/>
              <w:gridCol w:w="1021"/>
              <w:gridCol w:w="846"/>
              <w:gridCol w:w="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序号</w:t>
                  </w:r>
                </w:p>
              </w:tc>
              <w:tc>
                <w:tcPr>
                  <w:tcW w:w="85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排放口编号</w:t>
                  </w: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污染物种类</w:t>
                  </w:r>
                </w:p>
              </w:tc>
              <w:tc>
                <w:tcPr>
                  <w:tcW w:w="116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排放口名称</w:t>
                  </w:r>
                </w:p>
              </w:tc>
              <w:tc>
                <w:tcPr>
                  <w:tcW w:w="1727" w:type="dxa"/>
                  <w:gridSpan w:val="2"/>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r>
                    <w:rPr>
                      <w:rFonts w:hint="eastAsia"/>
                      <w:bCs/>
                      <w:sz w:val="21"/>
                      <w:szCs w:val="21"/>
                      <w:vertAlign w:val="baseline"/>
                    </w:rPr>
                    <w:t>排放口地理坐标</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排气筒高度（</w:t>
                  </w:r>
                  <w:r>
                    <w:rPr>
                      <w:rFonts w:hint="eastAsia"/>
                      <w:bCs/>
                      <w:sz w:val="21"/>
                      <w:szCs w:val="21"/>
                      <w:vertAlign w:val="baseline"/>
                      <w:lang w:val="en-US" w:eastAsia="zh-CN"/>
                    </w:rPr>
                    <w:t>m</w:t>
                  </w:r>
                  <w:r>
                    <w:rPr>
                      <w:rFonts w:hint="eastAsia"/>
                      <w:bCs/>
                      <w:sz w:val="21"/>
                      <w:szCs w:val="21"/>
                      <w:vertAlign w:val="baseline"/>
                      <w:lang w:eastAsia="zh-CN"/>
                    </w:rPr>
                    <w:t>）</w:t>
                  </w:r>
                </w:p>
              </w:tc>
              <w:tc>
                <w:tcPr>
                  <w:tcW w:w="102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rPr>
                  </w:pPr>
                  <w:r>
                    <w:rPr>
                      <w:rFonts w:hint="eastAsia"/>
                      <w:bCs/>
                      <w:sz w:val="21"/>
                      <w:szCs w:val="21"/>
                      <w:vertAlign w:val="baseline"/>
                    </w:rPr>
                    <w:t>排气筒出口内径（m）</w:t>
                  </w:r>
                </w:p>
              </w:tc>
              <w:tc>
                <w:tcPr>
                  <w:tcW w:w="84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rPr>
                  </w:pPr>
                  <w:r>
                    <w:rPr>
                      <w:rFonts w:hint="eastAsia"/>
                      <w:bCs/>
                      <w:sz w:val="21"/>
                      <w:szCs w:val="21"/>
                      <w:vertAlign w:val="baseline"/>
                    </w:rPr>
                    <w:t>排气温度</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rPr>
                  </w:pPr>
                  <w:r>
                    <w:rPr>
                      <w:rFonts w:hint="eastAsia"/>
                      <w:bCs/>
                      <w:sz w:val="21"/>
                      <w:szCs w:val="21"/>
                      <w:vertAlign w:val="baseline"/>
                    </w:rPr>
                    <w:t>（℃）</w:t>
                  </w:r>
                </w:p>
              </w:tc>
              <w:tc>
                <w:tcPr>
                  <w:tcW w:w="758" w:type="dxa"/>
                  <w:vMerge w:val="restart"/>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其他信息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850"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884"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1162"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888"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经度</w:t>
                  </w:r>
                </w:p>
              </w:tc>
              <w:tc>
                <w:tcPr>
                  <w:tcW w:w="8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纬度</w:t>
                  </w:r>
                </w:p>
              </w:tc>
              <w:tc>
                <w:tcPr>
                  <w:tcW w:w="851"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1021"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846"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c>
                <w:tcPr>
                  <w:tcW w:w="758" w:type="dxa"/>
                  <w:vMerge w:val="continue"/>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sz w:val="21"/>
                      <w:szCs w:val="21"/>
                      <w:vertAlign w:val="baseline"/>
                      <w:lang w:val="en-US" w:eastAsia="zh-CN"/>
                    </w:rPr>
                  </w:pPr>
                  <w:r>
                    <w:rPr>
                      <w:rFonts w:hint="eastAsia"/>
                      <w:bCs/>
                      <w:sz w:val="21"/>
                      <w:szCs w:val="21"/>
                      <w:vertAlign w:val="baseline"/>
                      <w:lang w:val="en-US" w:eastAsia="zh-CN"/>
                    </w:rPr>
                    <w:t>1</w:t>
                  </w:r>
                </w:p>
              </w:tc>
              <w:tc>
                <w:tcPr>
                  <w:tcW w:w="850"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DA001</w:t>
                  </w:r>
                </w:p>
              </w:tc>
              <w:tc>
                <w:tcPr>
                  <w:tcW w:w="884"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非甲烷总烃</w:t>
                  </w:r>
                </w:p>
              </w:tc>
              <w:tc>
                <w:tcPr>
                  <w:tcW w:w="116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rPr>
                  </w:pPr>
                  <w:r>
                    <w:rPr>
                      <w:rFonts w:hint="eastAsia" w:eastAsia="宋体"/>
                      <w:kern w:val="2"/>
                      <w:sz w:val="21"/>
                      <w:szCs w:val="21"/>
                      <w:lang w:val="en-US" w:eastAsia="zh-CN" w:bidi="ar-SA"/>
                    </w:rPr>
                    <w:t>废油液废气排放口</w:t>
                  </w:r>
                </w:p>
              </w:tc>
              <w:tc>
                <w:tcPr>
                  <w:tcW w:w="888"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cs="Times New Roman"/>
                      <w:bCs/>
                      <w:sz w:val="21"/>
                      <w:szCs w:val="21"/>
                      <w:vertAlign w:val="baseline"/>
                    </w:rPr>
                  </w:pPr>
                  <w:r>
                    <w:rPr>
                      <w:rFonts w:hint="default" w:ascii="Times New Roman" w:hAnsi="Times New Roman" w:cs="Times New Roman"/>
                      <w:bCs/>
                      <w:sz w:val="21"/>
                      <w:szCs w:val="21"/>
                      <w:vertAlign w:val="baseline"/>
                    </w:rPr>
                    <w:t>109°42′51.29″</w:t>
                  </w:r>
                </w:p>
              </w:tc>
              <w:tc>
                <w:tcPr>
                  <w:tcW w:w="8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cs="Times New Roman"/>
                      <w:bCs/>
                      <w:sz w:val="21"/>
                      <w:szCs w:val="21"/>
                      <w:vertAlign w:val="baseline"/>
                    </w:rPr>
                  </w:pPr>
                  <w:r>
                    <w:rPr>
                      <w:rFonts w:hint="default" w:ascii="Times New Roman" w:hAnsi="Times New Roman" w:cs="Times New Roman"/>
                      <w:bCs/>
                      <w:sz w:val="21"/>
                      <w:szCs w:val="21"/>
                      <w:vertAlign w:val="baseline"/>
                    </w:rPr>
                    <w:t>26°42′5.78″</w:t>
                  </w:r>
                </w:p>
              </w:tc>
              <w:tc>
                <w:tcPr>
                  <w:tcW w:w="851"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15</w:t>
                  </w:r>
                </w:p>
              </w:tc>
              <w:tc>
                <w:tcPr>
                  <w:tcW w:w="1021"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0.3</w:t>
                  </w:r>
                </w:p>
              </w:tc>
              <w:tc>
                <w:tcPr>
                  <w:tcW w:w="846"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eastAsia="宋体"/>
                      <w:bCs/>
                      <w:sz w:val="21"/>
                      <w:szCs w:val="21"/>
                      <w:vertAlign w:val="baseline"/>
                      <w:lang w:val="en-US" w:eastAsia="zh-CN"/>
                    </w:rPr>
                  </w:pPr>
                  <w:r>
                    <w:rPr>
                      <w:rFonts w:hint="eastAsia"/>
                      <w:bCs/>
                      <w:sz w:val="21"/>
                      <w:szCs w:val="21"/>
                      <w:vertAlign w:val="baseline"/>
                      <w:lang w:val="en-US" w:eastAsia="zh-CN"/>
                    </w:rPr>
                    <w:t>25</w:t>
                  </w:r>
                </w:p>
              </w:tc>
              <w:tc>
                <w:tcPr>
                  <w:tcW w:w="758"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sz w:val="21"/>
                      <w:szCs w:val="21"/>
                      <w:vertAlign w:val="baseline"/>
                      <w:lang w:val="en-US" w:eastAsia="zh-CN"/>
                    </w:rPr>
                  </w:pPr>
                  <w:r>
                    <w:rPr>
                      <w:rFonts w:hint="eastAsia"/>
                      <w:bCs/>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2</w:t>
                  </w:r>
                </w:p>
              </w:tc>
              <w:tc>
                <w:tcPr>
                  <w:tcW w:w="850"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DA002</w:t>
                  </w:r>
                </w:p>
              </w:tc>
              <w:tc>
                <w:tcPr>
                  <w:tcW w:w="884"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bCs/>
                      <w:sz w:val="21"/>
                      <w:szCs w:val="21"/>
                      <w:vertAlign w:val="baseline"/>
                      <w:lang w:eastAsia="zh-CN"/>
                    </w:rPr>
                  </w:pPr>
                  <w:r>
                    <w:rPr>
                      <w:rFonts w:hint="eastAsia"/>
                      <w:bCs/>
                      <w:sz w:val="21"/>
                      <w:szCs w:val="21"/>
                      <w:vertAlign w:val="baseline"/>
                      <w:lang w:eastAsia="zh-CN"/>
                    </w:rPr>
                    <w:t>颗粒物</w:t>
                  </w:r>
                </w:p>
              </w:tc>
              <w:tc>
                <w:tcPr>
                  <w:tcW w:w="1162"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kern w:val="2"/>
                      <w:sz w:val="21"/>
                      <w:szCs w:val="21"/>
                      <w:lang w:val="en-US" w:eastAsia="zh-CN" w:bidi="ar-SA"/>
                    </w:rPr>
                  </w:pPr>
                  <w:r>
                    <w:rPr>
                      <w:rFonts w:hint="eastAsia"/>
                      <w:sz w:val="21"/>
                      <w:szCs w:val="21"/>
                      <w:lang w:val="en-US" w:eastAsia="zh-CN"/>
                    </w:rPr>
                    <w:t>废钢铁废气</w:t>
                  </w:r>
                </w:p>
              </w:tc>
              <w:tc>
                <w:tcPr>
                  <w:tcW w:w="888"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109°42′50.01″</w:t>
                  </w:r>
                </w:p>
              </w:tc>
              <w:tc>
                <w:tcPr>
                  <w:tcW w:w="839"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26°42′5.13″</w:t>
                  </w:r>
                </w:p>
              </w:tc>
              <w:tc>
                <w:tcPr>
                  <w:tcW w:w="851"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kern w:val="2"/>
                      <w:sz w:val="21"/>
                      <w:szCs w:val="21"/>
                      <w:vertAlign w:val="baseline"/>
                      <w:lang w:val="en-US" w:eastAsia="zh-CN" w:bidi="ar-SA"/>
                    </w:rPr>
                  </w:pPr>
                  <w:r>
                    <w:rPr>
                      <w:rFonts w:hint="eastAsia"/>
                      <w:bCs/>
                      <w:sz w:val="21"/>
                      <w:szCs w:val="21"/>
                      <w:vertAlign w:val="baseline"/>
                      <w:lang w:val="en-US" w:eastAsia="zh-CN"/>
                    </w:rPr>
                    <w:t>15</w:t>
                  </w:r>
                </w:p>
              </w:tc>
              <w:tc>
                <w:tcPr>
                  <w:tcW w:w="1021"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kern w:val="2"/>
                      <w:sz w:val="21"/>
                      <w:szCs w:val="21"/>
                      <w:vertAlign w:val="baseline"/>
                      <w:lang w:val="en-US" w:eastAsia="zh-CN" w:bidi="ar-SA"/>
                    </w:rPr>
                  </w:pPr>
                  <w:r>
                    <w:rPr>
                      <w:rFonts w:hint="eastAsia"/>
                      <w:bCs/>
                      <w:sz w:val="21"/>
                      <w:szCs w:val="21"/>
                      <w:vertAlign w:val="baseline"/>
                      <w:lang w:val="en-US" w:eastAsia="zh-CN"/>
                    </w:rPr>
                    <w:t>0.3</w:t>
                  </w:r>
                </w:p>
              </w:tc>
              <w:tc>
                <w:tcPr>
                  <w:tcW w:w="846"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kern w:val="2"/>
                      <w:sz w:val="21"/>
                      <w:szCs w:val="21"/>
                      <w:vertAlign w:val="baseline"/>
                      <w:lang w:val="en-US" w:eastAsia="zh-CN" w:bidi="ar-SA"/>
                    </w:rPr>
                  </w:pPr>
                  <w:r>
                    <w:rPr>
                      <w:rFonts w:hint="eastAsia"/>
                      <w:bCs/>
                      <w:sz w:val="21"/>
                      <w:szCs w:val="21"/>
                      <w:vertAlign w:val="baseline"/>
                      <w:lang w:val="en-US" w:eastAsia="zh-CN"/>
                    </w:rPr>
                    <w:t>25</w:t>
                  </w:r>
                </w:p>
              </w:tc>
              <w:tc>
                <w:tcPr>
                  <w:tcW w:w="758"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kern w:val="2"/>
                      <w:sz w:val="21"/>
                      <w:szCs w:val="21"/>
                      <w:vertAlign w:val="baseline"/>
                      <w:lang w:val="en-US" w:eastAsia="zh-CN" w:bidi="ar-SA"/>
                    </w:rPr>
                  </w:pPr>
                  <w:r>
                    <w:rPr>
                      <w:rFonts w:hint="eastAsia"/>
                      <w:bCs/>
                      <w:sz w:val="21"/>
                      <w:szCs w:val="21"/>
                      <w:vertAlign w:val="baseline"/>
                      <w:lang w:val="en-US" w:eastAsia="zh-CN"/>
                    </w:rPr>
                    <w:t>/</w:t>
                  </w:r>
                </w:p>
              </w:tc>
            </w:tr>
          </w:tbl>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b/>
                <w:bCs w:val="0"/>
                <w:sz w:val="24"/>
                <w:szCs w:val="24"/>
              </w:rPr>
            </w:pPr>
            <w:r>
              <w:rPr>
                <w:rFonts w:hint="eastAsia"/>
                <w:b/>
                <w:bCs w:val="0"/>
                <w:sz w:val="24"/>
                <w:szCs w:val="24"/>
              </w:rPr>
              <w:t>（</w:t>
            </w:r>
            <w:r>
              <w:rPr>
                <w:rFonts w:hint="eastAsia"/>
                <w:b/>
                <w:bCs w:val="0"/>
                <w:sz w:val="24"/>
                <w:szCs w:val="24"/>
                <w:lang w:val="en-US" w:eastAsia="zh-CN"/>
              </w:rPr>
              <w:t>2</w:t>
            </w:r>
            <w:r>
              <w:rPr>
                <w:rFonts w:hint="eastAsia"/>
                <w:b/>
                <w:bCs w:val="0"/>
                <w:sz w:val="24"/>
                <w:szCs w:val="24"/>
              </w:rPr>
              <w:t>）</w:t>
            </w:r>
            <w:r>
              <w:rPr>
                <w:rFonts w:hint="eastAsia"/>
                <w:b/>
                <w:bCs w:val="0"/>
                <w:sz w:val="24"/>
                <w:szCs w:val="24"/>
                <w:lang w:eastAsia="zh-CN"/>
              </w:rPr>
              <w:t>排放标准及达标排放分析</w:t>
            </w:r>
          </w:p>
          <w:p>
            <w:pPr>
              <w:pStyle w:val="25"/>
              <w:keepNext w:val="0"/>
              <w:keepLines w:val="0"/>
              <w:pageBreakBefore w:val="0"/>
              <w:widowControl w:val="0"/>
              <w:kinsoku/>
              <w:wordWrap/>
              <w:overflowPunct/>
              <w:topLinePunct w:val="0"/>
              <w:bidi w:val="0"/>
              <w:adjustRightInd w:val="0"/>
              <w:spacing w:line="360" w:lineRule="auto"/>
              <w:ind w:firstLine="420"/>
              <w:jc w:val="both"/>
              <w:textAlignment w:val="auto"/>
              <w:rPr>
                <w:rFonts w:ascii="Times New Roman" w:eastAsia="宋体" w:cs="Times New Roman"/>
                <w:sz w:val="24"/>
                <w:szCs w:val="24"/>
              </w:rPr>
            </w:pPr>
            <w:r>
              <w:rPr>
                <w:rFonts w:ascii="Times New Roman" w:eastAsia="宋体" w:cs="Times New Roman"/>
                <w:sz w:val="24"/>
                <w:szCs w:val="24"/>
              </w:rPr>
              <w:fldChar w:fldCharType="begin"/>
            </w:r>
            <w:r>
              <w:rPr>
                <w:rFonts w:ascii="Times New Roman" w:eastAsia="宋体" w:cs="Times New Roman"/>
                <w:sz w:val="24"/>
                <w:szCs w:val="24"/>
              </w:rPr>
              <w:instrText xml:space="preserve"> </w:instrText>
            </w:r>
            <w:r>
              <w:rPr>
                <w:rFonts w:hint="eastAsia" w:ascii="Times New Roman" w:eastAsia="宋体" w:cs="Times New Roman"/>
                <w:sz w:val="24"/>
                <w:szCs w:val="24"/>
              </w:rPr>
              <w:instrText xml:space="preserve">= 1 \* GB3</w:instrText>
            </w:r>
            <w:r>
              <w:rPr>
                <w:rFonts w:ascii="Times New Roman" w:eastAsia="宋体" w:cs="Times New Roman"/>
                <w:sz w:val="24"/>
                <w:szCs w:val="24"/>
              </w:rPr>
              <w:instrText xml:space="preserve"> </w:instrText>
            </w:r>
            <w:r>
              <w:rPr>
                <w:rFonts w:ascii="Times New Roman" w:eastAsia="宋体" w:cs="Times New Roman"/>
                <w:sz w:val="24"/>
                <w:szCs w:val="24"/>
              </w:rPr>
              <w:fldChar w:fldCharType="separate"/>
            </w:r>
            <w:r>
              <w:rPr>
                <w:rFonts w:hint="eastAsia" w:ascii="Times New Roman" w:eastAsia="宋体" w:cs="Times New Roman"/>
                <w:sz w:val="24"/>
                <w:szCs w:val="24"/>
              </w:rPr>
              <w:t>①</w:t>
            </w:r>
            <w:r>
              <w:rPr>
                <w:rFonts w:ascii="Times New Roman" w:eastAsia="宋体" w:cs="Times New Roman"/>
                <w:sz w:val="24"/>
                <w:szCs w:val="24"/>
              </w:rPr>
              <w:fldChar w:fldCharType="end"/>
            </w:r>
            <w:r>
              <w:rPr>
                <w:rFonts w:ascii="Times New Roman" w:eastAsia="宋体" w:cs="Times New Roman"/>
                <w:sz w:val="24"/>
                <w:szCs w:val="24"/>
              </w:rPr>
              <w:t>有组织</w:t>
            </w:r>
            <w:r>
              <w:rPr>
                <w:rFonts w:hint="eastAsia" w:ascii="Times New Roman" w:eastAsia="宋体" w:cs="Times New Roman"/>
                <w:sz w:val="24"/>
                <w:szCs w:val="24"/>
              </w:rPr>
              <w:t>废气</w:t>
            </w:r>
            <w:r>
              <w:rPr>
                <w:rFonts w:ascii="Times New Roman" w:eastAsia="宋体" w:cs="Times New Roman"/>
                <w:sz w:val="24"/>
                <w:szCs w:val="24"/>
              </w:rPr>
              <w:t>排放达标分析</w:t>
            </w:r>
          </w:p>
          <w:p>
            <w:pPr>
              <w:pStyle w:val="25"/>
              <w:keepNext w:val="0"/>
              <w:keepLines w:val="0"/>
              <w:pageBreakBefore w:val="0"/>
              <w:widowControl w:val="0"/>
              <w:kinsoku/>
              <w:wordWrap/>
              <w:overflowPunct/>
              <w:topLinePunct w:val="0"/>
              <w:bidi w:val="0"/>
              <w:adjustRightInd w:val="0"/>
              <w:spacing w:line="360" w:lineRule="auto"/>
              <w:ind w:firstLine="420"/>
              <w:jc w:val="both"/>
              <w:textAlignment w:val="auto"/>
              <w:rPr>
                <w:rFonts w:ascii="Times New Roman" w:eastAsia="宋体" w:cs="Times New Roman"/>
                <w:sz w:val="24"/>
                <w:szCs w:val="24"/>
              </w:rPr>
            </w:pPr>
            <w:r>
              <w:rPr>
                <w:rFonts w:ascii="Times New Roman" w:eastAsia="宋体" w:cs="Times New Roman"/>
                <w:sz w:val="24"/>
                <w:szCs w:val="24"/>
              </w:rPr>
              <w:t>根据工程分析，本项目</w:t>
            </w:r>
            <w:r>
              <w:rPr>
                <w:rFonts w:hint="eastAsia" w:ascii="Times New Roman" w:eastAsia="宋体" w:cs="Times New Roman"/>
                <w:sz w:val="24"/>
                <w:szCs w:val="24"/>
                <w:lang w:eastAsia="zh-CN"/>
              </w:rPr>
              <w:t>废气</w:t>
            </w:r>
            <w:r>
              <w:rPr>
                <w:rFonts w:ascii="Times New Roman" w:eastAsia="宋体" w:cs="Times New Roman"/>
                <w:sz w:val="24"/>
                <w:szCs w:val="24"/>
              </w:rPr>
              <w:t>有组织排放</w:t>
            </w:r>
            <w:r>
              <w:rPr>
                <w:rFonts w:hint="eastAsia" w:ascii="Times New Roman" w:eastAsia="宋体" w:cs="Times New Roman"/>
                <w:sz w:val="24"/>
                <w:szCs w:val="24"/>
                <w:lang w:eastAsia="zh-CN"/>
              </w:rPr>
              <w:t>和</w:t>
            </w:r>
            <w:r>
              <w:rPr>
                <w:rFonts w:ascii="Times New Roman" w:eastAsia="宋体" w:cs="Times New Roman"/>
                <w:sz w:val="24"/>
                <w:szCs w:val="24"/>
              </w:rPr>
              <w:t>达标情况见下表。</w:t>
            </w:r>
          </w:p>
          <w:p>
            <w:pPr>
              <w:jc w:val="center"/>
              <w:rPr>
                <w:rFonts w:hint="eastAsia" w:eastAsia="宋体"/>
                <w:b/>
                <w:bCs/>
                <w:lang w:eastAsia="zh-CN"/>
              </w:rPr>
            </w:pPr>
            <w:r>
              <w:rPr>
                <w:rFonts w:hint="eastAsia"/>
                <w:b/>
                <w:bCs/>
              </w:rPr>
              <w:t>表 4-</w:t>
            </w:r>
            <w:r>
              <w:rPr>
                <w:rFonts w:hint="eastAsia"/>
                <w:b/>
                <w:bCs/>
                <w:lang w:val="en-US" w:eastAsia="zh-CN"/>
              </w:rPr>
              <w:t>3</w:t>
            </w:r>
            <w:r>
              <w:rPr>
                <w:rFonts w:hint="eastAsia"/>
                <w:b/>
                <w:bCs/>
              </w:rPr>
              <w:t xml:space="preserve">  </w:t>
            </w:r>
            <w:r>
              <w:rPr>
                <w:rFonts w:hint="eastAsia"/>
                <w:b/>
                <w:bCs/>
                <w:lang w:eastAsia="zh-CN"/>
              </w:rPr>
              <w:t>废气</w:t>
            </w:r>
            <w:r>
              <w:rPr>
                <w:rFonts w:hint="eastAsia"/>
                <w:b/>
                <w:bCs/>
              </w:rPr>
              <w:t>排放标准</w:t>
            </w:r>
            <w:r>
              <w:rPr>
                <w:rFonts w:hint="eastAsia"/>
                <w:b/>
                <w:bCs/>
                <w:lang w:eastAsia="zh-CN"/>
              </w:rPr>
              <w:t>及达标分析</w:t>
            </w:r>
          </w:p>
          <w:tbl>
            <w:tblPr>
              <w:tblStyle w:val="17"/>
              <w:tblW w:w="8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676"/>
              <w:gridCol w:w="660"/>
              <w:gridCol w:w="480"/>
              <w:gridCol w:w="780"/>
              <w:gridCol w:w="660"/>
              <w:gridCol w:w="1619"/>
              <w:gridCol w:w="739"/>
              <w:gridCol w:w="812"/>
              <w:gridCol w:w="638"/>
              <w:gridCol w:w="647"/>
              <w:gridCol w:w="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序号</w:t>
                  </w:r>
                </w:p>
              </w:tc>
              <w:tc>
                <w:tcPr>
                  <w:tcW w:w="676"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排放口编号</w:t>
                  </w:r>
                </w:p>
              </w:tc>
              <w:tc>
                <w:tcPr>
                  <w:tcW w:w="660"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排放口名称</w:t>
                  </w:r>
                </w:p>
              </w:tc>
              <w:tc>
                <w:tcPr>
                  <w:tcW w:w="480"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污染物种类</w:t>
                  </w:r>
                </w:p>
              </w:tc>
              <w:tc>
                <w:tcPr>
                  <w:tcW w:w="1440" w:type="dxa"/>
                  <w:gridSpan w:val="2"/>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排放源强</w:t>
                  </w:r>
                </w:p>
              </w:tc>
              <w:tc>
                <w:tcPr>
                  <w:tcW w:w="3170" w:type="dxa"/>
                  <w:gridSpan w:val="3"/>
                  <w:noWrap w:val="0"/>
                  <w:vAlign w:val="center"/>
                </w:tcPr>
                <w:p>
                  <w:pPr>
                    <w:jc w:val="center"/>
                    <w:rPr>
                      <w:sz w:val="21"/>
                      <w:szCs w:val="21"/>
                      <w:vertAlign w:val="baseline"/>
                    </w:rPr>
                  </w:pPr>
                  <w:r>
                    <w:rPr>
                      <w:rFonts w:hint="eastAsia"/>
                      <w:sz w:val="21"/>
                      <w:szCs w:val="21"/>
                      <w:vertAlign w:val="baseline"/>
                    </w:rPr>
                    <w:t>国家或地方污染物排放标准</w:t>
                  </w:r>
                </w:p>
              </w:tc>
              <w:tc>
                <w:tcPr>
                  <w:tcW w:w="638"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排气筒高度（</w:t>
                  </w:r>
                  <w:r>
                    <w:rPr>
                      <w:rFonts w:hint="eastAsia"/>
                      <w:sz w:val="21"/>
                      <w:szCs w:val="21"/>
                      <w:vertAlign w:val="baseline"/>
                      <w:lang w:val="en-US" w:eastAsia="zh-CN"/>
                    </w:rPr>
                    <w:t>m</w:t>
                  </w:r>
                  <w:r>
                    <w:rPr>
                      <w:rFonts w:hint="eastAsia"/>
                      <w:sz w:val="21"/>
                      <w:szCs w:val="21"/>
                      <w:vertAlign w:val="baseline"/>
                      <w:lang w:eastAsia="zh-CN"/>
                    </w:rPr>
                    <w:t>）</w:t>
                  </w:r>
                </w:p>
              </w:tc>
              <w:tc>
                <w:tcPr>
                  <w:tcW w:w="647"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治理措施</w:t>
                  </w:r>
                </w:p>
              </w:tc>
              <w:tc>
                <w:tcPr>
                  <w:tcW w:w="423" w:type="dxa"/>
                  <w:vMerge w:val="restart"/>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423" w:type="dxa"/>
                  <w:vMerge w:val="continue"/>
                  <w:noWrap w:val="0"/>
                  <w:vAlign w:val="center"/>
                </w:tcPr>
                <w:p>
                  <w:pPr>
                    <w:jc w:val="center"/>
                    <w:rPr>
                      <w:sz w:val="21"/>
                      <w:szCs w:val="21"/>
                      <w:vertAlign w:val="baseline"/>
                    </w:rPr>
                  </w:pPr>
                </w:p>
              </w:tc>
              <w:tc>
                <w:tcPr>
                  <w:tcW w:w="676" w:type="dxa"/>
                  <w:vMerge w:val="continue"/>
                  <w:noWrap w:val="0"/>
                  <w:vAlign w:val="center"/>
                </w:tcPr>
                <w:p>
                  <w:pPr>
                    <w:jc w:val="center"/>
                    <w:rPr>
                      <w:sz w:val="21"/>
                      <w:szCs w:val="21"/>
                      <w:vertAlign w:val="baseline"/>
                    </w:rPr>
                  </w:pPr>
                </w:p>
              </w:tc>
              <w:tc>
                <w:tcPr>
                  <w:tcW w:w="660" w:type="dxa"/>
                  <w:vMerge w:val="continue"/>
                  <w:noWrap w:val="0"/>
                  <w:vAlign w:val="center"/>
                </w:tcPr>
                <w:p>
                  <w:pPr>
                    <w:jc w:val="center"/>
                    <w:rPr>
                      <w:sz w:val="21"/>
                      <w:szCs w:val="21"/>
                      <w:vertAlign w:val="baseline"/>
                    </w:rPr>
                  </w:pPr>
                </w:p>
              </w:tc>
              <w:tc>
                <w:tcPr>
                  <w:tcW w:w="480" w:type="dxa"/>
                  <w:vMerge w:val="continue"/>
                  <w:noWrap w:val="0"/>
                  <w:vAlign w:val="center"/>
                </w:tcPr>
                <w:p>
                  <w:pPr>
                    <w:jc w:val="center"/>
                    <w:rPr>
                      <w:sz w:val="21"/>
                      <w:szCs w:val="21"/>
                      <w:vertAlign w:val="baseline"/>
                    </w:rPr>
                  </w:pPr>
                </w:p>
              </w:tc>
              <w:tc>
                <w:tcPr>
                  <w:tcW w:w="780" w:type="dxa"/>
                  <w:noWrap w:val="0"/>
                  <w:vAlign w:val="center"/>
                </w:tcPr>
                <w:p>
                  <w:pPr>
                    <w:jc w:val="center"/>
                    <w:rPr>
                      <w:rFonts w:hint="default" w:eastAsia="宋体"/>
                      <w:sz w:val="21"/>
                      <w:szCs w:val="21"/>
                      <w:vertAlign w:val="baseline"/>
                      <w:lang w:val="en-US" w:eastAsia="zh-CN"/>
                    </w:rPr>
                  </w:pPr>
                  <w:r>
                    <w:rPr>
                      <w:rFonts w:hint="eastAsia"/>
                      <w:sz w:val="21"/>
                      <w:szCs w:val="21"/>
                      <w:vertAlign w:val="baseline"/>
                      <w:lang w:eastAsia="zh-CN"/>
                    </w:rPr>
                    <w:t>排放浓度</w:t>
                  </w:r>
                  <w:r>
                    <w:rPr>
                      <w:rFonts w:hint="eastAsia"/>
                      <w:sz w:val="21"/>
                      <w:szCs w:val="21"/>
                      <w:vertAlign w:val="baseline"/>
                      <w:lang w:val="en-US" w:eastAsia="zh-CN"/>
                    </w:rPr>
                    <w:t>mg/m</w:t>
                  </w:r>
                  <w:r>
                    <w:rPr>
                      <w:rFonts w:hint="eastAsia"/>
                      <w:sz w:val="21"/>
                      <w:szCs w:val="21"/>
                      <w:vertAlign w:val="superscript"/>
                      <w:lang w:val="en-US" w:eastAsia="zh-CN"/>
                    </w:rPr>
                    <w:t>3</w:t>
                  </w:r>
                </w:p>
              </w:tc>
              <w:tc>
                <w:tcPr>
                  <w:tcW w:w="660" w:type="dxa"/>
                  <w:noWrap w:val="0"/>
                  <w:vAlign w:val="center"/>
                </w:tcPr>
                <w:p>
                  <w:pPr>
                    <w:jc w:val="center"/>
                    <w:rPr>
                      <w:rFonts w:hint="default" w:eastAsia="宋体"/>
                      <w:sz w:val="21"/>
                      <w:szCs w:val="21"/>
                      <w:vertAlign w:val="baseline"/>
                      <w:lang w:val="en-US" w:eastAsia="zh-CN"/>
                    </w:rPr>
                  </w:pPr>
                  <w:r>
                    <w:rPr>
                      <w:rFonts w:hint="eastAsia"/>
                      <w:sz w:val="21"/>
                      <w:szCs w:val="21"/>
                      <w:vertAlign w:val="baseline"/>
                      <w:lang w:eastAsia="zh-CN"/>
                    </w:rPr>
                    <w:t>排放速率</w:t>
                  </w:r>
                  <w:r>
                    <w:rPr>
                      <w:rFonts w:hint="eastAsia"/>
                      <w:sz w:val="21"/>
                      <w:szCs w:val="21"/>
                      <w:vertAlign w:val="baseline"/>
                      <w:lang w:val="en-US" w:eastAsia="zh-CN"/>
                    </w:rPr>
                    <w:t>kg/h</w:t>
                  </w:r>
                </w:p>
              </w:tc>
              <w:tc>
                <w:tcPr>
                  <w:tcW w:w="1619" w:type="dxa"/>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名称</w:t>
                  </w:r>
                </w:p>
              </w:tc>
              <w:tc>
                <w:tcPr>
                  <w:tcW w:w="739" w:type="dxa"/>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浓度限值</w:t>
                  </w:r>
                  <w:r>
                    <w:rPr>
                      <w:rFonts w:hint="eastAsia"/>
                      <w:sz w:val="21"/>
                      <w:szCs w:val="21"/>
                      <w:vertAlign w:val="baseline"/>
                      <w:lang w:val="en-US" w:eastAsia="zh-CN"/>
                    </w:rPr>
                    <w:t>mg/m</w:t>
                  </w:r>
                  <w:r>
                    <w:rPr>
                      <w:rFonts w:hint="eastAsia"/>
                      <w:sz w:val="21"/>
                      <w:szCs w:val="21"/>
                      <w:vertAlign w:val="superscript"/>
                      <w:lang w:val="en-US" w:eastAsia="zh-CN"/>
                    </w:rPr>
                    <w:t>3</w:t>
                  </w:r>
                </w:p>
              </w:tc>
              <w:tc>
                <w:tcPr>
                  <w:tcW w:w="812" w:type="dxa"/>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速率限值</w:t>
                  </w:r>
                  <w:r>
                    <w:rPr>
                      <w:rFonts w:hint="eastAsia"/>
                      <w:sz w:val="21"/>
                      <w:szCs w:val="21"/>
                      <w:vertAlign w:val="baseline"/>
                      <w:lang w:val="en-US" w:eastAsia="zh-CN"/>
                    </w:rPr>
                    <w:t>kg/h</w:t>
                  </w:r>
                </w:p>
              </w:tc>
              <w:tc>
                <w:tcPr>
                  <w:tcW w:w="638" w:type="dxa"/>
                  <w:vMerge w:val="continue"/>
                  <w:noWrap w:val="0"/>
                  <w:vAlign w:val="center"/>
                </w:tcPr>
                <w:p>
                  <w:pPr>
                    <w:jc w:val="center"/>
                    <w:rPr>
                      <w:sz w:val="21"/>
                      <w:szCs w:val="21"/>
                      <w:vertAlign w:val="baseline"/>
                    </w:rPr>
                  </w:pPr>
                </w:p>
              </w:tc>
              <w:tc>
                <w:tcPr>
                  <w:tcW w:w="647" w:type="dxa"/>
                  <w:vMerge w:val="continue"/>
                  <w:noWrap w:val="0"/>
                  <w:vAlign w:val="center"/>
                </w:tcPr>
                <w:p>
                  <w:pPr>
                    <w:jc w:val="center"/>
                    <w:rPr>
                      <w:sz w:val="21"/>
                      <w:szCs w:val="21"/>
                      <w:vertAlign w:val="baseline"/>
                    </w:rPr>
                  </w:pPr>
                </w:p>
              </w:tc>
              <w:tc>
                <w:tcPr>
                  <w:tcW w:w="423" w:type="dxa"/>
                  <w:vMerge w:val="continue"/>
                  <w:noWrap w:val="0"/>
                  <w:vAlign w:val="center"/>
                </w:tcPr>
                <w:p>
                  <w:pPr>
                    <w:jc w:val="center"/>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eastAsia="宋体"/>
                      <w:bCs/>
                      <w:kern w:val="2"/>
                      <w:sz w:val="21"/>
                      <w:szCs w:val="21"/>
                      <w:vertAlign w:val="baseline"/>
                      <w:lang w:val="en-US" w:eastAsia="zh-CN" w:bidi="ar-SA"/>
                    </w:rPr>
                  </w:pPr>
                  <w:r>
                    <w:rPr>
                      <w:rFonts w:hint="eastAsia"/>
                      <w:bCs/>
                      <w:sz w:val="21"/>
                      <w:szCs w:val="21"/>
                      <w:vertAlign w:val="baseline"/>
                      <w:lang w:val="en-US" w:eastAsia="zh-CN"/>
                    </w:rPr>
                    <w:t>1</w:t>
                  </w:r>
                </w:p>
              </w:tc>
              <w:tc>
                <w:tcPr>
                  <w:tcW w:w="6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Cs/>
                      <w:kern w:val="2"/>
                      <w:sz w:val="21"/>
                      <w:szCs w:val="21"/>
                      <w:vertAlign w:val="baseline"/>
                      <w:lang w:val="en-US" w:eastAsia="zh-CN" w:bidi="ar-SA"/>
                    </w:rPr>
                  </w:pPr>
                  <w:r>
                    <w:rPr>
                      <w:rFonts w:hint="eastAsia"/>
                      <w:bCs/>
                      <w:sz w:val="21"/>
                      <w:szCs w:val="21"/>
                      <w:vertAlign w:val="baseline"/>
                      <w:lang w:val="en-US" w:eastAsia="zh-CN"/>
                    </w:rPr>
                    <w:t>DA001</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kern w:val="2"/>
                      <w:sz w:val="21"/>
                      <w:szCs w:val="21"/>
                      <w:vertAlign w:val="baseline"/>
                      <w:lang w:val="en-US" w:eastAsia="zh-CN" w:bidi="ar-SA"/>
                    </w:rPr>
                  </w:pPr>
                  <w:r>
                    <w:rPr>
                      <w:rFonts w:hint="eastAsia" w:eastAsia="宋体"/>
                      <w:kern w:val="2"/>
                      <w:sz w:val="21"/>
                      <w:szCs w:val="21"/>
                      <w:lang w:val="en-US" w:eastAsia="zh-CN" w:bidi="ar-SA"/>
                    </w:rPr>
                    <w:t>废油液废气排放口</w:t>
                  </w:r>
                </w:p>
              </w:tc>
              <w:tc>
                <w:tcPr>
                  <w:tcW w:w="4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kern w:val="2"/>
                      <w:sz w:val="21"/>
                      <w:szCs w:val="21"/>
                      <w:vertAlign w:val="baseline"/>
                      <w:lang w:val="en-US" w:eastAsia="zh-CN" w:bidi="ar-SA"/>
                    </w:rPr>
                  </w:pPr>
                  <w:r>
                    <w:rPr>
                      <w:rFonts w:hint="eastAsia"/>
                      <w:bCs/>
                      <w:sz w:val="21"/>
                      <w:szCs w:val="21"/>
                      <w:vertAlign w:val="baseline"/>
                      <w:lang w:eastAsia="zh-CN"/>
                    </w:rPr>
                    <w:t>非甲烷总烃</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kern w:val="2"/>
                      <w:sz w:val="21"/>
                      <w:szCs w:val="21"/>
                      <w:vertAlign w:val="baseline"/>
                      <w:lang w:val="en-US" w:eastAsia="zh-CN" w:bidi="ar-SA"/>
                    </w:rPr>
                  </w:pPr>
                  <w:r>
                    <w:rPr>
                      <w:rFonts w:hint="eastAsia"/>
                      <w:sz w:val="21"/>
                      <w:szCs w:val="21"/>
                      <w:vertAlign w:val="baseline"/>
                      <w:lang w:val="en-US" w:eastAsia="zh-CN"/>
                    </w:rPr>
                    <w:t>2.1015</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eastAsia="宋体"/>
                      <w:kern w:val="2"/>
                      <w:sz w:val="21"/>
                      <w:szCs w:val="21"/>
                      <w:vertAlign w:val="baseline"/>
                      <w:lang w:val="en-US" w:eastAsia="zh-CN" w:bidi="ar-SA"/>
                    </w:rPr>
                  </w:pPr>
                  <w:r>
                    <w:rPr>
                      <w:rFonts w:hint="eastAsia"/>
                      <w:sz w:val="21"/>
                      <w:szCs w:val="21"/>
                      <w:vertAlign w:val="baseline"/>
                      <w:lang w:val="en-US" w:eastAsia="zh-CN"/>
                    </w:rPr>
                    <w:t>0.0177</w:t>
                  </w:r>
                </w:p>
              </w:tc>
              <w:tc>
                <w:tcPr>
                  <w:tcW w:w="1619" w:type="dxa"/>
                  <w:noWrap w:val="0"/>
                  <w:vAlign w:val="center"/>
                </w:tcPr>
                <w:p>
                  <w:pPr>
                    <w:jc w:val="center"/>
                    <w:rPr>
                      <w:sz w:val="21"/>
                      <w:szCs w:val="21"/>
                      <w:vertAlign w:val="baseline"/>
                    </w:rPr>
                  </w:pPr>
                  <w:r>
                    <w:rPr>
                      <w:rFonts w:hint="eastAsia"/>
                      <w:sz w:val="21"/>
                      <w:szCs w:val="21"/>
                      <w:vertAlign w:val="baseline"/>
                    </w:rPr>
                    <w:t>《大气污染物综合排放标准》（GB16297-1996）</w:t>
                  </w:r>
                </w:p>
              </w:tc>
              <w:tc>
                <w:tcPr>
                  <w:tcW w:w="739" w:type="dxa"/>
                  <w:noWrap w:val="0"/>
                  <w:vAlign w:val="center"/>
                </w:tcPr>
                <w:p>
                  <w:pPr>
                    <w:jc w:val="center"/>
                    <w:rPr>
                      <w:rFonts w:hint="default" w:eastAsia="宋体"/>
                      <w:sz w:val="21"/>
                      <w:szCs w:val="21"/>
                      <w:vertAlign w:val="baseline"/>
                      <w:lang w:val="en-US" w:eastAsia="zh-CN"/>
                    </w:rPr>
                  </w:pPr>
                  <w:r>
                    <w:rPr>
                      <w:rFonts w:hint="eastAsia"/>
                      <w:sz w:val="21"/>
                      <w:szCs w:val="21"/>
                      <w:vertAlign w:val="baseline"/>
                      <w:lang w:val="en-US" w:eastAsia="zh-CN"/>
                    </w:rPr>
                    <w:t>120</w:t>
                  </w:r>
                </w:p>
              </w:tc>
              <w:tc>
                <w:tcPr>
                  <w:tcW w:w="812" w:type="dxa"/>
                  <w:noWrap w:val="0"/>
                  <w:vAlign w:val="center"/>
                </w:tcPr>
                <w:p>
                  <w:pPr>
                    <w:jc w:val="center"/>
                    <w:rPr>
                      <w:rFonts w:hint="default" w:eastAsia="宋体"/>
                      <w:sz w:val="21"/>
                      <w:szCs w:val="21"/>
                      <w:vertAlign w:val="baseline"/>
                      <w:lang w:val="en-US" w:eastAsia="zh-CN"/>
                    </w:rPr>
                  </w:pPr>
                  <w:r>
                    <w:rPr>
                      <w:rFonts w:hint="eastAsia"/>
                      <w:sz w:val="21"/>
                      <w:szCs w:val="21"/>
                      <w:vertAlign w:val="baseline"/>
                      <w:lang w:val="en-US" w:eastAsia="zh-CN"/>
                    </w:rPr>
                    <w:t>10</w:t>
                  </w:r>
                </w:p>
              </w:tc>
              <w:tc>
                <w:tcPr>
                  <w:tcW w:w="638" w:type="dxa"/>
                  <w:noWrap w:val="0"/>
                  <w:vAlign w:val="center"/>
                </w:tcPr>
                <w:p>
                  <w:pPr>
                    <w:jc w:val="center"/>
                    <w:rPr>
                      <w:rFonts w:hint="default" w:eastAsia="宋体"/>
                      <w:sz w:val="21"/>
                      <w:szCs w:val="21"/>
                      <w:vertAlign w:val="baseline"/>
                      <w:lang w:val="en-US" w:eastAsia="zh-CN"/>
                    </w:rPr>
                  </w:pPr>
                  <w:r>
                    <w:rPr>
                      <w:rFonts w:hint="eastAsia"/>
                      <w:sz w:val="21"/>
                      <w:szCs w:val="21"/>
                      <w:vertAlign w:val="baseline"/>
                      <w:lang w:val="en-US" w:eastAsia="zh-CN"/>
                    </w:rPr>
                    <w:t>15</w:t>
                  </w:r>
                </w:p>
              </w:tc>
              <w:tc>
                <w:tcPr>
                  <w:tcW w:w="647" w:type="dxa"/>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活性炭吸附装置</w:t>
                  </w:r>
                </w:p>
              </w:tc>
              <w:tc>
                <w:tcPr>
                  <w:tcW w:w="423" w:type="dxa"/>
                  <w:noWrap w:val="0"/>
                  <w:vAlign w:val="center"/>
                </w:tcPr>
                <w:p>
                  <w:pPr>
                    <w:jc w:val="center"/>
                    <w:rPr>
                      <w:rFonts w:hint="eastAsia" w:eastAsia="宋体"/>
                      <w:sz w:val="21"/>
                      <w:szCs w:val="21"/>
                      <w:vertAlign w:val="baseline"/>
                      <w:lang w:eastAsia="zh-CN"/>
                    </w:rPr>
                  </w:pPr>
                  <w:r>
                    <w:rPr>
                      <w:rFonts w:hint="eastAsia"/>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3" w:type="dxa"/>
                  <w:noWrap w:val="0"/>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2</w:t>
                  </w:r>
                </w:p>
              </w:tc>
              <w:tc>
                <w:tcPr>
                  <w:tcW w:w="6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bCs/>
                      <w:sz w:val="21"/>
                      <w:szCs w:val="21"/>
                      <w:vertAlign w:val="baseline"/>
                      <w:lang w:val="en-US" w:eastAsia="zh-CN"/>
                    </w:rPr>
                  </w:pPr>
                  <w:r>
                    <w:rPr>
                      <w:rFonts w:hint="eastAsia"/>
                      <w:bCs/>
                      <w:sz w:val="21"/>
                      <w:szCs w:val="21"/>
                      <w:vertAlign w:val="baseline"/>
                      <w:lang w:val="en-US" w:eastAsia="zh-CN"/>
                    </w:rPr>
                    <w:t>DA002</w:t>
                  </w:r>
                </w:p>
              </w:tc>
              <w:tc>
                <w:tcPr>
                  <w:tcW w:w="6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kern w:val="2"/>
                      <w:sz w:val="21"/>
                      <w:szCs w:val="21"/>
                      <w:lang w:val="en-US" w:eastAsia="zh-CN" w:bidi="ar-SA"/>
                    </w:rPr>
                  </w:pPr>
                  <w:r>
                    <w:rPr>
                      <w:rFonts w:hint="eastAsia"/>
                      <w:sz w:val="21"/>
                      <w:szCs w:val="21"/>
                      <w:lang w:val="en-US" w:eastAsia="zh-CN"/>
                    </w:rPr>
                    <w:t>废钢铁废气</w:t>
                  </w:r>
                </w:p>
              </w:tc>
              <w:tc>
                <w:tcPr>
                  <w:tcW w:w="4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lang w:eastAsia="zh-CN"/>
                    </w:rPr>
                  </w:pPr>
                  <w:r>
                    <w:rPr>
                      <w:rFonts w:hint="eastAsia"/>
                      <w:bCs/>
                      <w:sz w:val="21"/>
                      <w:szCs w:val="21"/>
                      <w:vertAlign w:val="baseline"/>
                      <w:lang w:eastAsia="zh-CN"/>
                    </w:rPr>
                    <w:t>颗粒物</w:t>
                  </w:r>
                </w:p>
              </w:tc>
              <w:tc>
                <w:tcPr>
                  <w:tcW w:w="7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sz w:val="21"/>
                      <w:szCs w:val="21"/>
                      <w:vertAlign w:val="baseline"/>
                      <w:lang w:val="en-US" w:eastAsia="zh-CN"/>
                    </w:rPr>
                  </w:pPr>
                  <w:r>
                    <w:rPr>
                      <w:rFonts w:hint="eastAsia"/>
                      <w:sz w:val="21"/>
                      <w:szCs w:val="21"/>
                      <w:vertAlign w:val="baseline"/>
                      <w:lang w:val="en-US" w:eastAsia="zh-CN"/>
                    </w:rPr>
                    <w:t>81.1</w:t>
                  </w:r>
                </w:p>
              </w:tc>
              <w:tc>
                <w:tcPr>
                  <w:tcW w:w="66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sz w:val="21"/>
                      <w:szCs w:val="21"/>
                      <w:vertAlign w:val="baseline"/>
                      <w:lang w:val="en-US" w:eastAsia="zh-CN"/>
                    </w:rPr>
                  </w:pPr>
                  <w:r>
                    <w:rPr>
                      <w:rFonts w:hint="eastAsia"/>
                      <w:sz w:val="21"/>
                      <w:szCs w:val="21"/>
                      <w:vertAlign w:val="baseline"/>
                      <w:lang w:val="en-US" w:eastAsia="zh-CN"/>
                    </w:rPr>
                    <w:t>0.406</w:t>
                  </w:r>
                </w:p>
              </w:tc>
              <w:tc>
                <w:tcPr>
                  <w:tcW w:w="1619" w:type="dxa"/>
                  <w:noWrap w:val="0"/>
                  <w:vAlign w:val="center"/>
                </w:tcPr>
                <w:p>
                  <w:pPr>
                    <w:jc w:val="center"/>
                    <w:rPr>
                      <w:rFonts w:hint="eastAsia"/>
                      <w:sz w:val="21"/>
                      <w:szCs w:val="21"/>
                      <w:vertAlign w:val="baseline"/>
                    </w:rPr>
                  </w:pPr>
                  <w:r>
                    <w:rPr>
                      <w:rFonts w:hint="eastAsia"/>
                      <w:sz w:val="21"/>
                      <w:szCs w:val="21"/>
                      <w:vertAlign w:val="baseline"/>
                    </w:rPr>
                    <w:t>《大气污染物综合排放标准》（GB16297-1996）</w:t>
                  </w:r>
                </w:p>
              </w:tc>
              <w:tc>
                <w:tcPr>
                  <w:tcW w:w="739" w:type="dxa"/>
                  <w:noWrap w:val="0"/>
                  <w:vAlign w:val="center"/>
                </w:tcPr>
                <w:p>
                  <w:pPr>
                    <w:jc w:val="center"/>
                    <w:rPr>
                      <w:rFonts w:hint="eastAsia"/>
                      <w:kern w:val="2"/>
                      <w:sz w:val="21"/>
                      <w:szCs w:val="21"/>
                      <w:vertAlign w:val="baseline"/>
                      <w:lang w:val="en-US" w:eastAsia="zh-CN" w:bidi="ar-SA"/>
                    </w:rPr>
                  </w:pPr>
                  <w:r>
                    <w:rPr>
                      <w:rFonts w:hint="eastAsia"/>
                      <w:sz w:val="21"/>
                      <w:szCs w:val="21"/>
                      <w:vertAlign w:val="baseline"/>
                      <w:lang w:val="en-US" w:eastAsia="zh-CN"/>
                    </w:rPr>
                    <w:t>120</w:t>
                  </w:r>
                </w:p>
              </w:tc>
              <w:tc>
                <w:tcPr>
                  <w:tcW w:w="812" w:type="dxa"/>
                  <w:noWrap w:val="0"/>
                  <w:vAlign w:val="center"/>
                </w:tcPr>
                <w:p>
                  <w:pPr>
                    <w:jc w:val="center"/>
                    <w:rPr>
                      <w:rFonts w:hint="eastAsia"/>
                      <w:kern w:val="2"/>
                      <w:sz w:val="21"/>
                      <w:szCs w:val="21"/>
                      <w:vertAlign w:val="baseline"/>
                      <w:lang w:val="en-US" w:eastAsia="zh-CN" w:bidi="ar-SA"/>
                    </w:rPr>
                  </w:pPr>
                  <w:r>
                    <w:rPr>
                      <w:rFonts w:hint="eastAsia"/>
                      <w:sz w:val="21"/>
                      <w:szCs w:val="21"/>
                      <w:vertAlign w:val="baseline"/>
                      <w:lang w:val="en-US" w:eastAsia="zh-CN"/>
                    </w:rPr>
                    <w:t>10</w:t>
                  </w:r>
                </w:p>
              </w:tc>
              <w:tc>
                <w:tcPr>
                  <w:tcW w:w="638" w:type="dxa"/>
                  <w:noWrap w:val="0"/>
                  <w:vAlign w:val="center"/>
                </w:tcPr>
                <w:p>
                  <w:pPr>
                    <w:jc w:val="center"/>
                    <w:rPr>
                      <w:rFonts w:hint="default"/>
                      <w:sz w:val="21"/>
                      <w:szCs w:val="21"/>
                      <w:vertAlign w:val="baseline"/>
                      <w:lang w:val="en-US" w:eastAsia="zh-CN"/>
                    </w:rPr>
                  </w:pPr>
                  <w:r>
                    <w:rPr>
                      <w:rFonts w:hint="eastAsia"/>
                      <w:sz w:val="21"/>
                      <w:szCs w:val="21"/>
                      <w:vertAlign w:val="baseline"/>
                      <w:lang w:val="en-US" w:eastAsia="zh-CN"/>
                    </w:rPr>
                    <w:t>15</w:t>
                  </w:r>
                </w:p>
              </w:tc>
              <w:tc>
                <w:tcPr>
                  <w:tcW w:w="64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布袋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宋体"/>
                      <w:kern w:val="2"/>
                      <w:sz w:val="21"/>
                      <w:szCs w:val="21"/>
                      <w:vertAlign w:val="baseline"/>
                      <w:lang w:val="en-US" w:eastAsia="zh-CN" w:bidi="ar-SA"/>
                    </w:rPr>
                  </w:pPr>
                  <w:r>
                    <w:rPr>
                      <w:rFonts w:hint="eastAsia" w:eastAsia="宋体"/>
                      <w:kern w:val="2"/>
                      <w:sz w:val="21"/>
                      <w:szCs w:val="21"/>
                      <w:vertAlign w:val="baseline"/>
                      <w:lang w:val="en-US" w:eastAsia="zh-CN" w:bidi="ar-SA"/>
                    </w:rPr>
                    <w:t>除尘</w:t>
                  </w:r>
                </w:p>
                <w:p>
                  <w:pPr>
                    <w:jc w:val="center"/>
                    <w:rPr>
                      <w:rFonts w:hint="eastAsia"/>
                      <w:sz w:val="21"/>
                      <w:szCs w:val="21"/>
                      <w:vertAlign w:val="baseline"/>
                      <w:lang w:eastAsia="zh-CN"/>
                    </w:rPr>
                  </w:pPr>
                  <w:r>
                    <w:rPr>
                      <w:rFonts w:hint="eastAsia"/>
                      <w:sz w:val="21"/>
                      <w:szCs w:val="21"/>
                      <w:vertAlign w:val="baseline"/>
                      <w:lang w:eastAsia="zh-CN"/>
                    </w:rPr>
                    <w:t>装置</w:t>
                  </w:r>
                </w:p>
              </w:tc>
              <w:tc>
                <w:tcPr>
                  <w:tcW w:w="423" w:type="dxa"/>
                  <w:noWrap w:val="0"/>
                  <w:vAlign w:val="center"/>
                </w:tcPr>
                <w:p>
                  <w:pPr>
                    <w:jc w:val="center"/>
                    <w:rPr>
                      <w:rFonts w:hint="eastAsia"/>
                      <w:sz w:val="21"/>
                      <w:szCs w:val="21"/>
                      <w:vertAlign w:val="baseline"/>
                      <w:lang w:eastAsia="zh-CN"/>
                    </w:rPr>
                  </w:pPr>
                  <w:r>
                    <w:rPr>
                      <w:rFonts w:hint="eastAsia"/>
                      <w:sz w:val="21"/>
                      <w:szCs w:val="21"/>
                      <w:vertAlign w:val="baseline"/>
                      <w:lang w:eastAsia="zh-CN"/>
                    </w:rPr>
                    <w:t>达标</w:t>
                  </w:r>
                </w:p>
              </w:tc>
            </w:tr>
          </w:tbl>
          <w:p>
            <w:pPr>
              <w:adjustRightInd w:val="0"/>
              <w:snapToGrid w:val="0"/>
              <w:spacing w:line="360" w:lineRule="auto"/>
              <w:ind w:firstLine="480" w:firstLineChars="200"/>
              <w:rPr>
                <w:rFonts w:hint="eastAsia"/>
                <w:bCs/>
                <w:sz w:val="24"/>
                <w:szCs w:val="24"/>
              </w:rPr>
            </w:pPr>
            <w:r>
              <w:rPr>
                <w:rFonts w:hint="eastAsia"/>
                <w:bCs/>
                <w:sz w:val="24"/>
                <w:szCs w:val="24"/>
              </w:rPr>
              <w:t>由上表可知：</w:t>
            </w:r>
          </w:p>
          <w:p>
            <w:pPr>
              <w:adjustRightInd w:val="0"/>
              <w:snapToGrid w:val="0"/>
              <w:spacing w:line="360" w:lineRule="auto"/>
              <w:ind w:firstLine="480" w:firstLineChars="200"/>
              <w:rPr>
                <w:bCs/>
                <w:sz w:val="24"/>
                <w:szCs w:val="24"/>
              </w:rPr>
            </w:pPr>
            <w:r>
              <w:rPr>
                <w:rFonts w:hint="eastAsia"/>
                <w:bCs/>
                <w:sz w:val="24"/>
                <w:szCs w:val="24"/>
              </w:rPr>
              <w:t>DA001</w:t>
            </w:r>
            <w:r>
              <w:rPr>
                <w:rFonts w:hint="eastAsia"/>
                <w:bCs/>
                <w:sz w:val="24"/>
                <w:szCs w:val="24"/>
                <w:lang w:eastAsia="zh-CN"/>
              </w:rPr>
              <w:t>、</w:t>
            </w:r>
            <w:r>
              <w:rPr>
                <w:rFonts w:hint="eastAsia"/>
                <w:bCs/>
                <w:sz w:val="24"/>
                <w:szCs w:val="24"/>
              </w:rPr>
              <w:t>DA002号排气筒中非甲烷总烃</w:t>
            </w:r>
            <w:r>
              <w:rPr>
                <w:rFonts w:hint="eastAsia"/>
                <w:bCs/>
                <w:sz w:val="24"/>
                <w:szCs w:val="24"/>
                <w:lang w:eastAsia="zh-CN"/>
              </w:rPr>
              <w:t>、颗粒物</w:t>
            </w:r>
            <w:r>
              <w:rPr>
                <w:rFonts w:hint="eastAsia"/>
                <w:bCs/>
                <w:sz w:val="24"/>
                <w:szCs w:val="24"/>
              </w:rPr>
              <w:t>的排放浓度、排放速率均满足《大气污染物综合排放标准》（GB16297-1996）表2中排放标准要求。</w:t>
            </w:r>
          </w:p>
          <w:p>
            <w:pPr>
              <w:adjustRightInd w:val="0"/>
              <w:snapToGrid w:val="0"/>
              <w:spacing w:line="360" w:lineRule="auto"/>
              <w:ind w:firstLine="480" w:firstLineChars="200"/>
              <w:rPr>
                <w:bCs/>
                <w:sz w:val="24"/>
                <w:szCs w:val="24"/>
              </w:rPr>
            </w:pPr>
            <w:r>
              <w:rPr>
                <w:bCs/>
                <w:sz w:val="24"/>
                <w:szCs w:val="24"/>
              </w:rPr>
              <w:fldChar w:fldCharType="begin"/>
            </w:r>
            <w:r>
              <w:rPr>
                <w:bCs/>
                <w:sz w:val="24"/>
                <w:szCs w:val="24"/>
              </w:rPr>
              <w:instrText xml:space="preserve"> </w:instrText>
            </w:r>
            <w:r>
              <w:rPr>
                <w:rFonts w:hint="eastAsia"/>
                <w:bCs/>
                <w:sz w:val="24"/>
                <w:szCs w:val="24"/>
              </w:rPr>
              <w:instrText xml:space="preserve">= 2 \* GB3</w:instrText>
            </w:r>
            <w:r>
              <w:rPr>
                <w:bCs/>
                <w:sz w:val="24"/>
                <w:szCs w:val="24"/>
              </w:rPr>
              <w:instrText xml:space="preserve"> </w:instrText>
            </w:r>
            <w:r>
              <w:rPr>
                <w:bCs/>
                <w:sz w:val="24"/>
                <w:szCs w:val="24"/>
              </w:rPr>
              <w:fldChar w:fldCharType="separate"/>
            </w:r>
            <w:r>
              <w:rPr>
                <w:rFonts w:hint="eastAsia"/>
                <w:bCs/>
                <w:sz w:val="24"/>
                <w:szCs w:val="24"/>
              </w:rPr>
              <w:t>②</w:t>
            </w:r>
            <w:r>
              <w:rPr>
                <w:bCs/>
                <w:sz w:val="24"/>
                <w:szCs w:val="24"/>
              </w:rPr>
              <w:fldChar w:fldCharType="end"/>
            </w:r>
            <w:r>
              <w:rPr>
                <w:rFonts w:hint="eastAsia"/>
                <w:bCs/>
                <w:sz w:val="24"/>
                <w:szCs w:val="24"/>
              </w:rPr>
              <w:t>无组织</w:t>
            </w:r>
            <w:r>
              <w:rPr>
                <w:rFonts w:hint="eastAsia"/>
                <w:sz w:val="24"/>
                <w:szCs w:val="24"/>
              </w:rPr>
              <w:t>废气</w:t>
            </w:r>
            <w:r>
              <w:rPr>
                <w:sz w:val="24"/>
                <w:szCs w:val="24"/>
              </w:rPr>
              <w:t>达标分析</w:t>
            </w:r>
          </w:p>
          <w:p>
            <w:pPr>
              <w:adjustRightInd w:val="0"/>
              <w:snapToGrid w:val="0"/>
              <w:spacing w:line="360" w:lineRule="auto"/>
              <w:ind w:firstLine="480" w:firstLineChars="200"/>
              <w:rPr>
                <w:rFonts w:hint="eastAsia" w:eastAsia="宋体"/>
                <w:sz w:val="24"/>
                <w:szCs w:val="24"/>
                <w:lang w:eastAsia="zh-CN"/>
              </w:rPr>
            </w:pPr>
            <w:r>
              <w:rPr>
                <w:rFonts w:hint="eastAsia"/>
                <w:bCs/>
                <w:sz w:val="24"/>
                <w:szCs w:val="24"/>
                <w:lang w:eastAsia="zh-CN"/>
              </w:rPr>
              <w:t>引爆安全气囊过程产生的少量粉尘未</w:t>
            </w:r>
            <w:r>
              <w:rPr>
                <w:rFonts w:hint="eastAsia"/>
                <w:sz w:val="24"/>
                <w:szCs w:val="24"/>
                <w:lang w:eastAsia="zh-CN"/>
              </w:rPr>
              <w:t>经</w:t>
            </w:r>
            <w:r>
              <w:rPr>
                <w:rFonts w:hint="eastAsia"/>
                <w:sz w:val="24"/>
                <w:szCs w:val="24"/>
              </w:rPr>
              <w:t>配置布袋集尘装置</w:t>
            </w:r>
            <w:r>
              <w:rPr>
                <w:rFonts w:hint="eastAsia"/>
                <w:sz w:val="24"/>
                <w:szCs w:val="24"/>
                <w:lang w:eastAsia="zh-CN"/>
              </w:rPr>
              <w:t>收集均属于无组织排放，</w:t>
            </w:r>
            <w:r>
              <w:rPr>
                <w:rFonts w:hint="eastAsia"/>
                <w:sz w:val="24"/>
                <w:szCs w:val="24"/>
              </w:rPr>
              <w:t>废制冷剂抽取的氢氟碳化物</w:t>
            </w:r>
            <w:r>
              <w:rPr>
                <w:rFonts w:hint="eastAsia"/>
                <w:sz w:val="24"/>
                <w:szCs w:val="24"/>
                <w:lang w:eastAsia="zh-CN"/>
              </w:rPr>
              <w:t>未经</w:t>
            </w:r>
            <w:r>
              <w:rPr>
                <w:rFonts w:hint="eastAsia"/>
                <w:sz w:val="24"/>
                <w:szCs w:val="24"/>
                <w:u w:val="none"/>
              </w:rPr>
              <w:t>专门的制冷剂回收装置</w:t>
            </w:r>
            <w:r>
              <w:rPr>
                <w:rFonts w:hint="eastAsia"/>
                <w:sz w:val="24"/>
                <w:szCs w:val="24"/>
              </w:rPr>
              <w:t>回收</w:t>
            </w:r>
            <w:r>
              <w:rPr>
                <w:rFonts w:hint="eastAsia"/>
                <w:sz w:val="24"/>
                <w:szCs w:val="24"/>
                <w:lang w:eastAsia="zh-CN"/>
              </w:rPr>
              <w:t>，拆解粉尘通过及时清扫车间地面粉尘、加强车间通风，由于排放量少</w:t>
            </w:r>
            <w:r>
              <w:rPr>
                <w:rFonts w:hint="eastAsia"/>
                <w:bCs/>
                <w:sz w:val="24"/>
                <w:szCs w:val="24"/>
              </w:rPr>
              <w:t>满足</w:t>
            </w:r>
            <w:r>
              <w:rPr>
                <w:rFonts w:hint="eastAsia"/>
                <w:sz w:val="24"/>
                <w:szCs w:val="24"/>
              </w:rPr>
              <w:t>《大气污染物综合排放标准》（GB16297-1996）中无组织排放监控浓度限值。废油液抽取过程集气罩未收集产生非甲烷总烃</w:t>
            </w:r>
            <w:r>
              <w:rPr>
                <w:rFonts w:hint="eastAsia"/>
                <w:sz w:val="24"/>
                <w:szCs w:val="24"/>
                <w:lang w:eastAsia="zh-CN"/>
              </w:rPr>
              <w:t>和危险废物暂存间未收集的非甲烷总烃</w:t>
            </w:r>
            <w:r>
              <w:rPr>
                <w:rFonts w:hint="eastAsia"/>
                <w:sz w:val="24"/>
                <w:szCs w:val="24"/>
              </w:rPr>
              <w:t>，由于排放量均较少，均能满足《挥发性有机物无组织排放控制标准》（GB37822-2019）的排放限值要求。</w:t>
            </w:r>
          </w:p>
          <w:p>
            <w:pPr>
              <w:adjustRightInd w:val="0"/>
              <w:snapToGrid w:val="0"/>
              <w:spacing w:line="360" w:lineRule="auto"/>
              <w:ind w:firstLine="482" w:firstLineChars="200"/>
              <w:rPr>
                <w:rFonts w:hint="eastAsia"/>
                <w:sz w:val="24"/>
                <w:szCs w:val="24"/>
              </w:rPr>
            </w:pPr>
            <w:r>
              <w:rPr>
                <w:rFonts w:hint="eastAsia"/>
                <w:b/>
                <w:bCs/>
                <w:sz w:val="24"/>
                <w:szCs w:val="24"/>
              </w:rPr>
              <w:t>（</w:t>
            </w:r>
            <w:r>
              <w:rPr>
                <w:rFonts w:hint="eastAsia"/>
                <w:b/>
                <w:bCs/>
                <w:sz w:val="24"/>
                <w:szCs w:val="24"/>
                <w:lang w:val="en-US" w:eastAsia="zh-CN"/>
              </w:rPr>
              <w:t>3</w:t>
            </w:r>
            <w:r>
              <w:rPr>
                <w:rFonts w:hint="eastAsia"/>
                <w:b/>
                <w:bCs/>
                <w:sz w:val="24"/>
                <w:szCs w:val="24"/>
              </w:rPr>
              <w:t>）非正产工况分析</w:t>
            </w:r>
          </w:p>
          <w:p>
            <w:pPr>
              <w:adjustRightInd w:val="0"/>
              <w:snapToGrid w:val="0"/>
              <w:spacing w:line="360" w:lineRule="auto"/>
              <w:ind w:firstLine="480" w:firstLineChars="200"/>
              <w:rPr>
                <w:rFonts w:hint="eastAsia" w:eastAsia="宋体"/>
                <w:bCs/>
                <w:sz w:val="24"/>
                <w:szCs w:val="24"/>
                <w:lang w:eastAsia="zh-CN"/>
              </w:rPr>
            </w:pPr>
            <w:r>
              <w:rPr>
                <w:rFonts w:hint="eastAsia" w:eastAsia="宋体"/>
                <w:bCs/>
                <w:sz w:val="24"/>
                <w:szCs w:val="24"/>
                <w:lang w:eastAsia="zh-CN"/>
              </w:rPr>
              <w:t>非正常排放指生产中开停车（工、炉）、设备检修、工艺设备运转异常等非正常工况下的污染物排放，以及污染排放控制措施达不到应有效率等情况下的排放。</w:t>
            </w:r>
          </w:p>
          <w:p>
            <w:pPr>
              <w:adjustRightInd w:val="0"/>
              <w:snapToGrid w:val="0"/>
              <w:spacing w:line="360" w:lineRule="auto"/>
              <w:ind w:firstLine="480" w:firstLineChars="200"/>
              <w:rPr>
                <w:rFonts w:hint="eastAsia" w:eastAsia="宋体"/>
                <w:bCs/>
                <w:sz w:val="24"/>
                <w:szCs w:val="24"/>
                <w:lang w:eastAsia="zh-CN"/>
              </w:rPr>
            </w:pPr>
            <w:r>
              <w:rPr>
                <w:rFonts w:hint="eastAsia" w:eastAsia="宋体"/>
                <w:bCs/>
                <w:sz w:val="24"/>
                <w:szCs w:val="24"/>
                <w:lang w:eastAsia="zh-CN"/>
              </w:rPr>
              <w:t>项目将活性炭吸附装置、布袋除尘装置故障情况下污染物排放定为非正常工况下的废气排放源强。</w:t>
            </w:r>
          </w:p>
          <w:p>
            <w:pPr>
              <w:adjustRightInd w:val="0"/>
              <w:snapToGrid w:val="0"/>
              <w:spacing w:line="360" w:lineRule="auto"/>
              <w:ind w:firstLine="480" w:firstLineChars="200"/>
              <w:rPr>
                <w:rFonts w:hint="eastAsia" w:eastAsia="宋体"/>
                <w:bCs/>
                <w:sz w:val="24"/>
                <w:szCs w:val="24"/>
                <w:lang w:eastAsia="zh-CN"/>
              </w:rPr>
            </w:pPr>
            <w:r>
              <w:rPr>
                <w:rFonts w:hint="eastAsia" w:eastAsia="宋体"/>
                <w:bCs/>
                <w:sz w:val="24"/>
                <w:szCs w:val="24"/>
                <w:lang w:eastAsia="zh-CN"/>
              </w:rPr>
              <w:t>项目非正常工况废气的排放及达标情况如下表所示：</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b/>
                <w:bCs w:val="0"/>
                <w:sz w:val="21"/>
                <w:szCs w:val="21"/>
                <w:lang w:val="en-US" w:eastAsia="zh-CN"/>
              </w:rPr>
            </w:pPr>
            <w:r>
              <w:rPr>
                <w:rFonts w:hint="eastAsia" w:eastAsia="宋体"/>
                <w:b/>
                <w:bCs w:val="0"/>
                <w:sz w:val="21"/>
                <w:szCs w:val="21"/>
                <w:lang w:eastAsia="zh-CN"/>
              </w:rPr>
              <w:t>表4-</w:t>
            </w:r>
            <w:r>
              <w:rPr>
                <w:rFonts w:hint="eastAsia" w:eastAsia="宋体"/>
                <w:b/>
                <w:bCs w:val="0"/>
                <w:sz w:val="21"/>
                <w:szCs w:val="21"/>
                <w:lang w:val="en-US" w:eastAsia="zh-CN"/>
              </w:rPr>
              <w:t>4</w:t>
            </w:r>
            <w:r>
              <w:rPr>
                <w:rFonts w:hint="eastAsia"/>
                <w:b/>
                <w:bCs w:val="0"/>
                <w:sz w:val="21"/>
                <w:szCs w:val="21"/>
                <w:lang w:val="en-US" w:eastAsia="zh-CN"/>
              </w:rPr>
              <w:t xml:space="preserve"> 非正常排放参数表</w:t>
            </w:r>
          </w:p>
          <w:tbl>
            <w:tblPr>
              <w:tblStyle w:val="17"/>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765"/>
              <w:gridCol w:w="1380"/>
              <w:gridCol w:w="1380"/>
              <w:gridCol w:w="141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bCs/>
                      <w:sz w:val="21"/>
                      <w:szCs w:val="21"/>
                      <w:vertAlign w:val="baseline"/>
                      <w:lang w:eastAsia="zh-CN"/>
                    </w:rPr>
                    <w:t>非正常排放源</w:t>
                  </w:r>
                </w:p>
              </w:tc>
              <w:tc>
                <w:tcPr>
                  <w:tcW w:w="1765"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bCs/>
                      <w:sz w:val="21"/>
                      <w:szCs w:val="21"/>
                      <w:vertAlign w:val="baseline"/>
                      <w:lang w:eastAsia="zh-CN"/>
                    </w:rPr>
                    <w:t>非正常排放原因</w:t>
                  </w:r>
                </w:p>
              </w:tc>
              <w:tc>
                <w:tcPr>
                  <w:tcW w:w="1380"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bCs/>
                      <w:sz w:val="21"/>
                      <w:szCs w:val="21"/>
                      <w:vertAlign w:val="baseline"/>
                      <w:lang w:eastAsia="zh-CN"/>
                    </w:rPr>
                    <w:t>污染物</w:t>
                  </w:r>
                </w:p>
              </w:tc>
              <w:tc>
                <w:tcPr>
                  <w:tcW w:w="1380"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bCs/>
                      <w:sz w:val="21"/>
                      <w:szCs w:val="21"/>
                      <w:vertAlign w:val="baseline"/>
                      <w:lang w:eastAsia="zh-CN"/>
                    </w:rPr>
                    <w:t>非正常排放速率</w:t>
                  </w:r>
                </w:p>
              </w:tc>
              <w:tc>
                <w:tcPr>
                  <w:tcW w:w="1410" w:type="dxa"/>
                  <w:noWrap w:val="0"/>
                  <w:vAlign w:val="center"/>
                </w:tcPr>
                <w:p>
                  <w:pPr>
                    <w:adjustRightInd w:val="0"/>
                    <w:snapToGrid w:val="0"/>
                    <w:spacing w:line="360" w:lineRule="auto"/>
                    <w:jc w:val="center"/>
                    <w:rPr>
                      <w:rFonts w:hint="default" w:eastAsia="宋体"/>
                      <w:bCs/>
                      <w:sz w:val="21"/>
                      <w:szCs w:val="21"/>
                      <w:vertAlign w:val="baseline"/>
                      <w:lang w:val="en-US" w:eastAsia="zh-CN"/>
                    </w:rPr>
                  </w:pPr>
                  <w:r>
                    <w:rPr>
                      <w:rFonts w:hint="eastAsia"/>
                      <w:bCs/>
                      <w:sz w:val="21"/>
                      <w:szCs w:val="21"/>
                      <w:vertAlign w:val="baseline"/>
                      <w:lang w:eastAsia="zh-CN"/>
                    </w:rPr>
                    <w:t>单次持续时间</w:t>
                  </w:r>
                  <w:r>
                    <w:rPr>
                      <w:rFonts w:hint="eastAsia"/>
                      <w:bCs/>
                      <w:sz w:val="21"/>
                      <w:szCs w:val="21"/>
                      <w:vertAlign w:val="baseline"/>
                      <w:lang w:val="en-US" w:eastAsia="zh-CN"/>
                    </w:rPr>
                    <w:t>/h</w:t>
                  </w:r>
                </w:p>
              </w:tc>
              <w:tc>
                <w:tcPr>
                  <w:tcW w:w="1170"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bCs/>
                      <w:sz w:val="21"/>
                      <w:szCs w:val="21"/>
                      <w:vertAlign w:val="baseline"/>
                      <w:lang w:eastAsia="zh-CN"/>
                    </w:rPr>
                    <w:t>年发生频次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eastAsia="宋体"/>
                      <w:kern w:val="2"/>
                      <w:sz w:val="21"/>
                      <w:szCs w:val="21"/>
                      <w:lang w:val="en-US" w:eastAsia="zh-CN" w:bidi="ar-SA"/>
                    </w:rPr>
                    <w:t>废油液抽取</w:t>
                  </w:r>
                </w:p>
              </w:tc>
              <w:tc>
                <w:tcPr>
                  <w:tcW w:w="17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bCs/>
                      <w:sz w:val="21"/>
                      <w:szCs w:val="21"/>
                      <w:vertAlign w:val="baseline"/>
                      <w:lang w:eastAsia="zh-CN"/>
                    </w:rPr>
                  </w:pPr>
                  <w:r>
                    <w:rPr>
                      <w:rFonts w:hint="eastAsia"/>
                      <w:bCs/>
                      <w:sz w:val="21"/>
                      <w:szCs w:val="21"/>
                      <w:vertAlign w:val="baseline"/>
                      <w:lang w:eastAsia="zh-CN"/>
                    </w:rPr>
                    <w:t>活性炭吸附设备故障</w:t>
                  </w:r>
                </w:p>
              </w:tc>
              <w:tc>
                <w:tcPr>
                  <w:tcW w:w="1380" w:type="dxa"/>
                  <w:noWrap w:val="0"/>
                  <w:vAlign w:val="center"/>
                </w:tcPr>
                <w:p>
                  <w:pPr>
                    <w:adjustRightInd w:val="0"/>
                    <w:snapToGrid w:val="0"/>
                    <w:spacing w:line="360" w:lineRule="auto"/>
                    <w:jc w:val="center"/>
                    <w:rPr>
                      <w:rFonts w:hint="eastAsia" w:eastAsia="宋体"/>
                      <w:bCs/>
                      <w:sz w:val="21"/>
                      <w:szCs w:val="21"/>
                      <w:vertAlign w:val="baseline"/>
                      <w:lang w:eastAsia="zh-CN"/>
                    </w:rPr>
                  </w:pPr>
                  <w:r>
                    <w:rPr>
                      <w:rFonts w:hint="eastAsia"/>
                      <w:bCs/>
                      <w:sz w:val="21"/>
                      <w:szCs w:val="21"/>
                      <w:vertAlign w:val="baseline"/>
                      <w:lang w:eastAsia="zh-CN"/>
                    </w:rPr>
                    <w:t>非甲烷总烃</w:t>
                  </w:r>
                </w:p>
              </w:tc>
              <w:tc>
                <w:tcPr>
                  <w:tcW w:w="1380" w:type="dxa"/>
                  <w:noWrap w:val="0"/>
                  <w:vAlign w:val="center"/>
                </w:tcPr>
                <w:p>
                  <w:pPr>
                    <w:adjustRightInd w:val="0"/>
                    <w:snapToGrid w:val="0"/>
                    <w:spacing w:line="360" w:lineRule="auto"/>
                    <w:jc w:val="center"/>
                    <w:rPr>
                      <w:rFonts w:hint="default" w:eastAsia="宋体"/>
                      <w:bCs/>
                      <w:sz w:val="21"/>
                      <w:szCs w:val="21"/>
                      <w:vertAlign w:val="baseline"/>
                      <w:lang w:val="en-US" w:eastAsia="zh-CN"/>
                    </w:rPr>
                  </w:pPr>
                  <w:r>
                    <w:rPr>
                      <w:rFonts w:hint="eastAsia"/>
                      <w:b w:val="0"/>
                      <w:bCs w:val="0"/>
                      <w:sz w:val="21"/>
                      <w:szCs w:val="21"/>
                      <w:lang w:val="en-US" w:eastAsia="zh-CN"/>
                    </w:rPr>
                    <w:t>0.007</w:t>
                  </w:r>
                </w:p>
              </w:tc>
              <w:tc>
                <w:tcPr>
                  <w:tcW w:w="1410" w:type="dxa"/>
                  <w:noWrap w:val="0"/>
                  <w:vAlign w:val="center"/>
                </w:tcPr>
                <w:p>
                  <w:pPr>
                    <w:adjustRightInd w:val="0"/>
                    <w:snapToGrid w:val="0"/>
                    <w:spacing w:line="360" w:lineRule="auto"/>
                    <w:jc w:val="center"/>
                    <w:rPr>
                      <w:rFonts w:hint="default" w:eastAsia="宋体"/>
                      <w:bCs/>
                      <w:sz w:val="21"/>
                      <w:szCs w:val="21"/>
                      <w:vertAlign w:val="baseline"/>
                      <w:lang w:val="en-US" w:eastAsia="zh-CN"/>
                    </w:rPr>
                  </w:pPr>
                  <w:r>
                    <w:rPr>
                      <w:rFonts w:hint="eastAsia"/>
                      <w:bCs/>
                      <w:sz w:val="21"/>
                      <w:szCs w:val="21"/>
                      <w:vertAlign w:val="baseline"/>
                      <w:lang w:val="en-US" w:eastAsia="zh-CN"/>
                    </w:rPr>
                    <w:t>2</w:t>
                  </w:r>
                </w:p>
              </w:tc>
              <w:tc>
                <w:tcPr>
                  <w:tcW w:w="1170" w:type="dxa"/>
                  <w:noWrap w:val="0"/>
                  <w:vAlign w:val="center"/>
                </w:tcPr>
                <w:p>
                  <w:pPr>
                    <w:adjustRightInd w:val="0"/>
                    <w:snapToGrid w:val="0"/>
                    <w:spacing w:line="360" w:lineRule="auto"/>
                    <w:jc w:val="center"/>
                    <w:rPr>
                      <w:rFonts w:hint="default" w:eastAsia="宋体"/>
                      <w:bCs/>
                      <w:sz w:val="21"/>
                      <w:szCs w:val="21"/>
                      <w:vertAlign w:val="baseline"/>
                      <w:lang w:val="en-US" w:eastAsia="zh-CN"/>
                    </w:rPr>
                  </w:pPr>
                  <w:r>
                    <w:rPr>
                      <w:rFonts w:hint="eastAsia"/>
                      <w:bCs/>
                      <w:sz w:val="21"/>
                      <w:szCs w:val="21"/>
                      <w:vertAlign w:val="baseline"/>
                      <w:lang w:val="en-US" w:eastAsia="zh-CN"/>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adjustRightInd w:val="0"/>
                    <w:snapToGrid w:val="0"/>
                    <w:spacing w:line="360" w:lineRule="auto"/>
                    <w:jc w:val="center"/>
                    <w:rPr>
                      <w:rFonts w:hint="eastAsia" w:eastAsia="宋体"/>
                      <w:kern w:val="2"/>
                      <w:sz w:val="21"/>
                      <w:szCs w:val="21"/>
                      <w:lang w:val="en-US" w:eastAsia="zh-CN" w:bidi="ar-SA"/>
                    </w:rPr>
                  </w:pPr>
                  <w:r>
                    <w:rPr>
                      <w:rFonts w:hint="eastAsia" w:eastAsia="宋体"/>
                      <w:kern w:val="2"/>
                      <w:sz w:val="21"/>
                      <w:szCs w:val="21"/>
                      <w:lang w:val="en-US" w:eastAsia="zh-CN" w:bidi="ar-SA"/>
                    </w:rPr>
                    <w:t>危险废物暂存间</w:t>
                  </w:r>
                </w:p>
              </w:tc>
              <w:tc>
                <w:tcPr>
                  <w:tcW w:w="17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Cs/>
                      <w:sz w:val="21"/>
                      <w:szCs w:val="21"/>
                      <w:vertAlign w:val="baseline"/>
                      <w:lang w:eastAsia="zh-CN"/>
                    </w:rPr>
                  </w:pPr>
                  <w:r>
                    <w:rPr>
                      <w:rFonts w:hint="eastAsia"/>
                      <w:bCs/>
                      <w:sz w:val="21"/>
                      <w:szCs w:val="21"/>
                      <w:vertAlign w:val="baseline"/>
                      <w:lang w:eastAsia="zh-CN"/>
                    </w:rPr>
                    <w:t>活性炭吸附设备故障</w:t>
                  </w:r>
                </w:p>
              </w:tc>
              <w:tc>
                <w:tcPr>
                  <w:tcW w:w="1380" w:type="dxa"/>
                  <w:noWrap w:val="0"/>
                  <w:vAlign w:val="center"/>
                </w:tcPr>
                <w:p>
                  <w:pPr>
                    <w:adjustRightInd w:val="0"/>
                    <w:snapToGrid w:val="0"/>
                    <w:spacing w:line="360" w:lineRule="auto"/>
                    <w:jc w:val="center"/>
                    <w:rPr>
                      <w:rFonts w:hint="eastAsia"/>
                      <w:bCs/>
                      <w:sz w:val="21"/>
                      <w:szCs w:val="21"/>
                      <w:vertAlign w:val="baseline"/>
                      <w:lang w:eastAsia="zh-CN"/>
                    </w:rPr>
                  </w:pPr>
                  <w:r>
                    <w:rPr>
                      <w:rFonts w:hint="eastAsia"/>
                      <w:bCs/>
                      <w:sz w:val="21"/>
                      <w:szCs w:val="21"/>
                      <w:vertAlign w:val="baseline"/>
                      <w:lang w:eastAsia="zh-CN"/>
                    </w:rPr>
                    <w:t>非甲烷总烃</w:t>
                  </w:r>
                </w:p>
              </w:tc>
              <w:tc>
                <w:tcPr>
                  <w:tcW w:w="1380" w:type="dxa"/>
                  <w:noWrap w:val="0"/>
                  <w:vAlign w:val="center"/>
                </w:tcPr>
                <w:p>
                  <w:pPr>
                    <w:adjustRightInd w:val="0"/>
                    <w:snapToGrid w:val="0"/>
                    <w:spacing w:line="360" w:lineRule="auto"/>
                    <w:jc w:val="center"/>
                    <w:rPr>
                      <w:rFonts w:hint="default"/>
                      <w:bCs/>
                      <w:sz w:val="21"/>
                      <w:szCs w:val="21"/>
                      <w:vertAlign w:val="baseline"/>
                      <w:lang w:val="en-US" w:eastAsia="zh-CN"/>
                    </w:rPr>
                  </w:pPr>
                  <w:r>
                    <w:rPr>
                      <w:rFonts w:hint="eastAsia"/>
                      <w:bCs/>
                      <w:sz w:val="21"/>
                      <w:szCs w:val="21"/>
                      <w:vertAlign w:val="baseline"/>
                      <w:lang w:val="en-US" w:eastAsia="zh-CN"/>
                    </w:rPr>
                    <w:t>0.002</w:t>
                  </w:r>
                </w:p>
              </w:tc>
              <w:tc>
                <w:tcPr>
                  <w:tcW w:w="1410" w:type="dxa"/>
                  <w:noWrap w:val="0"/>
                  <w:vAlign w:val="center"/>
                </w:tcPr>
                <w:p>
                  <w:pPr>
                    <w:adjustRightInd w:val="0"/>
                    <w:snapToGrid w:val="0"/>
                    <w:spacing w:line="360" w:lineRule="auto"/>
                    <w:jc w:val="center"/>
                    <w:rPr>
                      <w:rFonts w:hint="default"/>
                      <w:bCs/>
                      <w:sz w:val="21"/>
                      <w:szCs w:val="21"/>
                      <w:vertAlign w:val="baseline"/>
                      <w:lang w:val="en-US" w:eastAsia="zh-CN"/>
                    </w:rPr>
                  </w:pPr>
                  <w:r>
                    <w:rPr>
                      <w:rFonts w:hint="eastAsia"/>
                      <w:bCs/>
                      <w:sz w:val="21"/>
                      <w:szCs w:val="21"/>
                      <w:vertAlign w:val="baseline"/>
                      <w:lang w:val="en-US" w:eastAsia="zh-CN"/>
                    </w:rPr>
                    <w:t>2</w:t>
                  </w:r>
                </w:p>
              </w:tc>
              <w:tc>
                <w:tcPr>
                  <w:tcW w:w="1170" w:type="dxa"/>
                  <w:noWrap w:val="0"/>
                  <w:vAlign w:val="center"/>
                </w:tcPr>
                <w:p>
                  <w:pPr>
                    <w:adjustRightInd w:val="0"/>
                    <w:snapToGrid w:val="0"/>
                    <w:spacing w:line="360" w:lineRule="auto"/>
                    <w:jc w:val="center"/>
                    <w:rPr>
                      <w:rFonts w:hint="default"/>
                      <w:bCs/>
                      <w:sz w:val="21"/>
                      <w:szCs w:val="21"/>
                      <w:vertAlign w:val="baseline"/>
                      <w:lang w:val="en-US" w:eastAsia="zh-CN"/>
                    </w:rPr>
                  </w:pPr>
                  <w:r>
                    <w:rPr>
                      <w:rFonts w:hint="eastAsia"/>
                      <w:bCs/>
                      <w:sz w:val="21"/>
                      <w:szCs w:val="21"/>
                      <w:vertAlign w:val="baseline"/>
                      <w:lang w:val="en-US" w:eastAsia="zh-CN"/>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20" w:type="dxa"/>
                  <w:noWrap w:val="0"/>
                  <w:vAlign w:val="center"/>
                </w:tcPr>
                <w:p>
                  <w:pPr>
                    <w:adjustRightInd w:val="0"/>
                    <w:snapToGrid w:val="0"/>
                    <w:spacing w:line="360" w:lineRule="auto"/>
                    <w:jc w:val="center"/>
                    <w:rPr>
                      <w:rFonts w:hint="eastAsia" w:eastAsia="宋体"/>
                      <w:kern w:val="2"/>
                      <w:sz w:val="21"/>
                      <w:szCs w:val="21"/>
                      <w:lang w:val="en-US" w:eastAsia="zh-CN" w:bidi="ar-SA"/>
                    </w:rPr>
                  </w:pPr>
                  <w:r>
                    <w:rPr>
                      <w:rFonts w:hint="eastAsia"/>
                      <w:sz w:val="21"/>
                      <w:szCs w:val="21"/>
                      <w:lang w:val="en-US" w:eastAsia="zh-CN"/>
                    </w:rPr>
                    <w:t>废钢铁加工</w:t>
                  </w:r>
                </w:p>
              </w:tc>
              <w:tc>
                <w:tcPr>
                  <w:tcW w:w="1765" w:type="dxa"/>
                  <w:noWrap w:val="0"/>
                  <w:vAlign w:val="center"/>
                </w:tcPr>
                <w:p>
                  <w:pPr>
                    <w:adjustRightInd w:val="0"/>
                    <w:snapToGrid w:val="0"/>
                    <w:spacing w:line="360" w:lineRule="auto"/>
                    <w:jc w:val="center"/>
                    <w:rPr>
                      <w:rFonts w:hint="eastAsia"/>
                      <w:bCs/>
                      <w:sz w:val="21"/>
                      <w:szCs w:val="21"/>
                      <w:vertAlign w:val="baseline"/>
                      <w:lang w:eastAsia="zh-CN"/>
                    </w:rPr>
                  </w:pPr>
                  <w:r>
                    <w:rPr>
                      <w:rFonts w:hint="eastAsia"/>
                      <w:bCs/>
                      <w:sz w:val="21"/>
                      <w:szCs w:val="21"/>
                      <w:vertAlign w:val="baseline"/>
                      <w:lang w:val="en-US" w:eastAsia="zh-CN"/>
                    </w:rPr>
                    <w:t>布袋除尘</w:t>
                  </w:r>
                  <w:r>
                    <w:rPr>
                      <w:rFonts w:hint="eastAsia"/>
                      <w:bCs/>
                      <w:sz w:val="21"/>
                      <w:szCs w:val="21"/>
                      <w:vertAlign w:val="baseline"/>
                      <w:lang w:eastAsia="zh-CN"/>
                    </w:rPr>
                    <w:t>装置</w:t>
                  </w:r>
                </w:p>
              </w:tc>
              <w:tc>
                <w:tcPr>
                  <w:tcW w:w="1380" w:type="dxa"/>
                  <w:noWrap w:val="0"/>
                  <w:vAlign w:val="center"/>
                </w:tcPr>
                <w:p>
                  <w:pPr>
                    <w:adjustRightInd w:val="0"/>
                    <w:snapToGrid w:val="0"/>
                    <w:spacing w:line="360" w:lineRule="auto"/>
                    <w:jc w:val="center"/>
                    <w:rPr>
                      <w:rFonts w:hint="eastAsia"/>
                      <w:bCs/>
                      <w:sz w:val="21"/>
                      <w:szCs w:val="21"/>
                      <w:vertAlign w:val="baseline"/>
                      <w:lang w:eastAsia="zh-CN"/>
                    </w:rPr>
                  </w:pPr>
                  <w:r>
                    <w:rPr>
                      <w:rFonts w:hint="eastAsia"/>
                      <w:bCs/>
                      <w:sz w:val="21"/>
                      <w:szCs w:val="21"/>
                      <w:vertAlign w:val="baseline"/>
                      <w:lang w:eastAsia="zh-CN"/>
                    </w:rPr>
                    <w:t>颗粒物</w:t>
                  </w:r>
                </w:p>
              </w:tc>
              <w:tc>
                <w:tcPr>
                  <w:tcW w:w="1380" w:type="dxa"/>
                  <w:noWrap w:val="0"/>
                  <w:vAlign w:val="center"/>
                </w:tcPr>
                <w:p>
                  <w:pPr>
                    <w:adjustRightInd w:val="0"/>
                    <w:snapToGrid w:val="0"/>
                    <w:spacing w:line="360" w:lineRule="auto"/>
                    <w:jc w:val="center"/>
                    <w:rPr>
                      <w:rFonts w:hint="eastAsia"/>
                      <w:bCs/>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0.027</w:t>
                  </w:r>
                </w:p>
              </w:tc>
              <w:tc>
                <w:tcPr>
                  <w:tcW w:w="1410" w:type="dxa"/>
                  <w:noWrap w:val="0"/>
                  <w:vAlign w:val="center"/>
                </w:tcPr>
                <w:p>
                  <w:pPr>
                    <w:adjustRightInd w:val="0"/>
                    <w:snapToGrid w:val="0"/>
                    <w:spacing w:line="360" w:lineRule="auto"/>
                    <w:jc w:val="center"/>
                    <w:rPr>
                      <w:rFonts w:hint="eastAsia"/>
                      <w:bCs/>
                      <w:kern w:val="2"/>
                      <w:sz w:val="21"/>
                      <w:szCs w:val="21"/>
                      <w:vertAlign w:val="baseline"/>
                      <w:lang w:val="en-US" w:eastAsia="zh-CN" w:bidi="ar-SA"/>
                    </w:rPr>
                  </w:pPr>
                  <w:r>
                    <w:rPr>
                      <w:rFonts w:hint="eastAsia"/>
                      <w:bCs/>
                      <w:sz w:val="21"/>
                      <w:szCs w:val="21"/>
                      <w:vertAlign w:val="baseline"/>
                      <w:lang w:val="en-US" w:eastAsia="zh-CN"/>
                    </w:rPr>
                    <w:t>2</w:t>
                  </w:r>
                </w:p>
              </w:tc>
              <w:tc>
                <w:tcPr>
                  <w:tcW w:w="1170" w:type="dxa"/>
                  <w:noWrap w:val="0"/>
                  <w:vAlign w:val="center"/>
                </w:tcPr>
                <w:p>
                  <w:pPr>
                    <w:adjustRightInd w:val="0"/>
                    <w:snapToGrid w:val="0"/>
                    <w:spacing w:line="360" w:lineRule="auto"/>
                    <w:jc w:val="center"/>
                    <w:rPr>
                      <w:rFonts w:hint="eastAsia"/>
                      <w:bCs/>
                      <w:kern w:val="2"/>
                      <w:sz w:val="21"/>
                      <w:szCs w:val="21"/>
                      <w:vertAlign w:val="baseline"/>
                      <w:lang w:val="en-US" w:eastAsia="zh-CN" w:bidi="ar-SA"/>
                    </w:rPr>
                  </w:pPr>
                  <w:r>
                    <w:rPr>
                      <w:rFonts w:hint="eastAsia"/>
                      <w:bCs/>
                      <w:sz w:val="21"/>
                      <w:szCs w:val="21"/>
                      <w:vertAlign w:val="baseline"/>
                      <w:lang w:val="en-US" w:eastAsia="zh-CN"/>
                    </w:rPr>
                    <w:t>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5" w:type="dxa"/>
                  <w:gridSpan w:val="6"/>
                  <w:noWrap w:val="0"/>
                  <w:vAlign w:val="center"/>
                </w:tcPr>
                <w:p>
                  <w:pPr>
                    <w:adjustRightInd w:val="0"/>
                    <w:snapToGrid w:val="0"/>
                    <w:spacing w:line="360" w:lineRule="auto"/>
                    <w:jc w:val="both"/>
                    <w:rPr>
                      <w:rFonts w:hint="eastAsia"/>
                      <w:bCs/>
                      <w:sz w:val="21"/>
                      <w:szCs w:val="21"/>
                      <w:vertAlign w:val="baseline"/>
                      <w:lang w:val="en-US" w:eastAsia="zh-CN"/>
                    </w:rPr>
                  </w:pPr>
                  <w:r>
                    <w:rPr>
                      <w:rFonts w:hint="eastAsia"/>
                      <w:bCs/>
                      <w:sz w:val="21"/>
                      <w:szCs w:val="21"/>
                      <w:vertAlign w:val="baseline"/>
                      <w:lang w:val="en-US" w:eastAsia="zh-CN"/>
                    </w:rPr>
                    <w:t>*备注：本次环评考虑非正常排放工况，即废气处理装置出现故障的最恶劣的情况计算</w:t>
                  </w:r>
                </w:p>
              </w:tc>
            </w:tr>
          </w:tbl>
          <w:p>
            <w:pPr>
              <w:adjustRightInd w:val="0"/>
              <w:snapToGrid w:val="0"/>
              <w:spacing w:line="360" w:lineRule="auto"/>
              <w:ind w:firstLine="480" w:firstLineChars="200"/>
              <w:rPr>
                <w:rFonts w:hint="eastAsia" w:eastAsia="宋体"/>
                <w:bCs/>
                <w:sz w:val="24"/>
                <w:szCs w:val="24"/>
                <w:lang w:eastAsia="zh-CN"/>
              </w:rPr>
            </w:pPr>
            <w:r>
              <w:rPr>
                <w:rFonts w:hint="eastAsia" w:eastAsia="宋体"/>
                <w:bCs/>
                <w:sz w:val="24"/>
                <w:szCs w:val="24"/>
                <w:lang w:eastAsia="zh-CN"/>
              </w:rPr>
              <w:t xml:space="preserve"> 建设单位应严格控制废气非正常排放，并采取以下措施：</w:t>
            </w:r>
          </w:p>
          <w:p>
            <w:pPr>
              <w:adjustRightInd w:val="0"/>
              <w:snapToGrid w:val="0"/>
              <w:spacing w:line="360" w:lineRule="auto"/>
              <w:ind w:firstLine="480" w:firstLineChars="200"/>
              <w:rPr>
                <w:rFonts w:hint="eastAsia" w:eastAsia="宋体"/>
                <w:bCs/>
                <w:sz w:val="24"/>
                <w:szCs w:val="24"/>
                <w:lang w:eastAsia="zh-CN"/>
              </w:rPr>
            </w:pPr>
            <w:r>
              <w:rPr>
                <w:rFonts w:hint="eastAsia" w:eastAsia="宋体"/>
                <w:bCs/>
                <w:sz w:val="24"/>
                <w:szCs w:val="24"/>
                <w:lang w:eastAsia="zh-CN"/>
              </w:rPr>
              <w:t>①制定环保设备例行检查制度，加强定期维护保养，发现风机故障、损坏或排风管道破损时，应立即停止生产活动，对设备或管道进行维修，待恢复正常后方正常运行。</w:t>
            </w:r>
          </w:p>
          <w:p>
            <w:pPr>
              <w:adjustRightInd w:val="0"/>
              <w:snapToGrid w:val="0"/>
              <w:spacing w:line="360" w:lineRule="auto"/>
              <w:ind w:firstLine="480" w:firstLineChars="200"/>
              <w:rPr>
                <w:rFonts w:hint="eastAsia" w:eastAsia="宋体"/>
                <w:bCs/>
                <w:sz w:val="24"/>
                <w:szCs w:val="24"/>
                <w:lang w:eastAsia="zh-CN"/>
              </w:rPr>
            </w:pPr>
            <w:r>
              <w:rPr>
                <w:rFonts w:hint="eastAsia" w:eastAsia="宋体"/>
                <w:bCs/>
                <w:sz w:val="24"/>
                <w:szCs w:val="24"/>
                <w:lang w:eastAsia="zh-CN"/>
              </w:rPr>
              <w:t>②定期检修活性炭吸附装置、布袋除尘装置，确保净化效率符合要求；检修时应停止生产活动运行，杜绝废气未经处理直接排放。</w:t>
            </w:r>
          </w:p>
          <w:p>
            <w:pPr>
              <w:adjustRightInd w:val="0"/>
              <w:snapToGrid w:val="0"/>
              <w:spacing w:line="360" w:lineRule="auto"/>
              <w:ind w:firstLine="480" w:firstLineChars="200"/>
              <w:rPr>
                <w:rFonts w:hint="eastAsia" w:ascii="Times New Roman" w:hAnsi="Times New Roman" w:eastAsia="宋体" w:cs="Times New Roman"/>
                <w:b/>
                <w:bCs/>
                <w:color w:val="auto"/>
                <w:sz w:val="24"/>
                <w:szCs w:val="24"/>
                <w:vertAlign w:val="baseline"/>
                <w:lang w:val="en-US" w:eastAsia="zh-CN"/>
              </w:rPr>
            </w:pPr>
            <w:r>
              <w:rPr>
                <w:rFonts w:hint="eastAsia" w:eastAsia="宋体"/>
                <w:bCs/>
                <w:sz w:val="24"/>
                <w:szCs w:val="24"/>
                <w:lang w:eastAsia="zh-CN"/>
              </w:rPr>
              <w:t>③设环保管理专员，对环保管理人员及技术人员进行岗位培训，委托具有专业资质的环境检测单位对项目排放的各类废气污染物进行定期监测。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vertAlign w:val="baseline"/>
                <w:lang w:val="en-US" w:eastAsia="zh-CN"/>
              </w:rPr>
            </w:pPr>
            <w:r>
              <w:rPr>
                <w:rFonts w:hint="eastAsia" w:ascii="Times New Roman" w:hAnsi="Times New Roman" w:eastAsia="宋体" w:cs="Times New Roman"/>
                <w:b/>
                <w:bCs/>
                <w:color w:val="auto"/>
                <w:sz w:val="24"/>
                <w:szCs w:val="24"/>
                <w:vertAlign w:val="baseline"/>
                <w:lang w:val="en-US" w:eastAsia="zh-CN"/>
              </w:rPr>
              <w:t>（4）废气</w:t>
            </w:r>
            <w:r>
              <w:rPr>
                <w:rFonts w:hint="default" w:ascii="Times New Roman" w:hAnsi="Times New Roman" w:eastAsia="宋体" w:cs="Times New Roman"/>
                <w:b/>
                <w:bCs/>
                <w:color w:val="auto"/>
                <w:sz w:val="24"/>
                <w:szCs w:val="24"/>
                <w:vertAlign w:val="baseline"/>
                <w:lang w:val="en-US" w:eastAsia="zh-CN"/>
              </w:rPr>
              <w:t>监测计划</w:t>
            </w:r>
          </w:p>
          <w:p>
            <w:pPr>
              <w:spacing w:before="0" w:after="0" w:line="360" w:lineRule="auto"/>
              <w:ind w:firstLine="480" w:firstLineChars="200"/>
              <w:rPr>
                <w:rFonts w:hint="eastAsia"/>
                <w:color w:val="auto"/>
                <w:sz w:val="24"/>
                <w:szCs w:val="24"/>
              </w:rPr>
            </w:pPr>
            <w:r>
              <w:rPr>
                <w:rFonts w:hint="eastAsia"/>
                <w:color w:val="auto"/>
                <w:sz w:val="24"/>
                <w:szCs w:val="24"/>
              </w:rPr>
              <w:t xml:space="preserve">根据《排污许可证申请与核发技术规范 总则》（HJ1115-2020）、《排污许可证申请与核发技术规范 </w:t>
            </w:r>
            <w:r>
              <w:rPr>
                <w:rFonts w:hint="eastAsia"/>
                <w:color w:val="auto"/>
                <w:sz w:val="24"/>
                <w:szCs w:val="24"/>
                <w:lang w:eastAsia="zh-CN"/>
              </w:rPr>
              <w:t>废弃资源加工工业</w:t>
            </w:r>
            <w:r>
              <w:rPr>
                <w:rFonts w:hint="eastAsia"/>
                <w:color w:val="auto"/>
                <w:sz w:val="24"/>
                <w:szCs w:val="24"/>
              </w:rPr>
              <w:t>》（HJ</w:t>
            </w:r>
            <w:r>
              <w:rPr>
                <w:rFonts w:hint="eastAsia"/>
                <w:color w:val="auto"/>
                <w:sz w:val="24"/>
                <w:szCs w:val="24"/>
                <w:lang w:val="en-US" w:eastAsia="zh-CN"/>
              </w:rPr>
              <w:t>1034-2019</w:t>
            </w:r>
            <w:r>
              <w:rPr>
                <w:rFonts w:hint="eastAsia"/>
                <w:color w:val="auto"/>
                <w:sz w:val="24"/>
                <w:szCs w:val="24"/>
              </w:rPr>
              <w:t>）规定，为了解项目的环境影响及环境质量变化趋势，应建立污染源分类技术档案和监测档案，为环境污染治理提供必要的依据。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废气</w:t>
            </w:r>
            <w:r>
              <w:rPr>
                <w:rFonts w:hint="default" w:ascii="Times New Roman" w:hAnsi="Times New Roman" w:eastAsia="宋体" w:cs="Times New Roman"/>
                <w:color w:val="auto"/>
                <w:sz w:val="24"/>
                <w:szCs w:val="24"/>
                <w:vertAlign w:val="baseline"/>
                <w:lang w:val="en-US" w:eastAsia="zh-CN"/>
              </w:rPr>
              <w:t>排放监测计划</w:t>
            </w:r>
            <w:r>
              <w:rPr>
                <w:rFonts w:hint="eastAsia"/>
                <w:color w:val="auto"/>
                <w:sz w:val="24"/>
                <w:szCs w:val="24"/>
              </w:rPr>
              <w:t>安排如下：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4-5</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vertAlign w:val="baseline"/>
                <w:lang w:val="en-US" w:eastAsia="zh-CN"/>
              </w:rPr>
              <w:t>本项目</w:t>
            </w:r>
            <w:r>
              <w:rPr>
                <w:rFonts w:hint="default" w:ascii="Times New Roman" w:hAnsi="Times New Roman" w:cs="Times New Roman"/>
                <w:b/>
                <w:bCs/>
                <w:color w:val="auto"/>
                <w:sz w:val="21"/>
                <w:szCs w:val="21"/>
                <w:vertAlign w:val="baseline"/>
                <w:lang w:val="en-US" w:eastAsia="zh-CN"/>
              </w:rPr>
              <w:t>废</w:t>
            </w:r>
            <w:r>
              <w:rPr>
                <w:rFonts w:hint="eastAsia" w:ascii="Times New Roman" w:hAnsi="Times New Roman" w:cs="Times New Roman"/>
                <w:b/>
                <w:bCs/>
                <w:color w:val="auto"/>
                <w:sz w:val="21"/>
                <w:szCs w:val="21"/>
                <w:vertAlign w:val="baseline"/>
                <w:lang w:val="en-US" w:eastAsia="zh-CN"/>
              </w:rPr>
              <w:t>气</w:t>
            </w:r>
            <w:r>
              <w:rPr>
                <w:rFonts w:hint="default" w:ascii="Times New Roman" w:hAnsi="Times New Roman" w:cs="Times New Roman"/>
                <w:b/>
                <w:bCs/>
                <w:color w:val="auto"/>
                <w:sz w:val="21"/>
                <w:szCs w:val="21"/>
                <w:vertAlign w:val="baseline"/>
                <w:lang w:val="en-US" w:eastAsia="zh-CN"/>
              </w:rPr>
              <w:t>排放监测计划表</w:t>
            </w:r>
          </w:p>
          <w:tbl>
            <w:tblPr>
              <w:tblStyle w:val="16"/>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159"/>
              <w:gridCol w:w="1322"/>
              <w:gridCol w:w="1286"/>
              <w:gridCol w:w="4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84"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80"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84"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DA001排气筒</w:t>
                  </w:r>
                </w:p>
              </w:tc>
              <w:tc>
                <w:tcPr>
                  <w:tcW w:w="780"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《大气污染物综合排放》（GB16297-1996）二级排放标准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w:t>
                  </w:r>
                </w:p>
              </w:tc>
              <w:tc>
                <w:tcPr>
                  <w:tcW w:w="684"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DA002排气筒</w:t>
                  </w:r>
                </w:p>
              </w:tc>
              <w:tc>
                <w:tcPr>
                  <w:tcW w:w="780"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颗粒物</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《大气污染物综合排放》（GB16297-1996）二级排放标准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p>
              </w:tc>
              <w:tc>
                <w:tcPr>
                  <w:tcW w:w="684" w:type="pct"/>
                  <w:vMerge w:val="restar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厂界</w:t>
                  </w:r>
                </w:p>
              </w:tc>
              <w:tc>
                <w:tcPr>
                  <w:tcW w:w="780"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颗粒物</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《大气污染物综合排放标准》（GB1327-1996）中无组织排放浓度监控限值标准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rPr>
                  </w:pPr>
                </w:p>
              </w:tc>
              <w:tc>
                <w:tcPr>
                  <w:tcW w:w="780" w:type="pct"/>
                  <w:tcBorders>
                    <w:tl2br w:val="nil"/>
                    <w:tr2bl w:val="nil"/>
                  </w:tcBorders>
                  <w:noWrap w:val="0"/>
                  <w:vAlign w:val="center"/>
                </w:tcPr>
                <w:p>
                  <w:pPr>
                    <w:bidi w:val="0"/>
                    <w:spacing w:line="240" w:lineRule="auto"/>
                    <w:jc w:val="center"/>
                    <w:rPr>
                      <w:rFonts w:hint="eastAsia" w:ascii="Times New Roman" w:hAnsi="Times New Roman" w:cs="Times New Roman"/>
                      <w:color w:val="auto"/>
                      <w:sz w:val="21"/>
                      <w:szCs w:val="21"/>
                      <w:lang w:eastAsia="zh-CN"/>
                    </w:rPr>
                  </w:pPr>
                  <w:r>
                    <w:rPr>
                      <w:rFonts w:hint="eastAsia"/>
                      <w:sz w:val="21"/>
                      <w:szCs w:val="21"/>
                      <w:lang w:eastAsia="zh-CN"/>
                    </w:rPr>
                    <w:t>非甲烷总烃</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rPr>
                  </w:pPr>
                </w:p>
              </w:tc>
              <w:tc>
                <w:tcPr>
                  <w:tcW w:w="780" w:type="pct"/>
                  <w:tcBorders>
                    <w:tl2br w:val="nil"/>
                    <w:tr2bl w:val="nil"/>
                  </w:tcBorders>
                  <w:noWrap w:val="0"/>
                  <w:vAlign w:val="center"/>
                </w:tcPr>
                <w:p>
                  <w:pPr>
                    <w:bidi w:val="0"/>
                    <w:spacing w:line="240" w:lineRule="auto"/>
                    <w:jc w:val="center"/>
                    <w:rPr>
                      <w:rFonts w:hint="eastAsia" w:ascii="Times New Roman" w:hAnsi="Times New Roman" w:cs="Times New Roman"/>
                      <w:color w:val="auto"/>
                      <w:sz w:val="21"/>
                      <w:szCs w:val="21"/>
                      <w:lang w:eastAsia="zh-CN"/>
                    </w:rPr>
                  </w:pPr>
                  <w:r>
                    <w:rPr>
                      <w:rFonts w:hint="eastAsia"/>
                      <w:sz w:val="21"/>
                      <w:szCs w:val="21"/>
                      <w:lang w:eastAsia="zh-CN"/>
                    </w:rPr>
                    <w:t>氟化物</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color w:val="auto"/>
                      <w:sz w:val="21"/>
                      <w:szCs w:val="21"/>
                      <w:vertAlign w:val="baseline"/>
                      <w:lang w:val="en-US" w:eastAsia="zh-CN"/>
                    </w:rPr>
                  </w:pPr>
                  <w:r>
                    <w:rPr>
                      <w:rFonts w:hint="default" w:ascii="Times New Roman" w:hAnsi="Times New Roman" w:cs="Times New Roman"/>
                      <w:color w:val="auto"/>
                      <w:sz w:val="21"/>
                      <w:szCs w:val="21"/>
                      <w:lang w:val="en-US" w:eastAsia="zh-CN"/>
                    </w:rPr>
                    <w:t>《大气污染物综合排放标准》（GB1327-1996）中无组织排放浓度监控限值标准</w:t>
                  </w:r>
                </w:p>
              </w:tc>
            </w:tr>
          </w:tbl>
          <w:p>
            <w:pPr>
              <w:adjustRightInd w:val="0"/>
              <w:snapToGrid w:val="0"/>
              <w:spacing w:line="360" w:lineRule="auto"/>
              <w:ind w:firstLine="482" w:firstLineChars="200"/>
              <w:rPr>
                <w:rFonts w:hint="eastAsia"/>
                <w:b/>
                <w:bCs w:val="0"/>
                <w:sz w:val="24"/>
                <w:szCs w:val="24"/>
                <w:u w:val="none"/>
              </w:rPr>
            </w:pPr>
            <w:r>
              <w:rPr>
                <w:rFonts w:hint="eastAsia"/>
                <w:b/>
                <w:bCs w:val="0"/>
                <w:sz w:val="24"/>
                <w:szCs w:val="24"/>
                <w:u w:val="none"/>
              </w:rPr>
              <w:t>2、废水</w:t>
            </w:r>
          </w:p>
          <w:p>
            <w:pPr>
              <w:adjustRightInd w:val="0"/>
              <w:snapToGrid w:val="0"/>
              <w:spacing w:line="360" w:lineRule="auto"/>
              <w:ind w:firstLine="480" w:firstLineChars="200"/>
              <w:rPr>
                <w:bCs/>
                <w:sz w:val="24"/>
                <w:szCs w:val="24"/>
                <w:u w:val="none"/>
              </w:rPr>
            </w:pPr>
            <w:r>
              <w:rPr>
                <w:rFonts w:hint="eastAsia"/>
                <w:bCs/>
                <w:sz w:val="24"/>
                <w:szCs w:val="24"/>
                <w:u w:val="none"/>
              </w:rPr>
              <w:t>本项目运营期产生的废水包括拆解</w:t>
            </w:r>
            <w:r>
              <w:rPr>
                <w:rFonts w:hint="eastAsia"/>
                <w:bCs/>
                <w:sz w:val="24"/>
                <w:szCs w:val="24"/>
                <w:u w:val="none"/>
                <w:lang w:eastAsia="zh-CN"/>
              </w:rPr>
              <w:t>区</w:t>
            </w:r>
            <w:r>
              <w:rPr>
                <w:rFonts w:hint="eastAsia"/>
                <w:bCs/>
                <w:sz w:val="24"/>
                <w:szCs w:val="24"/>
                <w:u w:val="none"/>
              </w:rPr>
              <w:t>地面清洁废水</w:t>
            </w:r>
            <w:r>
              <w:rPr>
                <w:rFonts w:hint="eastAsia"/>
                <w:bCs/>
                <w:sz w:val="24"/>
                <w:szCs w:val="24"/>
                <w:u w:val="none"/>
                <w:lang w:eastAsia="zh-CN"/>
              </w:rPr>
              <w:t>、</w:t>
            </w:r>
            <w:r>
              <w:rPr>
                <w:rFonts w:hint="eastAsia"/>
                <w:bCs/>
                <w:sz w:val="24"/>
                <w:szCs w:val="24"/>
                <w:u w:val="none" w:color="auto"/>
                <w:lang w:val="en-US" w:eastAsia="zh-CN"/>
              </w:rPr>
              <w:t>初期</w:t>
            </w:r>
            <w:r>
              <w:rPr>
                <w:rFonts w:hint="eastAsia"/>
                <w:bCs/>
                <w:sz w:val="24"/>
                <w:szCs w:val="24"/>
                <w:u w:val="none" w:color="auto"/>
              </w:rPr>
              <w:t>雨水</w:t>
            </w:r>
            <w:r>
              <w:rPr>
                <w:rFonts w:hint="eastAsia"/>
                <w:bCs/>
                <w:sz w:val="24"/>
                <w:szCs w:val="24"/>
                <w:u w:val="none"/>
              </w:rPr>
              <w:t>和生活污水。</w:t>
            </w:r>
          </w:p>
          <w:p>
            <w:pPr>
              <w:adjustRightInd w:val="0"/>
              <w:snapToGrid w:val="0"/>
              <w:spacing w:line="360" w:lineRule="auto"/>
              <w:ind w:firstLine="480" w:firstLineChars="200"/>
              <w:rPr>
                <w:rFonts w:hint="eastAsia"/>
                <w:bCs/>
                <w:sz w:val="24"/>
                <w:szCs w:val="24"/>
                <w:u w:val="none"/>
              </w:rPr>
            </w:pPr>
            <w:r>
              <w:rPr>
                <w:rFonts w:hint="eastAsia"/>
                <w:bCs/>
                <w:sz w:val="24"/>
                <w:szCs w:val="24"/>
                <w:u w:val="none"/>
              </w:rPr>
              <w:t>①拆解</w:t>
            </w:r>
            <w:r>
              <w:rPr>
                <w:rFonts w:hint="eastAsia"/>
                <w:bCs/>
                <w:sz w:val="24"/>
                <w:szCs w:val="24"/>
                <w:u w:val="none"/>
                <w:lang w:eastAsia="zh-CN"/>
              </w:rPr>
              <w:t>区</w:t>
            </w:r>
            <w:r>
              <w:rPr>
                <w:rFonts w:hint="eastAsia"/>
                <w:bCs/>
                <w:sz w:val="24"/>
                <w:szCs w:val="24"/>
                <w:u w:val="none"/>
              </w:rPr>
              <w:t>地面清洁</w:t>
            </w:r>
            <w:r>
              <w:rPr>
                <w:rFonts w:hint="eastAsia"/>
                <w:bCs/>
                <w:sz w:val="24"/>
                <w:szCs w:val="24"/>
                <w:u w:val="none"/>
                <w:lang w:val="en-US" w:eastAsia="zh-CN"/>
              </w:rPr>
              <w:t>废</w:t>
            </w:r>
            <w:r>
              <w:rPr>
                <w:rFonts w:hint="eastAsia"/>
                <w:bCs/>
                <w:sz w:val="24"/>
                <w:szCs w:val="24"/>
                <w:u w:val="none"/>
              </w:rPr>
              <w:t>水</w:t>
            </w:r>
          </w:p>
          <w:p>
            <w:pPr>
              <w:adjustRightInd w:val="0"/>
              <w:snapToGrid w:val="0"/>
              <w:spacing w:line="360" w:lineRule="auto"/>
              <w:ind w:firstLine="480" w:firstLineChars="200"/>
              <w:rPr>
                <w:rFonts w:hint="eastAsia" w:ascii="Times New Roman" w:hAnsi="Times New Roman" w:eastAsia="宋体" w:cs="Times New Roman"/>
                <w:sz w:val="24"/>
                <w:szCs w:val="24"/>
                <w:u w:val="none"/>
              </w:rPr>
            </w:pPr>
            <w:r>
              <w:rPr>
                <w:rFonts w:hint="eastAsia"/>
                <w:sz w:val="24"/>
                <w:szCs w:val="24"/>
                <w:u w:val="none"/>
              </w:rPr>
              <w:t>根据设计，为保证项目拆解</w:t>
            </w:r>
            <w:r>
              <w:rPr>
                <w:rFonts w:hint="eastAsia"/>
                <w:sz w:val="24"/>
                <w:szCs w:val="24"/>
                <w:u w:val="none"/>
                <w:lang w:eastAsia="zh-CN"/>
              </w:rPr>
              <w:t>区</w:t>
            </w:r>
            <w:r>
              <w:rPr>
                <w:rFonts w:hint="eastAsia"/>
                <w:sz w:val="24"/>
                <w:szCs w:val="24"/>
                <w:u w:val="none"/>
              </w:rPr>
              <w:t>地面清洁，每天采用拖</w:t>
            </w:r>
            <w:r>
              <w:rPr>
                <w:rFonts w:hint="eastAsia"/>
                <w:sz w:val="24"/>
                <w:szCs w:val="24"/>
                <w:u w:val="none"/>
                <w:lang w:eastAsia="zh-CN"/>
              </w:rPr>
              <w:t>把</w:t>
            </w:r>
            <w:r>
              <w:rPr>
                <w:rFonts w:hint="eastAsia"/>
                <w:sz w:val="24"/>
                <w:szCs w:val="24"/>
                <w:u w:val="none"/>
              </w:rPr>
              <w:t>清洁拆解</w:t>
            </w:r>
            <w:r>
              <w:rPr>
                <w:rFonts w:hint="eastAsia"/>
                <w:sz w:val="24"/>
                <w:szCs w:val="24"/>
                <w:u w:val="none"/>
                <w:lang w:eastAsia="zh-CN"/>
              </w:rPr>
              <w:t>区</w:t>
            </w:r>
            <w:r>
              <w:rPr>
                <w:rFonts w:hint="eastAsia"/>
                <w:sz w:val="24"/>
                <w:szCs w:val="24"/>
                <w:u w:val="none"/>
              </w:rPr>
              <w:t>地面，</w:t>
            </w:r>
            <w:r>
              <w:rPr>
                <w:rFonts w:hint="eastAsia"/>
                <w:sz w:val="24"/>
                <w:szCs w:val="24"/>
                <w:u w:val="none"/>
                <w:lang w:eastAsia="zh-CN"/>
              </w:rPr>
              <w:t>再</w:t>
            </w:r>
            <w:r>
              <w:rPr>
                <w:rFonts w:hint="eastAsia"/>
                <w:sz w:val="24"/>
                <w:szCs w:val="24"/>
                <w:u w:val="none"/>
              </w:rPr>
              <w:t>统一对拖</w:t>
            </w:r>
            <w:r>
              <w:rPr>
                <w:rFonts w:hint="eastAsia"/>
                <w:sz w:val="24"/>
                <w:szCs w:val="24"/>
                <w:u w:val="none"/>
                <w:lang w:eastAsia="zh-CN"/>
              </w:rPr>
              <w:t>把</w:t>
            </w:r>
            <w:r>
              <w:rPr>
                <w:rFonts w:hint="eastAsia"/>
                <w:sz w:val="24"/>
                <w:szCs w:val="24"/>
                <w:u w:val="none"/>
              </w:rPr>
              <w:t>进行清洗，拆解</w:t>
            </w:r>
            <w:r>
              <w:rPr>
                <w:rFonts w:hint="eastAsia"/>
                <w:sz w:val="24"/>
                <w:szCs w:val="24"/>
                <w:u w:val="none"/>
                <w:lang w:eastAsia="zh-CN"/>
              </w:rPr>
              <w:t>区</w:t>
            </w:r>
            <w:r>
              <w:rPr>
                <w:rFonts w:hint="eastAsia"/>
                <w:sz w:val="24"/>
                <w:szCs w:val="24"/>
                <w:u w:val="none"/>
              </w:rPr>
              <w:t>地面清洁用水量约为1m</w:t>
            </w:r>
            <w:r>
              <w:rPr>
                <w:rFonts w:hint="eastAsia"/>
                <w:sz w:val="24"/>
                <w:szCs w:val="24"/>
                <w:u w:val="none"/>
                <w:vertAlign w:val="superscript"/>
              </w:rPr>
              <w:t>3</w:t>
            </w:r>
            <w:r>
              <w:rPr>
                <w:rFonts w:hint="eastAsia"/>
                <w:sz w:val="24"/>
                <w:szCs w:val="24"/>
                <w:u w:val="none"/>
              </w:rPr>
              <w:t>/d（3</w:t>
            </w:r>
            <w:r>
              <w:rPr>
                <w:rFonts w:hint="eastAsia"/>
                <w:sz w:val="24"/>
                <w:szCs w:val="24"/>
                <w:u w:val="none"/>
                <w:lang w:val="en-US" w:eastAsia="zh-CN"/>
              </w:rPr>
              <w:t>30</w:t>
            </w:r>
            <w:r>
              <w:rPr>
                <w:rFonts w:hint="eastAsia"/>
                <w:sz w:val="24"/>
                <w:szCs w:val="24"/>
                <w:u w:val="none"/>
              </w:rPr>
              <w:t>m</w:t>
            </w:r>
            <w:r>
              <w:rPr>
                <w:rFonts w:hint="eastAsia"/>
                <w:sz w:val="24"/>
                <w:szCs w:val="24"/>
                <w:u w:val="none"/>
                <w:vertAlign w:val="superscript"/>
              </w:rPr>
              <w:t>3</w:t>
            </w:r>
            <w:r>
              <w:rPr>
                <w:rFonts w:hint="eastAsia"/>
                <w:sz w:val="24"/>
                <w:szCs w:val="24"/>
                <w:u w:val="none"/>
              </w:rPr>
              <w:t>/a）</w:t>
            </w:r>
            <w:r>
              <w:rPr>
                <w:rFonts w:hint="eastAsia"/>
                <w:sz w:val="24"/>
                <w:szCs w:val="24"/>
                <w:u w:val="none"/>
                <w:lang w:eastAsia="zh-CN"/>
              </w:rPr>
              <w:t>，</w:t>
            </w:r>
            <w:r>
              <w:rPr>
                <w:rFonts w:hint="eastAsia" w:ascii="Times New Roman" w:hAnsi="Times New Roman" w:eastAsia="宋体" w:cs="Times New Roman"/>
                <w:sz w:val="24"/>
                <w:szCs w:val="24"/>
                <w:u w:val="none"/>
              </w:rPr>
              <w:t>废水排放系数取0.</w:t>
            </w:r>
            <w:r>
              <w:rPr>
                <w:rFonts w:hint="eastAsia" w:ascii="Times New Roman" w:hAnsi="Times New Roman" w:eastAsia="宋体" w:cs="Times New Roman"/>
                <w:sz w:val="24"/>
                <w:szCs w:val="24"/>
                <w:u w:val="none"/>
                <w:lang w:val="en-US" w:eastAsia="zh-CN"/>
              </w:rPr>
              <w:t>8</w:t>
            </w:r>
            <w:r>
              <w:rPr>
                <w:rFonts w:hint="eastAsia" w:ascii="Times New Roman" w:hAnsi="Times New Roman" w:eastAsia="宋体" w:cs="Times New Roman"/>
                <w:sz w:val="24"/>
                <w:szCs w:val="24"/>
                <w:u w:val="none"/>
              </w:rPr>
              <w:t>，则清洗废水排放量0.</w:t>
            </w:r>
            <w:r>
              <w:rPr>
                <w:rFonts w:hint="eastAsia" w:ascii="Times New Roman" w:hAnsi="Times New Roman" w:eastAsia="宋体" w:cs="Times New Roman"/>
                <w:sz w:val="24"/>
                <w:szCs w:val="24"/>
                <w:u w:val="none"/>
                <w:lang w:val="en-US" w:eastAsia="zh-CN"/>
              </w:rPr>
              <w:t>8</w:t>
            </w:r>
            <w:r>
              <w:rPr>
                <w:rFonts w:hint="eastAsia" w:ascii="Times New Roman" w:hAnsi="Times New Roman" w:eastAsia="宋体" w:cs="Times New Roman"/>
                <w:sz w:val="24"/>
                <w:szCs w:val="24"/>
                <w:u w:val="none"/>
              </w:rPr>
              <w:t>m</w:t>
            </w:r>
            <w:r>
              <w:rPr>
                <w:rFonts w:hint="eastAsia" w:ascii="Times New Roman" w:hAnsi="Times New Roman" w:eastAsia="宋体" w:cs="Times New Roman"/>
                <w:sz w:val="24"/>
                <w:szCs w:val="24"/>
                <w:u w:val="none"/>
                <w:vertAlign w:val="superscript"/>
              </w:rPr>
              <w:t>3</w:t>
            </w:r>
            <w:r>
              <w:rPr>
                <w:rFonts w:hint="eastAsia" w:ascii="Times New Roman" w:hAnsi="Times New Roman" w:eastAsia="宋体" w:cs="Times New Roman"/>
                <w:sz w:val="24"/>
                <w:szCs w:val="24"/>
                <w:u w:val="none"/>
              </w:rPr>
              <w:t>/d（</w:t>
            </w:r>
            <w:r>
              <w:rPr>
                <w:rFonts w:hint="eastAsia" w:ascii="Times New Roman" w:hAnsi="Times New Roman" w:eastAsia="宋体" w:cs="Times New Roman"/>
                <w:sz w:val="24"/>
                <w:szCs w:val="24"/>
                <w:u w:val="none"/>
                <w:lang w:val="en-US" w:eastAsia="zh-CN"/>
              </w:rPr>
              <w:t>264</w:t>
            </w:r>
            <w:r>
              <w:rPr>
                <w:rFonts w:hint="eastAsia" w:ascii="Times New Roman" w:hAnsi="Times New Roman" w:eastAsia="宋体" w:cs="Times New Roman"/>
                <w:sz w:val="24"/>
                <w:szCs w:val="24"/>
                <w:u w:val="none"/>
              </w:rPr>
              <w:t>m</w:t>
            </w:r>
            <w:r>
              <w:rPr>
                <w:rFonts w:hint="eastAsia" w:ascii="Times New Roman" w:hAnsi="Times New Roman" w:eastAsia="宋体" w:cs="Times New Roman"/>
                <w:sz w:val="24"/>
                <w:szCs w:val="24"/>
                <w:u w:val="none"/>
                <w:vertAlign w:val="superscript"/>
              </w:rPr>
              <w:t>3</w:t>
            </w:r>
            <w:r>
              <w:rPr>
                <w:rFonts w:hint="eastAsia" w:ascii="Times New Roman" w:hAnsi="Times New Roman" w:eastAsia="宋体" w:cs="Times New Roman"/>
                <w:sz w:val="24"/>
                <w:szCs w:val="24"/>
                <w:u w:val="none"/>
              </w:rPr>
              <w:t>/a）。</w:t>
            </w:r>
          </w:p>
          <w:p>
            <w:pPr>
              <w:adjustRightInd w:val="0"/>
              <w:snapToGrid w:val="0"/>
              <w:spacing w:line="360" w:lineRule="auto"/>
              <w:ind w:firstLine="480" w:firstLineChars="200"/>
              <w:rPr>
                <w:rFonts w:hint="eastAsia" w:ascii="Times New Roman" w:hAnsi="Times New Roman" w:eastAsia="宋体" w:cs="Times New Roman"/>
                <w:sz w:val="24"/>
                <w:szCs w:val="24"/>
                <w:u w:val="none"/>
              </w:rPr>
            </w:pPr>
            <w:r>
              <w:rPr>
                <w:rFonts w:hint="eastAsia" w:ascii="Times New Roman" w:hAnsi="Times New Roman" w:eastAsia="宋体" w:cs="Times New Roman"/>
                <w:sz w:val="24"/>
                <w:szCs w:val="24"/>
                <w:u w:val="none"/>
              </w:rPr>
              <w:t>拖把废水中的污染物主要是COD、BOD</w:t>
            </w:r>
            <w:r>
              <w:rPr>
                <w:rFonts w:hint="eastAsia" w:ascii="Times New Roman" w:hAnsi="Times New Roman" w:eastAsia="宋体" w:cs="Times New Roman"/>
                <w:sz w:val="24"/>
                <w:szCs w:val="24"/>
                <w:u w:val="none"/>
                <w:vertAlign w:val="subscript"/>
              </w:rPr>
              <w:t>5</w:t>
            </w:r>
            <w:r>
              <w:rPr>
                <w:rFonts w:hint="eastAsia" w:ascii="Times New Roman" w:hAnsi="Times New Roman" w:eastAsia="宋体" w:cs="Times New Roman"/>
                <w:sz w:val="24"/>
                <w:szCs w:val="24"/>
                <w:u w:val="none"/>
              </w:rPr>
              <w:t>、SS、石油类，类比同类拆解企业生产数据，</w:t>
            </w:r>
            <w:r>
              <w:rPr>
                <w:rFonts w:hint="eastAsia"/>
                <w:bCs/>
                <w:sz w:val="24"/>
                <w:szCs w:val="24"/>
                <w:u w:val="none"/>
              </w:rPr>
              <w:t>拆解</w:t>
            </w:r>
            <w:r>
              <w:rPr>
                <w:rFonts w:hint="eastAsia"/>
                <w:bCs/>
                <w:sz w:val="24"/>
                <w:szCs w:val="24"/>
                <w:u w:val="none"/>
                <w:lang w:eastAsia="zh-CN"/>
              </w:rPr>
              <w:t>区</w:t>
            </w:r>
            <w:r>
              <w:rPr>
                <w:rFonts w:hint="eastAsia"/>
                <w:bCs/>
                <w:sz w:val="24"/>
                <w:szCs w:val="24"/>
                <w:u w:val="none"/>
              </w:rPr>
              <w:t>地面清洁废水</w:t>
            </w:r>
            <w:r>
              <w:rPr>
                <w:rFonts w:hint="eastAsia" w:ascii="Times New Roman" w:hAnsi="Times New Roman" w:eastAsia="宋体" w:cs="Times New Roman"/>
                <w:sz w:val="24"/>
                <w:szCs w:val="24"/>
                <w:u w:val="none"/>
              </w:rPr>
              <w:t>的水质情况见表4-</w:t>
            </w:r>
            <w:r>
              <w:rPr>
                <w:rFonts w:hint="eastAsia" w:ascii="Times New Roman" w:hAnsi="Times New Roman" w:eastAsia="宋体" w:cs="Times New Roman"/>
                <w:sz w:val="24"/>
                <w:szCs w:val="24"/>
                <w:u w:val="none"/>
                <w:lang w:val="en-US" w:eastAsia="zh-CN"/>
              </w:rPr>
              <w:t>6</w:t>
            </w:r>
            <w:r>
              <w:rPr>
                <w:rFonts w:hint="eastAsia" w:ascii="Times New Roman" w:hAnsi="Times New Roman" w:eastAsia="宋体" w:cs="Times New Roman"/>
                <w:sz w:val="24"/>
                <w:szCs w:val="24"/>
                <w:u w:val="none"/>
              </w:rPr>
              <w:t>。</w:t>
            </w:r>
          </w:p>
          <w:p>
            <w:pPr>
              <w:widowControl/>
              <w:jc w:val="center"/>
              <w:rPr>
                <w:b/>
                <w:u w:val="none"/>
              </w:rPr>
            </w:pPr>
            <w:r>
              <w:rPr>
                <w:b/>
                <w:u w:val="none"/>
              </w:rPr>
              <w:t>表4</w:t>
            </w:r>
            <w:r>
              <w:rPr>
                <w:rFonts w:hint="eastAsia"/>
                <w:b/>
                <w:u w:val="none"/>
                <w:lang w:val="en-US" w:eastAsia="zh-CN"/>
              </w:rPr>
              <w:t>-6</w:t>
            </w:r>
            <w:r>
              <w:rPr>
                <w:b/>
                <w:u w:val="none"/>
              </w:rPr>
              <w:t xml:space="preserve"> </w:t>
            </w:r>
            <w:r>
              <w:rPr>
                <w:rFonts w:hint="eastAsia"/>
                <w:b/>
                <w:u w:val="none"/>
              </w:rPr>
              <w:t>拆解</w:t>
            </w:r>
            <w:r>
              <w:rPr>
                <w:rFonts w:hint="eastAsia"/>
                <w:b/>
                <w:u w:val="none"/>
                <w:lang w:eastAsia="zh-CN"/>
              </w:rPr>
              <w:t>区</w:t>
            </w:r>
            <w:r>
              <w:rPr>
                <w:rFonts w:hint="eastAsia"/>
                <w:b/>
                <w:u w:val="none"/>
              </w:rPr>
              <w:t>地面清洁废水</w:t>
            </w:r>
            <w:r>
              <w:rPr>
                <w:b/>
                <w:u w:val="none"/>
              </w:rPr>
              <w:t>水质表  单位：mg/L（pH除外）</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413"/>
              <w:gridCol w:w="1413"/>
              <w:gridCol w:w="1414"/>
              <w:gridCol w:w="1414"/>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noWrap w:val="0"/>
                  <w:vAlign w:val="center"/>
                </w:tcPr>
                <w:p>
                  <w:pPr>
                    <w:jc w:val="center"/>
                    <w:rPr>
                      <w:sz w:val="21"/>
                      <w:szCs w:val="21"/>
                      <w:u w:val="none"/>
                    </w:rPr>
                  </w:pPr>
                  <w:r>
                    <w:rPr>
                      <w:sz w:val="21"/>
                      <w:szCs w:val="21"/>
                      <w:u w:val="none"/>
                    </w:rPr>
                    <w:t>项目</w:t>
                  </w:r>
                </w:p>
              </w:tc>
              <w:tc>
                <w:tcPr>
                  <w:tcW w:w="1320" w:type="dxa"/>
                  <w:noWrap w:val="0"/>
                  <w:vAlign w:val="center"/>
                </w:tcPr>
                <w:p>
                  <w:pPr>
                    <w:jc w:val="center"/>
                    <w:rPr>
                      <w:sz w:val="21"/>
                      <w:szCs w:val="21"/>
                      <w:u w:val="none"/>
                    </w:rPr>
                  </w:pPr>
                  <w:r>
                    <w:rPr>
                      <w:sz w:val="21"/>
                      <w:szCs w:val="21"/>
                      <w:u w:val="none"/>
                    </w:rPr>
                    <w:t>pH</w:t>
                  </w:r>
                </w:p>
              </w:tc>
              <w:tc>
                <w:tcPr>
                  <w:tcW w:w="1320" w:type="dxa"/>
                  <w:noWrap w:val="0"/>
                  <w:vAlign w:val="center"/>
                </w:tcPr>
                <w:p>
                  <w:pPr>
                    <w:jc w:val="center"/>
                    <w:rPr>
                      <w:sz w:val="21"/>
                      <w:szCs w:val="21"/>
                      <w:u w:val="none"/>
                    </w:rPr>
                  </w:pPr>
                  <w:r>
                    <w:rPr>
                      <w:sz w:val="21"/>
                      <w:szCs w:val="21"/>
                      <w:u w:val="none"/>
                    </w:rPr>
                    <w:t>COD</w:t>
                  </w:r>
                </w:p>
              </w:tc>
              <w:tc>
                <w:tcPr>
                  <w:tcW w:w="1321" w:type="dxa"/>
                  <w:noWrap w:val="0"/>
                  <w:vAlign w:val="center"/>
                </w:tcPr>
                <w:p>
                  <w:pPr>
                    <w:jc w:val="center"/>
                    <w:rPr>
                      <w:sz w:val="21"/>
                      <w:szCs w:val="21"/>
                      <w:u w:val="none"/>
                    </w:rPr>
                  </w:pPr>
                  <w:r>
                    <w:rPr>
                      <w:sz w:val="21"/>
                      <w:szCs w:val="21"/>
                      <w:u w:val="none"/>
                    </w:rPr>
                    <w:t>BOD</w:t>
                  </w:r>
                  <w:r>
                    <w:rPr>
                      <w:sz w:val="21"/>
                      <w:szCs w:val="21"/>
                      <w:u w:val="none"/>
                      <w:vertAlign w:val="subscript"/>
                    </w:rPr>
                    <w:t>5</w:t>
                  </w:r>
                </w:p>
              </w:tc>
              <w:tc>
                <w:tcPr>
                  <w:tcW w:w="1321" w:type="dxa"/>
                  <w:noWrap w:val="0"/>
                  <w:vAlign w:val="center"/>
                </w:tcPr>
                <w:p>
                  <w:pPr>
                    <w:jc w:val="center"/>
                    <w:rPr>
                      <w:sz w:val="21"/>
                      <w:szCs w:val="21"/>
                      <w:u w:val="none"/>
                    </w:rPr>
                  </w:pPr>
                  <w:r>
                    <w:rPr>
                      <w:sz w:val="21"/>
                      <w:szCs w:val="21"/>
                      <w:u w:val="none"/>
                    </w:rPr>
                    <w:t>SS</w:t>
                  </w:r>
                </w:p>
              </w:tc>
              <w:tc>
                <w:tcPr>
                  <w:tcW w:w="1321" w:type="dxa"/>
                  <w:noWrap w:val="0"/>
                  <w:vAlign w:val="center"/>
                </w:tcPr>
                <w:p>
                  <w:pPr>
                    <w:jc w:val="center"/>
                    <w:rPr>
                      <w:sz w:val="21"/>
                      <w:szCs w:val="21"/>
                      <w:u w:val="none"/>
                    </w:rPr>
                  </w:pPr>
                  <w:r>
                    <w:rPr>
                      <w:sz w:val="21"/>
                      <w:szCs w:val="21"/>
                      <w:u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1" w:type="dxa"/>
                  <w:noWrap w:val="0"/>
                  <w:vAlign w:val="center"/>
                </w:tcPr>
                <w:p>
                  <w:pPr>
                    <w:jc w:val="center"/>
                    <w:rPr>
                      <w:sz w:val="21"/>
                      <w:szCs w:val="21"/>
                      <w:u w:val="none"/>
                    </w:rPr>
                  </w:pPr>
                  <w:r>
                    <w:rPr>
                      <w:sz w:val="21"/>
                      <w:szCs w:val="21"/>
                      <w:u w:val="none"/>
                    </w:rPr>
                    <w:t>浓度</w:t>
                  </w:r>
                </w:p>
              </w:tc>
              <w:tc>
                <w:tcPr>
                  <w:tcW w:w="1320" w:type="dxa"/>
                  <w:noWrap w:val="0"/>
                  <w:vAlign w:val="center"/>
                </w:tcPr>
                <w:p>
                  <w:pPr>
                    <w:jc w:val="center"/>
                    <w:rPr>
                      <w:rFonts w:hint="eastAsia" w:eastAsia="宋体"/>
                      <w:sz w:val="21"/>
                      <w:szCs w:val="21"/>
                      <w:u w:val="none"/>
                      <w:lang w:eastAsia="zh-CN"/>
                    </w:rPr>
                  </w:pPr>
                  <w:r>
                    <w:rPr>
                      <w:sz w:val="21"/>
                      <w:szCs w:val="21"/>
                      <w:u w:val="none"/>
                    </w:rPr>
                    <w:t>6~</w:t>
                  </w:r>
                  <w:r>
                    <w:rPr>
                      <w:rFonts w:hint="eastAsia"/>
                      <w:sz w:val="21"/>
                      <w:szCs w:val="21"/>
                      <w:u w:val="none"/>
                      <w:lang w:val="en-US" w:eastAsia="zh-CN"/>
                    </w:rPr>
                    <w:t>9</w:t>
                  </w:r>
                </w:p>
              </w:tc>
              <w:tc>
                <w:tcPr>
                  <w:tcW w:w="1320" w:type="dxa"/>
                  <w:noWrap w:val="0"/>
                  <w:vAlign w:val="center"/>
                </w:tcPr>
                <w:p>
                  <w:pPr>
                    <w:jc w:val="center"/>
                    <w:rPr>
                      <w:sz w:val="21"/>
                      <w:szCs w:val="21"/>
                      <w:u w:val="none"/>
                    </w:rPr>
                  </w:pPr>
                  <w:r>
                    <w:rPr>
                      <w:sz w:val="21"/>
                      <w:szCs w:val="21"/>
                      <w:u w:val="none"/>
                    </w:rPr>
                    <w:t>250</w:t>
                  </w:r>
                </w:p>
              </w:tc>
              <w:tc>
                <w:tcPr>
                  <w:tcW w:w="1321" w:type="dxa"/>
                  <w:noWrap w:val="0"/>
                  <w:vAlign w:val="center"/>
                </w:tcPr>
                <w:p>
                  <w:pPr>
                    <w:jc w:val="center"/>
                    <w:rPr>
                      <w:sz w:val="21"/>
                      <w:szCs w:val="21"/>
                      <w:u w:val="none"/>
                    </w:rPr>
                  </w:pPr>
                  <w:r>
                    <w:rPr>
                      <w:sz w:val="21"/>
                      <w:szCs w:val="21"/>
                      <w:u w:val="none"/>
                    </w:rPr>
                    <w:t>100</w:t>
                  </w:r>
                </w:p>
              </w:tc>
              <w:tc>
                <w:tcPr>
                  <w:tcW w:w="1321" w:type="dxa"/>
                  <w:noWrap w:val="0"/>
                  <w:vAlign w:val="center"/>
                </w:tcPr>
                <w:p>
                  <w:pPr>
                    <w:jc w:val="center"/>
                    <w:rPr>
                      <w:sz w:val="21"/>
                      <w:szCs w:val="21"/>
                      <w:u w:val="none"/>
                    </w:rPr>
                  </w:pPr>
                  <w:r>
                    <w:rPr>
                      <w:rFonts w:hint="eastAsia"/>
                      <w:sz w:val="21"/>
                      <w:szCs w:val="21"/>
                      <w:u w:val="none"/>
                      <w:lang w:val="en-US" w:eastAsia="zh-CN"/>
                    </w:rPr>
                    <w:t>2</w:t>
                  </w:r>
                  <w:r>
                    <w:rPr>
                      <w:sz w:val="21"/>
                      <w:szCs w:val="21"/>
                      <w:u w:val="none"/>
                    </w:rPr>
                    <w:t>00</w:t>
                  </w:r>
                </w:p>
              </w:tc>
              <w:tc>
                <w:tcPr>
                  <w:tcW w:w="1321" w:type="dxa"/>
                  <w:noWrap w:val="0"/>
                  <w:vAlign w:val="center"/>
                </w:tcPr>
                <w:p>
                  <w:pPr>
                    <w:jc w:val="center"/>
                    <w:rPr>
                      <w:sz w:val="21"/>
                      <w:szCs w:val="21"/>
                      <w:u w:val="none"/>
                    </w:rPr>
                  </w:pPr>
                  <w:r>
                    <w:rPr>
                      <w:sz w:val="21"/>
                      <w:szCs w:val="21"/>
                      <w:u w:val="none"/>
                    </w:rPr>
                    <w:t>110</w:t>
                  </w:r>
                </w:p>
              </w:tc>
            </w:tr>
          </w:tbl>
          <w:p>
            <w:pPr>
              <w:adjustRightInd w:val="0"/>
              <w:snapToGrid w:val="0"/>
              <w:spacing w:line="360" w:lineRule="auto"/>
              <w:ind w:firstLine="480" w:firstLineChars="200"/>
              <w:rPr>
                <w:rFonts w:hint="eastAsia" w:eastAsia="宋体"/>
                <w:bCs/>
                <w:sz w:val="24"/>
                <w:szCs w:val="24"/>
                <w:u w:val="none"/>
                <w:lang w:val="en-US" w:eastAsia="zh-CN"/>
              </w:rPr>
            </w:pPr>
            <w:r>
              <w:rPr>
                <w:rFonts w:hint="eastAsia"/>
                <w:bCs/>
                <w:sz w:val="24"/>
                <w:szCs w:val="24"/>
                <w:u w:val="none"/>
              </w:rPr>
              <w:t>拆解</w:t>
            </w:r>
            <w:r>
              <w:rPr>
                <w:rFonts w:hint="eastAsia"/>
                <w:bCs/>
                <w:sz w:val="24"/>
                <w:szCs w:val="24"/>
                <w:u w:val="none"/>
                <w:lang w:eastAsia="zh-CN"/>
              </w:rPr>
              <w:t>区</w:t>
            </w:r>
            <w:r>
              <w:rPr>
                <w:rFonts w:hint="eastAsia"/>
                <w:bCs/>
                <w:sz w:val="24"/>
                <w:szCs w:val="24"/>
                <w:u w:val="none"/>
              </w:rPr>
              <w:t>地面清洁</w:t>
            </w:r>
            <w:r>
              <w:rPr>
                <w:rFonts w:hint="eastAsia"/>
                <w:bCs/>
                <w:sz w:val="24"/>
                <w:szCs w:val="24"/>
                <w:u w:val="none"/>
                <w:lang w:val="en-US" w:eastAsia="zh-CN"/>
              </w:rPr>
              <w:t>废</w:t>
            </w:r>
            <w:r>
              <w:rPr>
                <w:rFonts w:hint="eastAsia"/>
                <w:bCs/>
                <w:sz w:val="24"/>
                <w:szCs w:val="24"/>
                <w:u w:val="none"/>
              </w:rPr>
              <w:t>水</w:t>
            </w:r>
            <w:r>
              <w:rPr>
                <w:rFonts w:hint="eastAsia"/>
                <w:bCs/>
                <w:sz w:val="24"/>
                <w:szCs w:val="24"/>
                <w:u w:val="none"/>
                <w:lang w:val="en-US" w:eastAsia="zh-CN"/>
              </w:rPr>
              <w:t>经</w:t>
            </w:r>
            <w:r>
              <w:rPr>
                <w:rFonts w:hint="eastAsia" w:ascii="Times New Roman" w:hAnsi="Times New Roman" w:eastAsia="宋体" w:cs="Times New Roman"/>
                <w:bCs/>
                <w:sz w:val="24"/>
                <w:szCs w:val="24"/>
                <w:lang w:eastAsia="zh-CN"/>
              </w:rPr>
              <w:t>废水收集池</w:t>
            </w:r>
            <w:r>
              <w:rPr>
                <w:rFonts w:hint="eastAsia"/>
                <w:bCs/>
                <w:sz w:val="24"/>
                <w:szCs w:val="24"/>
                <w:u w:val="none"/>
                <w:lang w:val="en-US" w:eastAsia="zh-CN"/>
              </w:rPr>
              <w:t>收集</w:t>
            </w:r>
            <w:r>
              <w:rPr>
                <w:rFonts w:hint="eastAsia"/>
                <w:bCs/>
                <w:sz w:val="24"/>
                <w:szCs w:val="24"/>
                <w:u w:val="none"/>
                <w:lang w:eastAsia="zh-CN"/>
              </w:rPr>
              <w:t>，</w:t>
            </w:r>
            <w:r>
              <w:rPr>
                <w:rFonts w:hint="eastAsia"/>
                <w:bCs/>
                <w:sz w:val="24"/>
                <w:szCs w:val="24"/>
                <w:u w:val="none"/>
              </w:rPr>
              <w:t>通过</w:t>
            </w:r>
            <w:r>
              <w:rPr>
                <w:rFonts w:hint="eastAsia"/>
                <w:bCs/>
                <w:sz w:val="24"/>
                <w:szCs w:val="24"/>
                <w:u w:val="none"/>
                <w:lang w:eastAsia="zh-CN"/>
              </w:rPr>
              <w:t>厂区污水处理设施（隔油池</w:t>
            </w:r>
            <w:r>
              <w:rPr>
                <w:rFonts w:hint="eastAsia"/>
                <w:bCs/>
                <w:sz w:val="24"/>
                <w:szCs w:val="24"/>
                <w:u w:val="none"/>
                <w:lang w:val="en-US" w:eastAsia="zh-CN"/>
              </w:rPr>
              <w:t>+</w:t>
            </w:r>
            <w:r>
              <w:rPr>
                <w:rFonts w:hint="eastAsia"/>
                <w:bCs/>
                <w:sz w:val="24"/>
                <w:szCs w:val="24"/>
                <w:u w:val="none"/>
                <w:lang w:eastAsia="zh-CN"/>
              </w:rPr>
              <w:t>气浮机）处理。</w:t>
            </w:r>
          </w:p>
          <w:p>
            <w:pPr>
              <w:adjustRightInd w:val="0"/>
              <w:snapToGrid w:val="0"/>
              <w:spacing w:line="360" w:lineRule="auto"/>
              <w:ind w:firstLine="480" w:firstLineChars="200"/>
              <w:rPr>
                <w:bCs/>
                <w:sz w:val="24"/>
                <w:szCs w:val="24"/>
              </w:rPr>
            </w:pPr>
            <w:r>
              <w:rPr>
                <w:rFonts w:hint="eastAsia"/>
                <w:bCs/>
                <w:sz w:val="24"/>
                <w:szCs w:val="24"/>
              </w:rPr>
              <w:t>②生活用水</w:t>
            </w:r>
          </w:p>
          <w:p>
            <w:pPr>
              <w:adjustRightInd w:val="0"/>
              <w:snapToGrid w:val="0"/>
              <w:spacing w:line="360" w:lineRule="auto"/>
              <w:ind w:firstLine="480" w:firstLineChars="200"/>
              <w:rPr>
                <w:rFonts w:hint="eastAsia" w:ascii="Times New Roman" w:hAnsi="Times New Roman" w:eastAsia="宋体" w:cs="Times New Roman"/>
                <w:b w:val="0"/>
                <w:bCs w:val="0"/>
                <w:color w:val="auto"/>
                <w:sz w:val="24"/>
                <w:szCs w:val="24"/>
                <w:u w:val="none"/>
                <w:shd w:val="clear" w:color="auto" w:fill="auto"/>
                <w:lang w:val="en-US" w:eastAsia="zh-CN"/>
              </w:rPr>
            </w:pPr>
            <w:r>
              <w:rPr>
                <w:rFonts w:hint="eastAsia"/>
                <w:bCs/>
                <w:sz w:val="24"/>
                <w:szCs w:val="24"/>
              </w:rPr>
              <w:t>本项目劳动定员</w:t>
            </w:r>
            <w:r>
              <w:rPr>
                <w:rFonts w:hint="eastAsia"/>
                <w:bCs/>
                <w:sz w:val="24"/>
                <w:szCs w:val="24"/>
                <w:lang w:val="en-US" w:eastAsia="zh-CN"/>
              </w:rPr>
              <w:t>50</w:t>
            </w:r>
            <w:r>
              <w:rPr>
                <w:rFonts w:hint="eastAsia"/>
                <w:bCs/>
                <w:sz w:val="24"/>
                <w:szCs w:val="24"/>
              </w:rPr>
              <w:t>人，</w:t>
            </w:r>
            <w:r>
              <w:rPr>
                <w:rFonts w:hint="eastAsia"/>
                <w:bCs/>
                <w:sz w:val="24"/>
                <w:szCs w:val="24"/>
                <w:lang w:eastAsia="zh-CN"/>
              </w:rPr>
              <w:t>厂区</w:t>
            </w:r>
            <w:r>
              <w:rPr>
                <w:rFonts w:hint="eastAsia"/>
                <w:bCs/>
                <w:sz w:val="24"/>
                <w:szCs w:val="24"/>
                <w:lang w:val="en-US" w:eastAsia="zh-CN"/>
              </w:rPr>
              <w:t>提供</w:t>
            </w:r>
            <w:r>
              <w:rPr>
                <w:rFonts w:hint="eastAsia"/>
                <w:bCs/>
                <w:sz w:val="24"/>
                <w:szCs w:val="24"/>
                <w:lang w:eastAsia="zh-CN"/>
              </w:rPr>
              <w:t>食宿</w:t>
            </w:r>
            <w:r>
              <w:rPr>
                <w:rFonts w:hint="eastAsia"/>
                <w:bCs/>
                <w:sz w:val="24"/>
                <w:szCs w:val="24"/>
              </w:rPr>
              <w:t>。《根据湖南省地方标准用水定额》（DB43/T 388-2020），本项目</w:t>
            </w:r>
            <w:r>
              <w:rPr>
                <w:rFonts w:hint="eastAsia"/>
                <w:bCs/>
                <w:sz w:val="24"/>
                <w:szCs w:val="24"/>
                <w:lang w:eastAsia="zh-CN"/>
              </w:rPr>
              <w:t>职工</w:t>
            </w:r>
            <w:r>
              <w:rPr>
                <w:rFonts w:hint="eastAsia"/>
                <w:bCs/>
                <w:sz w:val="24"/>
                <w:szCs w:val="24"/>
              </w:rPr>
              <w:t>人员用水量按</w:t>
            </w:r>
            <w:r>
              <w:rPr>
                <w:rFonts w:hint="eastAsia"/>
                <w:bCs/>
                <w:sz w:val="24"/>
                <w:szCs w:val="24"/>
                <w:lang w:val="en-US" w:eastAsia="zh-CN"/>
              </w:rPr>
              <w:t>140</w:t>
            </w:r>
            <w:r>
              <w:rPr>
                <w:rFonts w:hint="eastAsia"/>
                <w:bCs/>
                <w:sz w:val="24"/>
                <w:szCs w:val="24"/>
              </w:rPr>
              <w:t xml:space="preserve"> L/人·d计算，生活总用水量为</w:t>
            </w:r>
            <w:r>
              <w:rPr>
                <w:rFonts w:hint="eastAsia"/>
                <w:bCs/>
                <w:sz w:val="24"/>
                <w:szCs w:val="24"/>
                <w:lang w:val="en-US" w:eastAsia="zh-CN"/>
              </w:rPr>
              <w:t>7</w:t>
            </w:r>
            <w:r>
              <w:rPr>
                <w:rFonts w:hint="eastAsia"/>
                <w:bCs/>
                <w:sz w:val="24"/>
                <w:szCs w:val="24"/>
              </w:rPr>
              <w:t>m</w:t>
            </w:r>
            <w:r>
              <w:rPr>
                <w:rFonts w:hint="eastAsia"/>
                <w:bCs/>
                <w:sz w:val="24"/>
                <w:szCs w:val="24"/>
                <w:vertAlign w:val="superscript"/>
              </w:rPr>
              <w:t>3</w:t>
            </w:r>
            <w:r>
              <w:rPr>
                <w:rFonts w:hint="eastAsia"/>
                <w:bCs/>
                <w:sz w:val="24"/>
                <w:szCs w:val="24"/>
              </w:rPr>
              <w:t>/ d（</w:t>
            </w:r>
            <w:r>
              <w:rPr>
                <w:rFonts w:hint="eastAsia"/>
                <w:bCs/>
                <w:sz w:val="24"/>
                <w:szCs w:val="24"/>
                <w:lang w:val="en-US" w:eastAsia="zh-CN"/>
              </w:rPr>
              <w:t>2310</w:t>
            </w:r>
            <w:r>
              <w:rPr>
                <w:rFonts w:hint="eastAsia"/>
                <w:bCs/>
                <w:sz w:val="24"/>
                <w:szCs w:val="24"/>
              </w:rPr>
              <w:t>m</w:t>
            </w:r>
            <w:r>
              <w:rPr>
                <w:rFonts w:hint="eastAsia"/>
                <w:bCs/>
                <w:sz w:val="24"/>
                <w:szCs w:val="24"/>
                <w:vertAlign w:val="superscript"/>
              </w:rPr>
              <w:t>3</w:t>
            </w:r>
            <w:r>
              <w:rPr>
                <w:rFonts w:hint="eastAsia"/>
                <w:bCs/>
                <w:sz w:val="24"/>
                <w:szCs w:val="24"/>
              </w:rPr>
              <w:t>/a）</w:t>
            </w:r>
            <w:r>
              <w:rPr>
                <w:rFonts w:hint="eastAsia"/>
                <w:bCs/>
                <w:sz w:val="24"/>
                <w:szCs w:val="24"/>
                <w:lang w:bidi="en-US"/>
              </w:rPr>
              <w:t>，生活污水产生量按用水量的80%计算，则生活污水产生量为</w:t>
            </w:r>
            <w:r>
              <w:rPr>
                <w:rFonts w:hint="eastAsia"/>
                <w:bCs/>
                <w:sz w:val="24"/>
                <w:szCs w:val="24"/>
                <w:lang w:val="en-US" w:eastAsia="zh-CN" w:bidi="en-US"/>
              </w:rPr>
              <w:t>5.6</w:t>
            </w:r>
            <w:r>
              <w:rPr>
                <w:rFonts w:hint="eastAsia"/>
                <w:bCs/>
                <w:sz w:val="24"/>
                <w:szCs w:val="24"/>
                <w:lang w:bidi="en-US"/>
              </w:rPr>
              <w:t>m</w:t>
            </w:r>
            <w:r>
              <w:rPr>
                <w:rFonts w:hint="eastAsia"/>
                <w:bCs/>
                <w:sz w:val="24"/>
                <w:szCs w:val="24"/>
                <w:vertAlign w:val="superscript"/>
                <w:lang w:bidi="en-US"/>
              </w:rPr>
              <w:t>3</w:t>
            </w:r>
            <w:r>
              <w:rPr>
                <w:rFonts w:hint="eastAsia"/>
                <w:bCs/>
                <w:sz w:val="24"/>
                <w:szCs w:val="24"/>
                <w:lang w:bidi="en-US"/>
              </w:rPr>
              <w:t>/d（</w:t>
            </w:r>
            <w:r>
              <w:rPr>
                <w:rFonts w:hint="eastAsia"/>
                <w:bCs/>
                <w:sz w:val="24"/>
                <w:szCs w:val="24"/>
                <w:lang w:val="en-US" w:eastAsia="zh-CN" w:bidi="en-US"/>
              </w:rPr>
              <w:t>1848</w:t>
            </w:r>
            <w:r>
              <w:rPr>
                <w:rFonts w:hint="eastAsia"/>
                <w:bCs/>
                <w:sz w:val="24"/>
                <w:szCs w:val="24"/>
                <w:lang w:bidi="en-US"/>
              </w:rPr>
              <w:t>m</w:t>
            </w:r>
            <w:r>
              <w:rPr>
                <w:rFonts w:hint="eastAsia"/>
                <w:bCs/>
                <w:sz w:val="24"/>
                <w:szCs w:val="24"/>
                <w:vertAlign w:val="superscript"/>
                <w:lang w:bidi="en-US"/>
              </w:rPr>
              <w:t>3</w:t>
            </w:r>
            <w:r>
              <w:rPr>
                <w:rFonts w:hint="eastAsia"/>
                <w:bCs/>
                <w:sz w:val="24"/>
                <w:szCs w:val="24"/>
                <w:lang w:bidi="en-US"/>
              </w:rPr>
              <w:t>/a）。</w:t>
            </w:r>
            <w:r>
              <w:rPr>
                <w:rFonts w:hint="eastAsia"/>
                <w:bCs/>
                <w:sz w:val="24"/>
                <w:szCs w:val="24"/>
              </w:rPr>
              <w:t>生活污水主要污染物产生浓度为COD</w:t>
            </w:r>
            <w:r>
              <w:rPr>
                <w:rFonts w:hint="eastAsia"/>
                <w:bCs/>
                <w:sz w:val="24"/>
                <w:szCs w:val="24"/>
                <w:lang w:val="en-US" w:eastAsia="zh-CN"/>
              </w:rPr>
              <w:t>275</w:t>
            </w:r>
            <w:r>
              <w:rPr>
                <w:rFonts w:hint="eastAsia"/>
                <w:bCs/>
                <w:sz w:val="24"/>
                <w:szCs w:val="24"/>
              </w:rPr>
              <w:t>mg/L、</w:t>
            </w: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sz w:val="21"/>
                <w:szCs w:val="21"/>
                <w:highlight w:val="none"/>
                <w:u w:val="none" w:color="auto"/>
                <w:vertAlign w:val="subscript"/>
                <w:lang w:val="en-US" w:eastAsia="zh-CN"/>
              </w:rPr>
              <w:t>5</w:t>
            </w:r>
            <w:r>
              <w:rPr>
                <w:rFonts w:hint="eastAsia" w:eastAsia="宋体"/>
                <w:bCs/>
                <w:sz w:val="24"/>
                <w:szCs w:val="24"/>
                <w:lang w:val="en-US" w:eastAsia="zh-CN"/>
              </w:rPr>
              <w:t>123</w:t>
            </w:r>
            <w:r>
              <w:rPr>
                <w:rFonts w:hint="eastAsia"/>
                <w:bCs/>
                <w:sz w:val="24"/>
                <w:szCs w:val="24"/>
              </w:rPr>
              <w:t>mg/L</w:t>
            </w:r>
            <w:r>
              <w:rPr>
                <w:rFonts w:hint="eastAsia"/>
                <w:bCs/>
                <w:sz w:val="24"/>
                <w:szCs w:val="24"/>
                <w:lang w:eastAsia="zh-CN"/>
              </w:rPr>
              <w:t>、</w:t>
            </w:r>
            <w:r>
              <w:rPr>
                <w:rFonts w:hint="eastAsia"/>
                <w:bCs/>
                <w:sz w:val="24"/>
                <w:szCs w:val="24"/>
              </w:rPr>
              <w:t>SS200mg/L、氨氮2</w:t>
            </w:r>
            <w:r>
              <w:rPr>
                <w:rFonts w:hint="eastAsia"/>
                <w:bCs/>
                <w:sz w:val="24"/>
                <w:szCs w:val="24"/>
                <w:lang w:val="en-US" w:eastAsia="zh-CN"/>
              </w:rPr>
              <w:t>1.6</w:t>
            </w:r>
            <w:r>
              <w:rPr>
                <w:rFonts w:hint="eastAsia"/>
                <w:bCs/>
                <w:sz w:val="24"/>
                <w:szCs w:val="24"/>
              </w:rPr>
              <w:t>mg/L</w:t>
            </w:r>
            <w:r>
              <w:rPr>
                <w:rFonts w:hint="eastAsia"/>
                <w:bCs/>
                <w:sz w:val="24"/>
                <w:szCs w:val="24"/>
                <w:lang w:eastAsia="zh-CN"/>
              </w:rPr>
              <w:t>、</w:t>
            </w:r>
            <w:r>
              <w:rPr>
                <w:rFonts w:hint="eastAsia"/>
                <w:bCs/>
                <w:sz w:val="24"/>
                <w:szCs w:val="24"/>
                <w:lang w:val="en-US" w:eastAsia="zh-CN"/>
              </w:rPr>
              <w:t>动植物油3.5</w:t>
            </w:r>
            <w:r>
              <w:rPr>
                <w:rFonts w:hint="eastAsia"/>
                <w:bCs/>
                <w:sz w:val="24"/>
                <w:szCs w:val="24"/>
              </w:rPr>
              <w:t>mg/L，</w:t>
            </w:r>
            <w:r>
              <w:rPr>
                <w:rFonts w:hint="default" w:ascii="Times New Roman" w:hAnsi="Times New Roman" w:eastAsia="宋体" w:cs="Times New Roman"/>
                <w:b w:val="0"/>
                <w:bCs w:val="0"/>
                <w:color w:val="auto"/>
                <w:sz w:val="24"/>
                <w:szCs w:val="24"/>
                <w:u w:val="none"/>
                <w:shd w:val="clear" w:color="auto" w:fill="auto"/>
                <w:lang w:val="en-US" w:eastAsia="zh-CN"/>
              </w:rPr>
              <w:t>项目生活污水经化粪池处理后排入</w:t>
            </w:r>
            <w:r>
              <w:rPr>
                <w:rFonts w:hint="eastAsia" w:ascii="Times New Roman" w:hAnsi="Times New Roman" w:eastAsia="宋体" w:cs="Times New Roman"/>
                <w:b w:val="0"/>
                <w:bCs w:val="0"/>
                <w:color w:val="auto"/>
                <w:sz w:val="24"/>
                <w:szCs w:val="24"/>
                <w:u w:val="none"/>
                <w:shd w:val="clear" w:color="auto" w:fill="auto"/>
                <w:lang w:val="en-US" w:eastAsia="zh-CN"/>
              </w:rPr>
              <w:t>园区污水</w:t>
            </w:r>
            <w:r>
              <w:rPr>
                <w:rFonts w:hint="default" w:ascii="Times New Roman" w:hAnsi="Times New Roman" w:eastAsia="宋体" w:cs="Times New Roman"/>
                <w:b w:val="0"/>
                <w:bCs w:val="0"/>
                <w:color w:val="auto"/>
                <w:sz w:val="24"/>
                <w:szCs w:val="24"/>
                <w:u w:val="none"/>
                <w:shd w:val="clear" w:color="auto" w:fill="auto"/>
                <w:lang w:val="en-US" w:eastAsia="zh-CN"/>
              </w:rPr>
              <w:t>管网，生活污水排入</w:t>
            </w:r>
            <w:r>
              <w:rPr>
                <w:rFonts w:hint="eastAsia" w:ascii="Times New Roman" w:hAnsi="Times New Roman" w:eastAsia="宋体" w:cs="Times New Roman"/>
                <w:b w:val="0"/>
                <w:bCs w:val="0"/>
                <w:color w:val="auto"/>
                <w:sz w:val="24"/>
                <w:szCs w:val="24"/>
                <w:u w:val="none"/>
                <w:shd w:val="clear" w:color="auto" w:fill="auto"/>
                <w:lang w:val="en-US" w:eastAsia="zh-CN"/>
              </w:rPr>
              <w:t>园区污水</w:t>
            </w:r>
            <w:r>
              <w:rPr>
                <w:rFonts w:hint="default" w:ascii="Times New Roman" w:hAnsi="Times New Roman" w:eastAsia="宋体" w:cs="Times New Roman"/>
                <w:b w:val="0"/>
                <w:bCs w:val="0"/>
                <w:color w:val="auto"/>
                <w:sz w:val="24"/>
                <w:szCs w:val="24"/>
                <w:u w:val="none"/>
                <w:shd w:val="clear" w:color="auto" w:fill="auto"/>
                <w:lang w:val="en-US" w:eastAsia="zh-CN"/>
              </w:rPr>
              <w:t>管网执行《污水综合排放标准》（GB8978-1996）三级标准，然后进入</w:t>
            </w:r>
            <w:r>
              <w:rPr>
                <w:rFonts w:hint="eastAsia" w:ascii="Times New Roman" w:hAnsi="Times New Roman" w:eastAsia="宋体" w:cs="Times New Roman"/>
                <w:b w:val="0"/>
                <w:bCs w:val="0"/>
                <w:color w:val="auto"/>
                <w:sz w:val="24"/>
                <w:szCs w:val="24"/>
                <w:u w:val="none"/>
                <w:shd w:val="clear" w:color="auto" w:fill="auto"/>
                <w:lang w:val="en-US" w:eastAsia="zh-CN"/>
              </w:rPr>
              <w:t>靖州县工业集中区甘太污水处理厂</w:t>
            </w:r>
            <w:r>
              <w:rPr>
                <w:rFonts w:hint="default" w:ascii="Times New Roman" w:hAnsi="Times New Roman" w:eastAsia="宋体" w:cs="Times New Roman"/>
                <w:b w:val="0"/>
                <w:bCs w:val="0"/>
                <w:color w:val="auto"/>
                <w:sz w:val="24"/>
                <w:szCs w:val="24"/>
                <w:u w:val="none"/>
                <w:shd w:val="clear" w:color="auto" w:fill="auto"/>
                <w:lang w:val="en-US" w:eastAsia="zh-CN"/>
              </w:rPr>
              <w:t>处理后达标排放</w:t>
            </w:r>
            <w:r>
              <w:rPr>
                <w:rFonts w:hint="eastAsia" w:ascii="Times New Roman" w:hAnsi="Times New Roman" w:eastAsia="宋体" w:cs="Times New Roman"/>
                <w:b w:val="0"/>
                <w:bCs w:val="0"/>
                <w:color w:val="auto"/>
                <w:sz w:val="24"/>
                <w:szCs w:val="24"/>
                <w:u w:val="none"/>
                <w:shd w:val="clear" w:color="auto" w:fill="auto"/>
                <w:lang w:val="en-US" w:eastAsia="zh-CN"/>
              </w:rPr>
              <w:t>。</w:t>
            </w:r>
          </w:p>
          <w:p>
            <w:pPr>
              <w:adjustRightInd w:val="0"/>
              <w:snapToGrid w:val="0"/>
              <w:spacing w:line="360" w:lineRule="auto"/>
              <w:ind w:firstLine="480" w:firstLineChars="200"/>
              <w:rPr>
                <w:bCs/>
                <w:sz w:val="24"/>
                <w:szCs w:val="24"/>
                <w:u w:val="single" w:color="auto"/>
              </w:rPr>
            </w:pPr>
            <w:r>
              <w:rPr>
                <w:rFonts w:hint="eastAsia"/>
                <w:bCs/>
                <w:sz w:val="24"/>
                <w:szCs w:val="24"/>
                <w:u w:val="single" w:color="auto"/>
              </w:rPr>
              <w:t>③</w:t>
            </w:r>
            <w:r>
              <w:rPr>
                <w:rFonts w:hint="eastAsia"/>
                <w:bCs/>
                <w:sz w:val="24"/>
                <w:szCs w:val="24"/>
                <w:u w:val="single" w:color="auto"/>
                <w:lang w:val="en-US" w:eastAsia="zh-CN"/>
              </w:rPr>
              <w:t>初期</w:t>
            </w:r>
            <w:r>
              <w:rPr>
                <w:rFonts w:hint="eastAsia"/>
                <w:bCs/>
                <w:sz w:val="24"/>
                <w:szCs w:val="24"/>
                <w:u w:val="single" w:color="auto"/>
              </w:rPr>
              <w:t>雨水</w:t>
            </w:r>
          </w:p>
          <w:p>
            <w:pPr>
              <w:adjustRightInd w:val="0"/>
              <w:snapToGrid w:val="0"/>
              <w:spacing w:line="360" w:lineRule="auto"/>
              <w:ind w:firstLine="480" w:firstLineChars="200"/>
              <w:rPr>
                <w:rFonts w:hint="eastAsia" w:ascii="Times New Roman" w:hAnsi="Times New Roman" w:eastAsia="宋体" w:cs="Times New Roman"/>
                <w:bCs/>
                <w:sz w:val="24"/>
                <w:szCs w:val="24"/>
                <w:u w:val="single" w:color="auto"/>
              </w:rPr>
            </w:pPr>
            <w:r>
              <w:rPr>
                <w:rFonts w:hint="eastAsia"/>
                <w:bCs/>
                <w:sz w:val="24"/>
                <w:szCs w:val="24"/>
                <w:u w:val="single" w:color="auto"/>
                <w:lang w:val="en-US" w:eastAsia="zh-CN"/>
              </w:rPr>
              <w:t>初期</w:t>
            </w:r>
            <w:r>
              <w:rPr>
                <w:rFonts w:hint="eastAsia" w:ascii="Times New Roman" w:hAnsi="Times New Roman" w:eastAsia="宋体" w:cs="Times New Roman"/>
                <w:bCs/>
                <w:sz w:val="24"/>
                <w:szCs w:val="24"/>
                <w:u w:val="single" w:color="auto"/>
              </w:rPr>
              <w:t>雨水是在降雨形成地面径流后10~15min的污染较大的雨水量。</w:t>
            </w:r>
            <w:r>
              <w:rPr>
                <w:rFonts w:hint="eastAsia"/>
                <w:bCs/>
                <w:sz w:val="24"/>
                <w:szCs w:val="24"/>
                <w:u w:val="single" w:color="auto"/>
                <w:lang w:val="en-US" w:eastAsia="zh-CN"/>
              </w:rPr>
              <w:t>初期</w:t>
            </w:r>
            <w:r>
              <w:rPr>
                <w:rFonts w:hint="eastAsia" w:ascii="Times New Roman" w:hAnsi="Times New Roman" w:eastAsia="宋体" w:cs="Times New Roman"/>
                <w:bCs/>
                <w:sz w:val="24"/>
                <w:szCs w:val="24"/>
                <w:u w:val="single" w:color="auto"/>
              </w:rPr>
              <w:t>雨水与气象条件密切相关，具有间歇性、时间间隔变化大等特点。</w:t>
            </w:r>
            <w:r>
              <w:rPr>
                <w:rFonts w:hint="eastAsia" w:ascii="Times New Roman" w:hAnsi="Times New Roman" w:eastAsia="宋体" w:cs="Times New Roman"/>
                <w:bCs/>
                <w:sz w:val="24"/>
                <w:szCs w:val="24"/>
                <w:u w:val="single" w:color="auto"/>
                <w:lang w:eastAsia="zh-CN"/>
              </w:rPr>
              <w:t>本项目</w:t>
            </w:r>
            <w:r>
              <w:rPr>
                <w:rFonts w:hint="eastAsia" w:ascii="Times New Roman" w:hAnsi="Times New Roman" w:eastAsia="宋体" w:cs="Times New Roman"/>
                <w:bCs/>
                <w:sz w:val="24"/>
                <w:szCs w:val="24"/>
                <w:u w:val="single" w:color="auto"/>
                <w:lang w:val="en-US" w:eastAsia="zh-CN"/>
              </w:rPr>
              <w:t>初期</w:t>
            </w:r>
            <w:r>
              <w:rPr>
                <w:rFonts w:hint="eastAsia" w:ascii="Times New Roman" w:hAnsi="Times New Roman" w:eastAsia="宋体" w:cs="Times New Roman"/>
                <w:bCs/>
                <w:sz w:val="24"/>
                <w:szCs w:val="24"/>
                <w:u w:val="single" w:color="auto"/>
                <w:lang w:eastAsia="zh-CN"/>
              </w:rPr>
              <w:t>雨水</w:t>
            </w:r>
            <w:r>
              <w:rPr>
                <w:rFonts w:hint="eastAsia" w:ascii="Times New Roman" w:hAnsi="Times New Roman" w:eastAsia="宋体" w:cs="Times New Roman"/>
                <w:bCs/>
                <w:sz w:val="24"/>
                <w:szCs w:val="24"/>
                <w:u w:val="single" w:color="auto"/>
              </w:rPr>
              <w:t>经地面雨水明沟收集后</w:t>
            </w:r>
            <w:r>
              <w:rPr>
                <w:rFonts w:hint="eastAsia" w:ascii="Times New Roman" w:hAnsi="Times New Roman" w:eastAsia="宋体" w:cs="Times New Roman"/>
                <w:bCs/>
                <w:sz w:val="24"/>
                <w:szCs w:val="24"/>
                <w:u w:val="single" w:color="auto"/>
                <w:lang w:eastAsia="zh-CN"/>
              </w:rPr>
              <w:t>排入厂区隔油池</w:t>
            </w:r>
            <w:r>
              <w:rPr>
                <w:rFonts w:hint="eastAsia" w:ascii="Times New Roman" w:hAnsi="Times New Roman" w:eastAsia="宋体" w:cs="Times New Roman"/>
                <w:bCs/>
                <w:sz w:val="24"/>
                <w:szCs w:val="24"/>
                <w:u w:val="single" w:color="auto"/>
                <w:lang w:val="en-US" w:eastAsia="zh-CN"/>
              </w:rPr>
              <w:t>+气浮机</w:t>
            </w:r>
            <w:r>
              <w:rPr>
                <w:rFonts w:hint="eastAsia" w:ascii="Times New Roman" w:hAnsi="Times New Roman" w:eastAsia="宋体" w:cs="Times New Roman"/>
                <w:bCs/>
                <w:sz w:val="24"/>
                <w:szCs w:val="24"/>
                <w:u w:val="single" w:color="auto"/>
                <w:lang w:eastAsia="zh-CN"/>
              </w:rPr>
              <w:t>处理</w:t>
            </w:r>
            <w:r>
              <w:rPr>
                <w:rFonts w:hint="eastAsia" w:ascii="Times New Roman" w:hAnsi="Times New Roman" w:eastAsia="宋体" w:cs="Times New Roman"/>
                <w:bCs/>
                <w:sz w:val="24"/>
                <w:szCs w:val="24"/>
                <w:u w:val="single" w:color="auto"/>
              </w:rPr>
              <w:t>。</w:t>
            </w:r>
          </w:p>
          <w:p>
            <w:pPr>
              <w:adjustRightInd w:val="0"/>
              <w:snapToGrid w:val="0"/>
              <w:spacing w:line="360" w:lineRule="auto"/>
              <w:ind w:firstLine="480" w:firstLineChars="200"/>
              <w:rPr>
                <w:rFonts w:hint="eastAsia" w:ascii="Times New Roman" w:hAnsi="Times New Roman" w:eastAsia="宋体" w:cs="Times New Roman"/>
                <w:bCs/>
                <w:sz w:val="24"/>
                <w:szCs w:val="24"/>
                <w:u w:val="single" w:color="auto"/>
              </w:rPr>
            </w:pPr>
            <w:r>
              <w:rPr>
                <w:rFonts w:hint="eastAsia" w:ascii="Times New Roman" w:hAnsi="Times New Roman" w:eastAsia="宋体" w:cs="Times New Roman"/>
                <w:bCs/>
                <w:sz w:val="24"/>
                <w:szCs w:val="24"/>
                <w:u w:val="single" w:color="auto"/>
              </w:rPr>
              <w:t>参考《石油化工污水处理设计规范》(GB50747-2012)，污染雨水储存设施的容积宜按污染区面积与降雨深度的乘积计算，可按下式计算:</w:t>
            </w:r>
          </w:p>
          <w:p>
            <w:pPr>
              <w:adjustRightInd w:val="0"/>
              <w:snapToGrid w:val="0"/>
              <w:spacing w:line="360" w:lineRule="auto"/>
              <w:ind w:firstLine="480" w:firstLineChars="200"/>
              <w:rPr>
                <w:rFonts w:hint="eastAsia" w:ascii="Times New Roman" w:hAnsi="Times New Roman" w:eastAsia="宋体" w:cs="Times New Roman"/>
                <w:bCs/>
                <w:sz w:val="24"/>
                <w:szCs w:val="24"/>
                <w:u w:val="single" w:color="auto"/>
              </w:rPr>
            </w:pPr>
            <w:r>
              <w:rPr>
                <w:rFonts w:hint="eastAsia" w:ascii="Times New Roman" w:hAnsi="Times New Roman" w:eastAsia="宋体" w:cs="Times New Roman"/>
                <w:bCs/>
                <w:sz w:val="24"/>
                <w:szCs w:val="24"/>
                <w:u w:val="single" w:color="auto"/>
              </w:rPr>
              <w:t>V=Fh/1000</w:t>
            </w:r>
          </w:p>
          <w:p>
            <w:pPr>
              <w:adjustRightInd w:val="0"/>
              <w:snapToGrid w:val="0"/>
              <w:spacing w:line="360" w:lineRule="auto"/>
              <w:ind w:firstLine="480" w:firstLineChars="200"/>
              <w:rPr>
                <w:rFonts w:hint="eastAsia" w:ascii="Times New Roman" w:hAnsi="Times New Roman" w:eastAsia="宋体" w:cs="Times New Roman"/>
                <w:bCs/>
                <w:sz w:val="24"/>
                <w:szCs w:val="24"/>
                <w:u w:val="single" w:color="auto"/>
              </w:rPr>
            </w:pPr>
            <w:r>
              <w:rPr>
                <w:rFonts w:hint="eastAsia" w:ascii="Times New Roman" w:hAnsi="Times New Roman" w:eastAsia="宋体" w:cs="Times New Roman"/>
                <w:bCs/>
                <w:sz w:val="24"/>
                <w:szCs w:val="24"/>
                <w:u w:val="single" w:color="auto"/>
              </w:rPr>
              <w:t>式中:V--污染雨水储存容积(m);</w:t>
            </w:r>
          </w:p>
          <w:p>
            <w:pPr>
              <w:adjustRightInd w:val="0"/>
              <w:snapToGrid w:val="0"/>
              <w:spacing w:line="360" w:lineRule="auto"/>
              <w:ind w:firstLine="480" w:firstLineChars="200"/>
              <w:rPr>
                <w:rFonts w:hint="eastAsia" w:ascii="Times New Roman" w:hAnsi="Times New Roman" w:eastAsia="宋体" w:cs="Times New Roman"/>
                <w:bCs/>
                <w:sz w:val="24"/>
                <w:szCs w:val="24"/>
                <w:u w:val="single" w:color="auto"/>
              </w:rPr>
            </w:pPr>
            <w:r>
              <w:rPr>
                <w:rFonts w:hint="eastAsia" w:ascii="Times New Roman" w:hAnsi="Times New Roman" w:eastAsia="宋体" w:cs="Times New Roman"/>
                <w:bCs/>
                <w:sz w:val="24"/>
                <w:szCs w:val="24"/>
                <w:u w:val="single" w:color="auto"/>
              </w:rPr>
              <w:t>h--降雨深度，宜15mm~30mm，本项目取</w:t>
            </w:r>
            <w:r>
              <w:rPr>
                <w:rFonts w:hint="eastAsia" w:ascii="Times New Roman" w:hAnsi="Times New Roman" w:eastAsia="宋体" w:cs="Times New Roman"/>
                <w:bCs/>
                <w:sz w:val="24"/>
                <w:szCs w:val="24"/>
                <w:u w:val="single" w:color="auto"/>
                <w:lang w:val="en-US" w:eastAsia="zh-CN"/>
              </w:rPr>
              <w:t>15</w:t>
            </w:r>
            <w:r>
              <w:rPr>
                <w:rFonts w:hint="eastAsia" w:ascii="Times New Roman" w:hAnsi="Times New Roman" w:eastAsia="宋体" w:cs="Times New Roman"/>
                <w:bCs/>
                <w:sz w:val="24"/>
                <w:szCs w:val="24"/>
                <w:u w:val="single" w:color="auto"/>
              </w:rPr>
              <w:t>mm;</w:t>
            </w:r>
          </w:p>
          <w:p>
            <w:pPr>
              <w:adjustRightInd w:val="0"/>
              <w:snapToGrid w:val="0"/>
              <w:spacing w:line="360" w:lineRule="auto"/>
              <w:ind w:firstLine="480" w:firstLineChars="200"/>
              <w:rPr>
                <w:rFonts w:hint="eastAsia" w:ascii="Times New Roman" w:hAnsi="Times New Roman" w:eastAsia="宋体" w:cs="Times New Roman"/>
                <w:bCs/>
                <w:sz w:val="24"/>
                <w:szCs w:val="24"/>
                <w:u w:val="single" w:color="auto"/>
              </w:rPr>
            </w:pPr>
            <w:r>
              <w:rPr>
                <w:rFonts w:hint="eastAsia" w:ascii="Times New Roman" w:hAnsi="Times New Roman" w:eastAsia="宋体" w:cs="Times New Roman"/>
                <w:bCs/>
                <w:sz w:val="24"/>
                <w:szCs w:val="24"/>
                <w:u w:val="single" w:color="auto"/>
              </w:rPr>
              <w:t>F污染区面积(m</w:t>
            </w:r>
            <w:r>
              <w:rPr>
                <w:rFonts w:hint="eastAsia" w:ascii="Times New Roman" w:hAnsi="Times New Roman" w:eastAsia="宋体" w:cs="Times New Roman"/>
                <w:bCs/>
                <w:sz w:val="24"/>
                <w:szCs w:val="24"/>
                <w:u w:val="single" w:color="auto"/>
                <w:vertAlign w:val="superscript"/>
                <w:lang w:val="en-US" w:eastAsia="zh-CN"/>
              </w:rPr>
              <w:t>2</w:t>
            </w:r>
            <w:r>
              <w:rPr>
                <w:rFonts w:hint="eastAsia" w:ascii="Times New Roman" w:hAnsi="Times New Roman" w:eastAsia="宋体" w:cs="Times New Roman"/>
                <w:bCs/>
                <w:sz w:val="24"/>
                <w:szCs w:val="24"/>
                <w:u w:val="single" w:color="auto"/>
              </w:rPr>
              <w:t>)，生产污染区占地面积约</w:t>
            </w:r>
            <w:r>
              <w:rPr>
                <w:rFonts w:hint="eastAsia" w:ascii="Times New Roman" w:hAnsi="Times New Roman" w:eastAsia="宋体" w:cs="Times New Roman"/>
                <w:bCs/>
                <w:sz w:val="24"/>
                <w:szCs w:val="24"/>
                <w:u w:val="single" w:color="auto"/>
                <w:lang w:val="en-US" w:eastAsia="zh-CN"/>
              </w:rPr>
              <w:t>4785.08</w:t>
            </w:r>
            <w:r>
              <w:rPr>
                <w:rFonts w:hint="eastAsia" w:ascii="Times New Roman" w:hAnsi="Times New Roman" w:eastAsia="宋体" w:cs="Times New Roman"/>
                <w:bCs/>
                <w:sz w:val="24"/>
                <w:szCs w:val="24"/>
                <w:u w:val="single" w:color="auto"/>
              </w:rPr>
              <w:t>m</w:t>
            </w:r>
            <w:r>
              <w:rPr>
                <w:rFonts w:hint="eastAsia" w:ascii="Times New Roman" w:hAnsi="Times New Roman" w:eastAsia="宋体" w:cs="Times New Roman"/>
                <w:bCs/>
                <w:sz w:val="24"/>
                <w:szCs w:val="24"/>
                <w:u w:val="single" w:color="auto"/>
                <w:vertAlign w:val="superscript"/>
                <w:lang w:val="en-US" w:eastAsia="zh-CN"/>
              </w:rPr>
              <w:t>2</w:t>
            </w:r>
            <w:r>
              <w:rPr>
                <w:rFonts w:hint="eastAsia" w:ascii="Times New Roman" w:hAnsi="Times New Roman" w:eastAsia="宋体" w:cs="Times New Roman"/>
                <w:bCs/>
                <w:sz w:val="24"/>
                <w:szCs w:val="24"/>
                <w:u w:val="single" w:color="auto"/>
              </w:rPr>
              <w:t>。</w:t>
            </w:r>
          </w:p>
          <w:p>
            <w:pPr>
              <w:adjustRightInd w:val="0"/>
              <w:snapToGrid w:val="0"/>
              <w:spacing w:line="360" w:lineRule="auto"/>
              <w:ind w:firstLine="480" w:firstLineChars="200"/>
              <w:rPr>
                <w:rFonts w:hint="default" w:ascii="Times New Roman" w:hAnsi="Times New Roman" w:eastAsia="宋体" w:cs="Times New Roman"/>
                <w:bCs/>
                <w:sz w:val="24"/>
                <w:szCs w:val="24"/>
                <w:u w:val="single" w:color="auto"/>
              </w:rPr>
            </w:pPr>
            <w:r>
              <w:rPr>
                <w:rFonts w:hint="eastAsia" w:ascii="Times New Roman" w:hAnsi="Times New Roman" w:eastAsia="宋体" w:cs="Times New Roman"/>
                <w:bCs/>
                <w:sz w:val="24"/>
                <w:szCs w:val="24"/>
                <w:u w:val="single" w:color="auto"/>
              </w:rPr>
              <w:t>该项目</w:t>
            </w:r>
            <w:r>
              <w:rPr>
                <w:rFonts w:hint="eastAsia"/>
                <w:bCs/>
                <w:sz w:val="24"/>
                <w:szCs w:val="24"/>
                <w:u w:val="single" w:color="auto"/>
                <w:lang w:val="en-US" w:eastAsia="zh-CN"/>
              </w:rPr>
              <w:t>初期</w:t>
            </w:r>
            <w:r>
              <w:rPr>
                <w:rFonts w:hint="eastAsia" w:ascii="Times New Roman" w:hAnsi="Times New Roman" w:eastAsia="宋体" w:cs="Times New Roman"/>
                <w:bCs/>
                <w:sz w:val="24"/>
                <w:szCs w:val="24"/>
                <w:u w:val="single" w:color="auto"/>
              </w:rPr>
              <w:t>雨水量Q=厂区污染区面积(</w:t>
            </w:r>
            <w:r>
              <w:rPr>
                <w:rFonts w:hint="eastAsia" w:ascii="Times New Roman" w:hAnsi="Times New Roman" w:eastAsia="宋体" w:cs="Times New Roman"/>
                <w:bCs/>
                <w:sz w:val="24"/>
                <w:szCs w:val="24"/>
                <w:u w:val="single" w:color="auto"/>
                <w:lang w:val="en-US" w:eastAsia="zh-CN"/>
              </w:rPr>
              <w:t>4785.08</w:t>
            </w:r>
            <w:r>
              <w:rPr>
                <w:rFonts w:hint="default" w:ascii="Times New Roman" w:hAnsi="Times New Roman" w:eastAsia="宋体" w:cs="Times New Roman"/>
                <w:bCs/>
                <w:sz w:val="24"/>
                <w:szCs w:val="24"/>
                <w:u w:val="single" w:color="auto"/>
              </w:rPr>
              <w:t>m</w:t>
            </w:r>
            <w:r>
              <w:rPr>
                <w:rFonts w:hint="default" w:ascii="Times New Roman" w:hAnsi="Times New Roman" w:eastAsia="宋体" w:cs="Times New Roman"/>
                <w:bCs/>
                <w:sz w:val="24"/>
                <w:szCs w:val="24"/>
                <w:u w:val="single" w:color="auto"/>
                <w:vertAlign w:val="superscript"/>
                <w:lang w:val="en-US" w:eastAsia="zh-CN"/>
              </w:rPr>
              <w:t>2</w:t>
            </w:r>
            <w:r>
              <w:rPr>
                <w:rFonts w:hint="default" w:ascii="Times New Roman" w:hAnsi="Times New Roman" w:eastAsia="宋体" w:cs="Times New Roman"/>
                <w:bCs/>
                <w:sz w:val="24"/>
                <w:szCs w:val="24"/>
                <w:u w:val="single" w:color="auto"/>
              </w:rPr>
              <w:t>)</w:t>
            </w:r>
            <w:r>
              <w:rPr>
                <w:rFonts w:hint="eastAsia" w:ascii="Times New Roman" w:hAnsi="Times New Roman" w:eastAsia="宋体" w:cs="Times New Roman"/>
                <w:bCs/>
                <w:sz w:val="24"/>
                <w:szCs w:val="24"/>
                <w:u w:val="single" w:color="auto"/>
                <w:lang w:val="en-US" w:eastAsia="zh-CN"/>
              </w:rPr>
              <w:t>*</w:t>
            </w:r>
            <w:r>
              <w:rPr>
                <w:rFonts w:hint="default" w:ascii="Times New Roman" w:hAnsi="Times New Roman" w:eastAsia="宋体" w:cs="Times New Roman"/>
                <w:bCs/>
                <w:sz w:val="24"/>
                <w:szCs w:val="24"/>
                <w:u w:val="single" w:color="auto"/>
              </w:rPr>
              <w:t>雨水量(</w:t>
            </w:r>
            <w:r>
              <w:rPr>
                <w:rFonts w:hint="eastAsia" w:ascii="Times New Roman" w:hAnsi="Times New Roman" w:eastAsia="宋体" w:cs="Times New Roman"/>
                <w:bCs/>
                <w:sz w:val="24"/>
                <w:szCs w:val="24"/>
                <w:u w:val="single" w:color="auto"/>
                <w:lang w:val="en-US" w:eastAsia="zh-CN"/>
              </w:rPr>
              <w:t>15</w:t>
            </w:r>
            <w:r>
              <w:rPr>
                <w:rFonts w:hint="default" w:ascii="Times New Roman" w:hAnsi="Times New Roman" w:eastAsia="宋体" w:cs="Times New Roman"/>
                <w:bCs/>
                <w:sz w:val="24"/>
                <w:szCs w:val="24"/>
                <w:u w:val="single" w:color="auto"/>
              </w:rPr>
              <w:t>mm)，则一次降雨污染水量V=</w:t>
            </w:r>
            <w:r>
              <w:rPr>
                <w:rFonts w:hint="eastAsia" w:ascii="Times New Roman" w:hAnsi="Times New Roman" w:eastAsia="宋体" w:cs="Times New Roman"/>
                <w:bCs/>
                <w:sz w:val="24"/>
                <w:szCs w:val="24"/>
                <w:u w:val="single" w:color="auto"/>
                <w:lang w:val="en-US" w:eastAsia="zh-CN"/>
              </w:rPr>
              <w:t>71.78</w:t>
            </w:r>
            <w:r>
              <w:rPr>
                <w:rFonts w:hint="default" w:ascii="Times New Roman" w:hAnsi="Times New Roman" w:eastAsia="宋体" w:cs="Times New Roman"/>
                <w:bCs/>
                <w:sz w:val="24"/>
                <w:szCs w:val="24"/>
                <w:u w:val="single" w:color="auto"/>
              </w:rPr>
              <w:t>m</w:t>
            </w:r>
            <w:r>
              <w:rPr>
                <w:rFonts w:hint="default" w:ascii="Times New Roman" w:hAnsi="Times New Roman" w:eastAsia="宋体" w:cs="Times New Roman"/>
                <w:bCs/>
                <w:sz w:val="24"/>
                <w:szCs w:val="24"/>
                <w:u w:val="single" w:color="auto"/>
                <w:vertAlign w:val="superscript"/>
              </w:rPr>
              <w:t>3</w:t>
            </w:r>
          </w:p>
          <w:p>
            <w:pPr>
              <w:adjustRightInd w:val="0"/>
              <w:snapToGrid w:val="0"/>
              <w:spacing w:line="360" w:lineRule="auto"/>
              <w:ind w:firstLine="480" w:firstLineChars="200"/>
              <w:rPr>
                <w:rFonts w:hint="eastAsia"/>
                <w:bCs/>
                <w:sz w:val="24"/>
                <w:szCs w:val="24"/>
                <w:u w:val="single" w:color="auto"/>
              </w:rPr>
            </w:pPr>
            <w:r>
              <w:rPr>
                <w:rFonts w:hint="eastAsia" w:ascii="Times New Roman" w:hAnsi="Times New Roman" w:eastAsia="宋体" w:cs="Times New Roman"/>
                <w:caps w:val="0"/>
                <w:spacing w:val="0"/>
                <w:w w:val="100"/>
                <w:position w:val="0"/>
                <w:sz w:val="24"/>
                <w:szCs w:val="24"/>
                <w:highlight w:val="none"/>
                <w:u w:val="single" w:color="auto"/>
              </w:rPr>
              <w:t>建议设</w:t>
            </w:r>
            <w:r>
              <w:rPr>
                <w:rFonts w:hint="eastAsia" w:ascii="Times New Roman" w:hAnsi="Times New Roman" w:eastAsia="宋体" w:cs="Times New Roman"/>
                <w:caps w:val="0"/>
                <w:spacing w:val="0"/>
                <w:w w:val="100"/>
                <w:position w:val="0"/>
                <w:sz w:val="24"/>
                <w:szCs w:val="24"/>
                <w:highlight w:val="none"/>
                <w:u w:val="single" w:color="auto"/>
                <w:lang w:eastAsia="zh-CN"/>
              </w:rPr>
              <w:t>置</w:t>
            </w:r>
            <w:r>
              <w:rPr>
                <w:rFonts w:hint="eastAsia" w:ascii="Times New Roman" w:hAnsi="Times New Roman" w:eastAsia="宋体" w:cs="Times New Roman"/>
                <w:caps w:val="0"/>
                <w:spacing w:val="0"/>
                <w:w w:val="100"/>
                <w:position w:val="0"/>
                <w:sz w:val="24"/>
                <w:szCs w:val="24"/>
                <w:highlight w:val="none"/>
                <w:u w:val="single" w:color="auto"/>
                <w:lang w:val="en-US" w:eastAsia="zh-CN"/>
              </w:rPr>
              <w:t>75</w:t>
            </w:r>
            <w:r>
              <w:rPr>
                <w:rFonts w:hint="eastAsia" w:ascii="Times New Roman" w:hAnsi="Times New Roman" w:eastAsia="宋体" w:cs="Times New Roman"/>
                <w:caps w:val="0"/>
                <w:spacing w:val="0"/>
                <w:w w:val="100"/>
                <w:position w:val="0"/>
                <w:sz w:val="24"/>
                <w:szCs w:val="24"/>
                <w:highlight w:val="none"/>
                <w:u w:val="single" w:color="auto"/>
              </w:rPr>
              <w:t>m</w:t>
            </w:r>
            <w:r>
              <w:rPr>
                <w:rFonts w:ascii="Times New Roman" w:hAnsi="Times New Roman" w:eastAsia="宋体" w:cs="Times New Roman"/>
                <w:caps w:val="0"/>
                <w:spacing w:val="0"/>
                <w:w w:val="100"/>
                <w:position w:val="0"/>
                <w:sz w:val="24"/>
                <w:szCs w:val="24"/>
                <w:highlight w:val="none"/>
                <w:u w:val="single" w:color="auto"/>
                <w:vertAlign w:val="superscript"/>
              </w:rPr>
              <w:t>3</w:t>
            </w:r>
            <w:r>
              <w:rPr>
                <w:rFonts w:hint="eastAsia" w:ascii="Times New Roman" w:hAnsi="Times New Roman" w:eastAsia="宋体" w:cs="Times New Roman"/>
                <w:caps w:val="0"/>
                <w:spacing w:val="0"/>
                <w:w w:val="100"/>
                <w:position w:val="0"/>
                <w:sz w:val="24"/>
                <w:szCs w:val="24"/>
                <w:highlight w:val="none"/>
                <w:u w:val="single" w:color="auto"/>
              </w:rPr>
              <w:t>的雨水池。年均暴雨次数按</w:t>
            </w:r>
            <w:r>
              <w:rPr>
                <w:rFonts w:hint="eastAsia" w:ascii="Times New Roman" w:hAnsi="Times New Roman" w:eastAsia="宋体" w:cs="Times New Roman"/>
                <w:caps w:val="0"/>
                <w:spacing w:val="0"/>
                <w:w w:val="100"/>
                <w:position w:val="0"/>
                <w:sz w:val="24"/>
                <w:szCs w:val="24"/>
                <w:highlight w:val="none"/>
                <w:u w:val="single" w:color="auto"/>
                <w:lang w:val="en-US" w:eastAsia="zh-CN"/>
              </w:rPr>
              <w:t>2</w:t>
            </w:r>
            <w:r>
              <w:rPr>
                <w:rFonts w:hint="eastAsia" w:ascii="Times New Roman" w:hAnsi="Times New Roman" w:eastAsia="宋体" w:cs="Times New Roman"/>
                <w:caps w:val="0"/>
                <w:spacing w:val="0"/>
                <w:w w:val="100"/>
                <w:position w:val="0"/>
                <w:sz w:val="24"/>
                <w:szCs w:val="24"/>
                <w:highlight w:val="none"/>
                <w:u w:val="single" w:color="auto"/>
              </w:rPr>
              <w:t>0次计，则</w:t>
            </w:r>
            <w:r>
              <w:rPr>
                <w:rFonts w:hint="eastAsia"/>
                <w:bCs/>
                <w:sz w:val="24"/>
                <w:szCs w:val="24"/>
                <w:u w:val="single" w:color="auto"/>
                <w:lang w:val="en-US" w:eastAsia="zh-CN"/>
              </w:rPr>
              <w:t>初期</w:t>
            </w:r>
            <w:r>
              <w:rPr>
                <w:rFonts w:hint="eastAsia" w:ascii="Times New Roman" w:hAnsi="Times New Roman" w:eastAsia="宋体" w:cs="Times New Roman"/>
                <w:caps w:val="0"/>
                <w:spacing w:val="0"/>
                <w:w w:val="100"/>
                <w:position w:val="0"/>
                <w:sz w:val="24"/>
                <w:szCs w:val="24"/>
                <w:highlight w:val="none"/>
                <w:u w:val="single" w:color="auto"/>
              </w:rPr>
              <w:t>雨水量为</w:t>
            </w:r>
            <w:r>
              <w:rPr>
                <w:rFonts w:hint="eastAsia" w:ascii="Times New Roman" w:hAnsi="Times New Roman" w:eastAsia="宋体" w:cs="Times New Roman"/>
                <w:caps w:val="0"/>
                <w:spacing w:val="0"/>
                <w:w w:val="100"/>
                <w:position w:val="0"/>
                <w:sz w:val="24"/>
                <w:szCs w:val="24"/>
                <w:highlight w:val="none"/>
                <w:u w:val="single" w:color="auto"/>
                <w:lang w:val="en-US" w:eastAsia="zh-CN"/>
              </w:rPr>
              <w:t>1435.6</w:t>
            </w:r>
            <w:r>
              <w:rPr>
                <w:rFonts w:hint="eastAsia" w:ascii="Times New Roman" w:hAnsi="Times New Roman" w:eastAsia="宋体" w:cs="Times New Roman"/>
                <w:caps w:val="0"/>
                <w:spacing w:val="0"/>
                <w:w w:val="100"/>
                <w:position w:val="0"/>
                <w:sz w:val="24"/>
                <w:szCs w:val="24"/>
                <w:highlight w:val="none"/>
                <w:u w:val="single" w:color="auto"/>
              </w:rPr>
              <w:t>m</w:t>
            </w:r>
            <w:r>
              <w:rPr>
                <w:rFonts w:hint="eastAsia" w:ascii="Times New Roman" w:hAnsi="Times New Roman" w:eastAsia="宋体" w:cs="Times New Roman"/>
                <w:caps w:val="0"/>
                <w:spacing w:val="0"/>
                <w:w w:val="100"/>
                <w:position w:val="0"/>
                <w:sz w:val="24"/>
                <w:szCs w:val="24"/>
                <w:highlight w:val="none"/>
                <w:u w:val="single" w:color="auto"/>
                <w:vertAlign w:val="superscript"/>
              </w:rPr>
              <w:t>3</w:t>
            </w:r>
            <w:r>
              <w:rPr>
                <w:rFonts w:hint="eastAsia" w:ascii="Times New Roman" w:hAnsi="Times New Roman" w:eastAsia="宋体" w:cs="Times New Roman"/>
                <w:caps w:val="0"/>
                <w:spacing w:val="0"/>
                <w:w w:val="100"/>
                <w:position w:val="0"/>
                <w:sz w:val="24"/>
                <w:szCs w:val="24"/>
                <w:highlight w:val="none"/>
                <w:u w:val="single" w:color="auto"/>
              </w:rPr>
              <w:t>/a。</w:t>
            </w:r>
          </w:p>
          <w:p>
            <w:pPr>
              <w:adjustRightInd w:val="0"/>
              <w:snapToGrid w:val="0"/>
              <w:spacing w:line="360" w:lineRule="auto"/>
              <w:ind w:firstLine="480" w:firstLineChars="200"/>
              <w:rPr>
                <w:rFonts w:hint="default" w:eastAsia="宋体"/>
                <w:bCs/>
                <w:sz w:val="24"/>
                <w:szCs w:val="24"/>
                <w:u w:val="single" w:color="auto"/>
                <w:lang w:val="en-US" w:eastAsia="zh-CN" w:bidi="en-US"/>
              </w:rPr>
            </w:pPr>
            <w:r>
              <w:rPr>
                <w:rFonts w:hint="eastAsia" w:ascii="Times New Roman" w:hAnsi="Times New Roman" w:eastAsia="宋体" w:cs="Times New Roman"/>
                <w:sz w:val="24"/>
                <w:szCs w:val="24"/>
                <w:u w:val="single" w:color="auto"/>
                <w:lang w:val="en-US" w:eastAsia="zh-CN"/>
              </w:rPr>
              <w:t>初期</w:t>
            </w:r>
            <w:r>
              <w:rPr>
                <w:rFonts w:hint="eastAsia" w:ascii="Times New Roman" w:hAnsi="Times New Roman" w:eastAsia="宋体" w:cs="Times New Roman"/>
                <w:sz w:val="24"/>
                <w:szCs w:val="24"/>
                <w:u w:val="single" w:color="auto"/>
                <w:lang w:eastAsia="zh-CN"/>
              </w:rPr>
              <w:t>雨水</w:t>
            </w:r>
            <w:r>
              <w:rPr>
                <w:rFonts w:hint="eastAsia" w:ascii="Times New Roman" w:hAnsi="Times New Roman" w:eastAsia="宋体" w:cs="Times New Roman"/>
                <w:sz w:val="24"/>
                <w:szCs w:val="24"/>
                <w:u w:val="single" w:color="auto"/>
              </w:rPr>
              <w:t>中的污染物主要是COD、SS、石油类，类比同类拆解企业数据，COD、SS、石油类</w:t>
            </w:r>
            <w:r>
              <w:rPr>
                <w:rFonts w:hint="eastAsia" w:ascii="Times New Roman" w:hAnsi="Times New Roman" w:eastAsia="宋体" w:cs="Times New Roman"/>
                <w:sz w:val="24"/>
                <w:szCs w:val="24"/>
                <w:u w:val="single" w:color="auto"/>
                <w:lang w:eastAsia="zh-CN"/>
              </w:rPr>
              <w:t>产生浓度分别为</w:t>
            </w:r>
            <w:r>
              <w:rPr>
                <w:rFonts w:hint="eastAsia" w:ascii="Times New Roman" w:hAnsi="Times New Roman" w:eastAsia="宋体" w:cs="Times New Roman"/>
                <w:sz w:val="24"/>
                <w:szCs w:val="24"/>
                <w:u w:val="single" w:color="auto"/>
                <w:lang w:val="en-US" w:eastAsia="zh-CN"/>
              </w:rPr>
              <w:t>150mg/L、200mg/L、40mg/L。</w:t>
            </w:r>
          </w:p>
          <w:p>
            <w:pPr>
              <w:adjustRightInd w:val="0"/>
              <w:snapToGrid w:val="0"/>
              <w:spacing w:line="360" w:lineRule="auto"/>
              <w:ind w:firstLine="480" w:firstLineChars="200"/>
              <w:rPr>
                <w:rFonts w:hint="default"/>
                <w:lang w:val="en-US" w:eastAsia="zh-CN"/>
              </w:rPr>
            </w:pPr>
            <w:r>
              <w:rPr>
                <w:rFonts w:hint="eastAsia"/>
                <w:bCs/>
                <w:sz w:val="24"/>
                <w:szCs w:val="24"/>
                <w:u w:val="none" w:color="auto"/>
                <w:lang w:val="en-US" w:eastAsia="zh-CN"/>
              </w:rPr>
              <w:t>厂区隔油池+气浮机处理的水达到《污水综合排放标准》（GB8978-1996）三级标准后排入市政污水管网，然后进入</w:t>
            </w:r>
            <w:r>
              <w:rPr>
                <w:rFonts w:hint="eastAsia" w:ascii="Times New Roman" w:hAnsi="Times New Roman" w:eastAsia="宋体" w:cs="Times New Roman"/>
                <w:b w:val="0"/>
                <w:bCs w:val="0"/>
                <w:color w:val="auto"/>
                <w:sz w:val="24"/>
                <w:szCs w:val="24"/>
                <w:u w:val="none"/>
                <w:shd w:val="clear" w:color="auto" w:fill="auto"/>
                <w:lang w:val="en-US" w:eastAsia="zh-CN"/>
              </w:rPr>
              <w:t>靖州县工业集中区甘太污水处理厂</w:t>
            </w:r>
            <w:r>
              <w:rPr>
                <w:rFonts w:hint="eastAsia"/>
                <w:bCs/>
                <w:sz w:val="24"/>
                <w:szCs w:val="24"/>
                <w:u w:val="none" w:color="auto"/>
                <w:lang w:val="en-US" w:eastAsia="zh-CN"/>
              </w:rPr>
              <w:t>处理后达标排放。</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sz w:val="24"/>
                <w:szCs w:val="24"/>
                <w:u w:val="none"/>
                <w:lang w:bidi="en-US"/>
              </w:rPr>
            </w:pPr>
            <w:r>
              <w:rPr>
                <w:rFonts w:hint="eastAsia"/>
                <w:sz w:val="24"/>
                <w:szCs w:val="24"/>
                <w:u w:val="none"/>
                <w:lang w:bidi="en-US"/>
              </w:rPr>
              <w:t>本项目废水污染源产排情况详见下表。</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b/>
                <w:bCs w:val="0"/>
                <w:color w:val="auto"/>
                <w:sz w:val="21"/>
                <w:szCs w:val="21"/>
                <w:u w:val="none" w:color="auto"/>
                <w:shd w:val="clear" w:color="auto" w:fill="auto"/>
                <w:lang w:eastAsia="zh-CN"/>
              </w:rPr>
              <w:t>表</w:t>
            </w:r>
            <w:r>
              <w:rPr>
                <w:rFonts w:hint="default" w:ascii="Times New Roman" w:hAnsi="Times New Roman" w:eastAsia="宋体" w:cs="Times New Roman"/>
                <w:b/>
                <w:bCs w:val="0"/>
                <w:color w:val="auto"/>
                <w:sz w:val="21"/>
                <w:szCs w:val="21"/>
                <w:u w:val="none" w:color="auto"/>
                <w:shd w:val="clear" w:color="auto" w:fill="auto"/>
                <w:lang w:val="en-US" w:eastAsia="zh-CN"/>
              </w:rPr>
              <w:t>4-</w:t>
            </w:r>
            <w:r>
              <w:rPr>
                <w:rFonts w:hint="eastAsia" w:ascii="Times New Roman" w:hAnsi="Times New Roman" w:eastAsia="宋体" w:cs="Times New Roman"/>
                <w:b/>
                <w:bCs w:val="0"/>
                <w:color w:val="auto"/>
                <w:sz w:val="21"/>
                <w:szCs w:val="21"/>
                <w:u w:val="none" w:color="auto"/>
                <w:shd w:val="clear" w:color="auto" w:fill="auto"/>
                <w:lang w:val="en-US" w:eastAsia="zh-CN"/>
              </w:rPr>
              <w:t>7</w:t>
            </w:r>
            <w:r>
              <w:rPr>
                <w:rFonts w:hint="default" w:ascii="Times New Roman" w:hAnsi="Times New Roman" w:eastAsia="宋体" w:cs="Times New Roman"/>
                <w:b/>
                <w:bCs w:val="0"/>
                <w:color w:val="auto"/>
                <w:sz w:val="21"/>
                <w:szCs w:val="21"/>
                <w:u w:val="none" w:color="auto"/>
                <w:shd w:val="clear" w:color="auto" w:fill="auto"/>
                <w:lang w:eastAsia="zh-CN"/>
              </w:rPr>
              <w:t xml:space="preserve"> 项目废水污染物产排污情况一览表</w:t>
            </w:r>
          </w:p>
          <w:tbl>
            <w:tblPr>
              <w:tblStyle w:val="16"/>
              <w:tblW w:w="499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1"/>
              <w:gridCol w:w="778"/>
              <w:gridCol w:w="948"/>
              <w:gridCol w:w="1009"/>
              <w:gridCol w:w="920"/>
              <w:gridCol w:w="498"/>
              <w:gridCol w:w="444"/>
              <w:gridCol w:w="620"/>
              <w:gridCol w:w="615"/>
              <w:gridCol w:w="1158"/>
              <w:gridCol w:w="808"/>
              <w:gridCol w:w="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pct"/>
                <w:trHeight w:val="403" w:hRule="atLeast"/>
              </w:trPr>
              <w:tc>
                <w:tcPr>
                  <w:tcW w:w="395"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产排污环节</w:t>
                  </w:r>
                </w:p>
              </w:tc>
              <w:tc>
                <w:tcPr>
                  <w:tcW w:w="45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污染物种类</w:t>
                  </w:r>
                </w:p>
              </w:tc>
              <w:tc>
                <w:tcPr>
                  <w:tcW w:w="1697" w:type="pct"/>
                  <w:gridSpan w:val="3"/>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污染物产生量和浓度</w:t>
                  </w:r>
                </w:p>
              </w:tc>
              <w:tc>
                <w:tcPr>
                  <w:tcW w:w="921" w:type="pct"/>
                  <w:gridSpan w:val="3"/>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治理</w:t>
                  </w:r>
                  <w:r>
                    <w:rPr>
                      <w:rFonts w:hint="default" w:ascii="Times New Roman" w:hAnsi="Times New Roman" w:eastAsia="宋体" w:cs="Times New Roman"/>
                      <w:color w:val="auto"/>
                      <w:sz w:val="21"/>
                      <w:szCs w:val="21"/>
                      <w:highlight w:val="none"/>
                      <w:u w:val="none" w:color="auto"/>
                      <w:lang w:eastAsia="zh-CN"/>
                    </w:rPr>
                    <w:t>措施</w:t>
                  </w:r>
                </w:p>
              </w:tc>
              <w:tc>
                <w:tcPr>
                  <w:tcW w:w="362" w:type="pct"/>
                  <w:vMerge w:val="restart"/>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排放形式</w:t>
                  </w:r>
                </w:p>
              </w:tc>
              <w:tc>
                <w:tcPr>
                  <w:tcW w:w="1160" w:type="pct"/>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39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p>
              </w:tc>
              <w:tc>
                <w:tcPr>
                  <w:tcW w:w="4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p>
              </w:tc>
              <w:tc>
                <w:tcPr>
                  <w:tcW w:w="5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废水产生量（</w:t>
                  </w:r>
                  <w:r>
                    <w:rPr>
                      <w:rFonts w:hint="default" w:ascii="Times New Roman" w:hAnsi="Times New Roman" w:eastAsia="宋体" w:cs="Times New Roman"/>
                      <w:color w:val="auto"/>
                      <w:sz w:val="21"/>
                      <w:szCs w:val="21"/>
                      <w:u w:val="none" w:color="auto"/>
                      <w:lang w:bidi="ar"/>
                    </w:rPr>
                    <w:t>t/a</w:t>
                  </w:r>
                  <w:r>
                    <w:rPr>
                      <w:rFonts w:hint="default" w:ascii="Times New Roman" w:hAnsi="Times New Roman" w:eastAsia="宋体" w:cs="Times New Roman"/>
                      <w:color w:val="auto"/>
                      <w:sz w:val="21"/>
                      <w:szCs w:val="21"/>
                      <w:highlight w:val="none"/>
                      <w:u w:val="none" w:color="auto"/>
                      <w:lang w:eastAsia="zh-CN"/>
                    </w:rPr>
                    <w:t>）</w:t>
                  </w:r>
                </w:p>
              </w:tc>
              <w:tc>
                <w:tcPr>
                  <w:tcW w:w="59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产生浓度</w:t>
                  </w:r>
                </w:p>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kern w:val="0"/>
                      <w:sz w:val="21"/>
                      <w:szCs w:val="21"/>
                      <w:u w:val="none" w:color="auto"/>
                      <w:lang w:bidi="ar"/>
                    </w:rPr>
                    <w:t>mg//L</w:t>
                  </w:r>
                  <w:r>
                    <w:rPr>
                      <w:rFonts w:hint="default" w:ascii="Times New Roman" w:hAnsi="Times New Roman" w:eastAsia="宋体" w:cs="Times New Roman"/>
                      <w:color w:val="auto"/>
                      <w:sz w:val="21"/>
                      <w:szCs w:val="21"/>
                      <w:highlight w:val="none"/>
                      <w:u w:val="none" w:color="auto"/>
                    </w:rPr>
                    <w:t>）</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产生量（t/a）</w:t>
                  </w:r>
                </w:p>
              </w:tc>
              <w:tc>
                <w:tcPr>
                  <w:tcW w:w="293" w:type="pct"/>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处理工艺</w:t>
                  </w:r>
                </w:p>
              </w:tc>
              <w:tc>
                <w:tcPr>
                  <w:tcW w:w="26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去除率</w:t>
                  </w:r>
                </w:p>
              </w:tc>
              <w:tc>
                <w:tcPr>
                  <w:tcW w:w="36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是否可行技术</w:t>
                  </w:r>
                </w:p>
              </w:tc>
              <w:tc>
                <w:tcPr>
                  <w:tcW w:w="362" w:type="pct"/>
                  <w:vMerge w:val="continue"/>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p>
              </w:tc>
              <w:tc>
                <w:tcPr>
                  <w:tcW w:w="683"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排放浓度</w:t>
                  </w:r>
                </w:p>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kern w:val="0"/>
                      <w:sz w:val="21"/>
                      <w:szCs w:val="21"/>
                      <w:u w:val="none" w:color="auto"/>
                      <w:lang w:bidi="ar"/>
                    </w:rPr>
                    <w:t>mg//L</w:t>
                  </w:r>
                  <w:r>
                    <w:rPr>
                      <w:rFonts w:hint="default" w:ascii="Times New Roman" w:hAnsi="Times New Roman" w:eastAsia="宋体" w:cs="Times New Roman"/>
                      <w:color w:val="auto"/>
                      <w:sz w:val="21"/>
                      <w:szCs w:val="21"/>
                      <w:highlight w:val="none"/>
                      <w:u w:val="none" w:color="auto"/>
                    </w:rPr>
                    <w:t>）</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排放量</w:t>
                  </w:r>
                </w:p>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395" w:type="pct"/>
                  <w:vMerge w:val="restar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员工生活</w:t>
                  </w:r>
                </w:p>
              </w:tc>
              <w:tc>
                <w:tcPr>
                  <w:tcW w:w="459"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COD</w:t>
                  </w:r>
                </w:p>
              </w:tc>
              <w:tc>
                <w:tcPr>
                  <w:tcW w:w="559" w:type="pct"/>
                  <w:vMerge w:val="restar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1848</w:t>
                  </w:r>
                </w:p>
              </w:tc>
              <w:tc>
                <w:tcPr>
                  <w:tcW w:w="595"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w:t>
                  </w:r>
                  <w:r>
                    <w:rPr>
                      <w:rFonts w:hint="eastAsia" w:ascii="Times New Roman" w:hAnsi="Times New Roman" w:eastAsia="宋体" w:cs="Times New Roman"/>
                      <w:color w:val="auto"/>
                      <w:sz w:val="21"/>
                      <w:szCs w:val="21"/>
                      <w:highlight w:val="none"/>
                      <w:u w:val="none" w:color="auto"/>
                      <w:lang w:val="en-US" w:eastAsia="zh-CN"/>
                    </w:rPr>
                    <w:t>75</w:t>
                  </w:r>
                </w:p>
              </w:tc>
              <w:tc>
                <w:tcPr>
                  <w:tcW w:w="542"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0.5082</w:t>
                  </w:r>
                </w:p>
              </w:tc>
              <w:tc>
                <w:tcPr>
                  <w:tcW w:w="293" w:type="pct"/>
                  <w:vMerge w:val="restart"/>
                  <w:tcBorders>
                    <w:top w:val="single" w:color="auto" w:sz="4" w:space="0"/>
                    <w:left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隔油池+</w:t>
                  </w:r>
                  <w:r>
                    <w:rPr>
                      <w:rFonts w:hint="default" w:ascii="Times New Roman" w:hAnsi="Times New Roman" w:eastAsia="宋体" w:cs="Times New Roman"/>
                      <w:color w:val="auto"/>
                      <w:sz w:val="21"/>
                      <w:szCs w:val="21"/>
                      <w:highlight w:val="none"/>
                      <w:u w:val="none" w:color="auto"/>
                      <w:lang w:val="en-US" w:eastAsia="zh-CN"/>
                    </w:rPr>
                    <w:t>化粪池</w:t>
                  </w:r>
                </w:p>
              </w:tc>
              <w:tc>
                <w:tcPr>
                  <w:tcW w:w="262" w:type="pct"/>
                  <w:vMerge w:val="restar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w:t>
                  </w:r>
                </w:p>
              </w:tc>
              <w:tc>
                <w:tcPr>
                  <w:tcW w:w="365" w:type="pct"/>
                  <w:vMerge w:val="restar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是</w:t>
                  </w:r>
                </w:p>
              </w:tc>
              <w:tc>
                <w:tcPr>
                  <w:tcW w:w="362" w:type="pct"/>
                  <w:vMerge w:val="restart"/>
                  <w:tcBorders>
                    <w:top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间接排放</w:t>
                  </w:r>
                </w:p>
              </w:tc>
              <w:tc>
                <w:tcPr>
                  <w:tcW w:w="683" w:type="pct"/>
                  <w:tcBorders>
                    <w:top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 xml:space="preserve">234 </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0.4324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9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p>
              </w:tc>
              <w:tc>
                <w:tcPr>
                  <w:tcW w:w="4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sz w:val="21"/>
                      <w:szCs w:val="21"/>
                      <w:highlight w:val="none"/>
                      <w:u w:val="none" w:color="auto"/>
                      <w:vertAlign w:val="subscript"/>
                      <w:lang w:val="en-US" w:eastAsia="zh-CN"/>
                    </w:rPr>
                    <w:t>5</w:t>
                  </w:r>
                </w:p>
              </w:tc>
              <w:tc>
                <w:tcPr>
                  <w:tcW w:w="5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w:t>
                  </w:r>
                  <w:r>
                    <w:rPr>
                      <w:rFonts w:hint="eastAsia" w:ascii="Times New Roman" w:hAnsi="Times New Roman" w:eastAsia="宋体" w:cs="Times New Roman"/>
                      <w:color w:val="auto"/>
                      <w:sz w:val="21"/>
                      <w:szCs w:val="21"/>
                      <w:highlight w:val="none"/>
                      <w:u w:val="none" w:color="auto"/>
                      <w:lang w:val="en-US" w:eastAsia="zh-CN"/>
                    </w:rPr>
                    <w:t>23</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0.2273</w:t>
                  </w:r>
                </w:p>
              </w:tc>
              <w:tc>
                <w:tcPr>
                  <w:tcW w:w="29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262"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2" w:type="pct"/>
                  <w:vMerge w:val="continue"/>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68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 xml:space="preserve">112 </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39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p>
              </w:tc>
              <w:tc>
                <w:tcPr>
                  <w:tcW w:w="4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w:t>
                  </w:r>
                </w:p>
              </w:tc>
              <w:tc>
                <w:tcPr>
                  <w:tcW w:w="5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200</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0.3696</w:t>
                  </w:r>
                </w:p>
              </w:tc>
              <w:tc>
                <w:tcPr>
                  <w:tcW w:w="29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262"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2" w:type="pct"/>
                  <w:vMerge w:val="continue"/>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68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140</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0.2587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39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p>
              </w:tc>
              <w:tc>
                <w:tcPr>
                  <w:tcW w:w="4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NH</w:t>
                  </w:r>
                  <w:r>
                    <w:rPr>
                      <w:rFonts w:hint="default" w:ascii="Times New Roman" w:hAnsi="Times New Roman" w:eastAsia="宋体" w:cs="Times New Roman"/>
                      <w:color w:val="auto"/>
                      <w:sz w:val="21"/>
                      <w:szCs w:val="21"/>
                      <w:highlight w:val="none"/>
                      <w:u w:val="none" w:color="auto"/>
                      <w:vertAlign w:val="subscript"/>
                    </w:rPr>
                    <w:t>3</w:t>
                  </w:r>
                  <w:r>
                    <w:rPr>
                      <w:rFonts w:hint="default" w:ascii="Times New Roman" w:hAnsi="Times New Roman" w:eastAsia="宋体" w:cs="Times New Roman"/>
                      <w:color w:val="auto"/>
                      <w:sz w:val="21"/>
                      <w:szCs w:val="21"/>
                      <w:highlight w:val="none"/>
                      <w:u w:val="none" w:color="auto"/>
                    </w:rPr>
                    <w:t>-N</w:t>
                  </w:r>
                </w:p>
              </w:tc>
              <w:tc>
                <w:tcPr>
                  <w:tcW w:w="5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2</w:t>
                  </w:r>
                  <w:r>
                    <w:rPr>
                      <w:rFonts w:hint="eastAsia" w:ascii="Times New Roman" w:hAnsi="Times New Roman" w:eastAsia="宋体" w:cs="Times New Roman"/>
                      <w:color w:val="auto"/>
                      <w:sz w:val="21"/>
                      <w:szCs w:val="21"/>
                      <w:highlight w:val="none"/>
                      <w:u w:val="none" w:color="auto"/>
                      <w:lang w:val="en-US" w:eastAsia="zh-CN"/>
                    </w:rPr>
                    <w:t>1</w:t>
                  </w:r>
                  <w:r>
                    <w:rPr>
                      <w:rFonts w:hint="default" w:ascii="Times New Roman" w:hAnsi="Times New Roman" w:eastAsia="宋体" w:cs="Times New Roman"/>
                      <w:color w:val="auto"/>
                      <w:sz w:val="21"/>
                      <w:szCs w:val="21"/>
                      <w:highlight w:val="none"/>
                      <w:u w:val="none" w:color="auto"/>
                      <w:lang w:val="en-US" w:eastAsia="zh-CN"/>
                    </w:rPr>
                    <w:t>.6</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0.0399</w:t>
                  </w:r>
                </w:p>
              </w:tc>
              <w:tc>
                <w:tcPr>
                  <w:tcW w:w="29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262"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2" w:type="pct"/>
                  <w:vMerge w:val="continue"/>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68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21</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0.0388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39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p>
              </w:tc>
              <w:tc>
                <w:tcPr>
                  <w:tcW w:w="4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cs="Times New Roman"/>
                      <w:color w:val="auto"/>
                      <w:sz w:val="21"/>
                      <w:szCs w:val="21"/>
                      <w:highlight w:val="none"/>
                      <w:u w:val="none"/>
                      <w:lang w:val="en-US" w:eastAsia="zh-CN"/>
                    </w:rPr>
                    <w:t>动植物油</w:t>
                  </w:r>
                </w:p>
              </w:tc>
              <w:tc>
                <w:tcPr>
                  <w:tcW w:w="5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3.5</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0.0065</w:t>
                  </w:r>
                </w:p>
              </w:tc>
              <w:tc>
                <w:tcPr>
                  <w:tcW w:w="29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262"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2" w:type="pct"/>
                  <w:vMerge w:val="continue"/>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68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 xml:space="preserve">1 </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395"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eastAsia="zh-CN"/>
                    </w:rPr>
                    <w:t>拆解车间地面清洁废水</w:t>
                  </w:r>
                  <w:r>
                    <w:rPr>
                      <w:rFonts w:hint="eastAsia" w:ascii="Times New Roman" w:hAnsi="Times New Roman" w:eastAsia="宋体" w:cs="Times New Roman"/>
                      <w:color w:val="auto"/>
                      <w:sz w:val="21"/>
                      <w:szCs w:val="21"/>
                      <w:highlight w:val="none"/>
                      <w:u w:val="none" w:color="auto"/>
                      <w:lang w:val="en-US" w:eastAsia="zh-CN"/>
                    </w:rPr>
                    <w:t>+初期</w:t>
                  </w:r>
                  <w:r>
                    <w:rPr>
                      <w:rFonts w:hint="default" w:ascii="Times New Roman" w:hAnsi="Times New Roman" w:eastAsia="宋体" w:cs="Times New Roman"/>
                      <w:color w:val="auto"/>
                      <w:sz w:val="21"/>
                      <w:szCs w:val="21"/>
                      <w:highlight w:val="none"/>
                      <w:u w:val="none" w:color="auto"/>
                      <w:lang w:eastAsia="zh-CN"/>
                    </w:rPr>
                    <w:t>雨水</w:t>
                  </w:r>
                </w:p>
              </w:tc>
              <w:tc>
                <w:tcPr>
                  <w:tcW w:w="459" w:type="pct"/>
                  <w:tcBorders>
                    <w:tl2br w:val="nil"/>
                    <w:tr2bl w:val="nil"/>
                  </w:tcBorders>
                  <w:noWrap w:val="0"/>
                  <w:vAlign w:val="center"/>
                </w:tcPr>
                <w:p>
                  <w:pPr>
                    <w:jc w:val="center"/>
                    <w:rPr>
                      <w:rFonts w:hint="eastAsia"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sz w:val="21"/>
                      <w:szCs w:val="21"/>
                      <w:u w:val="none"/>
                    </w:rPr>
                    <w:t>COD</w:t>
                  </w:r>
                </w:p>
              </w:tc>
              <w:tc>
                <w:tcPr>
                  <w:tcW w:w="55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1699.6</w:t>
                  </w: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175</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0.297</w:t>
                  </w:r>
                </w:p>
              </w:tc>
              <w:tc>
                <w:tcPr>
                  <w:tcW w:w="293" w:type="pct"/>
                  <w:vMerge w:val="restart"/>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隔油池+气浮机</w:t>
                  </w:r>
                </w:p>
              </w:tc>
              <w:tc>
                <w:tcPr>
                  <w:tcW w:w="262"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w:t>
                  </w:r>
                </w:p>
              </w:tc>
              <w:tc>
                <w:tcPr>
                  <w:tcW w:w="365"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是</w:t>
                  </w:r>
                </w:p>
              </w:tc>
              <w:tc>
                <w:tcPr>
                  <w:tcW w:w="362" w:type="pct"/>
                  <w:vMerge w:val="restart"/>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间接排放</w:t>
                  </w:r>
                </w:p>
              </w:tc>
              <w:tc>
                <w:tcPr>
                  <w:tcW w:w="68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175</w:t>
                  </w:r>
                </w:p>
              </w:tc>
              <w:tc>
                <w:tcPr>
                  <w:tcW w:w="479" w:type="pct"/>
                  <w:gridSpan w:val="2"/>
                  <w:tcBorders>
                    <w:left w:val="single" w:color="auto" w:sz="4" w:space="0"/>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0.297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39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p>
              </w:tc>
              <w:tc>
                <w:tcPr>
                  <w:tcW w:w="459" w:type="pct"/>
                  <w:tcBorders>
                    <w:tl2br w:val="nil"/>
                    <w:tr2bl w:val="nil"/>
                  </w:tcBorders>
                  <w:noWrap w:val="0"/>
                  <w:vAlign w:val="center"/>
                </w:tcPr>
                <w:p>
                  <w:pPr>
                    <w:jc w:val="center"/>
                    <w:rPr>
                      <w:rFonts w:hint="eastAsia"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sz w:val="21"/>
                      <w:szCs w:val="21"/>
                      <w:u w:val="none"/>
                    </w:rPr>
                    <w:t>SS</w:t>
                  </w:r>
                </w:p>
              </w:tc>
              <w:tc>
                <w:tcPr>
                  <w:tcW w:w="5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595"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c>
                <w:tcPr>
                  <w:tcW w:w="542"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0.34</w:t>
                  </w:r>
                </w:p>
              </w:tc>
              <w:tc>
                <w:tcPr>
                  <w:tcW w:w="293" w:type="pct"/>
                  <w:vMerge w:val="continue"/>
                  <w:tcBorders>
                    <w:lef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262"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2" w:type="pct"/>
                  <w:vMerge w:val="continue"/>
                  <w:tcBorders>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68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c>
                <w:tcPr>
                  <w:tcW w:w="479" w:type="pct"/>
                  <w:gridSpan w:val="2"/>
                  <w:tcBorders>
                    <w:left w:val="single" w:color="auto" w:sz="4" w:space="0"/>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395" w:type="pct"/>
                  <w:vMerge w:val="continue"/>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eastAsia="zh-CN"/>
                    </w:rPr>
                  </w:pPr>
                </w:p>
              </w:tc>
              <w:tc>
                <w:tcPr>
                  <w:tcW w:w="459" w:type="pct"/>
                  <w:tcBorders>
                    <w:bottom w:val="single" w:color="auto" w:sz="4" w:space="0"/>
                    <w:tl2br w:val="nil"/>
                    <w:tr2bl w:val="nil"/>
                  </w:tcBorders>
                  <w:noWrap w:val="0"/>
                  <w:vAlign w:val="center"/>
                </w:tcPr>
                <w:p>
                  <w:pPr>
                    <w:jc w:val="center"/>
                    <w:rPr>
                      <w:rFonts w:hint="eastAsia" w:ascii="Times New Roman" w:hAnsi="Times New Roman" w:cs="Times New Roman"/>
                      <w:color w:val="auto"/>
                      <w:sz w:val="21"/>
                      <w:szCs w:val="21"/>
                      <w:highlight w:val="none"/>
                      <w:u w:val="none"/>
                      <w:lang w:val="en-US" w:eastAsia="zh-CN"/>
                    </w:rPr>
                  </w:pPr>
                  <w:r>
                    <w:rPr>
                      <w:rFonts w:hint="eastAsia" w:ascii="Times New Roman" w:hAnsi="Times New Roman" w:eastAsia="宋体" w:cs="Times New Roman"/>
                      <w:sz w:val="21"/>
                      <w:szCs w:val="21"/>
                      <w:u w:val="none"/>
                    </w:rPr>
                    <w:t>石油类</w:t>
                  </w:r>
                </w:p>
              </w:tc>
              <w:tc>
                <w:tcPr>
                  <w:tcW w:w="559" w:type="pct"/>
                  <w:vMerge w:val="continue"/>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595" w:type="pct"/>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58</w:t>
                  </w:r>
                </w:p>
              </w:tc>
              <w:tc>
                <w:tcPr>
                  <w:tcW w:w="542" w:type="pct"/>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0.0986</w:t>
                  </w:r>
                </w:p>
              </w:tc>
              <w:tc>
                <w:tcPr>
                  <w:tcW w:w="293" w:type="pct"/>
                  <w:vMerge w:val="continue"/>
                  <w:tcBorders>
                    <w:left w:val="single" w:color="auto" w:sz="4" w:space="0"/>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262" w:type="pct"/>
                  <w:vMerge w:val="continue"/>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5" w:type="pct"/>
                  <w:vMerge w:val="continue"/>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362" w:type="pct"/>
                  <w:vMerge w:val="continue"/>
                  <w:tcBorders>
                    <w:bottom w:val="single" w:color="auto" w:sz="4" w:space="0"/>
                    <w:right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p>
              </w:tc>
              <w:tc>
                <w:tcPr>
                  <w:tcW w:w="683" w:type="pct"/>
                  <w:tcBorders>
                    <w:bottom w:val="single" w:color="auto" w:sz="4" w:space="0"/>
                    <w:tl2br w:val="nil"/>
                    <w:tr2bl w:val="nil"/>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25</w:t>
                  </w:r>
                </w:p>
              </w:tc>
              <w:tc>
                <w:tcPr>
                  <w:tcW w:w="479" w:type="pct"/>
                  <w:gridSpan w:val="2"/>
                  <w:tcBorders>
                    <w:left w:val="single" w:color="auto" w:sz="4" w:space="0"/>
                    <w:tl2br w:val="nil"/>
                    <w:tr2bl w:val="nil"/>
                  </w:tcBorders>
                  <w:noWrap w:val="0"/>
                  <w:vAlign w:val="center"/>
                </w:tcPr>
                <w:p>
                  <w:pPr>
                    <w:jc w:val="center"/>
                    <w:rPr>
                      <w:rFonts w:hint="default" w:ascii="Times New Roman" w:hAnsi="Times New Roman" w:eastAsia="宋体" w:cs="Times New Roman"/>
                      <w:color w:val="F79646"/>
                      <w:sz w:val="21"/>
                      <w:szCs w:val="21"/>
                      <w:highlight w:val="none"/>
                      <w:u w:val="singl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0.042</w:t>
                  </w:r>
                </w:p>
              </w:tc>
            </w:tr>
          </w:tbl>
          <w:p>
            <w:pPr>
              <w:spacing w:line="360" w:lineRule="auto"/>
              <w:ind w:firstLine="480" w:firstLineChars="200"/>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color w:val="000000"/>
                <w:sz w:val="24"/>
                <w:szCs w:val="24"/>
                <w:u w:val="none"/>
                <w:lang w:val="en-US" w:eastAsia="zh-CN"/>
              </w:rPr>
              <w:t>本项目距离一级饮用水源保护区515米，距离二级饮用水源保护区480米，</w:t>
            </w:r>
            <w:r>
              <w:rPr>
                <w:rFonts w:hint="default" w:ascii="Times New Roman" w:hAnsi="Times New Roman" w:eastAsia="宋体" w:cs="Times New Roman"/>
                <w:b w:val="0"/>
                <w:bCs w:val="0"/>
                <w:color w:val="auto"/>
                <w:sz w:val="24"/>
                <w:szCs w:val="24"/>
                <w:u w:val="none"/>
                <w:shd w:val="clear" w:color="auto" w:fill="auto"/>
                <w:lang w:val="en-US" w:eastAsia="zh-CN"/>
              </w:rPr>
              <w:t>项目生活污水经化粪池处理后排入</w:t>
            </w:r>
            <w:r>
              <w:rPr>
                <w:rFonts w:hint="eastAsia" w:ascii="Times New Roman" w:hAnsi="Times New Roman" w:eastAsia="宋体" w:cs="Times New Roman"/>
                <w:color w:val="auto"/>
                <w:sz w:val="24"/>
                <w:szCs w:val="24"/>
              </w:rPr>
              <w:t>园区污水干管</w:t>
            </w:r>
            <w:r>
              <w:rPr>
                <w:rFonts w:hint="default" w:ascii="Times New Roman" w:hAnsi="Times New Roman" w:eastAsia="宋体" w:cs="Times New Roman"/>
                <w:b w:val="0"/>
                <w:bCs w:val="0"/>
                <w:color w:val="auto"/>
                <w:sz w:val="24"/>
                <w:szCs w:val="24"/>
                <w:u w:val="none"/>
                <w:shd w:val="clear" w:color="auto" w:fill="auto"/>
                <w:lang w:val="en-US" w:eastAsia="zh-CN"/>
              </w:rPr>
              <w:t>，初期雨</w:t>
            </w:r>
            <w:r>
              <w:rPr>
                <w:rFonts w:hint="eastAsia" w:ascii="Times New Roman" w:hAnsi="Times New Roman" w:eastAsia="宋体" w:cs="Times New Roman"/>
                <w:b w:val="0"/>
                <w:bCs w:val="0"/>
                <w:color w:val="auto"/>
                <w:sz w:val="24"/>
                <w:szCs w:val="24"/>
                <w:u w:val="none"/>
                <w:shd w:val="clear" w:color="auto" w:fill="auto"/>
                <w:lang w:val="en-US" w:eastAsia="zh-CN"/>
              </w:rPr>
              <w:t>水+</w:t>
            </w:r>
            <w:r>
              <w:rPr>
                <w:rFonts w:hint="eastAsia" w:ascii="Times New Roman" w:hAnsi="Times New Roman" w:cs="Times New Roman"/>
                <w:color w:val="auto"/>
                <w:sz w:val="24"/>
                <w:szCs w:val="24"/>
                <w:highlight w:val="none"/>
                <w:lang w:eastAsia="zh-CN"/>
              </w:rPr>
              <w:t>拆解区地面清洁</w:t>
            </w:r>
            <w:r>
              <w:rPr>
                <w:rFonts w:hint="eastAsia" w:ascii="Times New Roman" w:hAnsi="Times New Roman" w:cs="Times New Roman"/>
                <w:color w:val="auto"/>
                <w:sz w:val="24"/>
                <w:szCs w:val="24"/>
                <w:highlight w:val="none"/>
                <w:lang w:val="en-US" w:eastAsia="zh-CN"/>
              </w:rPr>
              <w:t>废水经废水处理设施（隔油池+气浮机）处理后</w:t>
            </w:r>
            <w:r>
              <w:rPr>
                <w:rFonts w:hint="default" w:ascii="Times New Roman" w:hAnsi="Times New Roman" w:eastAsia="宋体" w:cs="Times New Roman"/>
                <w:b w:val="0"/>
                <w:bCs w:val="0"/>
                <w:color w:val="auto"/>
                <w:sz w:val="24"/>
                <w:szCs w:val="24"/>
                <w:u w:val="none"/>
                <w:shd w:val="clear" w:color="auto" w:fill="auto"/>
                <w:lang w:val="en-US" w:eastAsia="zh-CN"/>
              </w:rPr>
              <w:t>排入</w:t>
            </w:r>
            <w:r>
              <w:rPr>
                <w:rFonts w:hint="eastAsia" w:ascii="Times New Roman" w:hAnsi="Times New Roman" w:eastAsia="宋体" w:cs="Times New Roman"/>
                <w:color w:val="auto"/>
                <w:sz w:val="24"/>
                <w:szCs w:val="24"/>
              </w:rPr>
              <w:t>园区污水干管</w:t>
            </w:r>
            <w:r>
              <w:rPr>
                <w:rFonts w:hint="eastAsia" w:ascii="Times New Roman" w:hAnsi="Times New Roman" w:eastAsia="宋体" w:cs="Times New Roman"/>
                <w:b w:val="0"/>
                <w:bCs w:val="0"/>
                <w:color w:val="auto"/>
                <w:sz w:val="24"/>
                <w:szCs w:val="24"/>
                <w:u w:val="none"/>
                <w:shd w:val="clear" w:color="auto" w:fill="auto"/>
                <w:lang w:val="en-US" w:eastAsia="zh-CN"/>
              </w:rPr>
              <w:t>能满足</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靖州县工业集中区甘太污水处理厂进水水质标准及</w:t>
            </w:r>
            <w:r>
              <w:rPr>
                <w:rFonts w:hint="default" w:ascii="Times New Roman" w:hAnsi="Times New Roman" w:eastAsia="宋体" w:cs="Times New Roman"/>
                <w:b w:val="0"/>
                <w:bCs w:val="0"/>
                <w:color w:val="auto"/>
                <w:sz w:val="24"/>
                <w:szCs w:val="24"/>
                <w:u w:val="none"/>
                <w:shd w:val="clear" w:color="auto" w:fill="auto"/>
                <w:lang w:val="en-US" w:eastAsia="zh-CN"/>
              </w:rPr>
              <w:t>《污水综合排放标准》（GB8978-1996）三级标准，然后进入</w:t>
            </w:r>
            <w:r>
              <w:rPr>
                <w:rFonts w:hint="eastAsia" w:ascii="Times New Roman" w:hAnsi="Times New Roman" w:eastAsia="宋体" w:cs="Times New Roman"/>
                <w:b w:val="0"/>
                <w:bCs w:val="0"/>
                <w:color w:val="auto"/>
                <w:sz w:val="24"/>
                <w:szCs w:val="24"/>
                <w:highlight w:val="none"/>
                <w:u w:val="none"/>
                <w:shd w:val="clear" w:color="auto" w:fill="auto"/>
                <w:lang w:val="en-US" w:eastAsia="zh-CN"/>
              </w:rPr>
              <w:t>靖州县工业集中区甘太污水处理厂</w:t>
            </w:r>
            <w:r>
              <w:rPr>
                <w:rFonts w:hint="default" w:ascii="Times New Roman" w:hAnsi="Times New Roman" w:eastAsia="宋体" w:cs="Times New Roman"/>
                <w:b w:val="0"/>
                <w:bCs w:val="0"/>
                <w:color w:val="auto"/>
                <w:sz w:val="24"/>
                <w:szCs w:val="24"/>
                <w:u w:val="none"/>
                <w:shd w:val="clear" w:color="auto" w:fill="auto"/>
                <w:lang w:val="en-US" w:eastAsia="zh-CN"/>
              </w:rPr>
              <w:t>处理</w:t>
            </w:r>
            <w:r>
              <w:rPr>
                <w:rFonts w:hint="eastAsia" w:ascii="Times New Roman" w:hAnsi="Times New Roman" w:eastAsia="宋体" w:cs="Times New Roman"/>
                <w:b w:val="0"/>
                <w:bCs w:val="0"/>
                <w:color w:val="auto"/>
                <w:sz w:val="24"/>
                <w:szCs w:val="24"/>
                <w:lang w:val="en-US" w:eastAsia="zh-CN"/>
              </w:rPr>
              <w:t>水质达到《城镇污水处理厂污染物排放标准》（GB18918-2002）及其修改单表1中的一级A标准后</w:t>
            </w:r>
            <w:r>
              <w:rPr>
                <w:rFonts w:hint="default" w:ascii="Times New Roman" w:hAnsi="Times New Roman" w:eastAsia="宋体" w:cs="Times New Roman"/>
                <w:b w:val="0"/>
                <w:bCs w:val="0"/>
                <w:color w:val="auto"/>
                <w:sz w:val="24"/>
                <w:szCs w:val="24"/>
                <w:u w:val="none"/>
                <w:shd w:val="clear" w:color="auto" w:fill="auto"/>
                <w:lang w:val="en-US" w:eastAsia="zh-CN"/>
              </w:rPr>
              <w:t>排</w:t>
            </w:r>
            <w:r>
              <w:rPr>
                <w:rFonts w:hint="eastAsia" w:ascii="Times New Roman" w:hAnsi="Times New Roman" w:eastAsia="宋体" w:cs="Times New Roman"/>
                <w:b w:val="0"/>
                <w:bCs w:val="0"/>
                <w:color w:val="auto"/>
                <w:sz w:val="24"/>
                <w:szCs w:val="24"/>
                <w:u w:val="none"/>
                <w:shd w:val="clear" w:color="auto" w:fill="auto"/>
                <w:lang w:val="en-US" w:eastAsia="zh-CN"/>
              </w:rPr>
              <w:t>入渠水，甘太污水处理厂污水总排口位于饮用水源保护区上游，距离4280米，本项目产生的废水经甘太工业园污水处理厂处理后排入渠水，</w:t>
            </w:r>
            <w:r>
              <w:rPr>
                <w:rFonts w:hint="default" w:ascii="Times New Roman" w:hAnsi="Times New Roman" w:eastAsia="宋体" w:cs="Times New Roman"/>
                <w:color w:val="auto"/>
                <w:sz w:val="24"/>
                <w:szCs w:val="24"/>
              </w:rPr>
              <w:t>对</w:t>
            </w:r>
            <w:r>
              <w:rPr>
                <w:rFonts w:hint="eastAsia" w:ascii="Times New Roman" w:hAnsi="Times New Roman" w:eastAsia="宋体" w:cs="Times New Roman"/>
                <w:color w:val="auto"/>
                <w:sz w:val="24"/>
                <w:szCs w:val="24"/>
                <w:lang w:eastAsia="zh-CN"/>
              </w:rPr>
              <w:t>饮用水源保护区</w:t>
            </w:r>
            <w:r>
              <w:rPr>
                <w:rFonts w:hint="default" w:ascii="Times New Roman" w:hAnsi="Times New Roman" w:eastAsia="宋体" w:cs="Times New Roman"/>
                <w:color w:val="auto"/>
                <w:sz w:val="24"/>
                <w:szCs w:val="24"/>
              </w:rPr>
              <w:t>水质</w:t>
            </w:r>
            <w:r>
              <w:rPr>
                <w:rFonts w:hint="eastAsia" w:ascii="Times New Roman" w:hAnsi="Times New Roman" w:eastAsia="宋体" w:cs="Times New Roman"/>
                <w:color w:val="auto"/>
                <w:sz w:val="24"/>
                <w:szCs w:val="24"/>
                <w:lang w:eastAsia="zh-CN"/>
              </w:rPr>
              <w:t>无</w:t>
            </w:r>
            <w:r>
              <w:rPr>
                <w:rFonts w:hint="default" w:ascii="Times New Roman" w:hAnsi="Times New Roman" w:eastAsia="宋体" w:cs="Times New Roman"/>
                <w:color w:val="auto"/>
                <w:sz w:val="24"/>
                <w:szCs w:val="24"/>
              </w:rPr>
              <w:t>影响</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default" w:ascii="Times New Roman" w:hAnsi="Times New Roman" w:eastAsia="宋体" w:cs="Times New Roman"/>
                <w:b/>
                <w:bCs/>
                <w:color w:val="auto"/>
                <w:sz w:val="24"/>
                <w:szCs w:val="24"/>
                <w:u w:val="none" w:color="auto"/>
                <w:lang w:val="en-US" w:eastAsia="zh-CN"/>
              </w:rPr>
              <w:t>2.</w:t>
            </w:r>
            <w:r>
              <w:rPr>
                <w:rFonts w:hint="eastAsia"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lang w:val="en-US" w:eastAsia="zh-CN"/>
              </w:rPr>
              <w:t>依托</w:t>
            </w:r>
            <w:r>
              <w:rPr>
                <w:rFonts w:hint="eastAsia" w:ascii="Times New Roman" w:hAnsi="Times New Roman" w:eastAsia="宋体" w:cs="Times New Roman"/>
                <w:b/>
                <w:bCs/>
                <w:color w:val="auto"/>
                <w:sz w:val="24"/>
                <w:szCs w:val="24"/>
                <w:highlight w:val="none"/>
                <w:u w:val="none" w:color="auto"/>
                <w:lang w:val="en-US" w:eastAsia="zh-CN"/>
              </w:rPr>
              <w:t>靖州县工业集中区甘太污水处理厂</w:t>
            </w:r>
            <w:r>
              <w:rPr>
                <w:rFonts w:hint="default" w:ascii="Times New Roman" w:hAnsi="Times New Roman" w:eastAsia="宋体" w:cs="Times New Roman"/>
                <w:b/>
                <w:bCs/>
                <w:color w:val="auto"/>
                <w:sz w:val="24"/>
                <w:szCs w:val="24"/>
              </w:rPr>
              <w:t>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靖州县工业集中区</w:t>
            </w:r>
            <w:r>
              <w:rPr>
                <w:rFonts w:hint="eastAsia" w:ascii="Times New Roman" w:hAnsi="Times New Roman" w:eastAsia="宋体" w:cs="Times New Roman"/>
                <w:color w:val="auto"/>
                <w:sz w:val="24"/>
                <w:szCs w:val="24"/>
                <w:lang w:eastAsia="zh-CN"/>
              </w:rPr>
              <w:t>甘太</w:t>
            </w:r>
            <w:r>
              <w:rPr>
                <w:rFonts w:hint="eastAsia" w:ascii="Times New Roman" w:hAnsi="Times New Roman" w:eastAsia="宋体" w:cs="Times New Roman"/>
                <w:color w:val="auto"/>
                <w:sz w:val="24"/>
                <w:szCs w:val="24"/>
              </w:rPr>
              <w:t>污水处理厂</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rPr>
              <w:t>2018</w:t>
            </w:r>
            <w:r>
              <w:rPr>
                <w:rFonts w:hint="default" w:ascii="Times New Roman" w:hAnsi="Times New Roman" w:eastAsia="宋体" w:cs="Times New Roman"/>
                <w:color w:val="auto"/>
                <w:sz w:val="24"/>
                <w:szCs w:val="24"/>
              </w:rPr>
              <w:t>年正式运行，位于</w:t>
            </w:r>
            <w:r>
              <w:rPr>
                <w:rFonts w:hint="eastAsia" w:ascii="Times New Roman" w:hAnsi="Times New Roman" w:eastAsia="宋体" w:cs="Times New Roman"/>
                <w:color w:val="auto"/>
                <w:sz w:val="24"/>
                <w:szCs w:val="24"/>
              </w:rPr>
              <w:t>甘棠镇平原村</w:t>
            </w:r>
            <w:r>
              <w:rPr>
                <w:rFonts w:hint="default" w:ascii="Times New Roman" w:hAnsi="Times New Roman" w:eastAsia="宋体" w:cs="Times New Roman"/>
                <w:color w:val="auto"/>
                <w:sz w:val="24"/>
                <w:szCs w:val="24"/>
              </w:rPr>
              <w:t>。污污水处理厂建设规模为1.0×10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/d，配套污水管道共18.44km，</w:t>
            </w:r>
            <w:r>
              <w:rPr>
                <w:rFonts w:hint="eastAsia" w:ascii="Times New Roman" w:hAnsi="Times New Roman" w:eastAsia="宋体" w:cs="Times New Roman"/>
                <w:color w:val="auto"/>
                <w:sz w:val="24"/>
                <w:szCs w:val="24"/>
              </w:rPr>
              <w:t>污水处理厂采用“预处理+水解酸化+A2/O生化池＋MBR膜池+接触消毒池”工艺，出水水质达《城镇污水处理厂污染物排放标准》（GB18918-2002）一级A标准。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生活</w:t>
            </w:r>
            <w:r>
              <w:rPr>
                <w:rFonts w:hint="default" w:ascii="Times New Roman" w:hAnsi="Times New Roman" w:eastAsia="宋体" w:cs="Times New Roman"/>
                <w:color w:val="auto"/>
                <w:sz w:val="24"/>
                <w:szCs w:val="24"/>
              </w:rPr>
              <w:t>废水量小，污水水质较为简单，属于</w:t>
            </w:r>
            <w:r>
              <w:rPr>
                <w:rFonts w:hint="eastAsia" w:ascii="Times New Roman" w:hAnsi="Times New Roman" w:eastAsia="宋体" w:cs="Times New Roman"/>
                <w:color w:val="auto"/>
                <w:sz w:val="24"/>
                <w:szCs w:val="24"/>
              </w:rPr>
              <w:t>靖州县工业集中区</w:t>
            </w:r>
            <w:r>
              <w:rPr>
                <w:rFonts w:hint="eastAsia" w:ascii="Times New Roman" w:hAnsi="Times New Roman" w:eastAsia="宋体" w:cs="Times New Roman"/>
                <w:color w:val="auto"/>
                <w:sz w:val="24"/>
                <w:szCs w:val="24"/>
                <w:lang w:eastAsia="zh-CN"/>
              </w:rPr>
              <w:t>甘太</w:t>
            </w:r>
            <w:r>
              <w:rPr>
                <w:rFonts w:hint="eastAsia" w:ascii="Times New Roman" w:hAnsi="Times New Roman" w:eastAsia="宋体" w:cs="Times New Roman"/>
                <w:color w:val="auto"/>
                <w:sz w:val="24"/>
                <w:szCs w:val="24"/>
              </w:rPr>
              <w:t>污水处理厂</w:t>
            </w:r>
            <w:r>
              <w:rPr>
                <w:rFonts w:hint="default" w:ascii="Times New Roman" w:hAnsi="Times New Roman" w:eastAsia="宋体" w:cs="Times New Roman"/>
                <w:color w:val="auto"/>
                <w:sz w:val="24"/>
                <w:szCs w:val="24"/>
              </w:rPr>
              <w:t>纳污范围，配套纳污干管已完善，项目生活废水经化粪池处理后</w:t>
            </w:r>
            <w:r>
              <w:rPr>
                <w:rFonts w:hint="eastAsia" w:ascii="Times New Roman" w:hAnsi="Times New Roman" w:eastAsia="宋体" w:cs="Times New Roman"/>
                <w:color w:val="auto"/>
                <w:sz w:val="24"/>
                <w:szCs w:val="24"/>
                <w:lang w:eastAsia="zh-CN"/>
              </w:rPr>
              <w:t>、拆解车间地面</w:t>
            </w:r>
            <w:r>
              <w:rPr>
                <w:rFonts w:hint="eastAsia" w:ascii="Times New Roman" w:hAnsi="Times New Roman" w:eastAsia="宋体" w:cs="Times New Roman"/>
                <w:color w:val="auto"/>
                <w:sz w:val="24"/>
                <w:szCs w:val="24"/>
                <w:lang w:val="en-US" w:eastAsia="zh-CN"/>
              </w:rPr>
              <w:t>清洁</w:t>
            </w:r>
            <w:r>
              <w:rPr>
                <w:rFonts w:hint="eastAsia" w:ascii="Times New Roman" w:hAnsi="Times New Roman" w:eastAsia="宋体" w:cs="Times New Roman"/>
                <w:color w:val="auto"/>
                <w:sz w:val="24"/>
                <w:szCs w:val="24"/>
                <w:lang w:eastAsia="zh-CN"/>
              </w:rPr>
              <w:t>废水</w:t>
            </w:r>
            <w:r>
              <w:rPr>
                <w:rFonts w:hint="eastAsia" w:ascii="Times New Roman" w:hAnsi="Times New Roman" w:eastAsia="宋体" w:cs="Times New Roman"/>
                <w:color w:val="auto"/>
                <w:sz w:val="24"/>
                <w:szCs w:val="24"/>
                <w:lang w:val="en-US" w:eastAsia="zh-CN"/>
              </w:rPr>
              <w:t>经收集池+气浮处理后</w:t>
            </w:r>
            <w:r>
              <w:rPr>
                <w:rFonts w:hint="default" w:ascii="Times New Roman" w:hAnsi="Times New Roman" w:eastAsia="宋体" w:cs="Times New Roman"/>
                <w:color w:val="auto"/>
                <w:sz w:val="24"/>
                <w:szCs w:val="24"/>
              </w:rPr>
              <w:t>达到</w:t>
            </w:r>
            <w:r>
              <w:rPr>
                <w:rFonts w:hint="eastAsia" w:ascii="Times New Roman" w:hAnsi="Times New Roman" w:eastAsia="宋体" w:cs="Times New Roman"/>
                <w:color w:val="auto"/>
                <w:sz w:val="24"/>
                <w:szCs w:val="24"/>
                <w:lang w:eastAsia="zh-CN"/>
              </w:rPr>
              <w:t>靖州县工业集中区甘太污水处理厂</w:t>
            </w:r>
            <w:r>
              <w:rPr>
                <w:rFonts w:hint="default" w:ascii="Times New Roman" w:hAnsi="Times New Roman" w:eastAsia="宋体" w:cs="Times New Roman"/>
                <w:color w:val="auto"/>
                <w:sz w:val="24"/>
                <w:szCs w:val="24"/>
              </w:rPr>
              <w:t>接管水质标准后排入</w:t>
            </w:r>
            <w:r>
              <w:rPr>
                <w:rFonts w:hint="eastAsia" w:ascii="Times New Roman" w:hAnsi="Times New Roman" w:eastAsia="宋体" w:cs="Times New Roman"/>
                <w:color w:val="auto"/>
                <w:sz w:val="24"/>
                <w:szCs w:val="24"/>
                <w:lang w:eastAsia="zh-CN"/>
              </w:rPr>
              <w:t>园区</w:t>
            </w:r>
            <w:r>
              <w:rPr>
                <w:rFonts w:hint="default" w:ascii="Times New Roman" w:hAnsi="Times New Roman" w:eastAsia="宋体" w:cs="Times New Roman"/>
                <w:color w:val="auto"/>
                <w:sz w:val="24"/>
                <w:szCs w:val="24"/>
              </w:rPr>
              <w:t>污水管网，经</w:t>
            </w:r>
            <w:r>
              <w:rPr>
                <w:rFonts w:hint="eastAsia" w:ascii="Times New Roman" w:hAnsi="Times New Roman" w:eastAsia="宋体" w:cs="Times New Roman"/>
                <w:color w:val="auto"/>
                <w:sz w:val="24"/>
                <w:szCs w:val="24"/>
                <w:lang w:eastAsia="zh-CN"/>
              </w:rPr>
              <w:t>靖州县工业集中区甘太污水处理厂</w:t>
            </w:r>
            <w:r>
              <w:rPr>
                <w:rFonts w:hint="default" w:ascii="Times New Roman" w:hAnsi="Times New Roman" w:eastAsia="宋体" w:cs="Times New Roman"/>
                <w:color w:val="auto"/>
                <w:sz w:val="24"/>
                <w:szCs w:val="24"/>
              </w:rPr>
              <w:t>处理达到《城镇污水处理厂污染物排放标准》中的一级A类标准外排渠水，对渠水水质影响较小。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废水</w:t>
            </w:r>
            <w:r>
              <w:rPr>
                <w:rFonts w:hint="default" w:ascii="Times New Roman" w:hAnsi="Times New Roman" w:eastAsia="宋体" w:cs="Times New Roman"/>
                <w:color w:val="auto"/>
                <w:sz w:val="24"/>
                <w:szCs w:val="24"/>
              </w:rPr>
              <w:t>排放总量约为</w:t>
            </w:r>
            <w:r>
              <w:rPr>
                <w:rFonts w:hint="eastAsia" w:ascii="Times New Roman" w:hAnsi="Times New Roman" w:eastAsia="宋体" w:cs="Times New Roman"/>
                <w:b w:val="0"/>
                <w:bCs w:val="0"/>
                <w:color w:val="auto"/>
                <w:sz w:val="24"/>
                <w:szCs w:val="24"/>
                <w:highlight w:val="none"/>
                <w:u w:val="none"/>
                <w:shd w:val="clear" w:color="auto" w:fill="auto"/>
                <w:lang w:val="en-US" w:eastAsia="zh-CN"/>
              </w:rPr>
              <w:t>3547.6</w:t>
            </w:r>
            <w:r>
              <w:rPr>
                <w:rFonts w:hint="default" w:ascii="Times New Roman" w:hAnsi="Times New Roman" w:eastAsia="宋体" w:cs="Times New Roman"/>
                <w:b w:val="0"/>
                <w:bCs w:val="0"/>
                <w:color w:val="auto"/>
                <w:sz w:val="24"/>
                <w:szCs w:val="24"/>
                <w:highlight w:val="none"/>
                <w:u w:val="none"/>
                <w:shd w:val="clear" w:color="auto" w:fill="auto"/>
                <w:lang w:val="en-US" w:eastAsia="zh-CN"/>
              </w:rPr>
              <w:t>m</w:t>
            </w:r>
            <w:r>
              <w:rPr>
                <w:rFonts w:hint="default" w:ascii="Times New Roman" w:hAnsi="Times New Roman" w:eastAsia="宋体" w:cs="Times New Roman"/>
                <w:b w:val="0"/>
                <w:bCs w:val="0"/>
                <w:color w:val="auto"/>
                <w:sz w:val="24"/>
                <w:szCs w:val="24"/>
                <w:highlight w:val="none"/>
                <w:u w:val="none"/>
                <w:shd w:val="clear" w:color="auto" w:fill="auto"/>
                <w:vertAlign w:val="superscript"/>
                <w:lang w:val="en-US" w:eastAsia="zh-CN"/>
              </w:rPr>
              <w:t>3</w:t>
            </w:r>
            <w:r>
              <w:rPr>
                <w:rFonts w:hint="default" w:ascii="Times New Roman" w:hAnsi="Times New Roman" w:eastAsia="宋体" w:cs="Times New Roman"/>
                <w:b w:val="0"/>
                <w:bCs w:val="0"/>
                <w:color w:val="auto"/>
                <w:sz w:val="24"/>
                <w:szCs w:val="24"/>
                <w:highlight w:val="none"/>
                <w:u w:val="none"/>
                <w:shd w:val="clear" w:color="auto" w:fill="auto"/>
                <w:lang w:val="en-US" w:eastAsia="zh-CN"/>
              </w:rPr>
              <w:t>/a（约</w:t>
            </w:r>
            <w:r>
              <w:rPr>
                <w:rFonts w:hint="eastAsia" w:ascii="Times New Roman" w:hAnsi="Times New Roman" w:eastAsia="宋体" w:cs="Times New Roman"/>
                <w:b w:val="0"/>
                <w:bCs w:val="0"/>
                <w:color w:val="auto"/>
                <w:sz w:val="24"/>
                <w:szCs w:val="24"/>
                <w:highlight w:val="none"/>
                <w:u w:val="none"/>
                <w:shd w:val="clear" w:color="auto" w:fill="auto"/>
                <w:lang w:val="en-US" w:eastAsia="zh-CN"/>
              </w:rPr>
              <w:t>10.75</w:t>
            </w:r>
            <w:r>
              <w:rPr>
                <w:rFonts w:hint="default" w:ascii="Times New Roman" w:hAnsi="Times New Roman" w:eastAsia="宋体" w:cs="Times New Roman"/>
                <w:b w:val="0"/>
                <w:bCs w:val="0"/>
                <w:color w:val="auto"/>
                <w:sz w:val="24"/>
                <w:szCs w:val="24"/>
                <w:highlight w:val="none"/>
                <w:u w:val="none"/>
                <w:shd w:val="clear" w:color="auto" w:fill="auto"/>
                <w:lang w:val="en-US" w:eastAsia="zh-CN"/>
              </w:rPr>
              <w:t>m</w:t>
            </w:r>
            <w:r>
              <w:rPr>
                <w:rFonts w:hint="default" w:ascii="Times New Roman" w:hAnsi="Times New Roman" w:eastAsia="宋体" w:cs="Times New Roman"/>
                <w:b w:val="0"/>
                <w:bCs w:val="0"/>
                <w:color w:val="auto"/>
                <w:sz w:val="24"/>
                <w:szCs w:val="24"/>
                <w:highlight w:val="none"/>
                <w:u w:val="none"/>
                <w:shd w:val="clear" w:color="auto" w:fill="auto"/>
                <w:vertAlign w:val="superscript"/>
                <w:lang w:val="en-US" w:eastAsia="zh-CN"/>
              </w:rPr>
              <w:t>3</w:t>
            </w:r>
            <w:r>
              <w:rPr>
                <w:rFonts w:hint="default" w:ascii="Times New Roman" w:hAnsi="Times New Roman" w:eastAsia="宋体" w:cs="Times New Roman"/>
                <w:b w:val="0"/>
                <w:bCs w:val="0"/>
                <w:color w:val="auto"/>
                <w:sz w:val="24"/>
                <w:szCs w:val="24"/>
                <w:highlight w:val="none"/>
                <w:u w:val="none"/>
                <w:shd w:val="clear" w:color="auto" w:fill="auto"/>
                <w:lang w:val="en-US" w:eastAsia="zh-CN"/>
              </w:rPr>
              <w:t>/d）</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靖州县工业集中区甘太污水处理厂</w:t>
            </w:r>
            <w:r>
              <w:rPr>
                <w:rFonts w:hint="default" w:ascii="Times New Roman" w:hAnsi="Times New Roman" w:eastAsia="宋体" w:cs="Times New Roman"/>
                <w:b w:val="0"/>
                <w:bCs w:val="0"/>
                <w:color w:val="auto"/>
                <w:sz w:val="24"/>
                <w:szCs w:val="24"/>
                <w:highlight w:val="none"/>
                <w:lang w:val="en-US" w:eastAsia="zh-CN"/>
              </w:rPr>
              <w:t>日处理能力</w:t>
            </w:r>
            <w:r>
              <w:rPr>
                <w:rFonts w:hint="eastAsia" w:ascii="Times New Roman" w:hAnsi="Times New Roman" w:eastAsia="宋体" w:cs="Times New Roman"/>
                <w:b w:val="0"/>
                <w:bCs w:val="0"/>
                <w:color w:val="auto"/>
                <w:sz w:val="24"/>
                <w:szCs w:val="24"/>
                <w:highlight w:val="none"/>
                <w:lang w:val="en-US" w:eastAsia="zh-CN"/>
              </w:rPr>
              <w:t>1.0万</w:t>
            </w:r>
            <w:r>
              <w:rPr>
                <w:rFonts w:hint="default" w:ascii="Times New Roman" w:hAnsi="Times New Roman" w:eastAsia="宋体" w:cs="Times New Roman"/>
                <w:b w:val="0"/>
                <w:bCs w:val="0"/>
                <w:color w:val="auto"/>
                <w:sz w:val="24"/>
                <w:szCs w:val="24"/>
                <w:highlight w:val="none"/>
                <w:lang w:val="en-US" w:eastAsia="zh-CN"/>
              </w:rPr>
              <w:t>吨，</w:t>
            </w:r>
            <w:r>
              <w:rPr>
                <w:rFonts w:hint="default" w:ascii="Times New Roman" w:hAnsi="Times New Roman" w:eastAsia="宋体" w:cs="Times New Roman"/>
                <w:color w:val="auto"/>
                <w:sz w:val="24"/>
                <w:szCs w:val="24"/>
              </w:rPr>
              <w:t>占污水厂总处理规模的</w:t>
            </w:r>
            <w:r>
              <w:rPr>
                <w:rFonts w:hint="eastAsia" w:ascii="Times New Roman" w:hAnsi="Times New Roman" w:eastAsia="宋体" w:cs="Times New Roman"/>
                <w:color w:val="auto"/>
                <w:sz w:val="24"/>
                <w:szCs w:val="24"/>
                <w:highlight w:val="none"/>
                <w:u w:val="none"/>
                <w:lang w:val="en-US" w:eastAsia="zh-CN"/>
              </w:rPr>
              <w:t>0.107</w:t>
            </w:r>
            <w:r>
              <w:rPr>
                <w:rFonts w:hint="default"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rPr>
              <w:t>本项目位于</w:t>
            </w:r>
            <w:r>
              <w:rPr>
                <w:rFonts w:hint="eastAsia" w:ascii="Times New Roman" w:hAnsi="Times New Roman" w:eastAsia="宋体" w:cs="Times New Roman"/>
                <w:color w:val="auto"/>
                <w:sz w:val="24"/>
                <w:szCs w:val="24"/>
              </w:rPr>
              <w:t>靖州工业集中区（甘太工业园）内，属于污水厂近期的服务范围。目前园区的配套污水干管已接通，建设单位拟将项目污水支管接入园区污水干管，支管接通后，项目生活污水经化粪池处理后</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初期</w:t>
            </w:r>
            <w:r>
              <w:rPr>
                <w:rFonts w:hint="eastAsia" w:ascii="Times New Roman" w:hAnsi="Times New Roman" w:eastAsia="宋体" w:cs="Times New Roman"/>
                <w:color w:val="auto"/>
                <w:sz w:val="24"/>
                <w:szCs w:val="24"/>
                <w:lang w:eastAsia="zh-CN"/>
              </w:rPr>
              <w:t>雨水</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拆解区地面清洁废水</w:t>
            </w:r>
            <w:r>
              <w:rPr>
                <w:rFonts w:hint="eastAsia" w:ascii="Times New Roman" w:hAnsi="Times New Roman" w:eastAsia="宋体" w:cs="Times New Roman"/>
                <w:color w:val="auto"/>
                <w:sz w:val="24"/>
                <w:szCs w:val="24"/>
                <w:lang w:val="en-US" w:eastAsia="zh-CN"/>
              </w:rPr>
              <w:t>经收集池+隔油池+气浮机处理后</w:t>
            </w:r>
            <w:r>
              <w:rPr>
                <w:rFonts w:hint="eastAsia" w:ascii="Times New Roman" w:hAnsi="Times New Roman" w:eastAsia="宋体" w:cs="Times New Roman"/>
                <w:color w:val="auto"/>
                <w:sz w:val="24"/>
                <w:szCs w:val="24"/>
              </w:rPr>
              <w:t>可经污水管网进入靖州县工业集中区</w:t>
            </w:r>
            <w:r>
              <w:rPr>
                <w:rFonts w:hint="eastAsia" w:ascii="Times New Roman" w:hAnsi="Times New Roman" w:eastAsia="宋体" w:cs="Times New Roman"/>
                <w:color w:val="auto"/>
                <w:sz w:val="24"/>
                <w:szCs w:val="24"/>
                <w:lang w:eastAsia="zh-CN"/>
              </w:rPr>
              <w:t>甘太</w:t>
            </w:r>
            <w:r>
              <w:rPr>
                <w:rFonts w:hint="eastAsia" w:ascii="Times New Roman" w:hAnsi="Times New Roman" w:eastAsia="宋体" w:cs="Times New Roman"/>
                <w:color w:val="auto"/>
                <w:sz w:val="24"/>
                <w:szCs w:val="24"/>
              </w:rPr>
              <w:t>污水处理厂处理达标后外排渠水。</w:t>
            </w:r>
            <w:r>
              <w:rPr>
                <w:rFonts w:hint="default" w:ascii="Times New Roman" w:hAnsi="Times New Roman" w:eastAsia="宋体" w:cs="Times New Roman"/>
                <w:color w:val="auto"/>
                <w:sz w:val="24"/>
                <w:szCs w:val="24"/>
              </w:rPr>
              <w:t>因此，本项目污水接入</w:t>
            </w:r>
            <w:r>
              <w:rPr>
                <w:rFonts w:hint="eastAsia" w:ascii="Times New Roman" w:hAnsi="Times New Roman" w:eastAsia="宋体" w:cs="Times New Roman"/>
                <w:color w:val="auto"/>
                <w:sz w:val="24"/>
                <w:szCs w:val="24"/>
                <w:lang w:eastAsia="zh-CN"/>
              </w:rPr>
              <w:t>靖州县工业集中区甘太污水处理厂</w:t>
            </w:r>
            <w:r>
              <w:rPr>
                <w:rFonts w:hint="default" w:ascii="Times New Roman" w:hAnsi="Times New Roman" w:eastAsia="宋体" w:cs="Times New Roman"/>
                <w:color w:val="auto"/>
                <w:sz w:val="24"/>
                <w:szCs w:val="24"/>
              </w:rPr>
              <w:t>是可行的</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val="0"/>
                <w:color w:val="auto"/>
                <w:sz w:val="21"/>
                <w:szCs w:val="21"/>
                <w:u w:val="none" w:color="auto"/>
                <w:lang w:val="en-US" w:eastAsia="zh-CN"/>
              </w:rPr>
            </w:pPr>
            <w:r>
              <w:rPr>
                <w:rFonts w:hint="eastAsia" w:ascii="Times New Roman" w:hAnsi="Times New Roman" w:eastAsia="宋体" w:cs="Times New Roman"/>
                <w:b/>
                <w:bCs/>
                <w:color w:val="auto"/>
                <w:sz w:val="24"/>
                <w:szCs w:val="24"/>
                <w:u w:val="none" w:color="auto"/>
                <w:lang w:val="en-US" w:eastAsia="zh-CN"/>
              </w:rPr>
              <w:t>2.2产排污节点、污染物及污染治理设施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val="0"/>
                <w:color w:val="auto"/>
                <w:sz w:val="21"/>
                <w:szCs w:val="21"/>
                <w:u w:val="none" w:color="auto"/>
                <w:lang w:val="en-US" w:eastAsia="zh-CN"/>
              </w:rPr>
            </w:pPr>
            <w:r>
              <w:rPr>
                <w:rFonts w:hint="eastAsia" w:ascii="Times New Roman" w:hAnsi="Times New Roman" w:cs="Times New Roman"/>
                <w:b/>
                <w:bCs w:val="0"/>
                <w:color w:val="auto"/>
                <w:sz w:val="21"/>
                <w:szCs w:val="21"/>
                <w:u w:val="none" w:color="auto"/>
                <w:lang w:val="en-US" w:eastAsia="zh-CN"/>
              </w:rPr>
              <w:t>表4-8 废水类别、污染物及污染治理设施信息表</w:t>
            </w:r>
          </w:p>
          <w:tbl>
            <w:tblPr>
              <w:tblStyle w:val="16"/>
              <w:tblW w:w="4936"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6"/>
              <w:gridCol w:w="650"/>
              <w:gridCol w:w="890"/>
              <w:gridCol w:w="556"/>
              <w:gridCol w:w="451"/>
              <w:gridCol w:w="436"/>
              <w:gridCol w:w="436"/>
              <w:gridCol w:w="582"/>
              <w:gridCol w:w="503"/>
              <w:gridCol w:w="369"/>
              <w:gridCol w:w="694"/>
              <w:gridCol w:w="620"/>
              <w:gridCol w:w="437"/>
              <w:gridCol w:w="437"/>
              <w:gridCol w:w="437"/>
              <w:gridCol w:w="4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trPr>
              <w:tc>
                <w:tcPr>
                  <w:tcW w:w="26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型号</w:t>
                  </w:r>
                </w:p>
              </w:tc>
              <w:tc>
                <w:tcPr>
                  <w:tcW w:w="388"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废水类别</w:t>
                  </w:r>
                </w:p>
                <w:p>
                  <w:pPr>
                    <w:pStyle w:val="33"/>
                    <w:rPr>
                      <w:rFonts w:hint="default"/>
                    </w:rPr>
                  </w:pPr>
                </w:p>
              </w:tc>
              <w:tc>
                <w:tcPr>
                  <w:tcW w:w="531"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污染物种</w:t>
                  </w:r>
                </w:p>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类</w:t>
                  </w:r>
                </w:p>
              </w:tc>
              <w:tc>
                <w:tcPr>
                  <w:tcW w:w="1469"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污染防治设施</w:t>
                  </w:r>
                </w:p>
              </w:tc>
              <w:tc>
                <w:tcPr>
                  <w:tcW w:w="30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排放去向</w:t>
                  </w:r>
                </w:p>
              </w:tc>
              <w:tc>
                <w:tcPr>
                  <w:tcW w:w="22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排放方式</w:t>
                  </w:r>
                </w:p>
              </w:tc>
              <w:tc>
                <w:tcPr>
                  <w:tcW w:w="414"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排放规律</w:t>
                  </w:r>
                </w:p>
              </w:tc>
              <w:tc>
                <w:tcPr>
                  <w:tcW w:w="37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排放口编号</w:t>
                  </w:r>
                </w:p>
              </w:tc>
              <w:tc>
                <w:tcPr>
                  <w:tcW w:w="26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排放口名称</w:t>
                  </w:r>
                </w:p>
              </w:tc>
              <w:tc>
                <w:tcPr>
                  <w:tcW w:w="26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排放口设</w:t>
                  </w:r>
                </w:p>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置是否符</w:t>
                  </w:r>
                </w:p>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合要求</w:t>
                  </w:r>
                </w:p>
              </w:tc>
              <w:tc>
                <w:tcPr>
                  <w:tcW w:w="26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排放口类</w:t>
                  </w:r>
                </w:p>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型</w:t>
                  </w:r>
                </w:p>
              </w:tc>
              <w:tc>
                <w:tcPr>
                  <w:tcW w:w="260" w:type="pct"/>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其他信息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73" w:hRule="atLeast"/>
              </w:trPr>
              <w:tc>
                <w:tcPr>
                  <w:tcW w:w="26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388"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531"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3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污染防治设施编号</w:t>
                  </w:r>
                </w:p>
              </w:tc>
              <w:tc>
                <w:tcPr>
                  <w:tcW w:w="2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污染防治设</w:t>
                  </w:r>
                </w:p>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施名称</w:t>
                  </w:r>
                </w:p>
              </w:tc>
              <w:tc>
                <w:tcPr>
                  <w:tcW w:w="2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污染防治设</w:t>
                  </w:r>
                </w:p>
                <w:p>
                  <w:pPr>
                    <w:keepNext w:val="0"/>
                    <w:keepLines w:val="0"/>
                    <w:widowControl/>
                    <w:suppressLineNumbers w:val="0"/>
                    <w:spacing w:line="240" w:lineRule="auto"/>
                    <w:jc w:val="center"/>
                    <w:rPr>
                      <w:rFonts w:hint="default" w:ascii="Times New Roman" w:hAnsi="Times New Roman" w:eastAsia="宋体" w:cs="Times New Roman"/>
                      <w:b/>
                      <w:bCs/>
                      <w:color w:val="auto"/>
                      <w:sz w:val="21"/>
                      <w:szCs w:val="21"/>
                    </w:rPr>
                  </w:pPr>
                  <w:r>
                    <w:rPr>
                      <w:rStyle w:val="38"/>
                      <w:rFonts w:hint="default" w:ascii="Times New Roman" w:hAnsi="Times New Roman" w:eastAsia="宋体" w:cs="Times New Roman"/>
                      <w:b/>
                      <w:bCs/>
                      <w:color w:val="auto"/>
                      <w:sz w:val="21"/>
                      <w:szCs w:val="21"/>
                      <w:lang w:val="en-US" w:eastAsia="zh-CN" w:bidi="ar"/>
                    </w:rPr>
                    <w:t>施工艺</w:t>
                  </w:r>
                </w:p>
              </w:tc>
              <w:tc>
                <w:tcPr>
                  <w:tcW w:w="260" w:type="pct"/>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b/>
                      <w:bCs/>
                      <w:i w:val="0"/>
                      <w:color w:val="auto"/>
                      <w:kern w:val="0"/>
                      <w:sz w:val="21"/>
                      <w:szCs w:val="21"/>
                      <w:lang w:val="en-US" w:eastAsia="zh-CN" w:bidi="ar"/>
                    </w:rPr>
                  </w:pPr>
                  <w:r>
                    <w:rPr>
                      <w:rFonts w:hint="default" w:ascii="Times New Roman" w:hAnsi="Times New Roman" w:eastAsia="宋体" w:cs="Times New Roman"/>
                      <w:b/>
                      <w:bCs/>
                      <w:i w:val="0"/>
                      <w:color w:val="auto"/>
                      <w:kern w:val="0"/>
                      <w:sz w:val="21"/>
                      <w:szCs w:val="21"/>
                      <w:lang w:val="en-US" w:eastAsia="zh-CN" w:bidi="ar"/>
                    </w:rPr>
                    <w:t>是否为可行</w:t>
                  </w:r>
                </w:p>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Fonts w:hint="default" w:ascii="Times New Roman" w:hAnsi="Times New Roman" w:eastAsia="宋体" w:cs="Times New Roman"/>
                      <w:b/>
                      <w:bCs/>
                      <w:i w:val="0"/>
                      <w:color w:val="auto"/>
                      <w:kern w:val="0"/>
                      <w:sz w:val="21"/>
                      <w:szCs w:val="21"/>
                      <w:lang w:val="en-US" w:eastAsia="zh-CN" w:bidi="ar"/>
                    </w:rPr>
                    <w:t>技术</w:t>
                  </w:r>
                </w:p>
              </w:tc>
              <w:tc>
                <w:tcPr>
                  <w:tcW w:w="347" w:type="pct"/>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b/>
                      <w:bCs/>
                      <w:color w:val="auto"/>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污染防治设</w:t>
                  </w:r>
                </w:p>
                <w:p>
                  <w:pPr>
                    <w:keepNext w:val="0"/>
                    <w:keepLines w:val="0"/>
                    <w:widowControl/>
                    <w:suppressLineNumbers w:val="0"/>
                    <w:spacing w:line="240" w:lineRule="auto"/>
                    <w:jc w:val="center"/>
                    <w:rPr>
                      <w:rFonts w:hint="default" w:ascii="Times New Roman" w:hAnsi="Times New Roman" w:eastAsia="宋体" w:cs="Times New Roman"/>
                      <w:b/>
                      <w:bCs/>
                      <w:i w:val="0"/>
                      <w:color w:val="auto"/>
                      <w:kern w:val="0"/>
                      <w:sz w:val="21"/>
                      <w:szCs w:val="21"/>
                      <w:lang w:val="en-US" w:eastAsia="zh-CN" w:bidi="ar"/>
                    </w:rPr>
                  </w:pPr>
                  <w:r>
                    <w:rPr>
                      <w:rStyle w:val="38"/>
                      <w:rFonts w:hint="default" w:ascii="Times New Roman" w:hAnsi="Times New Roman" w:eastAsia="宋体" w:cs="Times New Roman"/>
                      <w:b/>
                      <w:bCs/>
                      <w:color w:val="auto"/>
                      <w:sz w:val="21"/>
                      <w:szCs w:val="21"/>
                      <w:lang w:val="en-US" w:eastAsia="zh-CN" w:bidi="ar"/>
                    </w:rPr>
                    <w:t>施其他信息</w:t>
                  </w:r>
                </w:p>
              </w:tc>
              <w:tc>
                <w:tcPr>
                  <w:tcW w:w="30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22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414"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37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26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26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26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c>
                <w:tcPr>
                  <w:tcW w:w="260" w:type="pct"/>
                  <w:vMerge w:val="continue"/>
                  <w:tcBorders>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r>
                    <w:rPr>
                      <w:rStyle w:val="38"/>
                      <w:rFonts w:hint="default" w:ascii="Times New Roman" w:hAnsi="Times New Roman" w:eastAsia="宋体" w:cs="Times New Roman"/>
                      <w:color w:val="auto"/>
                      <w:sz w:val="21"/>
                      <w:szCs w:val="21"/>
                      <w:lang w:val="en-US" w:eastAsia="zh-CN" w:bidi="ar"/>
                    </w:rPr>
                    <w:t>1</w:t>
                  </w:r>
                </w:p>
              </w:tc>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生活污水</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动植物油</w:t>
                  </w:r>
                </w:p>
              </w:tc>
              <w:tc>
                <w:tcPr>
                  <w:tcW w:w="33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269"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化粪池</w:t>
                  </w:r>
                </w:p>
              </w:tc>
              <w:tc>
                <w:tcPr>
                  <w:tcW w:w="260"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厌氧发酵</w:t>
                  </w:r>
                </w:p>
              </w:tc>
              <w:tc>
                <w:tcPr>
                  <w:tcW w:w="260"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347" w:type="pct"/>
                  <w:noWrap w:val="0"/>
                  <w:vAlign w:val="center"/>
                </w:tcPr>
                <w:p>
                  <w:pPr>
                    <w:spacing w:line="240" w:lineRule="auto"/>
                    <w:jc w:val="center"/>
                    <w:rPr>
                      <w:rFonts w:hint="default" w:ascii="Times New Roman" w:hAnsi="Times New Roman" w:eastAsia="宋体" w:cs="Times New Roman"/>
                      <w:color w:val="auto"/>
                      <w:sz w:val="21"/>
                      <w:szCs w:val="21"/>
                    </w:rPr>
                  </w:pPr>
                </w:p>
              </w:tc>
              <w:tc>
                <w:tcPr>
                  <w:tcW w:w="300" w:type="pct"/>
                  <w:vMerge w:val="restart"/>
                  <w:noWrap w:val="0"/>
                  <w:vAlign w:val="center"/>
                </w:tcPr>
                <w:p>
                  <w:pPr>
                    <w:spacing w:line="240" w:lineRule="auto"/>
                    <w:jc w:val="center"/>
                    <w:rPr>
                      <w:rFonts w:hint="eastAsia" w:ascii="Times New Roman" w:hAnsi="Times New Roman" w:eastAsia="宋体" w:cs="Times New Roman"/>
                      <w:b w:val="0"/>
                      <w:bCs w:val="0"/>
                      <w:color w:val="auto"/>
                      <w:sz w:val="21"/>
                      <w:szCs w:val="21"/>
                      <w:u w:val="none"/>
                      <w:shd w:val="clear" w:color="auto" w:fill="auto"/>
                      <w:lang w:val="en-US" w:eastAsia="zh-CN"/>
                    </w:rPr>
                  </w:pPr>
                  <w:r>
                    <w:rPr>
                      <w:rFonts w:hint="eastAsia" w:ascii="Times New Roman" w:hAnsi="Times New Roman" w:eastAsia="宋体" w:cs="Times New Roman"/>
                      <w:b w:val="0"/>
                      <w:bCs w:val="0"/>
                      <w:color w:val="auto"/>
                      <w:sz w:val="21"/>
                      <w:szCs w:val="21"/>
                      <w:u w:val="none"/>
                      <w:shd w:val="clear" w:color="auto" w:fill="auto"/>
                      <w:lang w:val="en-US" w:eastAsia="zh-CN"/>
                    </w:rPr>
                    <w:t>靖州县工业集中区</w:t>
                  </w:r>
                </w:p>
                <w:p>
                  <w:pPr>
                    <w:spacing w:line="240" w:lineRule="auto"/>
                    <w:jc w:val="center"/>
                    <w:rPr>
                      <w:rFonts w:hint="eastAsia" w:ascii="Times New Roman" w:hAnsi="Times New Roman" w:eastAsia="宋体" w:cs="Times New Roman"/>
                      <w:b w:val="0"/>
                      <w:bCs w:val="0"/>
                      <w:color w:val="auto"/>
                      <w:sz w:val="21"/>
                      <w:szCs w:val="21"/>
                      <w:u w:val="none"/>
                      <w:shd w:val="clear" w:color="auto" w:fill="auto"/>
                      <w:lang w:val="en-US" w:eastAsia="zh-CN"/>
                    </w:rPr>
                  </w:pPr>
                  <w:r>
                    <w:rPr>
                      <w:rFonts w:hint="eastAsia" w:ascii="Times New Roman" w:hAnsi="Times New Roman" w:eastAsia="宋体" w:cs="Times New Roman"/>
                      <w:b w:val="0"/>
                      <w:bCs w:val="0"/>
                      <w:color w:val="auto"/>
                      <w:sz w:val="21"/>
                      <w:szCs w:val="21"/>
                      <w:u w:val="none"/>
                      <w:shd w:val="clear" w:color="auto" w:fill="auto"/>
                      <w:lang w:val="en-US" w:eastAsia="zh-CN"/>
                    </w:rPr>
                    <w:t>甘太</w:t>
                  </w:r>
                </w:p>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auto"/>
                      <w:sz w:val="21"/>
                      <w:szCs w:val="21"/>
                      <w:u w:val="none"/>
                      <w:shd w:val="clear" w:color="auto" w:fill="auto"/>
                      <w:lang w:val="en-US" w:eastAsia="zh-CN"/>
                    </w:rPr>
                    <w:t>污水处理厂</w:t>
                  </w:r>
                </w:p>
              </w:tc>
              <w:tc>
                <w:tcPr>
                  <w:tcW w:w="220" w:type="pct"/>
                  <w:vMerge w:val="restar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间接排放</w:t>
                  </w:r>
                </w:p>
              </w:tc>
              <w:tc>
                <w:tcPr>
                  <w:tcW w:w="414" w:type="pct"/>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i w:val="0"/>
                      <w:color w:val="auto"/>
                      <w:sz w:val="21"/>
                      <w:szCs w:val="21"/>
                    </w:rPr>
                    <w:t>间断排放，排放期间流量不稳定，但有规律，且不属于非周期性规律</w:t>
                  </w:r>
                </w:p>
              </w:tc>
              <w:tc>
                <w:tcPr>
                  <w:tcW w:w="370" w:type="pct"/>
                  <w:vMerge w:val="restar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260" w:type="pct"/>
                  <w:vMerge w:val="restar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w:t>
                  </w:r>
                </w:p>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lang w:eastAsia="zh-CN"/>
                    </w:rPr>
                    <w:t>排放口</w:t>
                  </w:r>
                </w:p>
              </w:tc>
              <w:tc>
                <w:tcPr>
                  <w:tcW w:w="260" w:type="pct"/>
                  <w:vMerge w:val="restar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260" w:type="pct"/>
                  <w:vMerge w:val="restar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一般排放口</w:t>
                  </w:r>
                </w:p>
              </w:tc>
              <w:tc>
                <w:tcPr>
                  <w:tcW w:w="260" w:type="pct"/>
                  <w:noWrap w:val="0"/>
                  <w:vAlign w:val="center"/>
                </w:tcPr>
                <w:p>
                  <w:pPr>
                    <w:spacing w:line="240" w:lineRule="auto"/>
                    <w:jc w:val="center"/>
                    <w:rPr>
                      <w:rFonts w:hint="default" w:ascii="Times New Roman" w:hAnsi="Times New Roman" w:eastAsia="宋体" w:cs="Times New Roman"/>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2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Style w:val="38"/>
                      <w:rFonts w:hint="default" w:ascii="Times New Roman" w:hAnsi="Times New Roman" w:eastAsia="宋体" w:cs="Times New Roman"/>
                      <w:color w:val="auto"/>
                      <w:sz w:val="21"/>
                      <w:szCs w:val="21"/>
                      <w:lang w:val="en-US" w:eastAsia="zh-CN" w:bidi="ar"/>
                    </w:rPr>
                  </w:pPr>
                  <w:r>
                    <w:rPr>
                      <w:rStyle w:val="38"/>
                      <w:rFonts w:hint="eastAsia" w:ascii="Times New Roman" w:hAnsi="Times New Roman" w:eastAsia="宋体" w:cs="Times New Roman"/>
                      <w:color w:val="auto"/>
                      <w:sz w:val="21"/>
                      <w:szCs w:val="21"/>
                      <w:lang w:val="en-US" w:eastAsia="zh-CN" w:bidi="ar"/>
                    </w:rPr>
                    <w:t>2</w:t>
                  </w:r>
                </w:p>
              </w:tc>
              <w:tc>
                <w:tcPr>
                  <w:tcW w:w="38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Fonts w:hint="eastAsia" w:ascii="Times New Roman" w:hAnsi="Times New Roman" w:eastAsia="宋体" w:cs="Times New Roman"/>
                      <w:color w:val="auto"/>
                      <w:sz w:val="21"/>
                      <w:szCs w:val="21"/>
                      <w:lang w:val="en-US" w:eastAsia="zh-CN"/>
                    </w:rPr>
                  </w:pPr>
                  <w:r>
                    <w:rPr>
                      <w:rFonts w:hint="eastAsia"/>
                      <w:bCs/>
                      <w:szCs w:val="21"/>
                      <w:u w:val="none"/>
                    </w:rPr>
                    <w:t>拆解</w:t>
                  </w:r>
                  <w:r>
                    <w:rPr>
                      <w:rFonts w:hint="eastAsia"/>
                      <w:bCs/>
                      <w:szCs w:val="21"/>
                      <w:u w:val="none"/>
                      <w:lang w:eastAsia="zh-CN"/>
                    </w:rPr>
                    <w:t>区</w:t>
                  </w:r>
                  <w:r>
                    <w:rPr>
                      <w:rFonts w:hint="eastAsia"/>
                      <w:bCs/>
                      <w:szCs w:val="21"/>
                      <w:u w:val="none"/>
                    </w:rPr>
                    <w:t>地面</w:t>
                  </w:r>
                  <w:r>
                    <w:rPr>
                      <w:rFonts w:hint="eastAsia"/>
                      <w:bCs/>
                      <w:szCs w:val="21"/>
                      <w:u w:val="none"/>
                      <w:lang w:val="en-US" w:eastAsia="zh-CN"/>
                    </w:rPr>
                    <w:t>清洁</w:t>
                  </w:r>
                  <w:r>
                    <w:rPr>
                      <w:rFonts w:hint="eastAsia"/>
                      <w:bCs/>
                      <w:szCs w:val="21"/>
                      <w:u w:val="none"/>
                    </w:rPr>
                    <w:t>废水</w:t>
                  </w:r>
                  <w:r>
                    <w:rPr>
                      <w:rFonts w:hint="eastAsia"/>
                      <w:bCs/>
                      <w:szCs w:val="21"/>
                      <w:u w:val="none"/>
                      <w:lang w:val="en-US" w:eastAsia="zh-CN"/>
                    </w:rPr>
                    <w:t>+初期雨水</w:t>
                  </w:r>
                </w:p>
              </w:tc>
              <w:tc>
                <w:tcPr>
                  <w:tcW w:w="53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COD、SS、石油类</w:t>
                  </w:r>
                </w:p>
              </w:tc>
              <w:tc>
                <w:tcPr>
                  <w:tcW w:w="331"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w:t>
                  </w:r>
                </w:p>
                <w:p>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00</w:t>
                  </w:r>
                  <w:r>
                    <w:rPr>
                      <w:rFonts w:hint="eastAsia" w:ascii="Times New Roman" w:hAnsi="Times New Roman" w:eastAsia="宋体" w:cs="Times New Roman"/>
                      <w:color w:val="auto"/>
                      <w:sz w:val="21"/>
                      <w:szCs w:val="21"/>
                      <w:lang w:val="en-US" w:eastAsia="zh-CN"/>
                    </w:rPr>
                    <w:t>2</w:t>
                  </w:r>
                </w:p>
              </w:tc>
              <w:tc>
                <w:tcPr>
                  <w:tcW w:w="269" w:type="pct"/>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隔油池+气浮机</w:t>
                  </w:r>
                </w:p>
              </w:tc>
              <w:tc>
                <w:tcPr>
                  <w:tcW w:w="260" w:type="pct"/>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隔油池+气浮机</w:t>
                  </w:r>
                </w:p>
              </w:tc>
              <w:tc>
                <w:tcPr>
                  <w:tcW w:w="260" w:type="pct"/>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是</w:t>
                  </w:r>
                </w:p>
              </w:tc>
              <w:tc>
                <w:tcPr>
                  <w:tcW w:w="347" w:type="pct"/>
                  <w:noWrap w:val="0"/>
                  <w:vAlign w:val="center"/>
                </w:tcPr>
                <w:p>
                  <w:pPr>
                    <w:spacing w:line="240" w:lineRule="auto"/>
                    <w:jc w:val="center"/>
                    <w:rPr>
                      <w:rFonts w:hint="default" w:ascii="Times New Roman" w:hAnsi="Times New Roman" w:eastAsia="宋体" w:cs="Times New Roman"/>
                      <w:color w:val="auto"/>
                      <w:sz w:val="21"/>
                      <w:szCs w:val="21"/>
                    </w:rPr>
                  </w:pPr>
                </w:p>
              </w:tc>
              <w:tc>
                <w:tcPr>
                  <w:tcW w:w="300" w:type="pct"/>
                  <w:vMerge w:val="continue"/>
                  <w:noWrap w:val="0"/>
                  <w:vAlign w:val="center"/>
                </w:tcPr>
                <w:p>
                  <w:pPr>
                    <w:spacing w:line="240" w:lineRule="auto"/>
                    <w:jc w:val="center"/>
                    <w:rPr>
                      <w:rFonts w:hint="eastAsia" w:ascii="Times New Roman" w:hAnsi="Times New Roman" w:eastAsia="宋体" w:cs="Times New Roman"/>
                      <w:b w:val="0"/>
                      <w:bCs w:val="0"/>
                      <w:color w:val="auto"/>
                      <w:sz w:val="21"/>
                      <w:szCs w:val="21"/>
                      <w:u w:val="none"/>
                      <w:shd w:val="clear" w:color="auto" w:fill="auto"/>
                      <w:lang w:val="en-US" w:eastAsia="zh-CN"/>
                    </w:rPr>
                  </w:pPr>
                </w:p>
              </w:tc>
              <w:tc>
                <w:tcPr>
                  <w:tcW w:w="220" w:type="pct"/>
                  <w:vMerge w:val="continue"/>
                  <w:noWrap w:val="0"/>
                  <w:vAlign w:val="center"/>
                </w:tcPr>
                <w:p>
                  <w:pPr>
                    <w:spacing w:line="240" w:lineRule="auto"/>
                    <w:jc w:val="center"/>
                    <w:rPr>
                      <w:rFonts w:hint="default" w:ascii="Times New Roman" w:hAnsi="Times New Roman" w:eastAsia="宋体" w:cs="Times New Roman"/>
                      <w:color w:val="auto"/>
                      <w:sz w:val="21"/>
                      <w:szCs w:val="21"/>
                      <w:lang w:eastAsia="zh-CN"/>
                    </w:rPr>
                  </w:pPr>
                </w:p>
              </w:tc>
              <w:tc>
                <w:tcPr>
                  <w:tcW w:w="414" w:type="pct"/>
                  <w:vMerge w:val="continue"/>
                  <w:noWrap w:val="0"/>
                  <w:vAlign w:val="center"/>
                </w:tcPr>
                <w:p>
                  <w:pPr>
                    <w:spacing w:line="240" w:lineRule="auto"/>
                    <w:jc w:val="center"/>
                    <w:rPr>
                      <w:rFonts w:hint="default" w:ascii="Times New Roman" w:hAnsi="Times New Roman" w:eastAsia="宋体" w:cs="Times New Roman"/>
                      <w:b w:val="0"/>
                      <w:i w:val="0"/>
                      <w:color w:val="auto"/>
                      <w:sz w:val="21"/>
                      <w:szCs w:val="21"/>
                    </w:rPr>
                  </w:pPr>
                </w:p>
              </w:tc>
              <w:tc>
                <w:tcPr>
                  <w:tcW w:w="370" w:type="pct"/>
                  <w:vMerge w:val="continue"/>
                  <w:noWrap w:val="0"/>
                  <w:vAlign w:val="center"/>
                </w:tcPr>
                <w:p>
                  <w:pPr>
                    <w:spacing w:line="240" w:lineRule="auto"/>
                    <w:jc w:val="center"/>
                    <w:rPr>
                      <w:rFonts w:hint="default" w:ascii="Times New Roman" w:hAnsi="Times New Roman" w:eastAsia="宋体" w:cs="Times New Roman"/>
                      <w:color w:val="auto"/>
                      <w:sz w:val="21"/>
                      <w:szCs w:val="21"/>
                    </w:rPr>
                  </w:pPr>
                </w:p>
              </w:tc>
              <w:tc>
                <w:tcPr>
                  <w:tcW w:w="260" w:type="pct"/>
                  <w:vMerge w:val="continue"/>
                  <w:noWrap w:val="0"/>
                  <w:vAlign w:val="center"/>
                </w:tcPr>
                <w:p>
                  <w:pPr>
                    <w:spacing w:line="240" w:lineRule="auto"/>
                    <w:jc w:val="center"/>
                    <w:rPr>
                      <w:rFonts w:hint="default" w:ascii="Times New Roman" w:hAnsi="Times New Roman" w:eastAsia="宋体" w:cs="Times New Roman"/>
                      <w:color w:val="auto"/>
                      <w:sz w:val="21"/>
                      <w:szCs w:val="21"/>
                      <w:lang w:eastAsia="zh-CN"/>
                    </w:rPr>
                  </w:pPr>
                </w:p>
              </w:tc>
              <w:tc>
                <w:tcPr>
                  <w:tcW w:w="260" w:type="pct"/>
                  <w:vMerge w:val="continue"/>
                  <w:noWrap w:val="0"/>
                  <w:vAlign w:val="center"/>
                </w:tcPr>
                <w:p>
                  <w:pPr>
                    <w:spacing w:line="240" w:lineRule="auto"/>
                    <w:jc w:val="center"/>
                    <w:rPr>
                      <w:rFonts w:hint="default" w:ascii="Times New Roman" w:hAnsi="Times New Roman" w:eastAsia="宋体" w:cs="Times New Roman"/>
                      <w:color w:val="auto"/>
                      <w:sz w:val="21"/>
                      <w:szCs w:val="21"/>
                      <w:lang w:eastAsia="zh-CN"/>
                    </w:rPr>
                  </w:pPr>
                </w:p>
              </w:tc>
              <w:tc>
                <w:tcPr>
                  <w:tcW w:w="260" w:type="pct"/>
                  <w:vMerge w:val="continue"/>
                  <w:noWrap w:val="0"/>
                  <w:vAlign w:val="center"/>
                </w:tcPr>
                <w:p>
                  <w:pPr>
                    <w:spacing w:line="240" w:lineRule="auto"/>
                    <w:jc w:val="center"/>
                    <w:rPr>
                      <w:rFonts w:hint="default" w:ascii="Times New Roman" w:hAnsi="Times New Roman" w:eastAsia="宋体" w:cs="Times New Roman"/>
                      <w:color w:val="auto"/>
                      <w:sz w:val="21"/>
                      <w:szCs w:val="21"/>
                      <w:lang w:eastAsia="zh-CN"/>
                    </w:rPr>
                  </w:pPr>
                </w:p>
              </w:tc>
              <w:tc>
                <w:tcPr>
                  <w:tcW w:w="260" w:type="pct"/>
                  <w:noWrap w:val="0"/>
                  <w:vAlign w:val="center"/>
                </w:tcPr>
                <w:p>
                  <w:pPr>
                    <w:spacing w:line="240" w:lineRule="auto"/>
                    <w:jc w:val="center"/>
                    <w:rPr>
                      <w:rFonts w:hint="default" w:ascii="Times New Roman" w:hAnsi="Times New Roman" w:eastAsia="宋体" w:cs="Times New Roman"/>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color w:val="auto"/>
                <w:sz w:val="21"/>
                <w:szCs w:val="21"/>
                <w:u w:val="none" w:color="auto"/>
                <w:lang w:val="en-US" w:eastAsia="zh-CN"/>
              </w:rPr>
            </w:pPr>
            <w:r>
              <w:rPr>
                <w:rFonts w:hint="eastAsia"/>
                <w:b/>
                <w:color w:val="auto"/>
                <w:sz w:val="24"/>
                <w:szCs w:val="24"/>
                <w:lang w:val="en-US" w:eastAsia="zh-CN"/>
              </w:rPr>
              <w:t>2.3废水</w:t>
            </w:r>
            <w:r>
              <w:rPr>
                <w:b/>
                <w:color w:val="auto"/>
                <w:sz w:val="24"/>
                <w:szCs w:val="24"/>
              </w:rPr>
              <w:t>排放口基本情况</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sz w:val="21"/>
                <w:szCs w:val="21"/>
                <w:u w:val="none" w:color="auto"/>
                <w:lang w:val="en-US" w:eastAsia="zh-CN"/>
              </w:rPr>
            </w:pPr>
            <w:r>
              <w:rPr>
                <w:rFonts w:hint="eastAsia" w:ascii="Times New Roman" w:hAnsi="Times New Roman" w:eastAsia="宋体" w:cs="Times New Roman"/>
                <w:b/>
                <w:bCs w:val="0"/>
                <w:color w:val="auto"/>
                <w:sz w:val="21"/>
                <w:szCs w:val="21"/>
                <w:u w:val="none" w:color="auto"/>
                <w:lang w:val="en-US" w:eastAsia="zh-CN"/>
              </w:rPr>
              <w:t>表4-9 废水间接排放口基本情况表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542"/>
              <w:gridCol w:w="701"/>
              <w:gridCol w:w="905"/>
              <w:gridCol w:w="830"/>
              <w:gridCol w:w="655"/>
              <w:gridCol w:w="1054"/>
              <w:gridCol w:w="718"/>
              <w:gridCol w:w="876"/>
              <w:gridCol w:w="1071"/>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序号</w:t>
                  </w:r>
                </w:p>
              </w:tc>
              <w:tc>
                <w:tcPr>
                  <w:tcW w:w="319"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排放口编号</w:t>
                  </w:r>
                </w:p>
              </w:tc>
              <w:tc>
                <w:tcPr>
                  <w:tcW w:w="946"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排放口地理坐标</w:t>
                  </w:r>
                </w:p>
              </w:tc>
              <w:tc>
                <w:tcPr>
                  <w:tcW w:w="489"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废水排放量/（万t/a）</w:t>
                  </w:r>
                </w:p>
              </w:tc>
              <w:tc>
                <w:tcPr>
                  <w:tcW w:w="386"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排放去向</w:t>
                  </w:r>
                </w:p>
              </w:tc>
              <w:tc>
                <w:tcPr>
                  <w:tcW w:w="621"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排放规律</w:t>
                  </w:r>
                </w:p>
              </w:tc>
              <w:tc>
                <w:tcPr>
                  <w:tcW w:w="1570" w:type="pct"/>
                  <w:gridSpan w:val="3"/>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受纳污水处理厂信息</w:t>
                  </w:r>
                </w:p>
              </w:tc>
              <w:tc>
                <w:tcPr>
                  <w:tcW w:w="425" w:type="pct"/>
                  <w:vMerge w:val="restart"/>
                  <w:tcBorders>
                    <w:top w:val="single" w:color="auto" w:sz="4" w:space="0"/>
                    <w:left w:val="single" w:color="auto" w:sz="4" w:space="0"/>
                    <w:right w:val="single" w:color="auto" w:sz="4" w:space="0"/>
                  </w:tcBorders>
                  <w:noWrap w:val="0"/>
                  <w:vAlign w:val="center"/>
                </w:tcPr>
                <w:p>
                  <w:pPr>
                    <w:jc w:val="center"/>
                    <w:rPr>
                      <w:rFonts w:hint="default" w:eastAsia="宋体"/>
                      <w:color w:val="auto"/>
                      <w:sz w:val="21"/>
                      <w:szCs w:val="21"/>
                      <w:lang w:val="en-US" w:eastAsia="zh-CN"/>
                    </w:rPr>
                  </w:pPr>
                  <w:r>
                    <w:rPr>
                      <w:rFonts w:hint="eastAsia"/>
                      <w:color w:val="auto"/>
                      <w:sz w:val="21"/>
                      <w:szCs w:val="21"/>
                      <w:lang w:val="en-US" w:eastAsia="zh-CN"/>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240"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p>
              </w:tc>
              <w:tc>
                <w:tcPr>
                  <w:tcW w:w="31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p>
              </w:tc>
              <w:tc>
                <w:tcPr>
                  <w:tcW w:w="413"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纬度</w:t>
                  </w:r>
                </w:p>
              </w:tc>
              <w:tc>
                <w:tcPr>
                  <w:tcW w:w="532"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经度</w:t>
                  </w:r>
                </w:p>
              </w:tc>
              <w:tc>
                <w:tcPr>
                  <w:tcW w:w="48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p>
              </w:tc>
              <w:tc>
                <w:tcPr>
                  <w:tcW w:w="38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p>
              </w:tc>
              <w:tc>
                <w:tcPr>
                  <w:tcW w:w="621"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p>
              </w:tc>
              <w:tc>
                <w:tcPr>
                  <w:tcW w:w="423"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名称</w:t>
                  </w:r>
                </w:p>
              </w:tc>
              <w:tc>
                <w:tcPr>
                  <w:tcW w:w="516" w:type="pct"/>
                  <w:tcBorders>
                    <w:top w:val="single" w:color="auto" w:sz="4" w:space="0"/>
                    <w:left w:val="single" w:color="auto" w:sz="4" w:space="0"/>
                    <w:bottom w:val="single" w:color="auto" w:sz="4" w:space="0"/>
                    <w:right w:val="single" w:color="auto" w:sz="4" w:space="0"/>
                  </w:tcBorders>
                  <w:noWrap w:val="0"/>
                  <w:vAlign w:val="center"/>
                </w:tcPr>
                <w:p>
                  <w:pPr>
                    <w:jc w:val="center"/>
                    <w:rPr>
                      <w:color w:val="auto"/>
                      <w:sz w:val="21"/>
                      <w:szCs w:val="21"/>
                    </w:rPr>
                  </w:pPr>
                  <w:r>
                    <w:rPr>
                      <w:color w:val="auto"/>
                      <w:sz w:val="21"/>
                      <w:szCs w:val="21"/>
                    </w:rPr>
                    <w:t>污染物种类</w:t>
                  </w:r>
                </w:p>
              </w:tc>
              <w:tc>
                <w:tcPr>
                  <w:tcW w:w="630" w:type="pct"/>
                  <w:tcBorders>
                    <w:top w:val="single" w:color="auto" w:sz="4" w:space="0"/>
                    <w:left w:val="single" w:color="auto" w:sz="4" w:space="0"/>
                    <w:bottom w:val="single" w:color="auto" w:sz="4" w:space="0"/>
                    <w:right w:val="single" w:color="auto" w:sz="4" w:space="0"/>
                  </w:tcBorders>
                  <w:noWrap w:val="0"/>
                  <w:vAlign w:val="center"/>
                </w:tcPr>
                <w:p>
                  <w:pPr>
                    <w:rPr>
                      <w:color w:val="auto"/>
                      <w:sz w:val="21"/>
                      <w:szCs w:val="21"/>
                    </w:rPr>
                  </w:pPr>
                  <w:r>
                    <w:rPr>
                      <w:color w:val="auto"/>
                      <w:sz w:val="21"/>
                      <w:szCs w:val="21"/>
                    </w:rPr>
                    <w:t>国家或地方污染物排放标准浓度限值/（mg/L）</w:t>
                  </w:r>
                </w:p>
              </w:tc>
              <w:tc>
                <w:tcPr>
                  <w:tcW w:w="425" w:type="pct"/>
                  <w:vMerge w:val="continue"/>
                  <w:tcBorders>
                    <w:left w:val="single" w:color="auto" w:sz="4" w:space="0"/>
                    <w:bottom w:val="single" w:color="auto" w:sz="4" w:space="0"/>
                    <w:right w:val="single" w:color="auto" w:sz="4" w:space="0"/>
                  </w:tcBorders>
                  <w:noWrap w:val="0"/>
                  <w:vAlign w:val="center"/>
                </w:tcPr>
                <w:p>
                  <w:pP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40" w:type="pct"/>
                  <w:vMerge w:val="restart"/>
                  <w:tcBorders>
                    <w:top w:val="single" w:color="auto" w:sz="4" w:space="0"/>
                    <w:left w:val="single" w:color="auto" w:sz="4" w:space="0"/>
                    <w:right w:val="single" w:color="auto" w:sz="4" w:space="0"/>
                  </w:tcBorders>
                  <w:noWrap w:val="0"/>
                  <w:vAlign w:val="center"/>
                </w:tcPr>
                <w:p>
                  <w:pPr>
                    <w:jc w:val="center"/>
                    <w:rPr>
                      <w:color w:val="auto"/>
                      <w:sz w:val="21"/>
                      <w:szCs w:val="21"/>
                    </w:rPr>
                  </w:pPr>
                  <w:r>
                    <w:rPr>
                      <w:color w:val="auto"/>
                      <w:sz w:val="21"/>
                      <w:szCs w:val="21"/>
                    </w:rPr>
                    <w:t>1</w:t>
                  </w:r>
                </w:p>
              </w:tc>
              <w:tc>
                <w:tcPr>
                  <w:tcW w:w="319"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w:t>
                  </w:r>
                </w:p>
                <w:p>
                  <w:pPr>
                    <w:jc w:val="center"/>
                    <w:rPr>
                      <w:rFonts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413" w:type="pct"/>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北纬</w:t>
                  </w:r>
                </w:p>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26.705941929</w:t>
                  </w:r>
                </w:p>
              </w:tc>
              <w:tc>
                <w:tcPr>
                  <w:tcW w:w="532" w:type="pct"/>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东经</w:t>
                  </w:r>
                  <w:r>
                    <w:rPr>
                      <w:rFonts w:hint="eastAsia" w:ascii="Times New Roman" w:hAnsi="Times New Roman" w:eastAsia="宋体" w:cs="Times New Roman"/>
                      <w:color w:val="auto"/>
                      <w:sz w:val="21"/>
                      <w:szCs w:val="21"/>
                    </w:rPr>
                    <w:t>109.708493002</w:t>
                  </w:r>
                </w:p>
              </w:tc>
              <w:tc>
                <w:tcPr>
                  <w:tcW w:w="489"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F79646"/>
                      <w:sz w:val="21"/>
                      <w:szCs w:val="21"/>
                      <w:lang w:val="en-US" w:eastAsia="zh-CN"/>
                    </w:rPr>
                  </w:pPr>
                  <w:r>
                    <w:rPr>
                      <w:rFonts w:hint="eastAsia" w:ascii="Times New Roman" w:hAnsi="Times New Roman" w:eastAsia="宋体" w:cs="Times New Roman"/>
                      <w:color w:val="auto"/>
                      <w:sz w:val="21"/>
                      <w:szCs w:val="21"/>
                      <w:u w:val="none"/>
                      <w:lang w:val="en-US" w:eastAsia="zh-CN"/>
                    </w:rPr>
                    <w:t>0.35476</w:t>
                  </w:r>
                </w:p>
              </w:tc>
              <w:tc>
                <w:tcPr>
                  <w:tcW w:w="386" w:type="pct"/>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进入城市污水处理厂</w:t>
                  </w:r>
                </w:p>
              </w:tc>
              <w:tc>
                <w:tcPr>
                  <w:tcW w:w="621" w:type="pct"/>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间断排放，排放期间流量不稳定且无规律，但不属于冲击型排放</w:t>
                  </w:r>
                </w:p>
              </w:tc>
              <w:tc>
                <w:tcPr>
                  <w:tcW w:w="423" w:type="pct"/>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靖州县工业集中区甘太污水处理厂</w:t>
                  </w:r>
                </w:p>
              </w:tc>
              <w:tc>
                <w:tcPr>
                  <w:tcW w:w="51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textAlignment w:val="baseline"/>
                    <w:rPr>
                      <w:color w:val="auto"/>
                      <w:kern w:val="0"/>
                      <w:sz w:val="21"/>
                      <w:szCs w:val="21"/>
                    </w:rPr>
                  </w:pPr>
                  <w:r>
                    <w:rPr>
                      <w:color w:val="auto"/>
                      <w:sz w:val="21"/>
                      <w:szCs w:val="21"/>
                    </w:rPr>
                    <w:t>COD</w:t>
                  </w:r>
                </w:p>
              </w:tc>
              <w:tc>
                <w:tcPr>
                  <w:tcW w:w="630"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50</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40" w:type="pct"/>
                  <w:vMerge w:val="continue"/>
                  <w:tcBorders>
                    <w:left w:val="single" w:color="auto" w:sz="4" w:space="0"/>
                    <w:right w:val="single" w:color="auto" w:sz="4" w:space="0"/>
                  </w:tcBorders>
                  <w:noWrap w:val="0"/>
                  <w:vAlign w:val="center"/>
                </w:tcPr>
                <w:p>
                  <w:pPr>
                    <w:jc w:val="center"/>
                    <w:rPr>
                      <w:color w:val="auto"/>
                      <w:sz w:val="21"/>
                      <w:szCs w:val="21"/>
                    </w:rPr>
                  </w:pPr>
                </w:p>
              </w:tc>
              <w:tc>
                <w:tcPr>
                  <w:tcW w:w="31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413"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rPr>
                  </w:pPr>
                </w:p>
              </w:tc>
              <w:tc>
                <w:tcPr>
                  <w:tcW w:w="532"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lang w:eastAsia="zh-CN"/>
                    </w:rPr>
                  </w:pPr>
                </w:p>
              </w:tc>
              <w:tc>
                <w:tcPr>
                  <w:tcW w:w="489"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b w:val="0"/>
                      <w:bCs w:val="0"/>
                      <w:color w:val="auto"/>
                      <w:sz w:val="21"/>
                      <w:szCs w:val="21"/>
                      <w:highlight w:val="none"/>
                      <w:u w:val="none"/>
                      <w:shd w:val="clear" w:color="auto" w:fill="auto"/>
                      <w:lang w:val="en-US" w:eastAsia="zh-CN"/>
                    </w:rPr>
                  </w:pPr>
                </w:p>
              </w:tc>
              <w:tc>
                <w:tcPr>
                  <w:tcW w:w="386"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621"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423"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textAlignment w:val="baseline"/>
                    <w:rPr>
                      <w:color w:val="auto"/>
                      <w:sz w:val="21"/>
                      <w:szCs w:val="21"/>
                    </w:rPr>
                  </w:pPr>
                  <w:r>
                    <w:rPr>
                      <w:color w:val="auto"/>
                      <w:sz w:val="21"/>
                      <w:szCs w:val="21"/>
                    </w:rPr>
                    <w:t>BOD</w:t>
                  </w:r>
                  <w:r>
                    <w:rPr>
                      <w:color w:val="auto"/>
                      <w:sz w:val="21"/>
                      <w:szCs w:val="21"/>
                      <w:vertAlign w:val="subscript"/>
                    </w:rPr>
                    <w:t>5</w:t>
                  </w:r>
                </w:p>
              </w:tc>
              <w:tc>
                <w:tcPr>
                  <w:tcW w:w="630"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10</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40" w:type="pct"/>
                  <w:vMerge w:val="continue"/>
                  <w:tcBorders>
                    <w:left w:val="single" w:color="auto" w:sz="4" w:space="0"/>
                    <w:right w:val="single" w:color="auto" w:sz="4" w:space="0"/>
                  </w:tcBorders>
                  <w:noWrap w:val="0"/>
                  <w:vAlign w:val="center"/>
                </w:tcPr>
                <w:p>
                  <w:pPr>
                    <w:jc w:val="center"/>
                    <w:rPr>
                      <w:color w:val="auto"/>
                      <w:sz w:val="21"/>
                      <w:szCs w:val="21"/>
                    </w:rPr>
                  </w:pPr>
                </w:p>
              </w:tc>
              <w:tc>
                <w:tcPr>
                  <w:tcW w:w="31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413"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rPr>
                  </w:pPr>
                </w:p>
              </w:tc>
              <w:tc>
                <w:tcPr>
                  <w:tcW w:w="532"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lang w:eastAsia="zh-CN"/>
                    </w:rPr>
                  </w:pPr>
                </w:p>
              </w:tc>
              <w:tc>
                <w:tcPr>
                  <w:tcW w:w="489"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b w:val="0"/>
                      <w:bCs w:val="0"/>
                      <w:color w:val="auto"/>
                      <w:sz w:val="21"/>
                      <w:szCs w:val="21"/>
                      <w:highlight w:val="none"/>
                      <w:u w:val="none"/>
                      <w:shd w:val="clear" w:color="auto" w:fill="auto"/>
                      <w:lang w:val="en-US" w:eastAsia="zh-CN"/>
                    </w:rPr>
                  </w:pPr>
                </w:p>
              </w:tc>
              <w:tc>
                <w:tcPr>
                  <w:tcW w:w="386"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621"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423"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textAlignment w:val="baseline"/>
                    <w:rPr>
                      <w:color w:val="auto"/>
                      <w:sz w:val="21"/>
                      <w:szCs w:val="21"/>
                    </w:rPr>
                  </w:pPr>
                  <w:r>
                    <w:rPr>
                      <w:color w:val="auto"/>
                      <w:sz w:val="21"/>
                      <w:szCs w:val="21"/>
                    </w:rPr>
                    <w:t>SS</w:t>
                  </w:r>
                </w:p>
              </w:tc>
              <w:tc>
                <w:tcPr>
                  <w:tcW w:w="630"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10</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40" w:type="pct"/>
                  <w:vMerge w:val="continue"/>
                  <w:tcBorders>
                    <w:left w:val="single" w:color="auto" w:sz="4" w:space="0"/>
                    <w:right w:val="single" w:color="auto" w:sz="4" w:space="0"/>
                  </w:tcBorders>
                  <w:noWrap w:val="0"/>
                  <w:vAlign w:val="center"/>
                </w:tcPr>
                <w:p>
                  <w:pPr>
                    <w:jc w:val="center"/>
                    <w:rPr>
                      <w:color w:val="auto"/>
                      <w:sz w:val="21"/>
                      <w:szCs w:val="21"/>
                    </w:rPr>
                  </w:pPr>
                </w:p>
              </w:tc>
              <w:tc>
                <w:tcPr>
                  <w:tcW w:w="31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413"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rPr>
                  </w:pPr>
                </w:p>
              </w:tc>
              <w:tc>
                <w:tcPr>
                  <w:tcW w:w="532"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lang w:eastAsia="zh-CN"/>
                    </w:rPr>
                  </w:pPr>
                </w:p>
              </w:tc>
              <w:tc>
                <w:tcPr>
                  <w:tcW w:w="489"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b w:val="0"/>
                      <w:bCs w:val="0"/>
                      <w:color w:val="auto"/>
                      <w:sz w:val="21"/>
                      <w:szCs w:val="21"/>
                      <w:highlight w:val="none"/>
                      <w:u w:val="none"/>
                      <w:shd w:val="clear" w:color="auto" w:fill="auto"/>
                      <w:lang w:val="en-US" w:eastAsia="zh-CN"/>
                    </w:rPr>
                  </w:pPr>
                </w:p>
              </w:tc>
              <w:tc>
                <w:tcPr>
                  <w:tcW w:w="386"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621"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423"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textAlignment w:val="baseline"/>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630"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5（8）</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0.0177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40" w:type="pct"/>
                  <w:vMerge w:val="continue"/>
                  <w:tcBorders>
                    <w:left w:val="single" w:color="auto" w:sz="4" w:space="0"/>
                    <w:right w:val="single" w:color="auto" w:sz="4" w:space="0"/>
                  </w:tcBorders>
                  <w:noWrap w:val="0"/>
                  <w:vAlign w:val="center"/>
                </w:tcPr>
                <w:p>
                  <w:pPr>
                    <w:jc w:val="center"/>
                    <w:rPr>
                      <w:color w:val="auto"/>
                      <w:sz w:val="21"/>
                      <w:szCs w:val="21"/>
                    </w:rPr>
                  </w:pPr>
                </w:p>
              </w:tc>
              <w:tc>
                <w:tcPr>
                  <w:tcW w:w="31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413"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rPr>
                  </w:pPr>
                </w:p>
              </w:tc>
              <w:tc>
                <w:tcPr>
                  <w:tcW w:w="532" w:type="pct"/>
                  <w:vMerge w:val="continue"/>
                  <w:tcBorders>
                    <w:left w:val="single" w:color="auto" w:sz="4" w:space="0"/>
                    <w:right w:val="single" w:color="auto" w:sz="4" w:space="0"/>
                  </w:tcBorders>
                  <w:noWrap w:val="0"/>
                  <w:vAlign w:val="center"/>
                </w:tcPr>
                <w:p>
                  <w:pPr>
                    <w:jc w:val="center"/>
                    <w:rPr>
                      <w:rFonts w:hint="eastAsia"/>
                      <w:color w:val="auto"/>
                      <w:sz w:val="21"/>
                      <w:szCs w:val="21"/>
                      <w:highlight w:val="none"/>
                      <w:lang w:eastAsia="zh-CN"/>
                    </w:rPr>
                  </w:pPr>
                </w:p>
              </w:tc>
              <w:tc>
                <w:tcPr>
                  <w:tcW w:w="489"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b w:val="0"/>
                      <w:bCs w:val="0"/>
                      <w:color w:val="auto"/>
                      <w:sz w:val="21"/>
                      <w:szCs w:val="21"/>
                      <w:highlight w:val="none"/>
                      <w:u w:val="none"/>
                      <w:shd w:val="clear" w:color="auto" w:fill="auto"/>
                      <w:lang w:val="en-US" w:eastAsia="zh-CN"/>
                    </w:rPr>
                  </w:pPr>
                </w:p>
              </w:tc>
              <w:tc>
                <w:tcPr>
                  <w:tcW w:w="386"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621" w:type="pct"/>
                  <w:vMerge w:val="continue"/>
                  <w:tcBorders>
                    <w:left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423" w:type="pct"/>
                  <w:vMerge w:val="continue"/>
                  <w:tcBorders>
                    <w:left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textAlignment w:val="baseline"/>
                    <w:rPr>
                      <w:color w:val="auto"/>
                      <w:sz w:val="21"/>
                      <w:szCs w:val="21"/>
                    </w:rPr>
                  </w:pPr>
                  <w:r>
                    <w:rPr>
                      <w:rFonts w:hint="default" w:ascii="Times New Roman" w:hAnsi="Times New Roman" w:eastAsia="宋体" w:cs="Times New Roman"/>
                      <w:color w:val="auto"/>
                      <w:sz w:val="21"/>
                      <w:szCs w:val="21"/>
                      <w:lang w:val="en-US" w:eastAsia="zh-CN"/>
                    </w:rPr>
                    <w:t>动植物油</w:t>
                  </w:r>
                </w:p>
              </w:tc>
              <w:tc>
                <w:tcPr>
                  <w:tcW w:w="630"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1</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0.0035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240" w:type="pct"/>
                  <w:vMerge w:val="continue"/>
                  <w:tcBorders>
                    <w:left w:val="single" w:color="auto" w:sz="4" w:space="0"/>
                    <w:bottom w:val="single" w:color="auto" w:sz="4" w:space="0"/>
                    <w:right w:val="single" w:color="auto" w:sz="4" w:space="0"/>
                  </w:tcBorders>
                  <w:noWrap w:val="0"/>
                  <w:vAlign w:val="center"/>
                </w:tcPr>
                <w:p>
                  <w:pPr>
                    <w:jc w:val="center"/>
                    <w:rPr>
                      <w:color w:val="auto"/>
                      <w:sz w:val="21"/>
                      <w:szCs w:val="21"/>
                    </w:rPr>
                  </w:pPr>
                </w:p>
              </w:tc>
              <w:tc>
                <w:tcPr>
                  <w:tcW w:w="319"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rPr>
                  </w:pPr>
                </w:p>
              </w:tc>
              <w:tc>
                <w:tcPr>
                  <w:tcW w:w="413" w:type="pct"/>
                  <w:vMerge w:val="continue"/>
                  <w:tcBorders>
                    <w:left w:val="single" w:color="auto" w:sz="4" w:space="0"/>
                    <w:bottom w:val="single" w:color="auto" w:sz="4" w:space="0"/>
                    <w:right w:val="single" w:color="auto" w:sz="4" w:space="0"/>
                  </w:tcBorders>
                  <w:noWrap w:val="0"/>
                  <w:vAlign w:val="center"/>
                </w:tcPr>
                <w:p>
                  <w:pPr>
                    <w:jc w:val="center"/>
                    <w:rPr>
                      <w:rFonts w:hint="eastAsia"/>
                      <w:color w:val="auto"/>
                      <w:sz w:val="21"/>
                      <w:szCs w:val="21"/>
                      <w:highlight w:val="none"/>
                    </w:rPr>
                  </w:pPr>
                </w:p>
              </w:tc>
              <w:tc>
                <w:tcPr>
                  <w:tcW w:w="532" w:type="pct"/>
                  <w:vMerge w:val="continue"/>
                  <w:tcBorders>
                    <w:left w:val="single" w:color="auto" w:sz="4" w:space="0"/>
                    <w:bottom w:val="single" w:color="auto" w:sz="4" w:space="0"/>
                    <w:right w:val="single" w:color="auto" w:sz="4" w:space="0"/>
                  </w:tcBorders>
                  <w:noWrap w:val="0"/>
                  <w:vAlign w:val="center"/>
                </w:tcPr>
                <w:p>
                  <w:pPr>
                    <w:jc w:val="center"/>
                    <w:rPr>
                      <w:rFonts w:hint="eastAsia"/>
                      <w:color w:val="auto"/>
                      <w:sz w:val="21"/>
                      <w:szCs w:val="21"/>
                      <w:highlight w:val="none"/>
                      <w:lang w:eastAsia="zh-CN"/>
                    </w:rPr>
                  </w:pPr>
                </w:p>
              </w:tc>
              <w:tc>
                <w:tcPr>
                  <w:tcW w:w="489" w:type="pct"/>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b w:val="0"/>
                      <w:bCs w:val="0"/>
                      <w:color w:val="auto"/>
                      <w:sz w:val="21"/>
                      <w:szCs w:val="21"/>
                      <w:highlight w:val="none"/>
                      <w:u w:val="none"/>
                      <w:shd w:val="clear" w:color="auto" w:fill="auto"/>
                      <w:lang w:val="en-US" w:eastAsia="zh-CN"/>
                    </w:rPr>
                  </w:pPr>
                </w:p>
              </w:tc>
              <w:tc>
                <w:tcPr>
                  <w:tcW w:w="386" w:type="pct"/>
                  <w:vMerge w:val="continue"/>
                  <w:tcBorders>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621" w:type="pct"/>
                  <w:vMerge w:val="continue"/>
                  <w:tcBorders>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auto"/>
                      <w:sz w:val="21"/>
                      <w:szCs w:val="21"/>
                    </w:rPr>
                  </w:pPr>
                </w:p>
              </w:tc>
              <w:tc>
                <w:tcPr>
                  <w:tcW w:w="423" w:type="pct"/>
                  <w:vMerge w:val="continue"/>
                  <w:tcBorders>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p>
              </w:tc>
              <w:tc>
                <w:tcPr>
                  <w:tcW w:w="516"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jc w:val="center"/>
                    <w:textAlignment w:val="baseline"/>
                    <w:rPr>
                      <w:rFonts w:hint="eastAsia" w:eastAsia="宋体"/>
                      <w:color w:val="auto"/>
                      <w:sz w:val="21"/>
                      <w:szCs w:val="21"/>
                      <w:lang w:val="en-US" w:eastAsia="zh-CN"/>
                    </w:rPr>
                  </w:pPr>
                  <w:r>
                    <w:rPr>
                      <w:rFonts w:hint="eastAsia"/>
                      <w:color w:val="auto"/>
                      <w:sz w:val="21"/>
                      <w:szCs w:val="21"/>
                      <w:lang w:val="en-US" w:eastAsia="zh-CN"/>
                    </w:rPr>
                    <w:t>石油类</w:t>
                  </w:r>
                </w:p>
              </w:tc>
              <w:tc>
                <w:tcPr>
                  <w:tcW w:w="630"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1</w:t>
                  </w:r>
                </w:p>
              </w:tc>
              <w:tc>
                <w:tcPr>
                  <w:tcW w:w="425" w:type="pct"/>
                  <w:tcBorders>
                    <w:top w:val="single" w:color="auto" w:sz="4" w:space="0"/>
                    <w:left w:val="single" w:color="auto" w:sz="4" w:space="0"/>
                    <w:bottom w:val="single" w:color="auto" w:sz="4" w:space="0"/>
                    <w:right w:val="single" w:color="auto" w:sz="4" w:space="0"/>
                  </w:tcBorders>
                  <w:noWrap w:val="0"/>
                  <w:vAlign w:val="center"/>
                </w:tcPr>
                <w:p>
                  <w:pPr>
                    <w:pStyle w:val="25"/>
                    <w:jc w:val="center"/>
                    <w:rPr>
                      <w:rFonts w:hint="default" w:ascii="Times New Roman" w:eastAsia="宋体"/>
                      <w:color w:val="auto"/>
                      <w:kern w:val="2"/>
                      <w:sz w:val="21"/>
                      <w:szCs w:val="21"/>
                      <w:lang w:val="en-US" w:eastAsia="zh-CN"/>
                    </w:rPr>
                  </w:pPr>
                  <w:r>
                    <w:rPr>
                      <w:rFonts w:hint="eastAsia" w:ascii="Times New Roman" w:eastAsia="宋体"/>
                      <w:color w:val="auto"/>
                      <w:kern w:val="2"/>
                      <w:sz w:val="21"/>
                      <w:szCs w:val="21"/>
                      <w:lang w:val="en-US" w:eastAsia="zh-CN"/>
                    </w:rPr>
                    <w:t>0.0035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color="auto"/>
                <w:lang w:val="en-US" w:eastAsia="zh-CN"/>
              </w:rPr>
            </w:pPr>
            <w:r>
              <w:rPr>
                <w:rFonts w:hint="eastAsia" w:ascii="Times New Roman" w:hAnsi="Times New Roman" w:eastAsia="宋体" w:cs="Times New Roman"/>
                <w:b/>
                <w:bCs/>
                <w:color w:val="auto"/>
                <w:sz w:val="24"/>
                <w:szCs w:val="24"/>
                <w:u w:val="none" w:color="auto"/>
                <w:lang w:val="en-US" w:eastAsia="zh-CN"/>
              </w:rPr>
              <w:t>2.4监测计划</w:t>
            </w:r>
          </w:p>
          <w:p>
            <w:pPr>
              <w:spacing w:before="0" w:after="0" w:line="360" w:lineRule="auto"/>
              <w:ind w:firstLine="480" w:firstLineChars="200"/>
              <w:rPr>
                <w:rFonts w:hint="eastAsia"/>
                <w:color w:val="auto"/>
                <w:sz w:val="24"/>
                <w:szCs w:val="24"/>
              </w:rPr>
            </w:pPr>
            <w:r>
              <w:rPr>
                <w:rFonts w:hint="eastAsia"/>
                <w:color w:val="auto"/>
                <w:sz w:val="24"/>
                <w:szCs w:val="24"/>
              </w:rPr>
              <w:t xml:space="preserve">根据《排污许可证申请与核发技术规范 总则》（HJ1115-2020）、《排污许可证申请与核发技术规范 </w:t>
            </w:r>
            <w:r>
              <w:rPr>
                <w:rFonts w:hint="eastAsia"/>
                <w:color w:val="auto"/>
                <w:sz w:val="24"/>
                <w:szCs w:val="24"/>
                <w:lang w:eastAsia="zh-CN"/>
              </w:rPr>
              <w:t>废弃资源加工工业</w:t>
            </w:r>
            <w:r>
              <w:rPr>
                <w:rFonts w:hint="eastAsia"/>
                <w:color w:val="auto"/>
                <w:sz w:val="24"/>
                <w:szCs w:val="24"/>
              </w:rPr>
              <w:t>》（HJ</w:t>
            </w:r>
            <w:r>
              <w:rPr>
                <w:rFonts w:hint="eastAsia"/>
                <w:color w:val="auto"/>
                <w:sz w:val="24"/>
                <w:szCs w:val="24"/>
                <w:lang w:val="en-US" w:eastAsia="zh-CN"/>
              </w:rPr>
              <w:t>1034-2019</w:t>
            </w:r>
            <w:r>
              <w:rPr>
                <w:rFonts w:hint="eastAsia"/>
                <w:color w:val="auto"/>
                <w:sz w:val="24"/>
                <w:szCs w:val="24"/>
              </w:rPr>
              <w:t>）规定，为了解项目的环境影响及环境质量变化趋势，应建立污染源分类技术档案和监测档案，为环境污染治理提供必要的依据。</w:t>
            </w:r>
          </w:p>
          <w:p>
            <w:pPr>
              <w:spacing w:before="0" w:after="0" w:line="360" w:lineRule="auto"/>
              <w:ind w:firstLine="480" w:firstLineChars="200"/>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废水</w:t>
            </w:r>
            <w:r>
              <w:rPr>
                <w:rFonts w:hint="default" w:ascii="Times New Roman" w:hAnsi="Times New Roman" w:eastAsia="宋体" w:cs="Times New Roman"/>
                <w:color w:val="auto"/>
                <w:sz w:val="24"/>
                <w:szCs w:val="24"/>
                <w:vertAlign w:val="baseline"/>
                <w:lang w:val="en-US" w:eastAsia="zh-CN"/>
              </w:rPr>
              <w:t>排放监测计划</w:t>
            </w:r>
            <w:r>
              <w:rPr>
                <w:rFonts w:hint="eastAsia"/>
                <w:color w:val="auto"/>
                <w:sz w:val="24"/>
                <w:szCs w:val="24"/>
              </w:rPr>
              <w:t>安排如下：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4-10</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vertAlign w:val="baseline"/>
                <w:lang w:val="en-US" w:eastAsia="zh-CN"/>
              </w:rPr>
              <w:t>本项目废水</w:t>
            </w:r>
            <w:r>
              <w:rPr>
                <w:rFonts w:hint="default" w:ascii="Times New Roman" w:hAnsi="Times New Roman" w:cs="Times New Roman"/>
                <w:b/>
                <w:bCs/>
                <w:color w:val="auto"/>
                <w:sz w:val="21"/>
                <w:szCs w:val="21"/>
                <w:vertAlign w:val="baseline"/>
                <w:lang w:val="en-US" w:eastAsia="zh-CN"/>
              </w:rPr>
              <w:t>排放监测计划表</w:t>
            </w:r>
          </w:p>
          <w:tbl>
            <w:tblPr>
              <w:tblStyle w:val="16"/>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159"/>
              <w:gridCol w:w="1322"/>
              <w:gridCol w:w="1286"/>
              <w:gridCol w:w="41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684"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监测点位</w:t>
                  </w:r>
                </w:p>
              </w:tc>
              <w:tc>
                <w:tcPr>
                  <w:tcW w:w="780"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监测频次</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684" w:type="pct"/>
                  <w:vMerge w:val="restar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b w:val="0"/>
                      <w:bCs/>
                      <w:sz w:val="21"/>
                      <w:szCs w:val="21"/>
                    </w:rPr>
                    <w:t>废水总排口</w:t>
                  </w:r>
                </w:p>
              </w:tc>
              <w:tc>
                <w:tcPr>
                  <w:tcW w:w="780"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PH值</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2</w:t>
                  </w:r>
                </w:p>
              </w:tc>
              <w:tc>
                <w:tcPr>
                  <w:tcW w:w="684" w:type="pct"/>
                  <w:vMerge w:val="continue"/>
                  <w:tcBorders>
                    <w:tl2br w:val="nil"/>
                    <w:tr2bl w:val="nil"/>
                  </w:tcBorders>
                  <w:noWrap w:val="0"/>
                  <w:vAlign w:val="center"/>
                </w:tcPr>
                <w:p>
                  <w:pPr>
                    <w:bidi w:val="0"/>
                    <w:spacing w:line="240" w:lineRule="auto"/>
                    <w:jc w:val="center"/>
                    <w:rPr>
                      <w:b w:val="0"/>
                      <w:bCs/>
                      <w:sz w:val="21"/>
                      <w:szCs w:val="21"/>
                    </w:rPr>
                  </w:pPr>
                </w:p>
              </w:tc>
              <w:tc>
                <w:tcPr>
                  <w:tcW w:w="780" w:type="pct"/>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kern w:val="2"/>
                      <w:sz w:val="21"/>
                      <w:szCs w:val="21"/>
                      <w:lang w:val="en-US" w:eastAsia="zh-CN" w:bidi="ar-SA"/>
                    </w:rPr>
                  </w:pPr>
                  <w:r>
                    <w:rPr>
                      <w:color w:val="auto"/>
                      <w:sz w:val="21"/>
                      <w:szCs w:val="21"/>
                    </w:rPr>
                    <w:t>COD</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3</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rPr>
                  </w:pPr>
                </w:p>
              </w:tc>
              <w:tc>
                <w:tcPr>
                  <w:tcW w:w="780" w:type="pct"/>
                  <w:tcBorders>
                    <w:tl2br w:val="nil"/>
                    <w:tr2bl w:val="nil"/>
                  </w:tcBorders>
                  <w:noWrap w:val="0"/>
                  <w:vAlign w:val="center"/>
                </w:tcPr>
                <w:p>
                  <w:pPr>
                    <w:bidi w:val="0"/>
                    <w:spacing w:line="240" w:lineRule="auto"/>
                    <w:jc w:val="center"/>
                    <w:rPr>
                      <w:rFonts w:hint="eastAsia" w:ascii="Times New Roman" w:hAnsi="Times New Roman" w:cs="Times New Roman"/>
                      <w:color w:val="auto"/>
                      <w:sz w:val="21"/>
                      <w:szCs w:val="21"/>
                      <w:lang w:eastAsia="zh-CN"/>
                    </w:rPr>
                  </w:pPr>
                  <w:r>
                    <w:rPr>
                      <w:color w:val="auto"/>
                      <w:sz w:val="21"/>
                      <w:szCs w:val="21"/>
                    </w:rPr>
                    <w:t>SS</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rPr>
                  </w:pPr>
                </w:p>
              </w:tc>
              <w:tc>
                <w:tcPr>
                  <w:tcW w:w="780" w:type="pct"/>
                  <w:tcBorders>
                    <w:tl2br w:val="nil"/>
                    <w:tr2bl w:val="nil"/>
                  </w:tcBorders>
                  <w:noWrap w:val="0"/>
                  <w:vAlign w:val="center"/>
                </w:tcPr>
                <w:p>
                  <w:pPr>
                    <w:bidi w:val="0"/>
                    <w:spacing w:line="240" w:lineRule="auto"/>
                    <w:jc w:val="center"/>
                    <w:rPr>
                      <w:color w:val="auto"/>
                      <w:sz w:val="21"/>
                      <w:szCs w:val="21"/>
                    </w:rPr>
                  </w:pPr>
                  <w:r>
                    <w:rPr>
                      <w:color w:val="auto"/>
                      <w:sz w:val="21"/>
                      <w:szCs w:val="21"/>
                    </w:rPr>
                    <w:t>BOD</w:t>
                  </w:r>
                  <w:r>
                    <w:rPr>
                      <w:color w:val="auto"/>
                      <w:sz w:val="21"/>
                      <w:szCs w:val="21"/>
                      <w:vertAlign w:val="subscript"/>
                    </w:rPr>
                    <w:t>5</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rPr>
                  </w:pPr>
                </w:p>
              </w:tc>
              <w:tc>
                <w:tcPr>
                  <w:tcW w:w="780" w:type="pct"/>
                  <w:tcBorders>
                    <w:tl2br w:val="nil"/>
                    <w:tr2bl w:val="nil"/>
                  </w:tcBorders>
                  <w:noWrap w:val="0"/>
                  <w:vAlign w:val="center"/>
                </w:tcPr>
                <w:p>
                  <w:pPr>
                    <w:bidi w:val="0"/>
                    <w:spacing w:line="240" w:lineRule="auto"/>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《污水排入城镇下水道水质标准》（GB/T31962-2015）B等级标准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rPr>
                  </w:pPr>
                </w:p>
              </w:tc>
              <w:tc>
                <w:tcPr>
                  <w:tcW w:w="780" w:type="pct"/>
                  <w:tcBorders>
                    <w:tl2br w:val="nil"/>
                    <w:tr2bl w:val="nil"/>
                  </w:tcBorders>
                  <w:noWrap w:val="0"/>
                  <w:vAlign w:val="center"/>
                </w:tcPr>
                <w:p>
                  <w:pPr>
                    <w:bidi w:val="0"/>
                    <w:spacing w:line="240" w:lineRule="auto"/>
                    <w:jc w:val="center"/>
                    <w:rPr>
                      <w:color w:val="auto"/>
                      <w:sz w:val="21"/>
                      <w:szCs w:val="21"/>
                    </w:rPr>
                  </w:pPr>
                  <w:r>
                    <w:rPr>
                      <w:rFonts w:hint="eastAsia" w:ascii="Times New Roman" w:hAnsi="Times New Roman" w:cs="Times New Roman"/>
                      <w:color w:val="auto"/>
                      <w:sz w:val="21"/>
                      <w:szCs w:val="21"/>
                      <w:highlight w:val="none"/>
                      <w:u w:val="none"/>
                      <w:lang w:val="en-US" w:eastAsia="zh-CN"/>
                    </w:rPr>
                    <w:t>动植物油</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c>
                <w:tcPr>
                  <w:tcW w:w="780"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石油类</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1次/年度</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684" w:type="pct"/>
                  <w:vMerge w:val="restar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雨水排放口</w:t>
                  </w:r>
                </w:p>
              </w:tc>
              <w:tc>
                <w:tcPr>
                  <w:tcW w:w="780" w:type="pct"/>
                  <w:tcBorders>
                    <w:tl2br w:val="nil"/>
                    <w:tr2bl w:val="nil"/>
                  </w:tcBorders>
                  <w:noWrap w:val="0"/>
                  <w:vAlign w:val="center"/>
                </w:tcPr>
                <w:p>
                  <w:pPr>
                    <w:bidi w:val="0"/>
                    <w:spacing w:line="240" w:lineRule="auto"/>
                    <w:jc w:val="center"/>
                    <w:rPr>
                      <w:rFonts w:hint="eastAsia" w:ascii="Times New Roman" w:hAnsi="Times New Roman" w:cs="Times New Roman"/>
                      <w:color w:val="auto"/>
                      <w:kern w:val="2"/>
                      <w:sz w:val="21"/>
                      <w:szCs w:val="21"/>
                      <w:lang w:val="en-US" w:eastAsia="zh-CN" w:bidi="ar-SA"/>
                    </w:rPr>
                  </w:pPr>
                  <w:r>
                    <w:rPr>
                      <w:color w:val="auto"/>
                      <w:sz w:val="21"/>
                      <w:szCs w:val="21"/>
                    </w:rPr>
                    <w:t>COD</w:t>
                  </w:r>
                </w:p>
              </w:tc>
              <w:tc>
                <w:tcPr>
                  <w:tcW w:w="759" w:type="pct"/>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1日/次</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《地表水环境质量标准》（GB3838-2002）Ⅲ类水质标准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2"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684" w:type="pct"/>
                  <w:vMerge w:val="continue"/>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p>
              </w:tc>
              <w:tc>
                <w:tcPr>
                  <w:tcW w:w="780" w:type="pct"/>
                  <w:tcBorders>
                    <w:tl2br w:val="nil"/>
                    <w:tr2bl w:val="nil"/>
                  </w:tcBorders>
                  <w:noWrap w:val="0"/>
                  <w:vAlign w:val="center"/>
                </w:tcPr>
                <w:p>
                  <w:pPr>
                    <w:bidi w:val="0"/>
                    <w:spacing w:line="240" w:lineRule="auto"/>
                    <w:jc w:val="center"/>
                    <w:rPr>
                      <w:rFonts w:hint="eastAsia" w:ascii="Times New Roman" w:hAnsi="Times New Roman" w:cs="Times New Roman"/>
                      <w:color w:val="auto"/>
                      <w:kern w:val="2"/>
                      <w:sz w:val="21"/>
                      <w:szCs w:val="21"/>
                      <w:lang w:val="en-US" w:eastAsia="zh-CN" w:bidi="ar-SA"/>
                    </w:rPr>
                  </w:pPr>
                  <w:r>
                    <w:rPr>
                      <w:color w:val="auto"/>
                      <w:sz w:val="21"/>
                      <w:szCs w:val="21"/>
                    </w:rPr>
                    <w:t>SS</w:t>
                  </w:r>
                </w:p>
              </w:tc>
              <w:tc>
                <w:tcPr>
                  <w:tcW w:w="759" w:type="pct"/>
                  <w:tcBorders>
                    <w:tl2br w:val="nil"/>
                    <w:tr2bl w:val="nil"/>
                  </w:tcBorders>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1日/次</w:t>
                  </w:r>
                </w:p>
              </w:tc>
              <w:tc>
                <w:tcPr>
                  <w:tcW w:w="2453" w:type="pct"/>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《地表水环境质量标准》（GB3838-2002）Ⅲ类水质标准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noWrap w:val="0"/>
                  <w:vAlign w:val="top"/>
                </w:tcPr>
                <w:p>
                  <w:pPr>
                    <w:bidi w:val="0"/>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684" w:type="pct"/>
                  <w:vMerge w:val="continue"/>
                  <w:noWrap w:val="0"/>
                  <w:vAlign w:val="top"/>
                </w:tcPr>
                <w:p>
                  <w:pPr>
                    <w:bidi w:val="0"/>
                    <w:spacing w:line="240" w:lineRule="auto"/>
                    <w:jc w:val="center"/>
                    <w:rPr>
                      <w:rFonts w:hint="default" w:ascii="Times New Roman" w:hAnsi="Times New Roman" w:eastAsia="宋体" w:cs="Times New Roman"/>
                      <w:color w:val="auto"/>
                      <w:sz w:val="21"/>
                      <w:szCs w:val="21"/>
                      <w:lang w:val="en-US" w:eastAsia="zh-CN"/>
                    </w:rPr>
                  </w:pPr>
                </w:p>
              </w:tc>
              <w:tc>
                <w:tcPr>
                  <w:tcW w:w="0" w:type="auto"/>
                  <w:noWrap w:val="0"/>
                  <w:vAlign w:val="center"/>
                </w:tcPr>
                <w:p>
                  <w:pPr>
                    <w:bidi w:val="0"/>
                    <w:spacing w:line="240" w:lineRule="auto"/>
                    <w:jc w:val="center"/>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石油类</w:t>
                  </w:r>
                </w:p>
              </w:tc>
              <w:tc>
                <w:tcPr>
                  <w:tcW w:w="0" w:type="auto"/>
                  <w:noWrap w:val="0"/>
                  <w:vAlign w:val="center"/>
                </w:tcPr>
                <w:p>
                  <w:pPr>
                    <w:bidi w:val="0"/>
                    <w:spacing w:line="240" w:lineRule="auto"/>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1日/次</w:t>
                  </w:r>
                </w:p>
              </w:tc>
              <w:tc>
                <w:tcPr>
                  <w:tcW w:w="0" w:type="auto"/>
                  <w:noWrap w:val="0"/>
                  <w:vAlign w:val="top"/>
                </w:tcPr>
                <w:p>
                  <w:pPr>
                    <w:bidi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《地表水环境质量标准》（GB3838-2002）Ⅲ类水质标准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5"/>
                  <w:noWrap w:val="0"/>
                  <w:vAlign w:val="top"/>
                </w:tcPr>
                <w:p>
                  <w:pPr>
                    <w:bidi w:val="0"/>
                    <w:spacing w:line="240" w:lineRule="auto"/>
                    <w:jc w:val="left"/>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雨水排放口有流动水排放时开展监测，排放期间按日监测。如监测一年无异常情况，每季度第一次有流动水排放时开展按日监测。</w:t>
                  </w:r>
                </w:p>
              </w:tc>
            </w:tr>
          </w:tbl>
          <w:p>
            <w:pPr>
              <w:adjustRightInd w:val="0"/>
              <w:snapToGrid w:val="0"/>
              <w:spacing w:line="360" w:lineRule="auto"/>
              <w:ind w:firstLine="241" w:firstLineChars="100"/>
              <w:rPr>
                <w:rFonts w:hint="eastAsia"/>
                <w:b/>
                <w:bCs w:val="0"/>
                <w:sz w:val="24"/>
                <w:szCs w:val="24"/>
              </w:rPr>
            </w:pPr>
            <w:r>
              <w:rPr>
                <w:rFonts w:hint="eastAsia"/>
                <w:b/>
                <w:bCs w:val="0"/>
                <w:sz w:val="24"/>
                <w:szCs w:val="24"/>
              </w:rPr>
              <w:t>3、运营期噪声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default" w:ascii="Times New Roman" w:hAnsi="Times New Roman" w:cs="Times New Roman"/>
                <w:sz w:val="24"/>
                <w:szCs w:val="24"/>
                <w:u w:val="none"/>
              </w:rPr>
              <w:t>项目营运期噪声主要为机械设备的噪声，其噪声源强约为70~</w:t>
            </w:r>
            <w:r>
              <w:rPr>
                <w:rFonts w:hint="eastAsia" w:ascii="Times New Roman" w:hAnsi="Times New Roman" w:cs="Times New Roman"/>
                <w:sz w:val="24"/>
                <w:szCs w:val="24"/>
                <w:u w:val="none"/>
                <w:lang w:val="en-US" w:eastAsia="zh-CN"/>
              </w:rPr>
              <w:t>90</w:t>
            </w:r>
            <w:r>
              <w:rPr>
                <w:rFonts w:hint="default" w:ascii="Times New Roman" w:hAnsi="Times New Roman" w:cs="Times New Roman"/>
                <w:sz w:val="24"/>
                <w:szCs w:val="24"/>
                <w:u w:val="none"/>
              </w:rPr>
              <w:t>dB（A），以上噪声均在白天工作时段产生，夜间不产生噪声。各主要设备噪声源强见表4-</w:t>
            </w:r>
            <w:r>
              <w:rPr>
                <w:rFonts w:hint="eastAsia" w:ascii="Times New Roman" w:hAnsi="Times New Roman" w:cs="Times New Roman"/>
                <w:sz w:val="24"/>
                <w:szCs w:val="24"/>
                <w:u w:val="none"/>
                <w:lang w:val="en-US" w:eastAsia="zh-CN"/>
              </w:rPr>
              <w:t>11</w:t>
            </w:r>
            <w:r>
              <w:rPr>
                <w:rFonts w:hint="eastAsia" w:ascii="Times New Roman" w:hAnsi="Times New Roman" w:cs="Times New Roman"/>
                <w:sz w:val="24"/>
                <w:szCs w:val="24"/>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b/>
                <w:bCs/>
                <w:lang w:val="en-US" w:eastAsia="zh-CN"/>
              </w:rPr>
            </w:pPr>
            <w:r>
              <w:rPr>
                <w:rFonts w:hint="eastAsia"/>
                <w:b/>
                <w:bCs/>
                <w:lang w:val="en-US" w:eastAsia="zh-CN"/>
              </w:rPr>
              <w:t xml:space="preserve">表4-11 </w:t>
            </w:r>
            <w:r>
              <w:rPr>
                <w:rFonts w:hint="eastAsia"/>
                <w:b/>
                <w:bCs/>
                <w:sz w:val="21"/>
                <w:szCs w:val="21"/>
                <w:u w:val="none"/>
              </w:rPr>
              <w:t>项目</w:t>
            </w:r>
            <w:r>
              <w:rPr>
                <w:rFonts w:hint="eastAsia"/>
                <w:b/>
                <w:bCs/>
                <w:sz w:val="21"/>
                <w:szCs w:val="21"/>
                <w:u w:val="none"/>
                <w:lang w:eastAsia="zh-CN"/>
              </w:rPr>
              <w:t>主要</w:t>
            </w:r>
            <w:r>
              <w:rPr>
                <w:rFonts w:hint="eastAsia"/>
                <w:b/>
                <w:bCs/>
                <w:sz w:val="21"/>
                <w:szCs w:val="21"/>
                <w:u w:val="none"/>
              </w:rPr>
              <w:t>噪声源情况表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778"/>
              <w:gridCol w:w="1001"/>
              <w:gridCol w:w="1045"/>
              <w:gridCol w:w="1240"/>
              <w:gridCol w:w="1554"/>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序号</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eastAsia="zh-CN"/>
                    </w:rPr>
                  </w:pPr>
                  <w:r>
                    <w:rPr>
                      <w:rFonts w:hint="default" w:ascii="Times New Roman" w:hAnsi="Times New Roman" w:cs="Times New Roman"/>
                      <w:sz w:val="21"/>
                      <w:szCs w:val="21"/>
                      <w:u w:val="none"/>
                      <w:vertAlign w:val="baseline"/>
                      <w:lang w:eastAsia="zh-CN"/>
                    </w:rPr>
                    <w:t>噪声源</w:t>
                  </w:r>
                </w:p>
              </w:tc>
              <w:tc>
                <w:tcPr>
                  <w:tcW w:w="59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lang w:eastAsia="zh-CN"/>
                    </w:rPr>
                  </w:pPr>
                  <w:r>
                    <w:rPr>
                      <w:rFonts w:hint="eastAsia" w:ascii="Times New Roman" w:hAnsi="Times New Roman" w:cs="Times New Roman"/>
                      <w:sz w:val="21"/>
                      <w:szCs w:val="21"/>
                      <w:u w:val="none"/>
                      <w:vertAlign w:val="baseline"/>
                      <w:lang w:eastAsia="zh-CN"/>
                    </w:rPr>
                    <w:t>数量</w:t>
                  </w:r>
                </w:p>
              </w:tc>
              <w:tc>
                <w:tcPr>
                  <w:tcW w:w="61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cs="Times New Roman"/>
                      <w:sz w:val="21"/>
                      <w:szCs w:val="21"/>
                      <w:u w:val="none"/>
                      <w:vertAlign w:val="baseline"/>
                      <w:lang w:eastAsia="zh-CN"/>
                    </w:rPr>
                    <w:t>源强</w:t>
                  </w:r>
                  <w:r>
                    <w:rPr>
                      <w:rFonts w:hint="default" w:ascii="Times New Roman" w:hAnsi="Times New Roman" w:cs="Times New Roman"/>
                      <w:sz w:val="21"/>
                      <w:szCs w:val="21"/>
                      <w:u w:val="none"/>
                      <w:vertAlign w:val="baseline"/>
                      <w:lang w:val="en-US" w:eastAsia="zh-CN"/>
                    </w:rPr>
                    <w:t>dB(A)</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持续时间</w:t>
                  </w:r>
                </w:p>
              </w:tc>
              <w:tc>
                <w:tcPr>
                  <w:tcW w:w="91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eastAsia="zh-CN"/>
                    </w:rPr>
                  </w:pPr>
                  <w:r>
                    <w:rPr>
                      <w:rFonts w:hint="default" w:ascii="Times New Roman" w:hAnsi="Times New Roman" w:cs="Times New Roman"/>
                      <w:sz w:val="21"/>
                      <w:szCs w:val="21"/>
                      <w:u w:val="none"/>
                      <w:vertAlign w:val="baseline"/>
                      <w:lang w:eastAsia="zh-CN"/>
                    </w:rPr>
                    <w:t>采取措施</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lang w:eastAsia="zh-CN"/>
                    </w:rPr>
                  </w:pPr>
                  <w:r>
                    <w:rPr>
                      <w:rFonts w:ascii="宋体" w:hAnsi="宋体" w:eastAsia="宋体" w:cs="宋体"/>
                      <w:sz w:val="21"/>
                      <w:szCs w:val="21"/>
                      <w:u w:val="none"/>
                    </w:rPr>
                    <w:t>排放强度</w:t>
                  </w:r>
                  <w:r>
                    <w:rPr>
                      <w:rFonts w:hint="default" w:ascii="Times New Roman" w:hAnsi="Times New Roman" w:cs="Times New Roman"/>
                      <w:sz w:val="21"/>
                      <w:szCs w:val="21"/>
                      <w:u w:val="none"/>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default" w:ascii="Times New Roman" w:hAnsi="Times New Roman" w:cs="Times New Roman"/>
                      <w:sz w:val="21"/>
                      <w:szCs w:val="21"/>
                      <w:u w:val="none"/>
                      <w:vertAlign w:val="baseline"/>
                      <w:lang w:val="en-US" w:eastAsia="zh-CN"/>
                    </w:rPr>
                    <w:t>1</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kern w:val="2"/>
                      <w:sz w:val="21"/>
                      <w:szCs w:val="21"/>
                      <w:u w:val="none"/>
                      <w:lang w:val="en-US" w:eastAsia="zh-CN" w:bidi="ar-SA"/>
                    </w:rPr>
                  </w:pPr>
                  <w:r>
                    <w:rPr>
                      <w:rFonts w:hint="eastAsia"/>
                      <w:u w:val="none"/>
                      <w:vertAlign w:val="baseline"/>
                    </w:rPr>
                    <w:t>安全气囊引爆</w:t>
                  </w:r>
                  <w:r>
                    <w:rPr>
                      <w:rFonts w:hint="eastAsia"/>
                      <w:vertAlign w:val="baseline"/>
                    </w:rPr>
                    <w:t>装置</w:t>
                  </w:r>
                </w:p>
              </w:tc>
              <w:tc>
                <w:tcPr>
                  <w:tcW w:w="590" w:type="pct"/>
                  <w:noWrap w:val="0"/>
                  <w:vAlign w:val="center"/>
                </w:tcPr>
                <w:p>
                  <w:pPr>
                    <w:spacing w:line="240" w:lineRule="auto"/>
                    <w:jc w:val="center"/>
                    <w:rPr>
                      <w:rFonts w:hint="eastAsia"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1台</w:t>
                  </w:r>
                </w:p>
              </w:tc>
              <w:tc>
                <w:tcPr>
                  <w:tcW w:w="616" w:type="pct"/>
                  <w:noWrap w:val="0"/>
                  <w:vAlign w:val="center"/>
                </w:tcPr>
                <w:p>
                  <w:pPr>
                    <w:spacing w:before="203" w:beforeLines="5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90</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间歇</w:t>
                  </w:r>
                </w:p>
              </w:tc>
              <w:tc>
                <w:tcPr>
                  <w:tcW w:w="916"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1"/>
                      <w:szCs w:val="21"/>
                      <w:u w:val="none"/>
                      <w:vertAlign w:val="baseline"/>
                      <w:lang w:eastAsia="zh-CN"/>
                    </w:rPr>
                  </w:pPr>
                  <w:r>
                    <w:rPr>
                      <w:rFonts w:hint="default" w:ascii="Times New Roman" w:hAnsi="Times New Roman" w:cs="Times New Roman"/>
                      <w:sz w:val="21"/>
                      <w:szCs w:val="21"/>
                      <w:u w:val="none"/>
                      <w:vertAlign w:val="baseline"/>
                    </w:rPr>
                    <w:t>隔声、消声距离消减和窗户隔声选用低噪声设备</w:t>
                  </w:r>
                  <w:r>
                    <w:rPr>
                      <w:rFonts w:hint="eastAsia" w:ascii="Times New Roman" w:hAnsi="Times New Roman" w:cs="Times New Roman"/>
                      <w:sz w:val="21"/>
                      <w:szCs w:val="21"/>
                      <w:u w:val="none"/>
                      <w:vertAlign w:val="baseline"/>
                      <w:lang w:eastAsia="zh-CN"/>
                    </w:rPr>
                    <w:t>、合理布局</w:t>
                  </w: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r>
                    <w:rPr>
                      <w:rFonts w:hint="default" w:ascii="Times New Roman" w:hAnsi="Times New Roman" w:cs="Times New Roman"/>
                      <w:sz w:val="21"/>
                      <w:szCs w:val="21"/>
                      <w:u w:val="none"/>
                      <w:vertAlign w:val="baseline"/>
                      <w:lang w:val="en-US" w:eastAsia="zh-CN"/>
                    </w:rPr>
                    <w:t>2</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vertAlign w:val="baseline"/>
                      <w:lang w:eastAsia="zh-CN"/>
                    </w:rPr>
                    <w:t>油液抽排</w:t>
                  </w:r>
                  <w:r>
                    <w:rPr>
                      <w:rFonts w:hint="eastAsia"/>
                      <w:vertAlign w:val="baseline"/>
                    </w:rPr>
                    <w:t>系统</w:t>
                  </w:r>
                </w:p>
              </w:tc>
              <w:tc>
                <w:tcPr>
                  <w:tcW w:w="590" w:type="pct"/>
                  <w:noWrap w:val="0"/>
                  <w:vAlign w:val="center"/>
                </w:tcPr>
                <w:p>
                  <w:pPr>
                    <w:spacing w:line="240" w:lineRule="auto"/>
                    <w:jc w:val="center"/>
                    <w:rPr>
                      <w:rFonts w:hint="default"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2</w:t>
                  </w:r>
                  <w:r>
                    <w:rPr>
                      <w:rFonts w:hint="eastAsia"/>
                      <w:vertAlign w:val="baseline"/>
                      <w:lang w:val="en-US" w:eastAsia="zh-CN"/>
                    </w:rPr>
                    <w:t>套</w:t>
                  </w:r>
                </w:p>
              </w:tc>
              <w:tc>
                <w:tcPr>
                  <w:tcW w:w="616" w:type="pct"/>
                  <w:noWrap w:val="0"/>
                  <w:vAlign w:val="center"/>
                </w:tcPr>
                <w:p>
                  <w:pPr>
                    <w:spacing w:before="203" w:beforeLines="50"/>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80</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间歇</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r>
                    <w:rPr>
                      <w:rFonts w:hint="eastAsia" w:ascii="Times New Roman" w:hAnsi="Times New Roman" w:cs="Times New Roman"/>
                      <w:sz w:val="21"/>
                      <w:szCs w:val="21"/>
                      <w:u w:val="none"/>
                      <w:vertAlign w:val="baseline"/>
                      <w:lang w:val="en-US" w:eastAsia="zh-CN"/>
                    </w:rPr>
                    <w:t>3</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eastAsia"/>
                      <w:vertAlign w:val="baseline"/>
                    </w:rPr>
                    <w:t>拆解流水线</w:t>
                  </w:r>
                </w:p>
              </w:tc>
              <w:tc>
                <w:tcPr>
                  <w:tcW w:w="590" w:type="pct"/>
                  <w:noWrap w:val="0"/>
                  <w:vAlign w:val="center"/>
                </w:tcPr>
                <w:p>
                  <w:pPr>
                    <w:spacing w:before="203" w:beforeLines="50"/>
                    <w:jc w:val="center"/>
                    <w:rPr>
                      <w:rFonts w:hint="default" w:ascii="Times New Roman" w:hAnsi="Times New Roman" w:eastAsia="宋体" w:cs="Times New Roman"/>
                      <w:sz w:val="21"/>
                      <w:szCs w:val="21"/>
                      <w:u w:val="none"/>
                      <w:lang w:val="en-US" w:eastAsia="zh-CN"/>
                    </w:rPr>
                  </w:pPr>
                  <w:r>
                    <w:rPr>
                      <w:rFonts w:hint="eastAsia" w:cs="Times New Roman"/>
                      <w:sz w:val="21"/>
                      <w:szCs w:val="21"/>
                      <w:u w:val="none"/>
                      <w:lang w:val="en-US" w:eastAsia="zh-CN"/>
                    </w:rPr>
                    <w:t>2条</w:t>
                  </w:r>
                </w:p>
              </w:tc>
              <w:tc>
                <w:tcPr>
                  <w:tcW w:w="616" w:type="pct"/>
                  <w:noWrap w:val="0"/>
                  <w:vAlign w:val="center"/>
                </w:tcPr>
                <w:p>
                  <w:pPr>
                    <w:spacing w:before="203" w:beforeLines="50"/>
                    <w:jc w:val="center"/>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8</w:t>
                  </w:r>
                  <w:r>
                    <w:rPr>
                      <w:rFonts w:hint="eastAsia" w:ascii="Times New Roman" w:hAnsi="Times New Roman" w:cs="Times New Roman"/>
                      <w:sz w:val="21"/>
                      <w:szCs w:val="21"/>
                      <w:u w:val="none"/>
                      <w:lang w:val="en-US" w:eastAsia="zh-CN"/>
                    </w:rPr>
                    <w:t>5</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连续</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r>
                    <w:rPr>
                      <w:rFonts w:hint="eastAsia" w:ascii="Times New Roman" w:hAnsi="Times New Roman" w:cs="Times New Roman"/>
                      <w:sz w:val="21"/>
                      <w:szCs w:val="21"/>
                      <w:u w:val="none"/>
                      <w:vertAlign w:val="baseline"/>
                      <w:lang w:val="en-US" w:eastAsia="zh-CN"/>
                    </w:rPr>
                    <w:t>4</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eastAsia"/>
                      <w:vertAlign w:val="baseline"/>
                    </w:rPr>
                    <w:t>金属打包机</w:t>
                  </w:r>
                </w:p>
              </w:tc>
              <w:tc>
                <w:tcPr>
                  <w:tcW w:w="590" w:type="pct"/>
                  <w:noWrap w:val="0"/>
                  <w:vAlign w:val="center"/>
                </w:tcPr>
                <w:p>
                  <w:pPr>
                    <w:spacing w:before="203" w:beforeLines="50"/>
                    <w:jc w:val="center"/>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2</w:t>
                  </w:r>
                  <w:r>
                    <w:rPr>
                      <w:rFonts w:hint="eastAsia" w:ascii="Times New Roman" w:hAnsi="Times New Roman" w:cs="Times New Roman"/>
                      <w:sz w:val="21"/>
                      <w:szCs w:val="21"/>
                      <w:u w:val="none"/>
                      <w:lang w:val="en-US" w:eastAsia="zh-CN"/>
                    </w:rPr>
                    <w:t>台</w:t>
                  </w:r>
                </w:p>
              </w:tc>
              <w:tc>
                <w:tcPr>
                  <w:tcW w:w="616" w:type="pct"/>
                  <w:noWrap w:val="0"/>
                  <w:vAlign w:val="center"/>
                </w:tcPr>
                <w:p>
                  <w:pPr>
                    <w:spacing w:before="203" w:beforeLines="50"/>
                    <w:jc w:val="center"/>
                    <w:rPr>
                      <w:rFonts w:hint="default" w:ascii="Times New Roman" w:hAnsi="Times New Roman" w:eastAsia="宋体" w:cs="Times New Roman"/>
                      <w:kern w:val="2"/>
                      <w:sz w:val="21"/>
                      <w:szCs w:val="21"/>
                      <w:u w:val="none"/>
                      <w:lang w:val="en-US" w:eastAsia="zh-CN" w:bidi="ar-SA"/>
                    </w:rPr>
                  </w:pPr>
                  <w:r>
                    <w:rPr>
                      <w:rFonts w:hint="eastAsia" w:ascii="Times New Roman" w:hAnsi="Times New Roman" w:cs="Times New Roman"/>
                      <w:sz w:val="21"/>
                      <w:szCs w:val="21"/>
                      <w:u w:val="none"/>
                      <w:lang w:val="en-US" w:eastAsia="zh-CN"/>
                    </w:rPr>
                    <w:t>75</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间歇</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kern w:val="2"/>
                      <w:sz w:val="21"/>
                      <w:szCs w:val="21"/>
                      <w:u w:val="none"/>
                      <w:vertAlign w:val="baseline"/>
                      <w:lang w:val="en-US" w:eastAsia="zh-CN" w:bidi="ar-SA"/>
                    </w:rPr>
                  </w:pPr>
                  <w:r>
                    <w:rPr>
                      <w:rFonts w:hint="eastAsia" w:ascii="Times New Roman" w:hAnsi="Times New Roman" w:cs="Times New Roman"/>
                      <w:sz w:val="21"/>
                      <w:szCs w:val="21"/>
                      <w:u w:val="none"/>
                      <w:vertAlign w:val="baseline"/>
                      <w:lang w:val="en-US" w:eastAsia="zh-CN"/>
                    </w:rPr>
                    <w:t>5</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u w:val="none"/>
                      <w:lang w:eastAsia="zh-CN"/>
                    </w:rPr>
                  </w:pPr>
                  <w:r>
                    <w:rPr>
                      <w:rFonts w:hint="eastAsia"/>
                      <w:vertAlign w:val="baseline"/>
                    </w:rPr>
                    <w:t>门式剪切机</w:t>
                  </w:r>
                </w:p>
              </w:tc>
              <w:tc>
                <w:tcPr>
                  <w:tcW w:w="590" w:type="pct"/>
                  <w:noWrap w:val="0"/>
                  <w:vAlign w:val="center"/>
                </w:tcPr>
                <w:p>
                  <w:pPr>
                    <w:spacing w:before="203" w:beforeLines="50"/>
                    <w:jc w:val="center"/>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1台</w:t>
                  </w:r>
                </w:p>
              </w:tc>
              <w:tc>
                <w:tcPr>
                  <w:tcW w:w="616" w:type="pct"/>
                  <w:noWrap w:val="0"/>
                  <w:vAlign w:val="center"/>
                </w:tcPr>
                <w:p>
                  <w:pPr>
                    <w:spacing w:before="203" w:beforeLines="50"/>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85</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cs="Times New Roman"/>
                      <w:sz w:val="21"/>
                      <w:szCs w:val="21"/>
                      <w:u w:val="none"/>
                      <w:lang w:val="en-US" w:eastAsia="zh-CN"/>
                    </w:rPr>
                    <w:t>连续</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kern w:val="2"/>
                      <w:sz w:val="21"/>
                      <w:szCs w:val="21"/>
                      <w:u w:val="none"/>
                      <w:vertAlign w:val="baseline"/>
                      <w:lang w:val="en-US" w:eastAsia="zh-CN" w:bidi="ar-SA"/>
                    </w:rPr>
                  </w:pPr>
                  <w:r>
                    <w:rPr>
                      <w:rFonts w:hint="eastAsia" w:ascii="Times New Roman" w:hAnsi="Times New Roman" w:cs="Times New Roman"/>
                      <w:sz w:val="21"/>
                      <w:szCs w:val="21"/>
                      <w:u w:val="none"/>
                      <w:vertAlign w:val="baseline"/>
                      <w:lang w:val="en-US" w:eastAsia="zh-CN"/>
                    </w:rPr>
                    <w:t>6</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u w:val="none"/>
                      <w:vertAlign w:val="baseline"/>
                    </w:rPr>
                  </w:pPr>
                  <w:r>
                    <w:rPr>
                      <w:rFonts w:hint="default" w:ascii="Times New Roman" w:hAnsi="Times New Roman" w:cs="Times New Roman"/>
                      <w:sz w:val="21"/>
                      <w:szCs w:val="21"/>
                      <w:u w:val="none"/>
                      <w:vertAlign w:val="baseline"/>
                      <w:lang w:eastAsia="zh-CN"/>
                    </w:rPr>
                    <w:t>液压剪</w:t>
                  </w:r>
                </w:p>
              </w:tc>
              <w:tc>
                <w:tcPr>
                  <w:tcW w:w="590" w:type="pct"/>
                  <w:noWrap w:val="0"/>
                  <w:vAlign w:val="center"/>
                </w:tcPr>
                <w:p>
                  <w:pPr>
                    <w:spacing w:before="203" w:beforeLines="50"/>
                    <w:jc w:val="center"/>
                    <w:rPr>
                      <w:rFonts w:hint="default"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2台</w:t>
                  </w:r>
                </w:p>
              </w:tc>
              <w:tc>
                <w:tcPr>
                  <w:tcW w:w="616" w:type="pct"/>
                  <w:noWrap w:val="0"/>
                  <w:vAlign w:val="center"/>
                </w:tcPr>
                <w:p>
                  <w:pPr>
                    <w:spacing w:before="203" w:beforeLines="50"/>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80</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u w:val="none"/>
                      <w:lang w:val="en-US" w:eastAsia="zh-CN"/>
                    </w:rPr>
                  </w:pPr>
                  <w:r>
                    <w:rPr>
                      <w:rFonts w:hint="default" w:ascii="Times New Roman" w:hAnsi="Times New Roman" w:eastAsia="宋体" w:cs="Times New Roman"/>
                      <w:kern w:val="2"/>
                      <w:sz w:val="21"/>
                      <w:szCs w:val="21"/>
                      <w:u w:val="none"/>
                      <w:lang w:val="en-US" w:eastAsia="zh-CN" w:bidi="ar-SA"/>
                    </w:rPr>
                    <w:t>间歇</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kern w:val="2"/>
                      <w:sz w:val="21"/>
                      <w:szCs w:val="21"/>
                      <w:u w:val="none"/>
                      <w:vertAlign w:val="baseline"/>
                      <w:lang w:val="en-US" w:eastAsia="zh-CN" w:bidi="ar-SA"/>
                    </w:rPr>
                  </w:pPr>
                  <w:r>
                    <w:rPr>
                      <w:rFonts w:hint="eastAsia" w:cs="Times New Roman"/>
                      <w:sz w:val="21"/>
                      <w:szCs w:val="21"/>
                      <w:u w:val="none"/>
                      <w:vertAlign w:val="baseline"/>
                      <w:lang w:val="en-US" w:eastAsia="zh-CN"/>
                    </w:rPr>
                    <w:t>7</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u w:val="none"/>
                      <w:vertAlign w:val="baseline"/>
                    </w:rPr>
                  </w:pPr>
                  <w:r>
                    <w:rPr>
                      <w:rFonts w:hint="eastAsia"/>
                      <w:vertAlign w:val="baseline"/>
                    </w:rPr>
                    <w:t>轮胎拆卸设备</w:t>
                  </w:r>
                </w:p>
              </w:tc>
              <w:tc>
                <w:tcPr>
                  <w:tcW w:w="590" w:type="pct"/>
                  <w:noWrap w:val="0"/>
                  <w:vAlign w:val="center"/>
                </w:tcPr>
                <w:p>
                  <w:pPr>
                    <w:spacing w:before="203" w:beforeLines="50"/>
                    <w:jc w:val="center"/>
                    <w:rPr>
                      <w:rFonts w:hint="eastAsia"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2台</w:t>
                  </w:r>
                </w:p>
              </w:tc>
              <w:tc>
                <w:tcPr>
                  <w:tcW w:w="616" w:type="pct"/>
                  <w:noWrap w:val="0"/>
                  <w:vAlign w:val="center"/>
                </w:tcPr>
                <w:p>
                  <w:pPr>
                    <w:spacing w:before="203" w:beforeLines="50"/>
                    <w:jc w:val="center"/>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70</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1"/>
                      <w:szCs w:val="21"/>
                      <w:u w:val="none"/>
                      <w:lang w:val="en-US" w:eastAsia="zh-CN"/>
                    </w:rPr>
                  </w:pPr>
                  <w:r>
                    <w:rPr>
                      <w:rFonts w:hint="default" w:ascii="Times New Roman" w:hAnsi="Times New Roman" w:eastAsia="宋体" w:cs="Times New Roman"/>
                      <w:kern w:val="2"/>
                      <w:sz w:val="21"/>
                      <w:szCs w:val="21"/>
                      <w:u w:val="none"/>
                      <w:lang w:val="en-US" w:eastAsia="zh-CN" w:bidi="ar-SA"/>
                    </w:rPr>
                    <w:t>间歇</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lang w:val="en-US" w:eastAsia="zh-CN"/>
                    </w:rPr>
                  </w:pPr>
                  <w:r>
                    <w:rPr>
                      <w:rFonts w:hint="eastAsia" w:cs="Times New Roman"/>
                      <w:sz w:val="21"/>
                      <w:szCs w:val="21"/>
                      <w:u w:val="none"/>
                      <w:vertAlign w:val="baseline"/>
                      <w:lang w:val="en-US" w:eastAsia="zh-CN"/>
                    </w:rPr>
                    <w:t>8</w:t>
                  </w:r>
                </w:p>
              </w:tc>
              <w:tc>
                <w:tcPr>
                  <w:tcW w:w="104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rPr>
                  </w:pPr>
                  <w:r>
                    <w:rPr>
                      <w:rFonts w:hint="eastAsia"/>
                      <w:vertAlign w:val="baseline"/>
                    </w:rPr>
                    <w:t>金属压块机</w:t>
                  </w:r>
                </w:p>
              </w:tc>
              <w:tc>
                <w:tcPr>
                  <w:tcW w:w="590" w:type="pct"/>
                  <w:noWrap w:val="0"/>
                  <w:vAlign w:val="center"/>
                </w:tcPr>
                <w:p>
                  <w:pPr>
                    <w:spacing w:before="203" w:beforeLines="50"/>
                    <w:jc w:val="center"/>
                    <w:rPr>
                      <w:rFonts w:hint="default" w:ascii="Times New Roman" w:hAnsi="Times New Roman" w:cs="Times New Roman"/>
                      <w:sz w:val="21"/>
                      <w:szCs w:val="21"/>
                      <w:u w:val="none"/>
                      <w:vertAlign w:val="baseline"/>
                      <w:lang w:val="en-US" w:eastAsia="zh-CN"/>
                    </w:rPr>
                  </w:pPr>
                  <w:r>
                    <w:rPr>
                      <w:rFonts w:hint="eastAsia" w:cs="Times New Roman"/>
                      <w:sz w:val="21"/>
                      <w:szCs w:val="21"/>
                      <w:u w:val="none"/>
                      <w:vertAlign w:val="baseline"/>
                      <w:lang w:val="en-US" w:eastAsia="zh-CN"/>
                    </w:rPr>
                    <w:t>1台</w:t>
                  </w:r>
                </w:p>
              </w:tc>
              <w:tc>
                <w:tcPr>
                  <w:tcW w:w="616" w:type="pct"/>
                  <w:noWrap w:val="0"/>
                  <w:vAlign w:val="center"/>
                </w:tcPr>
                <w:p>
                  <w:pPr>
                    <w:spacing w:before="203" w:beforeLines="50"/>
                    <w:jc w:val="center"/>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75</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r>
                    <w:rPr>
                      <w:rFonts w:hint="default" w:ascii="Times New Roman" w:hAnsi="Times New Roman" w:eastAsia="宋体" w:cs="Times New Roman"/>
                      <w:kern w:val="2"/>
                      <w:sz w:val="21"/>
                      <w:szCs w:val="21"/>
                      <w:u w:val="none"/>
                      <w:lang w:val="en-US" w:eastAsia="zh-CN" w:bidi="ar-SA"/>
                    </w:rPr>
                    <w:t>间歇</w:t>
                  </w:r>
                </w:p>
              </w:tc>
              <w:tc>
                <w:tcPr>
                  <w:tcW w:w="916"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rPr>
                  </w:pPr>
                </w:p>
              </w:tc>
              <w:tc>
                <w:tcPr>
                  <w:tcW w:w="698"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1"/>
                      <w:szCs w:val="21"/>
                      <w:u w:val="none"/>
                      <w:vertAlign w:val="baseline"/>
                      <w:lang w:val="en-US" w:eastAsia="zh-CN"/>
                    </w:rPr>
                  </w:pPr>
                  <w:r>
                    <w:rPr>
                      <w:rFonts w:hint="eastAsia" w:ascii="Times New Roman" w:hAnsi="Times New Roman" w:cs="Times New Roman"/>
                      <w:sz w:val="21"/>
                      <w:szCs w:val="21"/>
                      <w:u w:val="none"/>
                      <w:vertAlign w:val="baseline"/>
                      <w:lang w:val="en-US" w:eastAsia="zh-CN"/>
                    </w:rPr>
                    <w:t>65</w:t>
                  </w:r>
                </w:p>
              </w:tc>
            </w:tr>
          </w:tbl>
          <w:p>
            <w:pPr>
              <w:pStyle w:val="14"/>
              <w:keepNext w:val="0"/>
              <w:keepLines w:val="0"/>
              <w:pageBreakBefore w:val="0"/>
              <w:widowControl/>
              <w:kinsoku/>
              <w:wordWrap/>
              <w:overflowPunct w:val="0"/>
              <w:topLinePunct w:val="0"/>
              <w:autoSpaceDE w:val="0"/>
              <w:autoSpaceDN w:val="0"/>
              <w:bidi w:val="0"/>
              <w:adjustRightInd w:val="0"/>
              <w:snapToGrid w:val="0"/>
              <w:spacing w:before="0" w:after="0"/>
              <w:ind w:left="0" w:leftChars="0" w:right="0"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根据《环境影响评价技术导则 声环境》（HJ2.4-2021）的技术要求，本次评价采取导则推荐模式，采用点声源预测模式。</w:t>
            </w:r>
          </w:p>
          <w:p>
            <w:pPr>
              <w:pStyle w:val="14"/>
              <w:keepNext w:val="0"/>
              <w:keepLines w:val="0"/>
              <w:pageBreakBefore w:val="0"/>
              <w:widowControl/>
              <w:numPr>
                <w:ilvl w:val="0"/>
                <w:numId w:val="0"/>
              </w:numPr>
              <w:kinsoku/>
              <w:wordWrap/>
              <w:overflowPunct w:val="0"/>
              <w:topLinePunct w:val="0"/>
              <w:autoSpaceDE w:val="0"/>
              <w:autoSpaceDN w:val="0"/>
              <w:bidi w:val="0"/>
              <w:adjustRightInd w:val="0"/>
              <w:snapToGrid w:val="0"/>
              <w:spacing w:before="0" w:after="0"/>
              <w:ind w:leftChars="0" w:right="0" w:rightChars="0" w:firstLine="480" w:firstLineChars="200"/>
              <w:textAlignment w:val="baseline"/>
              <w:rPr>
                <w:rFonts w:ascii="宋体" w:hAnsi="宋体" w:eastAsia="宋体" w:cs="宋体"/>
                <w:sz w:val="24"/>
                <w:szCs w:val="24"/>
              </w:rPr>
            </w:pPr>
            <w:r>
              <w:rPr>
                <w:rFonts w:hint="eastAsia" w:ascii="宋体" w:hAnsi="宋体" w:eastAsia="宋体" w:cs="宋体"/>
                <w:sz w:val="24"/>
                <w:szCs w:val="24"/>
                <w:lang w:eastAsia="zh-CN"/>
              </w:rPr>
              <w:t>①</w:t>
            </w:r>
            <w:r>
              <w:rPr>
                <w:rFonts w:ascii="宋体" w:hAnsi="宋体" w:eastAsia="宋体" w:cs="宋体"/>
                <w:sz w:val="24"/>
                <w:szCs w:val="24"/>
              </w:rPr>
              <w:t>声级计算</w:t>
            </w:r>
          </w:p>
          <w:p>
            <w:pPr>
              <w:pStyle w:val="14"/>
              <w:keepNext w:val="0"/>
              <w:keepLines w:val="0"/>
              <w:pageBreakBefore w:val="0"/>
              <w:widowControl/>
              <w:numPr>
                <w:ilvl w:val="0"/>
                <w:numId w:val="0"/>
              </w:numPr>
              <w:kinsoku/>
              <w:wordWrap/>
              <w:overflowPunct w:val="0"/>
              <w:topLinePunct w:val="0"/>
              <w:autoSpaceDE w:val="0"/>
              <w:autoSpaceDN w:val="0"/>
              <w:bidi w:val="0"/>
              <w:adjustRightInd w:val="0"/>
              <w:snapToGrid w:val="0"/>
              <w:spacing w:before="0" w:after="0"/>
              <w:ind w:leftChars="0" w:right="0" w:rightChars="0" w:firstLine="480" w:firstLineChars="200"/>
              <w:textAlignment w:val="baseline"/>
              <w:rPr>
                <w:rFonts w:ascii="宋体" w:hAnsi="宋体" w:eastAsia="宋体" w:cs="宋体"/>
                <w:sz w:val="24"/>
                <w:szCs w:val="24"/>
              </w:rPr>
            </w:pPr>
            <w:r>
              <w:rPr>
                <w:rFonts w:ascii="宋体" w:hAnsi="宋体" w:eastAsia="宋体" w:cs="宋体"/>
                <w:sz w:val="24"/>
                <w:szCs w:val="24"/>
              </w:rPr>
              <w:t>建设项目声源在预测点产生的等效声级贡献值</w:t>
            </w:r>
            <w:r>
              <w:rPr>
                <w:rFonts w:hint="default" w:ascii="Times New Roman" w:hAnsi="Times New Roman" w:eastAsia="宋体" w:cs="Times New Roman"/>
                <w:sz w:val="24"/>
                <w:szCs w:val="24"/>
              </w:rPr>
              <w:t>（L</w:t>
            </w:r>
            <w:r>
              <w:rPr>
                <w:rFonts w:hint="default" w:ascii="Times New Roman" w:hAnsi="Times New Roman" w:eastAsia="宋体" w:cs="Times New Roman"/>
                <w:sz w:val="24"/>
                <w:szCs w:val="24"/>
                <w:vertAlign w:val="subscript"/>
              </w:rPr>
              <w:t>eqg</w:t>
            </w:r>
            <w:r>
              <w:rPr>
                <w:rFonts w:hint="default" w:ascii="Times New Roman" w:hAnsi="Times New Roman" w:eastAsia="宋体" w:cs="Times New Roman"/>
                <w:sz w:val="24"/>
                <w:szCs w:val="24"/>
              </w:rPr>
              <w:t>）</w:t>
            </w:r>
            <w:r>
              <w:rPr>
                <w:rFonts w:ascii="宋体" w:hAnsi="宋体" w:eastAsia="宋体" w:cs="宋体"/>
                <w:sz w:val="24"/>
                <w:szCs w:val="24"/>
              </w:rPr>
              <w:t>计算公式：</w:t>
            </w:r>
          </w:p>
          <w:p>
            <w:pPr>
              <w:pStyle w:val="14"/>
              <w:numPr>
                <w:ilvl w:val="0"/>
                <w:numId w:val="0"/>
              </w:numPr>
              <w:ind w:left="659" w:leftChars="0" w:right="113" w:rightChars="0"/>
              <w:rPr>
                <w:rFonts w:ascii="宋体" w:hAnsi="宋体" w:eastAsia="宋体" w:cs="宋体"/>
                <w:sz w:val="24"/>
                <w:szCs w:val="24"/>
              </w:rPr>
            </w:pPr>
          </w:p>
          <w:p>
            <w:pPr>
              <w:pStyle w:val="14"/>
              <w:keepNext w:val="0"/>
              <w:keepLines w:val="0"/>
              <w:pageBreakBefore w:val="0"/>
              <w:numPr>
                <w:ilvl w:val="0"/>
                <w:numId w:val="0"/>
              </w:numPr>
              <w:kinsoku/>
              <w:wordWrap/>
              <w:topLinePunct w:val="0"/>
              <w:bidi w:val="0"/>
              <w:spacing w:before="0" w:after="0"/>
              <w:ind w:right="0" w:rightChars="0" w:firstLine="840" w:firstLineChars="300"/>
              <w:rPr>
                <w:rFonts w:ascii="宋体" w:hAnsi="宋体" w:eastAsia="宋体" w:cs="宋体"/>
                <w:sz w:val="24"/>
                <w:szCs w:val="24"/>
              </w:rPr>
            </w:pPr>
            <w:r>
              <w:drawing>
                <wp:anchor distT="0" distB="0" distL="114300" distR="114300" simplePos="0" relativeHeight="251663360" behindDoc="1" locked="0" layoutInCell="1" allowOverlap="1">
                  <wp:simplePos x="0" y="0"/>
                  <wp:positionH relativeFrom="column">
                    <wp:posOffset>497205</wp:posOffset>
                  </wp:positionH>
                  <wp:positionV relativeFrom="paragraph">
                    <wp:posOffset>-21590</wp:posOffset>
                  </wp:positionV>
                  <wp:extent cx="3190875" cy="933450"/>
                  <wp:effectExtent l="0" t="0" r="9525" b="0"/>
                  <wp:wrapNone/>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26"/>
                          <a:stretch>
                            <a:fillRect/>
                          </a:stretch>
                        </pic:blipFill>
                        <pic:spPr>
                          <a:xfrm>
                            <a:off x="0" y="0"/>
                            <a:ext cx="3190875" cy="933450"/>
                          </a:xfrm>
                          <a:prstGeom prst="rect">
                            <a:avLst/>
                          </a:prstGeom>
                          <a:noFill/>
                          <a:ln>
                            <a:noFill/>
                          </a:ln>
                        </pic:spPr>
                      </pic:pic>
                    </a:graphicData>
                  </a:graphic>
                </wp:anchor>
              </w:drawing>
            </w:r>
          </w:p>
          <w:p>
            <w:pPr>
              <w:bidi w:val="0"/>
            </w:pPr>
          </w:p>
          <w:p>
            <w:pPr>
              <w:bidi w:val="0"/>
            </w:pPr>
          </w:p>
          <w:p>
            <w:pPr>
              <w:pStyle w:val="14"/>
              <w:keepNext w:val="0"/>
              <w:keepLines w:val="0"/>
              <w:pageBreakBefore w:val="0"/>
              <w:numPr>
                <w:ilvl w:val="0"/>
                <w:numId w:val="0"/>
              </w:numPr>
              <w:kinsoku/>
              <w:wordWrap/>
              <w:topLinePunct w:val="0"/>
              <w:bidi w:val="0"/>
              <w:spacing w:before="0" w:after="0"/>
              <w:ind w:right="0" w:rightChars="0"/>
              <w:rPr>
                <w:rFonts w:ascii="宋体" w:hAnsi="宋体" w:eastAsia="宋体" w:cs="宋体"/>
                <w:sz w:val="24"/>
                <w:szCs w:val="24"/>
              </w:rPr>
            </w:pPr>
          </w:p>
          <w:p>
            <w:pPr>
              <w:pStyle w:val="14"/>
              <w:keepNext w:val="0"/>
              <w:keepLines w:val="0"/>
              <w:pageBreakBefore w:val="0"/>
              <w:numPr>
                <w:ilvl w:val="0"/>
                <w:numId w:val="0"/>
              </w:numPr>
              <w:kinsoku/>
              <w:wordWrap/>
              <w:topLinePunct w:val="0"/>
              <w:bidi w:val="0"/>
              <w:spacing w:before="0" w:after="0"/>
              <w:ind w:right="0" w:rightChars="0" w:firstLine="720" w:firstLineChars="300"/>
              <w:rPr>
                <w:rFonts w:ascii="宋体" w:hAnsi="宋体" w:eastAsia="宋体" w:cs="宋体"/>
                <w:sz w:val="24"/>
                <w:szCs w:val="24"/>
              </w:rPr>
            </w:pPr>
            <w:r>
              <w:rPr>
                <w:rFonts w:ascii="宋体" w:hAnsi="宋体" w:eastAsia="宋体" w:cs="宋体"/>
                <w:sz w:val="24"/>
                <w:szCs w:val="24"/>
              </w:rPr>
              <w:t>式中：</w:t>
            </w:r>
          </w:p>
          <w:p>
            <w:pPr>
              <w:pStyle w:val="14"/>
              <w:keepNext w:val="0"/>
              <w:keepLines w:val="0"/>
              <w:pageBreakBefore w:val="0"/>
              <w:numPr>
                <w:ilvl w:val="0"/>
                <w:numId w:val="0"/>
              </w:numPr>
              <w:kinsoku/>
              <w:wordWrap/>
              <w:topLinePunct w:val="0"/>
              <w:bidi w:val="0"/>
              <w:spacing w:before="0" w:after="0"/>
              <w:ind w:left="0" w:leftChars="0" w:right="0" w:righ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L</w:t>
            </w:r>
            <w:r>
              <w:rPr>
                <w:rFonts w:hint="default" w:ascii="Times New Roman" w:hAnsi="Times New Roman" w:eastAsia="宋体" w:cs="Times New Roman"/>
                <w:sz w:val="24"/>
                <w:szCs w:val="24"/>
                <w:vertAlign w:val="subscript"/>
              </w:rPr>
              <w:t>eqg</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噪声</w:t>
            </w:r>
            <w:r>
              <w:rPr>
                <w:rFonts w:hint="default" w:ascii="Times New Roman" w:hAnsi="Times New Roman" w:eastAsia="宋体" w:cs="Times New Roman"/>
                <w:sz w:val="24"/>
                <w:szCs w:val="24"/>
              </w:rPr>
              <w:t>贡献值，dB；</w:t>
            </w:r>
          </w:p>
          <w:p>
            <w:pPr>
              <w:pStyle w:val="14"/>
              <w:keepNext w:val="0"/>
              <w:keepLines w:val="0"/>
              <w:pageBreakBefore w:val="0"/>
              <w:numPr>
                <w:ilvl w:val="0"/>
                <w:numId w:val="0"/>
              </w:numPr>
              <w:kinsoku/>
              <w:wordWrap/>
              <w:topLinePunct w:val="0"/>
              <w:bidi w:val="0"/>
              <w:spacing w:before="0" w:after="0"/>
              <w:ind w:left="0" w:leftChars="0" w:right="0" w:righ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L</w:t>
            </w:r>
            <w:r>
              <w:rPr>
                <w:rFonts w:hint="default" w:ascii="Times New Roman" w:hAnsi="Times New Roman" w:eastAsia="宋体" w:cs="Times New Roman"/>
                <w:sz w:val="24"/>
                <w:szCs w:val="24"/>
                <w:vertAlign w:val="subscript"/>
              </w:rPr>
              <w:t xml:space="preserve">Ai </w:t>
            </w:r>
            <w:r>
              <w:rPr>
                <w:rFonts w:hint="default" w:ascii="Times New Roman" w:hAnsi="Times New Roman" w:eastAsia="宋体" w:cs="Times New Roman"/>
                <w:sz w:val="24"/>
                <w:szCs w:val="24"/>
              </w:rPr>
              <w:t>---i声源在预测点产生的</w:t>
            </w:r>
            <w:r>
              <w:rPr>
                <w:rFonts w:hint="eastAsia" w:ascii="Times New Roman" w:hAnsi="Times New Roman" w:eastAsia="宋体" w:cs="Times New Roman"/>
                <w:sz w:val="24"/>
                <w:szCs w:val="24"/>
                <w:lang w:eastAsia="zh-CN"/>
              </w:rPr>
              <w:t>等效连续</w:t>
            </w:r>
            <w:r>
              <w:rPr>
                <w:rFonts w:hint="default" w:ascii="Times New Roman" w:hAnsi="Times New Roman" w:eastAsia="宋体" w:cs="Times New Roman"/>
                <w:sz w:val="24"/>
                <w:szCs w:val="24"/>
              </w:rPr>
              <w:t>A声级，dB；</w:t>
            </w:r>
          </w:p>
          <w:p>
            <w:pPr>
              <w:pStyle w:val="14"/>
              <w:keepNext w:val="0"/>
              <w:keepLines w:val="0"/>
              <w:pageBreakBefore w:val="0"/>
              <w:numPr>
                <w:ilvl w:val="0"/>
                <w:numId w:val="0"/>
              </w:numPr>
              <w:kinsoku/>
              <w:wordWrap/>
              <w:topLinePunct w:val="0"/>
              <w:bidi w:val="0"/>
              <w:spacing w:before="0" w:after="0"/>
              <w:ind w:left="0" w:leftChars="0" w:right="0" w:rightChars="0"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T ---预测计算的时间段，s；</w:t>
            </w:r>
          </w:p>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cs="Times New Roman"/>
                <w:sz w:val="24"/>
                <w:szCs w:val="24"/>
              </w:rPr>
            </w:pPr>
            <w:r>
              <w:rPr>
                <w:rFonts w:hint="default" w:ascii="Times New Roman" w:hAnsi="Times New Roman" w:eastAsia="宋体" w:cs="Times New Roman"/>
                <w:sz w:val="24"/>
                <w:szCs w:val="24"/>
              </w:rPr>
              <w:t xml:space="preserve"> t</w:t>
            </w:r>
            <w:r>
              <w:rPr>
                <w:rFonts w:hint="default" w:ascii="Times New Roman" w:hAnsi="Times New Roman" w:eastAsia="宋体" w:cs="Times New Roman"/>
                <w:sz w:val="24"/>
                <w:szCs w:val="24"/>
                <w:vertAlign w:val="subscript"/>
              </w:rPr>
              <w:t>i</w:t>
            </w:r>
            <w:r>
              <w:rPr>
                <w:rFonts w:hint="default" w:ascii="Times New Roman" w:hAnsi="Times New Roman" w:eastAsia="宋体" w:cs="Times New Roman"/>
                <w:sz w:val="24"/>
                <w:szCs w:val="24"/>
              </w:rPr>
              <w:t xml:space="preserve"> ---i声源在T时段内的运行时间，s。</w:t>
            </w:r>
          </w:p>
          <w:p>
            <w:pPr>
              <w:pStyle w:val="14"/>
              <w:numPr>
                <w:ilvl w:val="0"/>
                <w:numId w:val="0"/>
              </w:numPr>
              <w:ind w:left="659" w:leftChars="0" w:right="113" w:rightChars="0"/>
              <w:rPr>
                <w:rFonts w:ascii="宋体" w:hAnsi="宋体" w:eastAsia="宋体" w:cs="宋体"/>
                <w:sz w:val="24"/>
                <w:szCs w:val="24"/>
              </w:rPr>
            </w:pPr>
            <w:r>
              <w:rPr>
                <w:rFonts w:hint="default" w:ascii="Times New Roman" w:hAnsi="Times New Roman" w:eastAsia="宋体" w:cs="Times New Roman"/>
                <w:sz w:val="24"/>
                <w:szCs w:val="24"/>
              </w:rPr>
              <w:t>②预测点的预测等效声级（L</w:t>
            </w:r>
            <w:r>
              <w:rPr>
                <w:rFonts w:hint="default" w:ascii="Times New Roman" w:hAnsi="Times New Roman" w:eastAsia="宋体" w:cs="Times New Roman"/>
                <w:sz w:val="24"/>
                <w:szCs w:val="24"/>
                <w:vertAlign w:val="subscript"/>
              </w:rPr>
              <w:t>eq</w:t>
            </w:r>
            <w:r>
              <w:rPr>
                <w:rFonts w:hint="default" w:ascii="Times New Roman" w:hAnsi="Times New Roman" w:eastAsia="宋体" w:cs="Times New Roman"/>
                <w:sz w:val="24"/>
                <w:szCs w:val="24"/>
              </w:rPr>
              <w:t>）计算公式： </w:t>
            </w:r>
            <w:r>
              <w:rPr>
                <w:rFonts w:ascii="宋体" w:hAnsi="宋体" w:eastAsia="宋体" w:cs="宋体"/>
                <w:sz w:val="24"/>
                <w:szCs w:val="24"/>
              </w:rPr>
              <w:t xml:space="preserve"> </w:t>
            </w:r>
          </w:p>
          <w:p>
            <w:pPr>
              <w:pStyle w:val="14"/>
              <w:numPr>
                <w:ilvl w:val="0"/>
                <w:numId w:val="0"/>
              </w:numPr>
              <w:ind w:right="113" w:rightChars="0"/>
              <w:rPr>
                <w:rFonts w:ascii="宋体" w:hAnsi="宋体" w:eastAsia="宋体" w:cs="宋体"/>
                <w:sz w:val="24"/>
                <w:szCs w:val="24"/>
              </w:rPr>
            </w:pPr>
            <w:r>
              <w:rPr>
                <w:rFonts w:hint="default" w:ascii="Times New Roman" w:hAnsi="Times New Roman" w:cs="Times New Roman"/>
                <w:sz w:val="24"/>
                <w:szCs w:val="24"/>
              </w:rPr>
              <w:drawing>
                <wp:anchor distT="0" distB="0" distL="114300" distR="114300" simplePos="0" relativeHeight="251664384" behindDoc="1" locked="0" layoutInCell="1" allowOverlap="1">
                  <wp:simplePos x="0" y="0"/>
                  <wp:positionH relativeFrom="column">
                    <wp:posOffset>924560</wp:posOffset>
                  </wp:positionH>
                  <wp:positionV relativeFrom="paragraph">
                    <wp:posOffset>31750</wp:posOffset>
                  </wp:positionV>
                  <wp:extent cx="3076575" cy="685800"/>
                  <wp:effectExtent l="0" t="0" r="9525" b="0"/>
                  <wp:wrapNone/>
                  <wp:docPr id="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27"/>
                          <a:stretch>
                            <a:fillRect/>
                          </a:stretch>
                        </pic:blipFill>
                        <pic:spPr>
                          <a:xfrm>
                            <a:off x="0" y="0"/>
                            <a:ext cx="3076575" cy="685800"/>
                          </a:xfrm>
                          <a:prstGeom prst="rect">
                            <a:avLst/>
                          </a:prstGeom>
                          <a:noFill/>
                          <a:ln>
                            <a:noFill/>
                          </a:ln>
                        </pic:spPr>
                      </pic:pic>
                    </a:graphicData>
                  </a:graphic>
                </wp:anchor>
              </w:drawing>
            </w:r>
          </w:p>
          <w:p>
            <w:pPr>
              <w:pStyle w:val="25"/>
            </w:pPr>
          </w:p>
          <w:p/>
          <w:p>
            <w:pPr>
              <w:pStyle w:val="14"/>
              <w:keepNext w:val="0"/>
              <w:keepLines w:val="0"/>
              <w:pageBreakBefore w:val="0"/>
              <w:widowControl/>
              <w:numPr>
                <w:ilvl w:val="0"/>
                <w:numId w:val="0"/>
              </w:numPr>
              <w:kinsoku/>
              <w:wordWrap/>
              <w:overflowPunct w:val="0"/>
              <w:topLinePunct w:val="0"/>
              <w:autoSpaceDE w:val="0"/>
              <w:autoSpaceDN w:val="0"/>
              <w:bidi w:val="0"/>
              <w:adjustRightInd w:val="0"/>
              <w:snapToGrid w:val="0"/>
              <w:spacing w:before="0" w:after="0"/>
              <w:ind w:left="658" w:leftChars="0" w:right="113" w:rightChars="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式中： </w:t>
            </w:r>
          </w:p>
          <w:p>
            <w:pPr>
              <w:pStyle w:val="14"/>
              <w:keepNext w:val="0"/>
              <w:keepLines w:val="0"/>
              <w:pageBreakBefore w:val="0"/>
              <w:widowControl/>
              <w:numPr>
                <w:ilvl w:val="0"/>
                <w:numId w:val="0"/>
              </w:numPr>
              <w:kinsoku/>
              <w:wordWrap/>
              <w:overflowPunct w:val="0"/>
              <w:topLinePunct w:val="0"/>
              <w:autoSpaceDE w:val="0"/>
              <w:autoSpaceDN w:val="0"/>
              <w:bidi w:val="0"/>
              <w:adjustRightInd w:val="0"/>
              <w:snapToGrid w:val="0"/>
              <w:spacing w:before="0" w:after="0"/>
              <w:ind w:left="658" w:leftChars="0" w:right="113" w:rightChars="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w:t>
            </w:r>
            <w:r>
              <w:rPr>
                <w:rFonts w:hint="default" w:ascii="Times New Roman" w:hAnsi="Times New Roman" w:eastAsia="宋体" w:cs="Times New Roman"/>
                <w:sz w:val="24"/>
                <w:szCs w:val="24"/>
                <w:vertAlign w:val="subscript"/>
              </w:rPr>
              <w:t>eq</w:t>
            </w:r>
            <w:r>
              <w:rPr>
                <w:rFonts w:hint="default" w:ascii="Times New Roman" w:hAnsi="Times New Roman" w:eastAsia="宋体" w:cs="Times New Roman"/>
                <w:sz w:val="24"/>
                <w:szCs w:val="24"/>
              </w:rPr>
              <w:t>---预测点的</w:t>
            </w:r>
            <w:r>
              <w:rPr>
                <w:rFonts w:hint="eastAsia" w:ascii="Times New Roman" w:hAnsi="Times New Roman" w:eastAsia="宋体" w:cs="Times New Roman"/>
                <w:sz w:val="24"/>
                <w:szCs w:val="24"/>
                <w:lang w:eastAsia="zh-CN"/>
              </w:rPr>
              <w:t>噪声预测值</w:t>
            </w:r>
            <w:r>
              <w:rPr>
                <w:rFonts w:hint="default" w:ascii="Times New Roman" w:hAnsi="Times New Roman" w:eastAsia="宋体" w:cs="Times New Roman"/>
                <w:sz w:val="24"/>
                <w:szCs w:val="24"/>
              </w:rPr>
              <w:t>，dB；</w:t>
            </w:r>
          </w:p>
          <w:p>
            <w:pPr>
              <w:pStyle w:val="14"/>
              <w:keepNext w:val="0"/>
              <w:keepLines w:val="0"/>
              <w:pageBreakBefore w:val="0"/>
              <w:widowControl/>
              <w:numPr>
                <w:ilvl w:val="0"/>
                <w:numId w:val="0"/>
              </w:numPr>
              <w:kinsoku/>
              <w:wordWrap/>
              <w:overflowPunct w:val="0"/>
              <w:topLinePunct w:val="0"/>
              <w:autoSpaceDE w:val="0"/>
              <w:autoSpaceDN w:val="0"/>
              <w:bidi w:val="0"/>
              <w:adjustRightInd w:val="0"/>
              <w:snapToGrid w:val="0"/>
              <w:spacing w:before="0" w:after="0"/>
              <w:ind w:left="658" w:leftChars="0" w:right="113" w:rightChars="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w:t>
            </w:r>
            <w:r>
              <w:rPr>
                <w:rFonts w:hint="default" w:ascii="Times New Roman" w:hAnsi="Times New Roman" w:eastAsia="宋体" w:cs="Times New Roman"/>
                <w:sz w:val="24"/>
                <w:szCs w:val="24"/>
                <w:vertAlign w:val="subscript"/>
              </w:rPr>
              <w:t>eqg</w:t>
            </w:r>
            <w:r>
              <w:rPr>
                <w:rFonts w:hint="default" w:ascii="Times New Roman" w:hAnsi="Times New Roman" w:eastAsia="宋体" w:cs="Times New Roman"/>
                <w:sz w:val="24"/>
                <w:szCs w:val="24"/>
              </w:rPr>
              <w:t>---建设项目声源在预测点</w:t>
            </w:r>
            <w:r>
              <w:rPr>
                <w:rFonts w:hint="eastAsia" w:ascii="Times New Roman" w:hAnsi="Times New Roman" w:eastAsia="宋体" w:cs="Times New Roman"/>
                <w:sz w:val="24"/>
                <w:szCs w:val="24"/>
                <w:lang w:eastAsia="zh-CN"/>
              </w:rPr>
              <w:t>产生的噪声</w:t>
            </w:r>
            <w:r>
              <w:rPr>
                <w:rFonts w:hint="default" w:ascii="Times New Roman" w:hAnsi="Times New Roman" w:eastAsia="宋体" w:cs="Times New Roman"/>
                <w:sz w:val="24"/>
                <w:szCs w:val="24"/>
              </w:rPr>
              <w:t>贡献值，dB；</w:t>
            </w:r>
          </w:p>
          <w:p>
            <w:pPr>
              <w:pStyle w:val="14"/>
              <w:keepNext w:val="0"/>
              <w:keepLines w:val="0"/>
              <w:pageBreakBefore w:val="0"/>
              <w:widowControl/>
              <w:numPr>
                <w:ilvl w:val="0"/>
                <w:numId w:val="0"/>
              </w:numPr>
              <w:kinsoku/>
              <w:wordWrap/>
              <w:overflowPunct w:val="0"/>
              <w:topLinePunct w:val="0"/>
              <w:autoSpaceDE w:val="0"/>
              <w:autoSpaceDN w:val="0"/>
              <w:bidi w:val="0"/>
              <w:adjustRightInd w:val="0"/>
              <w:snapToGrid w:val="0"/>
              <w:spacing w:before="0" w:after="0"/>
              <w:ind w:left="658" w:leftChars="0" w:right="113" w:rightChars="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L</w:t>
            </w:r>
            <w:r>
              <w:rPr>
                <w:rFonts w:hint="default" w:ascii="Times New Roman" w:hAnsi="Times New Roman" w:eastAsia="宋体" w:cs="Times New Roman"/>
                <w:sz w:val="24"/>
                <w:szCs w:val="24"/>
                <w:vertAlign w:val="subscript"/>
              </w:rPr>
              <w:t>eqb</w:t>
            </w:r>
            <w:r>
              <w:rPr>
                <w:rFonts w:hint="default" w:ascii="Times New Roman" w:hAnsi="Times New Roman" w:eastAsia="宋体" w:cs="Times New Roman"/>
                <w:sz w:val="24"/>
                <w:szCs w:val="24"/>
              </w:rPr>
              <w:t>---预测点的背景</w:t>
            </w:r>
            <w:r>
              <w:rPr>
                <w:rFonts w:hint="eastAsia" w:ascii="Times New Roman" w:hAnsi="Times New Roman" w:eastAsia="宋体" w:cs="Times New Roman"/>
                <w:sz w:val="24"/>
                <w:szCs w:val="24"/>
                <w:lang w:eastAsia="zh-CN"/>
              </w:rPr>
              <w:t>噪声</w:t>
            </w:r>
            <w:r>
              <w:rPr>
                <w:rFonts w:hint="default" w:ascii="Times New Roman" w:hAnsi="Times New Roman" w:eastAsia="宋体" w:cs="Times New Roman"/>
                <w:sz w:val="24"/>
                <w:szCs w:val="24"/>
              </w:rPr>
              <w:t>值，dB。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ascii="宋体" w:hAnsi="宋体" w:eastAsia="宋体" w:cs="宋体"/>
                <w:sz w:val="24"/>
                <w:szCs w:val="24"/>
              </w:rPr>
              <w:t xml:space="preserve"> </w:t>
            </w:r>
            <w:r>
              <w:rPr>
                <w:rFonts w:hint="default" w:ascii="Times New Roman" w:hAnsi="Times New Roman" w:eastAsia="宋体" w:cs="Times New Roman"/>
                <w:sz w:val="24"/>
                <w:szCs w:val="24"/>
              </w:rPr>
              <w:t>项目工程工艺特点，主要考虑厂房的隔声、建筑物放射等因素，一般厂房隔声L=10～15dB（A），隔声处理厂房L=15～20 dB（A），围墙L=5～10dB（A）；综合上述因素，L=</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0dB（A）。根据噪声的传播规律可知，从噪声源至受声点的噪声衰减总量是由噪声源到受声点的距离、墙体隔声量、空气吸收和绿化带阻滞及建筑屏障的衰减综合而成。选用点声源衰减模式进行预测，本项目设备噪声值及其通过距离衰减到厂界处贡献值见下表。</w:t>
            </w:r>
          </w:p>
          <w:p>
            <w:pPr>
              <w:pStyle w:val="25"/>
              <w:jc w:val="center"/>
              <w:rPr>
                <w:rFonts w:hint="eastAsia"/>
                <w:b/>
                <w:bCs/>
                <w:sz w:val="21"/>
                <w:szCs w:val="21"/>
                <w:u w:val="none" w:color="auto"/>
              </w:rPr>
            </w:pPr>
            <w:r>
              <w:rPr>
                <w:rFonts w:hint="eastAsia"/>
                <w:sz w:val="21"/>
                <w:szCs w:val="21"/>
                <w:u w:val="none" w:color="auto"/>
                <w:lang w:val="en-US" w:eastAsia="zh-CN"/>
              </w:rPr>
              <w:t xml:space="preserve"> </w:t>
            </w:r>
            <w:r>
              <w:rPr>
                <w:rFonts w:hint="eastAsia"/>
                <w:b/>
                <w:bCs/>
                <w:sz w:val="21"/>
                <w:szCs w:val="21"/>
                <w:u w:val="none" w:color="auto"/>
                <w:lang w:val="en-US" w:eastAsia="zh-CN"/>
              </w:rPr>
              <w:t xml:space="preserve">表4-12 </w:t>
            </w:r>
            <w:r>
              <w:rPr>
                <w:rFonts w:hint="eastAsia"/>
                <w:b/>
                <w:bCs/>
                <w:sz w:val="21"/>
                <w:szCs w:val="21"/>
                <w:u w:val="none" w:color="auto"/>
              </w:rPr>
              <w:t>噪声源强治理后贡献值</w:t>
            </w:r>
          </w:p>
          <w:tbl>
            <w:tblPr>
              <w:tblStyle w:val="1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126"/>
              <w:gridCol w:w="1336"/>
              <w:gridCol w:w="1431"/>
              <w:gridCol w:w="1004"/>
              <w:gridCol w:w="778"/>
              <w:gridCol w:w="741"/>
              <w:gridCol w:w="916"/>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序号</w:t>
                  </w:r>
                </w:p>
              </w:tc>
              <w:tc>
                <w:tcPr>
                  <w:tcW w:w="664"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噪声源</w:t>
                  </w:r>
                </w:p>
              </w:tc>
              <w:tc>
                <w:tcPr>
                  <w:tcW w:w="788"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降噪后声级压级dB（A）</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1"/>
                      <w:szCs w:val="21"/>
                      <w:u w:val="none" w:color="auto"/>
                    </w:rPr>
                  </w:pPr>
                  <w:r>
                    <w:rPr>
                      <w:rFonts w:hint="default" w:ascii="Times New Roman" w:hAnsi="Times New Roman" w:cs="Times New Roman"/>
                      <w:sz w:val="21"/>
                      <w:szCs w:val="21"/>
                      <w:u w:val="none" w:color="auto"/>
                    </w:rPr>
                    <w:t>预测参数</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eastAsia="zh-CN"/>
                    </w:rPr>
                    <w:t>西</w:t>
                  </w:r>
                  <w:r>
                    <w:rPr>
                      <w:rFonts w:hint="default" w:ascii="Times New Roman" w:hAnsi="Times New Roman" w:cs="Times New Roman"/>
                      <w:color w:val="auto"/>
                      <w:sz w:val="21"/>
                      <w:szCs w:val="21"/>
                      <w:u w:val="none" w:color="auto"/>
                    </w:rPr>
                    <w:t>南侧居民点</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厂界</w:t>
                  </w:r>
                  <w:r>
                    <w:rPr>
                      <w:rFonts w:hint="default" w:ascii="Times New Roman" w:hAnsi="Times New Roman" w:cs="Times New Roman"/>
                      <w:color w:val="auto"/>
                      <w:sz w:val="21"/>
                      <w:szCs w:val="21"/>
                      <w:u w:val="none" w:color="auto"/>
                    </w:rPr>
                    <w:t>东侧</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厂界</w:t>
                  </w:r>
                  <w:r>
                    <w:rPr>
                      <w:rFonts w:hint="default" w:ascii="Times New Roman" w:hAnsi="Times New Roman" w:cs="Times New Roman"/>
                      <w:color w:val="auto"/>
                      <w:sz w:val="21"/>
                      <w:szCs w:val="21"/>
                      <w:u w:val="none" w:color="auto"/>
                    </w:rPr>
                    <w:t>南侧</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1"/>
                      <w:szCs w:val="21"/>
                      <w:u w:val="none" w:color="auto"/>
                    </w:rPr>
                  </w:pPr>
                  <w:r>
                    <w:rPr>
                      <w:rFonts w:hint="eastAsia" w:ascii="Times New Roman" w:hAnsi="Times New Roman" w:cs="Times New Roman"/>
                      <w:sz w:val="21"/>
                      <w:szCs w:val="21"/>
                      <w:u w:val="none" w:color="auto"/>
                      <w:lang w:val="en-US" w:eastAsia="zh-CN"/>
                    </w:rPr>
                    <w:t>厂界</w:t>
                  </w:r>
                  <w:r>
                    <w:rPr>
                      <w:rFonts w:hint="default" w:ascii="Times New Roman" w:hAnsi="Times New Roman" w:cs="Times New Roman"/>
                      <w:sz w:val="21"/>
                      <w:szCs w:val="21"/>
                      <w:u w:val="none" w:color="auto"/>
                    </w:rPr>
                    <w:t>西侧</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1"/>
                      <w:szCs w:val="21"/>
                      <w:u w:val="none" w:color="auto"/>
                    </w:rPr>
                  </w:pPr>
                  <w:r>
                    <w:rPr>
                      <w:rFonts w:hint="eastAsia" w:ascii="Times New Roman" w:hAnsi="Times New Roman" w:cs="Times New Roman"/>
                      <w:sz w:val="21"/>
                      <w:szCs w:val="21"/>
                      <w:u w:val="none" w:color="auto"/>
                      <w:lang w:val="en-US" w:eastAsia="zh-CN"/>
                    </w:rPr>
                    <w:t>厂界</w:t>
                  </w:r>
                  <w:r>
                    <w:rPr>
                      <w:rFonts w:hint="default" w:ascii="Times New Roman" w:hAnsi="Times New Roman" w:cs="Times New Roman"/>
                      <w:sz w:val="21"/>
                      <w:szCs w:val="21"/>
                      <w:u w:val="none" w:color="auto"/>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r>
                    <w:rPr>
                      <w:szCs w:val="21"/>
                      <w:u w:val="none" w:color="auto"/>
                    </w:rPr>
                    <w:t>1</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u w:val="none" w:color="auto"/>
                    </w:rPr>
                  </w:pPr>
                  <w:r>
                    <w:rPr>
                      <w:rFonts w:hint="eastAsia"/>
                      <w:u w:val="none"/>
                      <w:vertAlign w:val="baseline"/>
                    </w:rPr>
                    <w:t>安全气囊引爆</w:t>
                  </w:r>
                  <w:r>
                    <w:rPr>
                      <w:rFonts w:hint="eastAsia"/>
                      <w:vertAlign w:val="baseline"/>
                    </w:rPr>
                    <w:t>装置</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r>
                    <w:rPr>
                      <w:rFonts w:hint="eastAsia" w:ascii="Times New Roman" w:hAnsi="Times New Roman" w:cs="Times New Roman"/>
                      <w:sz w:val="21"/>
                      <w:szCs w:val="21"/>
                      <w:u w:val="none"/>
                      <w:vertAlign w:val="baseline"/>
                      <w:lang w:val="en-US" w:eastAsia="zh-CN"/>
                    </w:rPr>
                    <w:t>80</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134</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140</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108</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42</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u w:val="none"/>
                      <w:lang w:val="en-US" w:eastAsia="zh-CN" w:bidi="ar-SA"/>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38.52</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38.14</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40.39</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48.56</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54.88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r>
                    <w:rPr>
                      <w:szCs w:val="21"/>
                      <w:u w:val="none" w:color="auto"/>
                    </w:rPr>
                    <w:t>2</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default" w:ascii="Times New Roman" w:hAnsi="Times New Roman" w:cs="Times New Roman"/>
                      <w:sz w:val="21"/>
                      <w:szCs w:val="21"/>
                      <w:u w:val="none"/>
                      <w:vertAlign w:val="baseline"/>
                      <w:lang w:eastAsia="zh-CN"/>
                    </w:rPr>
                    <w:t>油液抽排</w:t>
                  </w:r>
                  <w:r>
                    <w:rPr>
                      <w:rFonts w:hint="eastAsia"/>
                      <w:vertAlign w:val="baseline"/>
                    </w:rPr>
                    <w:t>系统</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70</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114</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130</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83</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48</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kern w:val="2"/>
                      <w:sz w:val="21"/>
                      <w:szCs w:val="21"/>
                      <w:u w:val="none"/>
                      <w:lang w:val="en-US" w:eastAsia="zh-CN" w:bidi="ar-SA"/>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29.92</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28.78</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32.67</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37.41</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r>
                    <w:rPr>
                      <w:rFonts w:hint="eastAsia"/>
                      <w:szCs w:val="21"/>
                      <w:u w:val="none" w:color="auto"/>
                    </w:rPr>
                    <w:t>3</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eastAsia"/>
                      <w:vertAlign w:val="baseline"/>
                    </w:rPr>
                    <w:t>拆解流水线</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75</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color w:val="000000"/>
                      <w:szCs w:val="21"/>
                      <w:u w:val="none" w:color="auto"/>
                      <w:lang w:val="en-US" w:eastAsia="zh-CN"/>
                    </w:rPr>
                    <w:t>92</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133</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78</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58</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kern w:val="2"/>
                      <w:sz w:val="21"/>
                      <w:szCs w:val="21"/>
                      <w:u w:val="none"/>
                      <w:vertAlign w:val="baseline"/>
                      <w:lang w:val="en-US" w:eastAsia="zh-CN" w:bidi="ar-SA"/>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36.78</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33.58</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38.21</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40.77</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r>
                    <w:rPr>
                      <w:rFonts w:hint="eastAsia"/>
                      <w:szCs w:val="21"/>
                      <w:u w:val="none" w:color="auto"/>
                    </w:rPr>
                    <w:t>4</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eastAsia"/>
                      <w:vertAlign w:val="baseline"/>
                    </w:rPr>
                    <w:t>金属打包机</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vertAlign w:val="baseli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65</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64</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90</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42</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80</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kern w:val="2"/>
                      <w:sz w:val="21"/>
                      <w:szCs w:val="24"/>
                      <w:vertAlign w:val="baseline"/>
                      <w:lang w:val="en-US" w:eastAsia="zh-CN" w:bidi="ar-SA"/>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kern w:val="2"/>
                      <w:sz w:val="21"/>
                      <w:szCs w:val="21"/>
                      <w:u w:val="none"/>
                      <w:vertAlign w:val="baseline"/>
                      <w:lang w:val="en-US" w:eastAsia="zh-CN" w:bidi="ar-SA"/>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29.92</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26.97</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33.56</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27.99</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r>
                    <w:rPr>
                      <w:rFonts w:hint="eastAsia"/>
                      <w:szCs w:val="21"/>
                      <w:u w:val="none" w:color="auto"/>
                    </w:rPr>
                    <w:t>5</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eastAsia"/>
                      <w:vertAlign w:val="baseline"/>
                    </w:rPr>
                    <w:t>门式剪切机</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color="auto"/>
                      <w:vertAlign w:val="baseline"/>
                      <w:lang w:val="en-US" w:eastAsia="zh-CN" w:bidi="ar-SA"/>
                    </w:rPr>
                  </w:pPr>
                  <w:r>
                    <w:rPr>
                      <w:rFonts w:hint="eastAsia" w:ascii="Times New Roman" w:hAnsi="Times New Roman" w:eastAsia="宋体" w:cs="Times New Roman"/>
                      <w:kern w:val="2"/>
                      <w:sz w:val="21"/>
                      <w:szCs w:val="21"/>
                      <w:u w:val="none" w:color="auto"/>
                      <w:vertAlign w:val="baseline"/>
                      <w:lang w:val="en-US" w:eastAsia="zh-CN" w:bidi="ar-SA"/>
                    </w:rPr>
                    <w:t>75</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color w:val="000000"/>
                      <w:szCs w:val="21"/>
                      <w:u w:val="none" w:color="auto"/>
                      <w:lang w:val="en-US" w:eastAsia="zh-CN"/>
                    </w:rPr>
                    <w:t>56</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95</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38</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94</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u w:val="none" w:color="auto"/>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41.08</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36.5</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44.42</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36.59</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Cs w:val="21"/>
                      <w:u w:val="none" w:color="auto"/>
                      <w:lang w:eastAsia="zh-CN"/>
                    </w:rPr>
                  </w:pPr>
                  <w:r>
                    <w:rPr>
                      <w:rFonts w:hint="eastAsia"/>
                      <w:szCs w:val="21"/>
                      <w:u w:val="none" w:color="auto"/>
                      <w:lang w:val="en-US" w:eastAsia="zh-CN"/>
                    </w:rPr>
                    <w:t>6</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default" w:ascii="Times New Roman" w:hAnsi="Times New Roman" w:cs="Times New Roman"/>
                      <w:sz w:val="21"/>
                      <w:szCs w:val="21"/>
                      <w:u w:val="none"/>
                      <w:vertAlign w:val="baseline"/>
                      <w:lang w:eastAsia="zh-CN"/>
                    </w:rPr>
                    <w:t>液压剪</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color="auto"/>
                      <w:vertAlign w:val="baseline"/>
                      <w:lang w:val="en-US" w:eastAsia="zh-CN" w:bidi="ar-SA"/>
                    </w:rPr>
                  </w:pPr>
                  <w:r>
                    <w:rPr>
                      <w:rFonts w:hint="eastAsia" w:ascii="Times New Roman" w:hAnsi="Times New Roman" w:eastAsia="宋体" w:cs="Times New Roman"/>
                      <w:kern w:val="2"/>
                      <w:sz w:val="21"/>
                      <w:szCs w:val="21"/>
                      <w:u w:val="none" w:color="auto"/>
                      <w:vertAlign w:val="baseline"/>
                      <w:lang w:val="en-US" w:eastAsia="zh-CN" w:bidi="ar-SA"/>
                    </w:rPr>
                    <w:t>70</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kern w:val="2"/>
                      <w:sz w:val="21"/>
                      <w:szCs w:val="24"/>
                      <w:lang w:val="en-US" w:eastAsia="zh-CN" w:bidi="ar-SA"/>
                    </w:rPr>
                  </w:pPr>
                  <w:r>
                    <w:rPr>
                      <w:rFonts w:hint="eastAsia"/>
                      <w:lang w:val="en-US" w:eastAsia="zh-CN"/>
                    </w:rPr>
                    <w:t>133</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kern w:val="2"/>
                      <w:sz w:val="21"/>
                      <w:szCs w:val="21"/>
                      <w:u w:val="none" w:color="auto"/>
                      <w:lang w:val="en-US" w:eastAsia="zh-CN" w:bidi="ar-SA"/>
                    </w:rPr>
                  </w:pPr>
                  <w:r>
                    <w:rPr>
                      <w:rFonts w:hint="eastAsia"/>
                      <w:szCs w:val="21"/>
                      <w:u w:val="none" w:color="auto"/>
                      <w:lang w:val="en-US" w:eastAsia="zh-CN"/>
                    </w:rPr>
                    <w:t>107</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kern w:val="2"/>
                      <w:sz w:val="21"/>
                      <w:szCs w:val="21"/>
                      <w:u w:val="none" w:color="auto"/>
                      <w:lang w:val="en-US" w:eastAsia="zh-CN" w:bidi="ar-SA"/>
                    </w:rPr>
                  </w:pPr>
                  <w:r>
                    <w:rPr>
                      <w:rFonts w:hint="eastAsia" w:eastAsia="宋体"/>
                      <w:szCs w:val="21"/>
                      <w:u w:val="none" w:color="auto"/>
                      <w:lang w:val="en-US" w:eastAsia="zh-CN"/>
                    </w:rPr>
                    <w:t>114</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kern w:val="2"/>
                      <w:sz w:val="21"/>
                      <w:szCs w:val="21"/>
                      <w:u w:val="none" w:color="auto"/>
                      <w:lang w:val="en-US" w:eastAsia="zh-CN" w:bidi="ar-SA"/>
                    </w:rPr>
                  </w:pPr>
                  <w:r>
                    <w:rPr>
                      <w:rFonts w:hint="eastAsia"/>
                      <w:szCs w:val="21"/>
                      <w:u w:val="none" w:color="auto"/>
                      <w:lang w:val="en-US" w:eastAsia="zh-CN"/>
                    </w:rPr>
                    <w:t>77</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kern w:val="2"/>
                      <w:sz w:val="21"/>
                      <w:szCs w:val="21"/>
                      <w:u w:val="none" w:color="auto"/>
                      <w:lang w:val="en-US" w:eastAsia="zh-CN" w:bidi="ar-SA"/>
                    </w:rPr>
                  </w:pPr>
                  <w:r>
                    <w:rPr>
                      <w:rFonts w:hint="eastAsia"/>
                      <w:szCs w:val="21"/>
                      <w:u w:val="none" w:color="auto"/>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28.58</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30.47</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29.92</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33.32</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Cs w:val="21"/>
                      <w:u w:val="none" w:color="auto"/>
                      <w:lang w:eastAsia="zh-CN"/>
                    </w:rPr>
                  </w:pPr>
                  <w:r>
                    <w:rPr>
                      <w:rFonts w:hint="eastAsia"/>
                      <w:szCs w:val="21"/>
                      <w:u w:val="none" w:color="auto"/>
                      <w:lang w:val="en-US" w:eastAsia="zh-CN"/>
                    </w:rPr>
                    <w:t>7</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eastAsia"/>
                      <w:vertAlign w:val="baseline"/>
                    </w:rPr>
                    <w:t>轮胎拆卸设备</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color="auto"/>
                      <w:vertAlign w:val="baseline"/>
                      <w:lang w:val="en-US" w:eastAsia="zh-CN" w:bidi="ar-SA"/>
                    </w:rPr>
                  </w:pPr>
                  <w:r>
                    <w:rPr>
                      <w:rFonts w:hint="eastAsia" w:ascii="Times New Roman" w:hAnsi="Times New Roman" w:cs="Times New Roman"/>
                      <w:sz w:val="21"/>
                      <w:szCs w:val="21"/>
                      <w:u w:val="none"/>
                      <w:vertAlign w:val="baseline"/>
                      <w:lang w:val="en-US" w:eastAsia="zh-CN"/>
                    </w:rPr>
                    <w:t>60</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137</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123</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111</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51</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18.32</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19.26</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20.15</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u w:val="none" w:color="auto"/>
                      <w:lang w:val="en-US" w:eastAsia="zh-CN"/>
                    </w:rPr>
                  </w:pPr>
                  <w:r>
                    <w:rPr>
                      <w:rFonts w:hint="eastAsia"/>
                      <w:u w:val="none" w:color="auto"/>
                      <w:lang w:val="en-US" w:eastAsia="zh-CN"/>
                    </w:rPr>
                    <w:t>26.88</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szCs w:val="21"/>
                      <w:u w:val="none" w:color="auto"/>
                      <w:lang w:eastAsia="zh-CN"/>
                    </w:rPr>
                  </w:pPr>
                  <w:r>
                    <w:rPr>
                      <w:rFonts w:hint="eastAsia"/>
                      <w:szCs w:val="21"/>
                      <w:u w:val="none" w:color="auto"/>
                      <w:lang w:val="en-US" w:eastAsia="zh-CN"/>
                    </w:rPr>
                    <w:t>8</w:t>
                  </w:r>
                </w:p>
              </w:tc>
              <w:tc>
                <w:tcPr>
                  <w:tcW w:w="664"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r>
                    <w:rPr>
                      <w:rFonts w:hint="eastAsia"/>
                      <w:vertAlign w:val="baseline"/>
                    </w:rPr>
                    <w:t>金属压块机</w:t>
                  </w:r>
                </w:p>
              </w:tc>
              <w:tc>
                <w:tcPr>
                  <w:tcW w:w="78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kern w:val="2"/>
                      <w:sz w:val="21"/>
                      <w:szCs w:val="21"/>
                      <w:u w:val="none" w:color="auto"/>
                      <w:vertAlign w:val="baseline"/>
                      <w:lang w:val="en-US" w:eastAsia="zh-CN" w:bidi="ar-SA"/>
                    </w:rPr>
                  </w:pPr>
                  <w:r>
                    <w:rPr>
                      <w:rFonts w:hint="eastAsia" w:ascii="Times New Roman" w:hAnsi="Times New Roman" w:cs="Times New Roman"/>
                      <w:sz w:val="21"/>
                      <w:szCs w:val="21"/>
                      <w:u w:val="none"/>
                      <w:vertAlign w:val="baseline"/>
                      <w:lang w:val="en-US" w:eastAsia="zh-CN"/>
                    </w:rPr>
                    <w:t>65</w:t>
                  </w: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距离（m）</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color w:val="000000"/>
                      <w:szCs w:val="21"/>
                      <w:u w:val="none" w:color="auto"/>
                      <w:lang w:val="en-US" w:eastAsia="zh-CN"/>
                    </w:rPr>
                    <w:t>51</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100</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40</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80</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szCs w:val="21"/>
                      <w:u w:val="none" w:color="auto"/>
                      <w:lang w:val="en-US" w:eastAsia="zh-C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664"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Cs w:val="21"/>
                      <w:u w:val="none" w:color="auto"/>
                    </w:rPr>
                  </w:pPr>
                </w:p>
              </w:tc>
              <w:tc>
                <w:tcPr>
                  <w:tcW w:w="78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szCs w:val="21"/>
                      <w:u w:val="none" w:color="auto"/>
                    </w:rPr>
                  </w:pPr>
                </w:p>
              </w:tc>
              <w:tc>
                <w:tcPr>
                  <w:tcW w:w="84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000000"/>
                      <w:szCs w:val="21"/>
                      <w:u w:val="none" w:color="auto"/>
                    </w:rPr>
                  </w:pPr>
                  <w:r>
                    <w:rPr>
                      <w:rFonts w:hint="eastAsia"/>
                      <w:color w:val="000000"/>
                      <w:szCs w:val="21"/>
                      <w:u w:val="none" w:color="auto"/>
                    </w:rPr>
                    <w:t>贡献值</w:t>
                  </w:r>
                  <w:r>
                    <w:rPr>
                      <w:color w:val="000000"/>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000000"/>
                      <w:szCs w:val="21"/>
                      <w:u w:val="none" w:color="auto"/>
                      <w:lang w:val="en-US" w:eastAsia="zh-CN"/>
                    </w:rPr>
                  </w:pPr>
                  <w:r>
                    <w:rPr>
                      <w:rFonts w:hint="eastAsia" w:eastAsia="宋体"/>
                      <w:color w:val="000000"/>
                      <w:szCs w:val="21"/>
                      <w:u w:val="none" w:color="auto"/>
                      <w:lang w:val="en-US" w:eastAsia="zh-CN"/>
                    </w:rPr>
                    <w:t>31.88</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26.05</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33.98</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27.99</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27.67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Cs w:val="21"/>
                      <w:u w:val="none" w:color="auto"/>
                      <w:lang w:eastAsia="zh-CN"/>
                    </w:rPr>
                  </w:pPr>
                  <w:r>
                    <w:rPr>
                      <w:rFonts w:hint="eastAsia"/>
                      <w:szCs w:val="21"/>
                      <w:u w:val="none" w:color="auto"/>
                      <w:lang w:eastAsia="zh-CN"/>
                    </w:rPr>
                    <w:t>合计厂界噪声贡献值</w:t>
                  </w:r>
                  <w:r>
                    <w:rPr>
                      <w:szCs w:val="21"/>
                      <w:u w:val="none" w:color="auto"/>
                    </w:rPr>
                    <w:t>dB(A)</w:t>
                  </w:r>
                </w:p>
              </w:tc>
              <w:tc>
                <w:tcPr>
                  <w:tcW w:w="59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FF0000"/>
                      <w:szCs w:val="21"/>
                      <w:u w:val="none" w:color="auto"/>
                      <w:lang w:val="en-US" w:eastAsia="zh-CN"/>
                    </w:rPr>
                  </w:pPr>
                  <w:r>
                    <w:rPr>
                      <w:rFonts w:hint="eastAsia" w:eastAsia="宋体"/>
                      <w:color w:val="auto"/>
                      <w:szCs w:val="21"/>
                      <w:u w:val="none" w:color="auto"/>
                      <w:lang w:val="en-US" w:eastAsia="zh-CN"/>
                    </w:rPr>
                    <w:t>44.62</w:t>
                  </w:r>
                </w:p>
              </w:tc>
              <w:tc>
                <w:tcPr>
                  <w:tcW w:w="459"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42.07</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47.24</w:t>
                  </w:r>
                </w:p>
              </w:tc>
              <w:tc>
                <w:tcPr>
                  <w:tcW w:w="5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49.90</w:t>
                  </w:r>
                </w:p>
              </w:tc>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宋体"/>
                      <w:szCs w:val="21"/>
                      <w:u w:val="none" w:color="auto"/>
                      <w:lang w:val="en-US" w:eastAsia="zh-CN"/>
                    </w:rPr>
                  </w:pPr>
                  <w:r>
                    <w:rPr>
                      <w:rFonts w:hint="eastAsia" w:eastAsia="宋体"/>
                      <w:szCs w:val="21"/>
                      <w:u w:val="none" w:color="auto"/>
                      <w:lang w:val="en-US" w:eastAsia="zh-CN"/>
                    </w:rPr>
                    <w:t>55.85</w:t>
                  </w:r>
                </w:p>
              </w:tc>
            </w:tr>
          </w:tbl>
          <w:p>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u w:val="none" w:color="auto"/>
              </w:rPr>
            </w:pPr>
            <w:r>
              <w:rPr>
                <w:rFonts w:hint="eastAsia"/>
                <w:u w:val="none" w:color="auto"/>
              </w:rPr>
              <w:t>根据以上预测</w:t>
            </w:r>
            <w:r>
              <w:rPr>
                <w:rFonts w:hint="eastAsia"/>
                <w:u w:val="none" w:color="auto"/>
                <w:lang w:eastAsia="zh-CN"/>
              </w:rPr>
              <w:t>结果可知</w:t>
            </w:r>
            <w:r>
              <w:rPr>
                <w:rFonts w:hint="eastAsia"/>
                <w:u w:val="none" w:color="auto"/>
              </w:rPr>
              <w:t>，本项目各类生产设备在满负荷运营情况下噪声在</w:t>
            </w:r>
            <w:r>
              <w:rPr>
                <w:rFonts w:hint="eastAsia"/>
                <w:sz w:val="24"/>
                <w:szCs w:val="24"/>
                <w:u w:val="none" w:color="auto"/>
                <w:lang w:eastAsia="zh-CN"/>
              </w:rPr>
              <w:t>北、西、东侧</w:t>
            </w:r>
            <w:r>
              <w:rPr>
                <w:sz w:val="24"/>
                <w:szCs w:val="24"/>
                <w:u w:val="none" w:color="auto"/>
              </w:rPr>
              <w:t>厂界噪声可满足《工业企业厂界环境噪声排放标准》（GB12348-2008）中的3类标准昼间65dB（A），夜间55dB（A）</w:t>
            </w:r>
            <w:r>
              <w:rPr>
                <w:rFonts w:hint="eastAsia"/>
                <w:sz w:val="24"/>
                <w:szCs w:val="24"/>
                <w:u w:val="none" w:color="auto"/>
                <w:lang w:eastAsia="zh-CN"/>
              </w:rPr>
              <w:t>，南侧居民点、南侧</w:t>
            </w:r>
            <w:r>
              <w:rPr>
                <w:sz w:val="24"/>
                <w:szCs w:val="24"/>
                <w:u w:val="none" w:color="auto"/>
              </w:rPr>
              <w:t>厂界噪声可满足《工业企业厂界环境噪声排放标准》（GB12348-2008）中的</w:t>
            </w:r>
            <w:r>
              <w:rPr>
                <w:rFonts w:hint="eastAsia"/>
                <w:sz w:val="24"/>
                <w:szCs w:val="24"/>
                <w:u w:val="none" w:color="auto"/>
                <w:lang w:val="en-US" w:eastAsia="zh-CN"/>
              </w:rPr>
              <w:t>2</w:t>
            </w:r>
            <w:r>
              <w:rPr>
                <w:sz w:val="24"/>
                <w:szCs w:val="24"/>
                <w:u w:val="none" w:color="auto"/>
              </w:rPr>
              <w:t>类标准昼间6</w:t>
            </w:r>
            <w:r>
              <w:rPr>
                <w:rFonts w:hint="eastAsia"/>
                <w:sz w:val="24"/>
                <w:szCs w:val="24"/>
                <w:u w:val="none" w:color="auto"/>
                <w:lang w:val="en-US" w:eastAsia="zh-CN"/>
              </w:rPr>
              <w:t>0</w:t>
            </w:r>
            <w:r>
              <w:rPr>
                <w:sz w:val="24"/>
                <w:szCs w:val="24"/>
                <w:u w:val="none" w:color="auto"/>
              </w:rPr>
              <w:t>dB（A），夜间5</w:t>
            </w:r>
            <w:r>
              <w:rPr>
                <w:rFonts w:hint="eastAsia"/>
                <w:sz w:val="24"/>
                <w:szCs w:val="24"/>
                <w:u w:val="none" w:color="auto"/>
                <w:lang w:val="en-US" w:eastAsia="zh-CN"/>
              </w:rPr>
              <w:t>0</w:t>
            </w:r>
            <w:r>
              <w:rPr>
                <w:sz w:val="24"/>
                <w:szCs w:val="24"/>
                <w:u w:val="none" w:color="auto"/>
              </w:rPr>
              <w:t>dB（A）</w:t>
            </w:r>
            <w:r>
              <w:rPr>
                <w:rFonts w:hint="eastAsia"/>
                <w:u w:val="none" w:color="auto"/>
              </w:rPr>
              <w:t>要求</w:t>
            </w:r>
            <w:r>
              <w:rPr>
                <w:rFonts w:hint="eastAsia"/>
                <w:u w:val="none" w:color="auto"/>
                <w:lang w:eastAsia="zh-CN"/>
              </w:rPr>
              <w:t>，对周边居民影响较小</w:t>
            </w:r>
            <w:r>
              <w:rPr>
                <w:rFonts w:hint="eastAsia"/>
                <w:u w:val="none" w:color="auto"/>
              </w:rPr>
              <w:t>。</w:t>
            </w:r>
          </w:p>
          <w:p>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u w:val="none" w:color="auto"/>
              </w:rPr>
            </w:pPr>
            <w:r>
              <w:rPr>
                <w:rFonts w:hint="eastAsia"/>
                <w:u w:val="none" w:color="auto"/>
              </w:rPr>
              <w:t>为进一步降低生产过程中产生的噪声对</w:t>
            </w:r>
            <w:r>
              <w:rPr>
                <w:rFonts w:hint="eastAsia"/>
                <w:u w:val="none" w:color="auto"/>
                <w:lang w:eastAsia="zh-CN"/>
              </w:rPr>
              <w:t>南侧</w:t>
            </w:r>
            <w:r>
              <w:rPr>
                <w:rFonts w:hint="eastAsia"/>
                <w:u w:val="none" w:color="auto"/>
                <w:lang w:val="en-US" w:eastAsia="zh-CN"/>
              </w:rPr>
              <w:t>旗家庄散户</w:t>
            </w:r>
            <w:r>
              <w:rPr>
                <w:rFonts w:hint="eastAsia"/>
                <w:u w:val="none" w:color="auto"/>
                <w:lang w:eastAsia="zh-CN"/>
              </w:rPr>
              <w:t>居民点</w:t>
            </w:r>
            <w:r>
              <w:rPr>
                <w:rFonts w:hint="eastAsia"/>
                <w:u w:val="none" w:color="auto"/>
              </w:rPr>
              <w:t>声环境的影响，建议建设</w:t>
            </w:r>
            <w:r>
              <w:rPr>
                <w:rFonts w:hint="eastAsia"/>
                <w:u w:val="none" w:color="auto"/>
                <w:lang w:eastAsia="zh-CN"/>
              </w:rPr>
              <w:t>单位</w:t>
            </w:r>
            <w:r>
              <w:rPr>
                <w:rFonts w:hint="eastAsia"/>
                <w:u w:val="none" w:color="auto"/>
              </w:rPr>
              <w:t>采取如下</w:t>
            </w:r>
            <w:r>
              <w:rPr>
                <w:rFonts w:hint="eastAsia"/>
                <w:u w:val="none" w:color="auto"/>
                <w:lang w:eastAsia="zh-CN"/>
              </w:rPr>
              <w:t>治理</w:t>
            </w:r>
            <w:r>
              <w:rPr>
                <w:rFonts w:hint="eastAsia"/>
                <w:u w:val="none" w:color="auto"/>
              </w:rPr>
              <w:t>措施：</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0" w:leftChars="0" w:firstLine="480" w:firstLineChars="200"/>
              <w:textAlignment w:val="auto"/>
              <w:rPr>
                <w:rFonts w:hint="eastAsia"/>
                <w:sz w:val="24"/>
                <w:szCs w:val="24"/>
                <w:u w:val="none" w:color="auto"/>
                <w:lang w:eastAsia="zh-CN"/>
              </w:rPr>
            </w:pPr>
            <w:r>
              <w:rPr>
                <w:rFonts w:hint="eastAsia"/>
                <w:sz w:val="24"/>
                <w:szCs w:val="24"/>
                <w:u w:val="none" w:color="auto"/>
              </w:rPr>
              <w:t>合理安排整体布局，选用低噪声设备，高噪声设备布置</w:t>
            </w:r>
            <w:r>
              <w:rPr>
                <w:rFonts w:hint="eastAsia"/>
                <w:sz w:val="24"/>
                <w:szCs w:val="24"/>
                <w:u w:val="none" w:color="auto"/>
                <w:lang w:eastAsia="zh-CN"/>
              </w:rPr>
              <w:t>厂房内北侧，有利于减轻噪声对南侧</w:t>
            </w:r>
            <w:r>
              <w:rPr>
                <w:rFonts w:hint="eastAsia"/>
                <w:sz w:val="24"/>
                <w:szCs w:val="24"/>
                <w:u w:val="none" w:color="auto"/>
                <w:lang w:val="en-US" w:eastAsia="zh-CN"/>
              </w:rPr>
              <w:t>旗家庄散户</w:t>
            </w:r>
            <w:r>
              <w:rPr>
                <w:rFonts w:hint="eastAsia"/>
                <w:sz w:val="24"/>
                <w:szCs w:val="24"/>
                <w:u w:val="none" w:color="auto"/>
                <w:lang w:eastAsia="zh-CN"/>
              </w:rPr>
              <w:t>居民点的影响；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480" w:firstLineChars="200"/>
              <w:textAlignment w:val="auto"/>
              <w:rPr>
                <w:sz w:val="24"/>
                <w:szCs w:val="24"/>
                <w:u w:val="none" w:color="auto"/>
              </w:rPr>
            </w:pPr>
            <w:r>
              <w:rPr>
                <w:rFonts w:hint="eastAsia"/>
                <w:sz w:val="24"/>
                <w:szCs w:val="24"/>
                <w:u w:val="none" w:color="auto"/>
                <w:lang w:eastAsia="zh-CN"/>
              </w:rPr>
              <w:t>（</w:t>
            </w:r>
            <w:r>
              <w:rPr>
                <w:rFonts w:hint="eastAsia"/>
                <w:sz w:val="24"/>
                <w:szCs w:val="24"/>
                <w:u w:val="none" w:color="auto"/>
                <w:lang w:val="en-US" w:eastAsia="zh-CN"/>
              </w:rPr>
              <w:t>2</w:t>
            </w:r>
            <w:r>
              <w:rPr>
                <w:rFonts w:hint="eastAsia"/>
                <w:sz w:val="24"/>
                <w:szCs w:val="24"/>
                <w:u w:val="none" w:color="auto"/>
                <w:lang w:eastAsia="zh-CN"/>
              </w:rPr>
              <w:t>）</w:t>
            </w:r>
            <w:r>
              <w:rPr>
                <w:sz w:val="24"/>
                <w:szCs w:val="24"/>
                <w:u w:val="none" w:color="auto"/>
              </w:rPr>
              <w:t>采用适当的隔声设备如隔振垫、隔声屏障等，生产时关闭车间门窗；</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sz w:val="24"/>
                <w:szCs w:val="24"/>
                <w:u w:val="none" w:color="auto"/>
              </w:rPr>
            </w:pPr>
            <w:r>
              <w:rPr>
                <w:sz w:val="24"/>
                <w:szCs w:val="24"/>
                <w:u w:val="none" w:color="auto"/>
              </w:rPr>
              <w:t>（</w:t>
            </w:r>
            <w:r>
              <w:rPr>
                <w:rFonts w:hint="eastAsia"/>
                <w:sz w:val="24"/>
                <w:szCs w:val="24"/>
                <w:u w:val="none" w:color="auto"/>
                <w:lang w:val="en-US" w:eastAsia="zh-CN"/>
              </w:rPr>
              <w:t>3</w:t>
            </w:r>
            <w:r>
              <w:rPr>
                <w:sz w:val="24"/>
                <w:szCs w:val="24"/>
                <w:u w:val="none" w:color="auto"/>
              </w:rPr>
              <w:t>）</w:t>
            </w:r>
            <w:r>
              <w:rPr>
                <w:rFonts w:hint="eastAsia"/>
                <w:sz w:val="24"/>
                <w:szCs w:val="24"/>
                <w:u w:val="none" w:color="auto"/>
              </w:rPr>
              <w:t>对设备进行经常性维护，保持设备处于良好的运转状态，同时加强内部管理，合理作业，避免不必要的突发性噪声</w:t>
            </w:r>
            <w:r>
              <w:rPr>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sz w:val="24"/>
                <w:szCs w:val="24"/>
                <w:u w:val="none" w:color="auto"/>
              </w:rPr>
            </w:pPr>
            <w:r>
              <w:rPr>
                <w:sz w:val="24"/>
                <w:szCs w:val="24"/>
                <w:u w:val="none" w:color="auto"/>
              </w:rPr>
              <w:t>（</w:t>
            </w:r>
            <w:r>
              <w:rPr>
                <w:rFonts w:hint="eastAsia"/>
                <w:sz w:val="24"/>
                <w:szCs w:val="24"/>
                <w:u w:val="none" w:color="auto"/>
                <w:lang w:val="en-US" w:eastAsia="zh-CN"/>
              </w:rPr>
              <w:t>4</w:t>
            </w:r>
            <w:r>
              <w:rPr>
                <w:sz w:val="24"/>
                <w:szCs w:val="24"/>
                <w:u w:val="none" w:color="auto"/>
              </w:rPr>
              <w:t>）对噪声相对较大的设备应加装隔声、消声措施，还应加强减振降噪措施，如在主要设备基础上加装橡胶减振垫、减振器等；</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eastAsia" w:eastAsia="宋体"/>
                <w:lang w:val="en-US" w:eastAsia="zh-CN"/>
              </w:rPr>
            </w:pPr>
            <w:r>
              <w:rPr>
                <w:sz w:val="24"/>
                <w:szCs w:val="24"/>
                <w:u w:val="none" w:color="auto"/>
              </w:rPr>
              <w:t>（</w:t>
            </w:r>
            <w:r>
              <w:rPr>
                <w:rFonts w:hint="eastAsia"/>
                <w:sz w:val="24"/>
                <w:szCs w:val="24"/>
                <w:u w:val="none" w:color="auto"/>
                <w:lang w:val="en-US" w:eastAsia="zh-CN"/>
              </w:rPr>
              <w:t>5</w:t>
            </w:r>
            <w:r>
              <w:rPr>
                <w:sz w:val="24"/>
                <w:szCs w:val="24"/>
                <w:u w:val="none" w:color="auto"/>
              </w:rPr>
              <w:t>）合理安排作业时间，禁止夜间生产</w:t>
            </w:r>
            <w:r>
              <w:rPr>
                <w:rFonts w:hint="eastAsia"/>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vertAlign w:val="baseline"/>
                <w:lang w:val="en-US" w:eastAsia="zh-CN"/>
              </w:rPr>
            </w:pPr>
            <w:r>
              <w:rPr>
                <w:rFonts w:hint="eastAsia" w:ascii="Times New Roman" w:hAnsi="Times New Roman" w:cs="Times New Roman"/>
                <w:b/>
                <w:bCs/>
                <w:color w:val="auto"/>
                <w:sz w:val="24"/>
                <w:szCs w:val="24"/>
                <w:vertAlign w:val="baseline"/>
                <w:lang w:val="en-US" w:eastAsia="zh-CN"/>
              </w:rPr>
              <w:t>3.1</w:t>
            </w:r>
            <w:r>
              <w:rPr>
                <w:rFonts w:hint="default" w:ascii="Times New Roman" w:hAnsi="Times New Roman" w:cs="Times New Roman"/>
                <w:b/>
                <w:bCs/>
                <w:color w:val="auto"/>
                <w:sz w:val="24"/>
                <w:szCs w:val="24"/>
                <w:vertAlign w:val="baseline"/>
                <w:lang w:val="en-US" w:eastAsia="zh-CN"/>
              </w:rPr>
              <w:t>噪声监测计划</w:t>
            </w:r>
          </w:p>
          <w:p>
            <w:pPr>
              <w:spacing w:before="0" w:after="0" w:line="360" w:lineRule="auto"/>
              <w:ind w:firstLine="480" w:firstLineChars="200"/>
              <w:rPr>
                <w:rFonts w:hint="eastAsia"/>
                <w:color w:val="auto"/>
                <w:sz w:val="24"/>
                <w:szCs w:val="24"/>
              </w:rPr>
            </w:pPr>
            <w:r>
              <w:rPr>
                <w:rFonts w:hint="eastAsia"/>
                <w:color w:val="auto"/>
                <w:sz w:val="24"/>
                <w:szCs w:val="24"/>
              </w:rPr>
              <w:t xml:space="preserve">根据《排污许可证申请与核发技术规范 总则》（HJ1115-2020）、《排污许可证申请与核发技术规范 </w:t>
            </w:r>
            <w:r>
              <w:rPr>
                <w:rFonts w:hint="eastAsia"/>
                <w:color w:val="auto"/>
                <w:sz w:val="24"/>
                <w:szCs w:val="24"/>
                <w:lang w:eastAsia="zh-CN"/>
              </w:rPr>
              <w:t>废弃资源加工工业</w:t>
            </w:r>
            <w:r>
              <w:rPr>
                <w:rFonts w:hint="eastAsia"/>
                <w:color w:val="auto"/>
                <w:sz w:val="24"/>
                <w:szCs w:val="24"/>
              </w:rPr>
              <w:t>》（HJ</w:t>
            </w:r>
            <w:r>
              <w:rPr>
                <w:rFonts w:hint="eastAsia"/>
                <w:color w:val="auto"/>
                <w:sz w:val="24"/>
                <w:szCs w:val="24"/>
                <w:lang w:val="en-US" w:eastAsia="zh-CN"/>
              </w:rPr>
              <w:t>1034-2019</w:t>
            </w:r>
            <w:r>
              <w:rPr>
                <w:rFonts w:hint="eastAsia"/>
                <w:color w:val="auto"/>
                <w:sz w:val="24"/>
                <w:szCs w:val="24"/>
              </w:rPr>
              <w:t>）规定，为了解项目的环境影响及环境质量变化趋势，应建立污染源分类技术档案和监测档案，为环境污染治理提供必要的依据。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cs="Times New Roman"/>
                <w:color w:val="auto"/>
                <w:sz w:val="24"/>
                <w:szCs w:val="24"/>
                <w:vertAlign w:val="baseline"/>
                <w:lang w:val="en-US" w:eastAsia="zh-CN"/>
              </w:rPr>
              <w:t>噪声</w:t>
            </w:r>
            <w:r>
              <w:rPr>
                <w:rFonts w:hint="default" w:ascii="Times New Roman" w:hAnsi="Times New Roman" w:eastAsia="宋体" w:cs="Times New Roman"/>
                <w:color w:val="auto"/>
                <w:sz w:val="24"/>
                <w:szCs w:val="24"/>
                <w:vertAlign w:val="baseline"/>
                <w:lang w:val="en-US" w:eastAsia="zh-CN"/>
              </w:rPr>
              <w:t>排放监测计划</w:t>
            </w:r>
            <w:r>
              <w:rPr>
                <w:rFonts w:hint="eastAsia"/>
                <w:color w:val="auto"/>
                <w:sz w:val="24"/>
                <w:szCs w:val="24"/>
              </w:rPr>
              <w:t>安排如下：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4-13</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vertAlign w:val="baseline"/>
                <w:lang w:val="en-US" w:eastAsia="zh-CN"/>
              </w:rPr>
              <w:t>本项目噪声</w:t>
            </w:r>
            <w:r>
              <w:rPr>
                <w:rFonts w:hint="default" w:ascii="Times New Roman" w:hAnsi="Times New Roman" w:cs="Times New Roman"/>
                <w:b/>
                <w:bCs/>
                <w:color w:val="auto"/>
                <w:sz w:val="21"/>
                <w:szCs w:val="21"/>
                <w:vertAlign w:val="baseline"/>
                <w:lang w:val="en-US" w:eastAsia="zh-CN"/>
              </w:rPr>
              <w:t>监测计划表</w:t>
            </w:r>
          </w:p>
          <w:tbl>
            <w:tblPr>
              <w:tblStyle w:val="16"/>
              <w:tblW w:w="85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46"/>
              <w:gridCol w:w="776"/>
              <w:gridCol w:w="5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1146" w:type="dxa"/>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因子</w:t>
                  </w:r>
                </w:p>
              </w:tc>
              <w:tc>
                <w:tcPr>
                  <w:tcW w:w="776" w:type="dxa"/>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w:t>
                  </w:r>
                </w:p>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频次</w:t>
                  </w:r>
                </w:p>
              </w:tc>
              <w:tc>
                <w:tcPr>
                  <w:tcW w:w="5851" w:type="dxa"/>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73" w:type="dxa"/>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厂界四周</w:t>
                  </w:r>
                </w:p>
              </w:tc>
              <w:tc>
                <w:tcPr>
                  <w:tcW w:w="1146" w:type="dxa"/>
                  <w:tcBorders>
                    <w:tl2br w:val="nil"/>
                    <w:tr2bl w:val="nil"/>
                  </w:tcBorders>
                  <w:noWrap w:val="0"/>
                  <w:vAlign w:val="center"/>
                </w:tcPr>
                <w:p>
                  <w:pPr>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等效连续</w:t>
                  </w:r>
                  <w:r>
                    <w:rPr>
                      <w:rFonts w:hint="eastAsia" w:ascii="Times New Roman" w:hAnsi="Times New Roman" w:cs="Times New Roman"/>
                      <w:color w:val="auto"/>
                      <w:sz w:val="21"/>
                      <w:szCs w:val="21"/>
                      <w:lang w:val="en-US" w:eastAsia="zh-CN"/>
                    </w:rPr>
                    <w:t>A声级</w:t>
                  </w:r>
                </w:p>
              </w:tc>
              <w:tc>
                <w:tcPr>
                  <w:tcW w:w="776" w:type="dxa"/>
                  <w:tcBorders>
                    <w:tl2br w:val="nil"/>
                    <w:tr2bl w:val="nil"/>
                  </w:tcBorders>
                  <w:noWrap w:val="0"/>
                  <w:vAlign w:val="center"/>
                </w:tcPr>
                <w:p>
                  <w:pPr>
                    <w:bidi w:val="0"/>
                    <w:spacing w:line="240" w:lineRule="auto"/>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1次/</w:t>
                  </w:r>
                  <w:r>
                    <w:rPr>
                      <w:rFonts w:hint="eastAsia" w:ascii="Times New Roman" w:hAnsi="Times New Roman" w:cs="Times New Roman"/>
                      <w:color w:val="auto"/>
                      <w:sz w:val="21"/>
                      <w:szCs w:val="21"/>
                      <w:lang w:eastAsia="zh-CN"/>
                    </w:rPr>
                    <w:t>季度</w:t>
                  </w:r>
                </w:p>
              </w:tc>
              <w:tc>
                <w:tcPr>
                  <w:tcW w:w="5851" w:type="dxa"/>
                  <w:tcBorders>
                    <w:tl2br w:val="nil"/>
                    <w:tr2bl w:val="nil"/>
                  </w:tcBorders>
                  <w:noWrap w:val="0"/>
                  <w:vAlign w:val="center"/>
                </w:tcPr>
                <w:p>
                  <w:pPr>
                    <w:bidi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项目东面、北面</w:t>
                  </w:r>
                  <w:r>
                    <w:rPr>
                      <w:rFonts w:hint="eastAsia" w:ascii="Times New Roman" w:hAnsi="Times New Roman" w:cs="Times New Roman"/>
                      <w:color w:val="auto"/>
                      <w:sz w:val="21"/>
                      <w:szCs w:val="21"/>
                      <w:lang w:val="en-US" w:eastAsia="zh-CN"/>
                    </w:rPr>
                    <w:t>、西面执行</w:t>
                  </w:r>
                  <w:r>
                    <w:rPr>
                      <w:rFonts w:hint="default" w:ascii="Times New Roman" w:hAnsi="Times New Roman" w:cs="Times New Roman"/>
                      <w:color w:val="auto"/>
                      <w:sz w:val="21"/>
                      <w:szCs w:val="21"/>
                      <w:lang w:val="en-US" w:eastAsia="zh-CN"/>
                    </w:rPr>
                    <w:t>《工业企业厂界环境噪声排放标准》（GB 12348-2008）中3类标准</w:t>
                  </w:r>
                  <w:r>
                    <w:rPr>
                      <w:rFonts w:hint="eastAsia" w:ascii="Times New Roman" w:hAnsi="Times New Roman" w:cs="Times New Roman"/>
                      <w:color w:val="auto"/>
                      <w:sz w:val="21"/>
                      <w:szCs w:val="21"/>
                      <w:lang w:val="en-US" w:eastAsia="zh-CN"/>
                    </w:rPr>
                    <w:t>，项目</w:t>
                  </w:r>
                  <w:r>
                    <w:rPr>
                      <w:rFonts w:hint="default" w:ascii="Times New Roman" w:hAnsi="Times New Roman" w:cs="Times New Roman"/>
                      <w:color w:val="auto"/>
                      <w:sz w:val="21"/>
                      <w:szCs w:val="21"/>
                      <w:lang w:val="en-US" w:eastAsia="zh-CN"/>
                    </w:rPr>
                    <w:t>南面</w:t>
                  </w:r>
                  <w:r>
                    <w:rPr>
                      <w:rFonts w:hint="eastAsia" w:ascii="Times New Roman" w:hAnsi="Times New Roman" w:cs="Times New Roman"/>
                      <w:color w:val="auto"/>
                      <w:sz w:val="21"/>
                      <w:szCs w:val="21"/>
                      <w:lang w:val="en-US" w:eastAsia="zh-CN"/>
                    </w:rPr>
                    <w:t>执行</w:t>
                  </w:r>
                  <w:r>
                    <w:rPr>
                      <w:rFonts w:hint="default" w:ascii="Times New Roman" w:hAnsi="Times New Roman" w:cs="Times New Roman"/>
                      <w:color w:val="auto"/>
                      <w:sz w:val="21"/>
                      <w:szCs w:val="21"/>
                      <w:lang w:val="en-US" w:eastAsia="zh-CN"/>
                    </w:rPr>
                    <w:t>《工业企业厂界环境噪声排放标准》（GB 12348-2008）中</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val="en-US" w:eastAsia="zh-CN"/>
                    </w:rPr>
                    <w:t>类标准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Cs/>
                <w:sz w:val="24"/>
                <w:szCs w:val="24"/>
              </w:rPr>
            </w:pPr>
            <w:r>
              <w:rPr>
                <w:rFonts w:hint="eastAsia"/>
                <w:b/>
                <w:bCs w:val="0"/>
                <w:sz w:val="24"/>
                <w:szCs w:val="24"/>
              </w:rPr>
              <w:t>4</w:t>
            </w:r>
            <w:r>
              <w:rPr>
                <w:rFonts w:hint="eastAsia"/>
                <w:b/>
                <w:bCs w:val="0"/>
                <w:sz w:val="24"/>
                <w:szCs w:val="24"/>
                <w:lang w:eastAsia="zh-CN"/>
              </w:rPr>
              <w:t>、</w:t>
            </w:r>
            <w:r>
              <w:rPr>
                <w:rFonts w:hint="eastAsia"/>
                <w:b/>
                <w:bCs w:val="0"/>
                <w:sz w:val="24"/>
                <w:szCs w:val="24"/>
              </w:rPr>
              <w:t>运营期固体废物</w:t>
            </w:r>
          </w:p>
          <w:p>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default"/>
                <w:b/>
                <w:bCs/>
                <w:sz w:val="24"/>
                <w:szCs w:val="24"/>
                <w:lang w:val="en-US" w:eastAsia="zh-CN"/>
              </w:rPr>
            </w:pPr>
            <w:r>
              <w:rPr>
                <w:rFonts w:hint="eastAsia"/>
                <w:b/>
                <w:bCs/>
                <w:sz w:val="24"/>
                <w:szCs w:val="24"/>
                <w:lang w:val="en-US" w:eastAsia="zh-CN"/>
              </w:rPr>
              <w:t>4.1报废机动车拆解</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（1）生活垃圾：</w:t>
            </w:r>
            <w:r>
              <w:rPr>
                <w:rFonts w:hint="default" w:ascii="Times New Roman" w:hAnsi="Times New Roman" w:cs="Times New Roman"/>
                <w:color w:val="auto"/>
                <w:sz w:val="24"/>
                <w:szCs w:val="24"/>
                <w:u w:val="none" w:color="auto"/>
              </w:rPr>
              <w:t>本项目劳动</w:t>
            </w:r>
            <w:r>
              <w:rPr>
                <w:rFonts w:hint="default" w:ascii="Times New Roman" w:hAnsi="Times New Roman" w:cs="Times New Roman"/>
                <w:color w:val="auto"/>
                <w:sz w:val="24"/>
                <w:szCs w:val="24"/>
                <w:highlight w:val="none"/>
                <w:u w:val="none" w:color="auto"/>
              </w:rPr>
              <w:t>定员共</w:t>
            </w:r>
            <w:r>
              <w:rPr>
                <w:rFonts w:hint="eastAsia" w:ascii="Times New Roman" w:hAnsi="Times New Roman" w:cs="Times New Roman"/>
                <w:color w:val="auto"/>
                <w:sz w:val="24"/>
                <w:szCs w:val="24"/>
                <w:highlight w:val="none"/>
                <w:u w:val="none" w:color="auto"/>
                <w:lang w:val="en-US" w:eastAsia="zh-CN"/>
              </w:rPr>
              <w:t>50</w:t>
            </w:r>
            <w:r>
              <w:rPr>
                <w:rFonts w:hint="default" w:ascii="Times New Roman" w:hAnsi="Times New Roman" w:cs="Times New Roman"/>
                <w:color w:val="auto"/>
                <w:sz w:val="24"/>
                <w:szCs w:val="24"/>
                <w:highlight w:val="none"/>
                <w:u w:val="none" w:color="auto"/>
              </w:rPr>
              <w:t>人，生活垃圾产生量按0.5kg/人•d计算，产生量为</w:t>
            </w:r>
            <w:r>
              <w:rPr>
                <w:rFonts w:hint="eastAsia" w:ascii="Times New Roman" w:hAnsi="Times New Roman" w:cs="Times New Roman"/>
                <w:color w:val="auto"/>
                <w:sz w:val="24"/>
                <w:szCs w:val="24"/>
                <w:highlight w:val="none"/>
                <w:u w:val="none" w:color="auto"/>
                <w:lang w:val="en-US" w:eastAsia="zh-CN"/>
              </w:rPr>
              <w:t>25</w:t>
            </w:r>
            <w:r>
              <w:rPr>
                <w:rFonts w:hint="default" w:ascii="Times New Roman" w:hAnsi="Times New Roman" w:cs="Times New Roman"/>
                <w:color w:val="auto"/>
                <w:sz w:val="24"/>
                <w:szCs w:val="24"/>
                <w:highlight w:val="none"/>
                <w:u w:val="none" w:color="auto"/>
              </w:rPr>
              <w:t>kg/d，合计</w:t>
            </w:r>
            <w:r>
              <w:rPr>
                <w:rFonts w:hint="eastAsia" w:ascii="Times New Roman" w:hAnsi="Times New Roman" w:cs="Times New Roman"/>
                <w:color w:val="auto"/>
                <w:sz w:val="24"/>
                <w:szCs w:val="24"/>
                <w:highlight w:val="none"/>
                <w:u w:val="none" w:color="auto"/>
                <w:lang w:val="en-US" w:eastAsia="zh-CN"/>
              </w:rPr>
              <w:t>7.5</w:t>
            </w:r>
            <w:r>
              <w:rPr>
                <w:rFonts w:hint="default" w:ascii="Times New Roman" w:hAnsi="Times New Roman" w:cs="Times New Roman"/>
                <w:color w:val="auto"/>
                <w:sz w:val="24"/>
                <w:szCs w:val="24"/>
                <w:highlight w:val="none"/>
                <w:u w:val="none" w:color="auto"/>
              </w:rPr>
              <w:t>t/a，生活垃圾统一收集，定期由环卫部门清运</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（2）一般工业固废</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报废机动车拆解由于其行业特征的原因，产生大量的固体物质，其中大部分固废以目前的技术经济水平是可以利用的，如钢铁、有色金属、塑料、玻璃和橡胶等（由相关单位回收利用，不在厂区进行深度拆解），储存于厂区内设置的一般固废存放处及专用成品件存放处，定期外售给相关企业作为原料进行再生利用。</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①钢铁</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本项目营运后报废机动车拆解过程钢铁产生量为15603.4t/a，为一般工业固废。本项目拆解物品外售给相关回收单位。</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②有色金属、塑料、玻璃和橡胶</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本项目营运后报废汽车拆解过程有色金属部件产生量为769.8t/a，塑料部件产生量为956.2t/a、玻璃部件产生量为165.2t/a，橡胶部件产生量为604.8t/a，均为一般工业固废，作为本项目拆解物品可直接出售给相关回收单位，不在厂区内进行深度拆解加工作业。</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③废安全气囊</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安全气囊内含有叠氮酸钠、硝酸钾和二氧化硅等物质，《报废汽车回收拆解企业技术规范》（GB22128-2019）要求，本项目车间内设置有安全气囊引爆区，安全气囊在安全气囊引爆箱内进行引爆作业，废安全气囊产生量约为10t/a；废安全气囊通过气囊引爆装置引爆后产生的物质主要是氮气及硅酸盐，引爆后的安全气囊属一般固体废物，不再进行进一步拆分，气囊整体收集后外售给安全气囊回收企业。</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④动力电池</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本项目新能源电动汽车以及电动摩托车拆解过程中会产生动力电池，属于一般工业固体废物，产生量约3.4t/a。拆解的动力电池暂存于专用电池存放间，交由有能力单位进行处理处置。</w:t>
            </w:r>
          </w:p>
          <w:p>
            <w:pPr>
              <w:pStyle w:val="25"/>
              <w:keepNext w:val="0"/>
              <w:keepLines w:val="0"/>
              <w:pageBreakBefore w:val="0"/>
              <w:widowControl w:val="0"/>
              <w:kinsoku/>
              <w:wordWrap/>
              <w:overflowPunct/>
              <w:topLinePunct w:val="0"/>
              <w:bidi w:val="0"/>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⑤废油箱：拟建项目机动车拆解过程中产生废油箱，废油箱产生量约为70t/a。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6 \* GB3 \* MERGEFORMAT </w:instrText>
            </w:r>
            <w:r>
              <w:rPr>
                <w:rFonts w:hint="eastAsia"/>
                <w:sz w:val="24"/>
                <w:szCs w:val="24"/>
                <w:lang w:val="en-US" w:eastAsia="zh-CN"/>
              </w:rPr>
              <w:fldChar w:fldCharType="separate"/>
            </w:r>
            <w:r>
              <w:rPr>
                <w:sz w:val="24"/>
                <w:szCs w:val="24"/>
              </w:rPr>
              <w:t>⑥</w:t>
            </w:r>
            <w:r>
              <w:rPr>
                <w:rFonts w:hint="eastAsia"/>
                <w:sz w:val="24"/>
                <w:szCs w:val="24"/>
                <w:lang w:val="en-US" w:eastAsia="zh-CN"/>
              </w:rPr>
              <w:fldChar w:fldCharType="end"/>
            </w:r>
            <w:r>
              <w:rPr>
                <w:rFonts w:hint="eastAsia"/>
                <w:sz w:val="24"/>
                <w:szCs w:val="24"/>
                <w:lang w:val="en-US" w:eastAsia="zh-CN"/>
              </w:rPr>
              <w:t>废电线电缆：拟建项目汽车拆解过程中产生废电线电缆，其产生量约为109t/a。</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7 \* GB3 \* MERGEFORMAT </w:instrText>
            </w:r>
            <w:r>
              <w:rPr>
                <w:rFonts w:hint="eastAsia"/>
                <w:sz w:val="24"/>
                <w:szCs w:val="24"/>
                <w:lang w:val="en-US" w:eastAsia="zh-CN"/>
              </w:rPr>
              <w:fldChar w:fldCharType="separate"/>
            </w:r>
            <w:r>
              <w:rPr>
                <w:sz w:val="24"/>
                <w:szCs w:val="24"/>
              </w:rPr>
              <w:t>⑦</w:t>
            </w:r>
            <w:r>
              <w:rPr>
                <w:rFonts w:hint="eastAsia"/>
                <w:sz w:val="24"/>
                <w:szCs w:val="24"/>
                <w:lang w:val="en-US" w:eastAsia="zh-CN"/>
              </w:rPr>
              <w:fldChar w:fldCharType="end"/>
            </w:r>
            <w:r>
              <w:rPr>
                <w:rFonts w:hint="eastAsia"/>
                <w:sz w:val="24"/>
                <w:szCs w:val="24"/>
                <w:lang w:val="en-US" w:eastAsia="zh-CN"/>
              </w:rPr>
              <w:t>其它不可利用物</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本项目在营运过程中还会产生一些不可利用废物，如碎玻璃、碎橡胶、废海绵等不可利用废物的产生量为137.4t/a，属于一般工业固废，厂区应设置固定的贮存设施、集中收集后由环卫部门统一清运。</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（3）危险废物</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t>本项目营运后在报废汽车拆解过程中产生的危险废物种类较多，根据《报废机动车拆解企业污染控制技术规范》（HJ348-2022）中相关规定，</w:t>
            </w:r>
            <w:r>
              <w:rPr>
                <w:rFonts w:hint="eastAsia"/>
                <w:color w:val="auto"/>
                <w:sz w:val="24"/>
                <w:szCs w:val="24"/>
                <w:lang w:val="en-US" w:eastAsia="zh-CN"/>
              </w:rPr>
              <w:t>废油液、废制冷剂、废铅蓄电池、废油类滤清器、废尾气净化催化装置、废电路板、废电容器及废开关</w:t>
            </w:r>
            <w:r>
              <w:rPr>
                <w:rFonts w:hint="eastAsia"/>
                <w:sz w:val="24"/>
                <w:szCs w:val="24"/>
                <w:lang w:val="en-US" w:eastAsia="zh-CN"/>
              </w:rPr>
              <w:t>等均属于危险废物，此外还有</w:t>
            </w:r>
            <w:r>
              <w:rPr>
                <w:rFonts w:hint="eastAsia" w:ascii="Times New Roman" w:hAnsi="Times New Roman" w:cs="Times New Roman"/>
                <w:sz w:val="24"/>
                <w:szCs w:val="22"/>
                <w:u w:val="none"/>
                <w:lang w:eastAsia="zh-CN"/>
              </w:rPr>
              <w:t>废油液</w:t>
            </w:r>
            <w:r>
              <w:rPr>
                <w:rFonts w:hint="eastAsia"/>
                <w:sz w:val="24"/>
                <w:szCs w:val="24"/>
                <w:lang w:val="en-US" w:eastAsia="zh-CN"/>
              </w:rPr>
              <w:t>废气装置更换产生的废活性炭，废油使用抹布擦拭产生的废含油抹布、沉淀池中会产生污泥属于危险废物，厂区收集后应委托相应资质单位进行安全处置。环评要求企业在投入生产前与资质单位签订危废处置协议，以保证危险废物得到安全处置。</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1 \* GB3 \* MERGEFORMAT </w:instrText>
            </w:r>
            <w:r>
              <w:rPr>
                <w:rFonts w:hint="eastAsia"/>
                <w:sz w:val="24"/>
                <w:szCs w:val="24"/>
                <w:lang w:val="en-US" w:eastAsia="zh-CN"/>
              </w:rPr>
              <w:fldChar w:fldCharType="separate"/>
            </w:r>
            <w:r>
              <w:rPr>
                <w:sz w:val="24"/>
                <w:szCs w:val="24"/>
              </w:rPr>
              <w:t>①</w:t>
            </w:r>
            <w:r>
              <w:rPr>
                <w:rFonts w:hint="eastAsia"/>
                <w:sz w:val="24"/>
                <w:szCs w:val="24"/>
                <w:lang w:val="en-US" w:eastAsia="zh-CN"/>
              </w:rPr>
              <w:fldChar w:fldCharType="end"/>
            </w:r>
            <w:r>
              <w:rPr>
                <w:rFonts w:hint="eastAsia"/>
                <w:sz w:val="24"/>
                <w:szCs w:val="24"/>
                <w:lang w:val="en-US" w:eastAsia="zh-CN"/>
              </w:rPr>
              <w:t>含油废抹布：拟建项目报废车拆解放油过程中少量滴漏废油使用抹布擦拭，产生含油废抹布，拟建项目含油废抹布产生量约为0.1t/a。</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2 \* GB3 \* MERGEFORMAT </w:instrText>
            </w:r>
            <w:r>
              <w:rPr>
                <w:rFonts w:hint="eastAsia"/>
                <w:sz w:val="24"/>
                <w:szCs w:val="24"/>
                <w:lang w:val="en-US" w:eastAsia="zh-CN"/>
              </w:rPr>
              <w:fldChar w:fldCharType="separate"/>
            </w:r>
            <w:r>
              <w:rPr>
                <w:sz w:val="24"/>
                <w:szCs w:val="24"/>
              </w:rPr>
              <w:t>②</w:t>
            </w:r>
            <w:r>
              <w:rPr>
                <w:rFonts w:hint="eastAsia"/>
                <w:sz w:val="24"/>
                <w:szCs w:val="24"/>
                <w:lang w:val="en-US" w:eastAsia="zh-CN"/>
              </w:rPr>
              <w:fldChar w:fldCharType="end"/>
            </w:r>
            <w:r>
              <w:rPr>
                <w:rFonts w:hint="eastAsia"/>
                <w:sz w:val="24"/>
                <w:szCs w:val="24"/>
                <w:lang w:val="en-US" w:eastAsia="zh-CN"/>
              </w:rPr>
              <w:t>废油液：拟建项目汽车拆解过程中排出残留的各种废油液，主要包括发动机机油、变速箱机油、制动装置油、离合器油、助力转向油、减振器油、冷却液、液压悬架液、沉淀池+油水分离系统废油等，拟建项目废油液产生量约为96.8t/a。</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3 \* GB3 \* MERGEFORMAT </w:instrText>
            </w:r>
            <w:r>
              <w:rPr>
                <w:rFonts w:hint="eastAsia"/>
                <w:sz w:val="24"/>
                <w:szCs w:val="24"/>
                <w:lang w:val="en-US" w:eastAsia="zh-CN"/>
              </w:rPr>
              <w:fldChar w:fldCharType="separate"/>
            </w:r>
            <w:r>
              <w:rPr>
                <w:sz w:val="24"/>
                <w:szCs w:val="24"/>
              </w:rPr>
              <w:t>③</w:t>
            </w:r>
            <w:r>
              <w:rPr>
                <w:rFonts w:hint="eastAsia"/>
                <w:sz w:val="24"/>
                <w:szCs w:val="24"/>
                <w:lang w:val="en-US" w:eastAsia="zh-CN"/>
              </w:rPr>
              <w:fldChar w:fldCharType="end"/>
            </w:r>
            <w:r>
              <w:rPr>
                <w:rFonts w:hint="eastAsia"/>
                <w:sz w:val="24"/>
                <w:szCs w:val="24"/>
                <w:lang w:val="en-US" w:eastAsia="zh-CN"/>
              </w:rPr>
              <w:t>废油类滤清器：拟建项目汽车拆解过程中产生废油类滤清器，废油类滤清器产生量约为15.4t/a。</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4 \* GB3 \* MERGEFORMAT </w:instrText>
            </w:r>
            <w:r>
              <w:rPr>
                <w:rFonts w:hint="eastAsia"/>
                <w:sz w:val="24"/>
                <w:szCs w:val="24"/>
                <w:lang w:val="en-US" w:eastAsia="zh-CN"/>
              </w:rPr>
              <w:fldChar w:fldCharType="separate"/>
            </w:r>
            <w:r>
              <w:rPr>
                <w:sz w:val="24"/>
                <w:szCs w:val="24"/>
              </w:rPr>
              <w:t>④</w:t>
            </w:r>
            <w:r>
              <w:rPr>
                <w:rFonts w:hint="eastAsia"/>
                <w:sz w:val="24"/>
                <w:szCs w:val="24"/>
                <w:lang w:val="en-US" w:eastAsia="zh-CN"/>
              </w:rPr>
              <w:fldChar w:fldCharType="end"/>
            </w:r>
            <w:r>
              <w:rPr>
                <w:rFonts w:hint="eastAsia"/>
                <w:sz w:val="24"/>
                <w:szCs w:val="24"/>
                <w:lang w:val="en-US" w:eastAsia="zh-CN"/>
              </w:rPr>
              <w:t>废铅蓄电池：拟建项目汽车拆解过程中产生废铅蓄电池，废铅蓄电池产生量约为99.6t/a。</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5 \* GB3 \* MERGEFORMAT </w:instrText>
            </w:r>
            <w:r>
              <w:rPr>
                <w:rFonts w:hint="eastAsia"/>
                <w:sz w:val="24"/>
                <w:szCs w:val="24"/>
                <w:lang w:val="en-US" w:eastAsia="zh-CN"/>
              </w:rPr>
              <w:fldChar w:fldCharType="separate"/>
            </w:r>
            <w:r>
              <w:rPr>
                <w:sz w:val="24"/>
                <w:szCs w:val="24"/>
              </w:rPr>
              <w:t>⑤</w:t>
            </w:r>
            <w:r>
              <w:rPr>
                <w:rFonts w:hint="eastAsia"/>
                <w:sz w:val="24"/>
                <w:szCs w:val="24"/>
                <w:lang w:val="en-US" w:eastAsia="zh-CN"/>
              </w:rPr>
              <w:fldChar w:fldCharType="end"/>
            </w:r>
            <w:r>
              <w:rPr>
                <w:rFonts w:hint="eastAsia"/>
                <w:sz w:val="24"/>
                <w:szCs w:val="24"/>
                <w:lang w:val="en-US" w:eastAsia="zh-CN"/>
              </w:rPr>
              <w:t>废尾气净化催化装置：废尾气净化催化装置产生量约为13t/a。</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6 \* GB3 \* MERGEFORMAT </w:instrText>
            </w:r>
            <w:r>
              <w:rPr>
                <w:rFonts w:hint="eastAsia"/>
                <w:sz w:val="24"/>
                <w:szCs w:val="24"/>
                <w:lang w:val="en-US" w:eastAsia="zh-CN"/>
              </w:rPr>
              <w:fldChar w:fldCharType="separate"/>
            </w:r>
            <w:r>
              <w:rPr>
                <w:sz w:val="24"/>
                <w:szCs w:val="24"/>
              </w:rPr>
              <w:t>⑥</w:t>
            </w:r>
            <w:r>
              <w:rPr>
                <w:rFonts w:hint="eastAsia"/>
                <w:sz w:val="24"/>
                <w:szCs w:val="24"/>
                <w:lang w:val="en-US" w:eastAsia="zh-CN"/>
              </w:rPr>
              <w:fldChar w:fldCharType="end"/>
            </w:r>
            <w:r>
              <w:rPr>
                <w:rFonts w:hint="eastAsia"/>
                <w:sz w:val="24"/>
                <w:szCs w:val="24"/>
                <w:lang w:val="en-US" w:eastAsia="zh-CN"/>
              </w:rPr>
              <w:t>废制冷剂：拟建项目报废车冷媒回收过程中产生废制冷剂，废制冷剂产生量约为15.4t/a。</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7 \* GB3 \* MERGEFORMAT </w:instrText>
            </w:r>
            <w:r>
              <w:rPr>
                <w:rFonts w:hint="eastAsia"/>
                <w:sz w:val="24"/>
                <w:szCs w:val="24"/>
                <w:lang w:val="en-US" w:eastAsia="zh-CN"/>
              </w:rPr>
              <w:fldChar w:fldCharType="separate"/>
            </w:r>
            <w:r>
              <w:rPr>
                <w:sz w:val="24"/>
                <w:szCs w:val="24"/>
              </w:rPr>
              <w:t>⑦</w:t>
            </w:r>
            <w:r>
              <w:rPr>
                <w:rFonts w:hint="eastAsia"/>
                <w:sz w:val="24"/>
                <w:szCs w:val="24"/>
                <w:lang w:val="en-US" w:eastAsia="zh-CN"/>
              </w:rPr>
              <w:fldChar w:fldCharType="end"/>
            </w:r>
            <w:r>
              <w:rPr>
                <w:rFonts w:hint="eastAsia"/>
                <w:sz w:val="24"/>
                <w:szCs w:val="24"/>
                <w:lang w:val="en-US" w:eastAsia="zh-CN"/>
              </w:rPr>
              <w:t>废电路板、废电容器及废开关：拟建项目汽车拆解过程中产生废电路板、废电容器及废开关，废电路板、电容器、废开关产生量约为21.8t/a。</w:t>
            </w:r>
          </w:p>
          <w:p>
            <w:pPr>
              <w:keepNext w:val="0"/>
              <w:keepLines w:val="0"/>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 8 \* GB3 \* MERGEFORMAT </w:instrText>
            </w:r>
            <w:r>
              <w:rPr>
                <w:rFonts w:hint="eastAsia"/>
                <w:sz w:val="24"/>
                <w:szCs w:val="24"/>
                <w:lang w:val="en-US" w:eastAsia="zh-CN"/>
              </w:rPr>
              <w:fldChar w:fldCharType="separate"/>
            </w:r>
            <w:r>
              <w:rPr>
                <w:sz w:val="24"/>
                <w:szCs w:val="24"/>
              </w:rPr>
              <w:t>⑧</w:t>
            </w:r>
            <w:r>
              <w:rPr>
                <w:rFonts w:hint="eastAsia"/>
                <w:sz w:val="24"/>
                <w:szCs w:val="24"/>
                <w:lang w:val="en-US" w:eastAsia="zh-CN"/>
              </w:rPr>
              <w:fldChar w:fldCharType="end"/>
            </w:r>
            <w:r>
              <w:rPr>
                <w:rFonts w:hint="eastAsia"/>
                <w:sz w:val="24"/>
                <w:szCs w:val="24"/>
                <w:lang w:val="en-US" w:eastAsia="zh-CN"/>
              </w:rPr>
              <w:t>污泥：项目在沉淀池中会产生污泥。按照SS的去除量及污泥含水率来计算，污泥产生量约0.5t/a。</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sz w:val="24"/>
                <w:szCs w:val="24"/>
                <w:lang w:val="en-US" w:eastAsia="zh-CN"/>
              </w:rPr>
            </w:pPr>
            <w:r>
              <w:rPr>
                <w:rFonts w:hint="eastAsia"/>
                <w:sz w:val="24"/>
                <w:szCs w:val="24"/>
                <w:u w:val="none"/>
                <w:lang w:val="en-US" w:eastAsia="zh-CN"/>
              </w:rPr>
              <w:fldChar w:fldCharType="begin"/>
            </w:r>
            <w:r>
              <w:rPr>
                <w:rFonts w:hint="eastAsia"/>
                <w:sz w:val="24"/>
                <w:szCs w:val="24"/>
                <w:u w:val="none"/>
                <w:lang w:val="en-US" w:eastAsia="zh-CN"/>
              </w:rPr>
              <w:instrText xml:space="preserve"> = 9 \* GB3 \* MERGEFORMAT </w:instrText>
            </w:r>
            <w:r>
              <w:rPr>
                <w:rFonts w:hint="eastAsia"/>
                <w:sz w:val="24"/>
                <w:szCs w:val="24"/>
                <w:u w:val="none"/>
                <w:lang w:val="en-US" w:eastAsia="zh-CN"/>
              </w:rPr>
              <w:fldChar w:fldCharType="separate"/>
            </w:r>
            <w:r>
              <w:rPr>
                <w:sz w:val="24"/>
                <w:szCs w:val="24"/>
              </w:rPr>
              <w:t>⑨</w:t>
            </w:r>
            <w:r>
              <w:rPr>
                <w:rFonts w:hint="eastAsia"/>
                <w:sz w:val="24"/>
                <w:szCs w:val="24"/>
                <w:u w:val="none"/>
                <w:lang w:val="en-US" w:eastAsia="zh-CN"/>
              </w:rPr>
              <w:fldChar w:fldCharType="end"/>
            </w:r>
            <w:r>
              <w:rPr>
                <w:rFonts w:hint="default" w:ascii="Times New Roman" w:hAnsi="Times New Roman" w:cs="Times New Roman"/>
                <w:sz w:val="24"/>
                <w:szCs w:val="24"/>
                <w:u w:val="none"/>
              </w:rPr>
              <w:t>废气处理更换的废活性炭</w:t>
            </w:r>
            <w:r>
              <w:rPr>
                <w:rFonts w:hint="eastAsia" w:ascii="Times New Roman" w:hAnsi="Times New Roman" w:cs="Times New Roman"/>
                <w:sz w:val="24"/>
                <w:szCs w:val="24"/>
                <w:u w:val="none"/>
                <w:lang w:eastAsia="zh-CN"/>
              </w:rPr>
              <w:t>：项目废油液抽取过程中产生的非甲烷总烃与废油暂存间产生的非甲烷总烃一并经</w:t>
            </w:r>
            <w:r>
              <w:rPr>
                <w:rFonts w:hint="default" w:ascii="Times New Roman" w:hAnsi="Times New Roman" w:cs="Times New Roman"/>
                <w:sz w:val="24"/>
                <w:szCs w:val="24"/>
                <w:u w:val="none"/>
              </w:rPr>
              <w:t>活性炭吸附处理，处理过程中使用的活性炭需定期更换（约三个月更换一次）。废活性炭属于危险废物，类别为HW49其他废物，代码为900-041-49（含有或沾染毒性、感染性危险废物的废弃包装物、容器、过滤吸附介质），产生量约</w:t>
            </w:r>
            <w:r>
              <w:rPr>
                <w:rFonts w:hint="eastAsia" w:ascii="Times New Roman" w:hAnsi="Times New Roman" w:cs="Times New Roman"/>
                <w:sz w:val="24"/>
                <w:szCs w:val="24"/>
                <w:u w:val="none"/>
                <w:lang w:val="en-US" w:eastAsia="zh-CN"/>
              </w:rPr>
              <w:t>1.2</w:t>
            </w:r>
            <w:r>
              <w:rPr>
                <w:rFonts w:hint="default" w:ascii="Times New Roman" w:hAnsi="Times New Roman" w:cs="Times New Roman"/>
                <w:sz w:val="24"/>
                <w:szCs w:val="24"/>
                <w:u w:val="none"/>
              </w:rPr>
              <w:t>t/a，收集后交由有资质单位处置。</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2" w:firstLineChars="200"/>
              <w:textAlignment w:val="auto"/>
              <w:rPr>
                <w:rFonts w:hint="eastAsia"/>
                <w:sz w:val="24"/>
                <w:szCs w:val="24"/>
                <w:lang w:val="en-US" w:eastAsia="zh-CN"/>
              </w:rPr>
            </w:pPr>
            <w:r>
              <w:rPr>
                <w:rFonts w:hint="eastAsia"/>
                <w:b/>
                <w:bCs/>
                <w:sz w:val="24"/>
                <w:szCs w:val="24"/>
                <w:lang w:val="en-US" w:eastAsia="zh-CN"/>
              </w:rPr>
              <w:t>4.2废钢铁加工</w:t>
            </w:r>
          </w:p>
          <w:p>
            <w:pPr>
              <w:keepNext w:val="0"/>
              <w:keepLines w:val="0"/>
              <w:pageBreakBefore w:val="0"/>
              <w:numPr>
                <w:ilvl w:val="0"/>
                <w:numId w:val="7"/>
              </w:numPr>
              <w:kinsoku/>
              <w:wordWrap/>
              <w:overflowPunct/>
              <w:topLinePunct w:val="0"/>
              <w:autoSpaceDE/>
              <w:autoSpaceDN/>
              <w:bidi w:val="0"/>
              <w:adjustRightIn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磁选废料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根据业主提供资料，废钢磁选出的废料大约为0.5t/a</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经集中收集后交由环卫部门进行处理</w:t>
            </w:r>
            <w:r>
              <w:rPr>
                <w:rFonts w:hint="eastAsia" w:ascii="Times New Roman" w:hAnsi="Times New Roman" w:eastAsia="宋体" w:cs="Times New Roman"/>
                <w:color w:val="auto"/>
                <w:sz w:val="24"/>
                <w:szCs w:val="24"/>
                <w:lang w:val="en-US" w:eastAsia="zh-CN"/>
              </w:rPr>
              <w:t>。</w:t>
            </w:r>
          </w:p>
          <w:p>
            <w:pPr>
              <w:keepNext w:val="0"/>
              <w:keepLines w:val="0"/>
              <w:pageBreakBefore w:val="0"/>
              <w:numPr>
                <w:ilvl w:val="0"/>
                <w:numId w:val="7"/>
              </w:numPr>
              <w:kinsoku/>
              <w:wordWrap/>
              <w:overflowPunct/>
              <w:topLinePunct w:val="0"/>
              <w:autoSpaceDE/>
              <w:autoSpaceDN/>
              <w:bidi w:val="0"/>
              <w:adjustRightInd/>
              <w:spacing w:line="360" w:lineRule="auto"/>
              <w:ind w:left="0" w:leftChars="0" w:firstLine="480" w:firstLineChars="200"/>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金属粉尘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拟建项目</w:t>
            </w:r>
            <w:r>
              <w:rPr>
                <w:rFonts w:hint="eastAsia" w:ascii="Times New Roman" w:hAnsi="Times New Roman" w:cs="Times New Roman"/>
                <w:color w:val="auto"/>
                <w:sz w:val="24"/>
                <w:szCs w:val="24"/>
                <w:lang w:eastAsia="zh-CN"/>
              </w:rPr>
              <w:t>剪切</w:t>
            </w:r>
            <w:r>
              <w:rPr>
                <w:rFonts w:hint="default" w:ascii="Times New Roman" w:hAnsi="Times New Roman" w:cs="Times New Roman"/>
                <w:color w:val="auto"/>
                <w:sz w:val="24"/>
                <w:szCs w:val="24"/>
              </w:rPr>
              <w:t>粉尘产生量约为</w:t>
            </w:r>
            <w:r>
              <w:rPr>
                <w:rFonts w:hint="eastAsia" w:ascii="Times New Roman" w:hAnsi="Times New Roman" w:cs="Times New Roman"/>
                <w:color w:val="auto"/>
                <w:sz w:val="24"/>
                <w:szCs w:val="24"/>
                <w:lang w:val="en-US" w:eastAsia="zh-CN"/>
              </w:rPr>
              <w:t>1.4</w:t>
            </w:r>
            <w:r>
              <w:rPr>
                <w:rFonts w:hint="default" w:ascii="Times New Roman" w:hAnsi="Times New Roman" w:cs="Times New Roman"/>
                <w:color w:val="auto"/>
                <w:sz w:val="24"/>
                <w:szCs w:val="24"/>
              </w:rPr>
              <w:t>t/a，集气罩收集效率为90%，除尘效率</w:t>
            </w:r>
            <w:r>
              <w:rPr>
                <w:rFonts w:hint="eastAsia" w:ascii="Times New Roman" w:hAnsi="Times New Roman" w:cs="Times New Roman"/>
                <w:color w:val="auto"/>
                <w:sz w:val="24"/>
                <w:szCs w:val="24"/>
                <w:lang w:val="en-US" w:eastAsia="zh-CN"/>
              </w:rPr>
              <w:t>85</w:t>
            </w:r>
            <w:r>
              <w:rPr>
                <w:rFonts w:hint="default" w:ascii="Times New Roman" w:hAnsi="Times New Roman" w:cs="Times New Roman"/>
                <w:color w:val="auto"/>
                <w:sz w:val="24"/>
                <w:szCs w:val="24"/>
              </w:rPr>
              <w:t>%，经计算，项目袋式除尘器收集的粉尘产生量约为</w:t>
            </w:r>
            <w:r>
              <w:rPr>
                <w:rFonts w:hint="eastAsia" w:ascii="Times New Roman" w:hAnsi="Times New Roman" w:cs="Times New Roman"/>
                <w:color w:val="auto"/>
                <w:sz w:val="24"/>
                <w:szCs w:val="24"/>
                <w:lang w:val="en-US" w:eastAsia="zh-CN"/>
              </w:rPr>
              <w:t>1.26</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金属颗粒物</w:t>
            </w:r>
            <w:r>
              <w:rPr>
                <w:rFonts w:hint="default" w:ascii="Times New Roman" w:hAnsi="Times New Roman" w:cs="Times New Roman"/>
                <w:color w:val="auto"/>
                <w:sz w:val="24"/>
                <w:szCs w:val="24"/>
                <w:lang w:val="en-US" w:eastAsia="zh-CN"/>
              </w:rPr>
              <w:t>经集中收集后外售综合利用</w:t>
            </w:r>
            <w:r>
              <w:rPr>
                <w:rFonts w:hint="eastAsia" w:ascii="Times New Roman" w:hAnsi="Times New Roman" w:cs="Times New Roman"/>
                <w:color w:val="auto"/>
                <w:sz w:val="24"/>
                <w:szCs w:val="24"/>
                <w:lang w:val="en-US" w:eastAsia="zh-CN"/>
              </w:rPr>
              <w:t>。</w:t>
            </w:r>
          </w:p>
          <w:p>
            <w:pPr>
              <w:keepNext w:val="0"/>
              <w:keepLines w:val="0"/>
              <w:pageBreakBefore w:val="0"/>
              <w:numPr>
                <w:ilvl w:val="0"/>
                <w:numId w:val="7"/>
              </w:numPr>
              <w:kinsoku/>
              <w:wordWrap/>
              <w:overflowPunct/>
              <w:topLinePunct w:val="0"/>
              <w:autoSpaceDE/>
              <w:autoSpaceDN/>
              <w:bidi w:val="0"/>
              <w:adjustRightInd/>
              <w:spacing w:line="360" w:lineRule="auto"/>
              <w:ind w:left="0" w:lef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废机油、废液压油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sz w:val="24"/>
                <w:szCs w:val="24"/>
                <w:lang w:val="en-US" w:eastAsia="zh-CN"/>
              </w:rPr>
            </w:pPr>
            <w:r>
              <w:rPr>
                <w:rFonts w:hint="default" w:ascii="Times New Roman" w:hAnsi="Times New Roman" w:cs="Times New Roman"/>
                <w:color w:val="auto"/>
                <w:sz w:val="24"/>
                <w:szCs w:val="24"/>
                <w:lang w:val="en-US" w:eastAsia="zh-CN"/>
              </w:rPr>
              <w:t>项目机械设备日常维修，保养会有废机油、废液压油产生，根据业主提供资料，废机油、废液压油较少，产生量约为0.1t/a，经集中收集后交由有资质单位进行回收处理。</w:t>
            </w:r>
          </w:p>
          <w:p>
            <w:pPr>
              <w:pStyle w:val="4"/>
              <w:keepNext w:val="0"/>
              <w:keepLines w:val="0"/>
              <w:pageBreakBefore w:val="0"/>
              <w:widowControl/>
              <w:kinsoku/>
              <w:wordWrap/>
              <w:overflowPunct/>
              <w:topLinePunct w:val="0"/>
              <w:autoSpaceDE/>
              <w:autoSpaceDN/>
              <w:bidi w:val="0"/>
              <w:adjustRightInd/>
              <w:snapToGrid w:val="0"/>
              <w:spacing w:before="0" w:after="0" w:line="260" w:lineRule="auto"/>
              <w:ind w:right="0"/>
              <w:jc w:val="center"/>
              <w:textAlignment w:val="auto"/>
              <w:rPr>
                <w:rFonts w:hint="default"/>
                <w:b/>
                <w:bCs/>
                <w:sz w:val="21"/>
                <w:szCs w:val="21"/>
                <w:u w:val="none" w:color="auto"/>
                <w:lang w:val="en-US" w:eastAsia="zh-CN"/>
              </w:rPr>
            </w:pPr>
            <w:r>
              <w:rPr>
                <w:b/>
                <w:bCs/>
                <w:sz w:val="21"/>
                <w:szCs w:val="21"/>
                <w:u w:val="none" w:color="auto"/>
              </w:rPr>
              <w:t>表</w:t>
            </w:r>
            <w:r>
              <w:rPr>
                <w:rFonts w:hint="eastAsia"/>
                <w:b/>
                <w:bCs/>
                <w:sz w:val="21"/>
                <w:szCs w:val="21"/>
                <w:u w:val="none" w:color="auto"/>
                <w:lang w:val="en-US" w:eastAsia="zh-CN"/>
              </w:rPr>
              <w:t>4-14 项目固体废物产排情况一览表</w:t>
            </w:r>
          </w:p>
          <w:tbl>
            <w:tblPr>
              <w:tblStyle w:val="17"/>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93"/>
              <w:gridCol w:w="900"/>
              <w:gridCol w:w="591"/>
              <w:gridCol w:w="871"/>
              <w:gridCol w:w="913"/>
              <w:gridCol w:w="662"/>
              <w:gridCol w:w="700"/>
              <w:gridCol w:w="913"/>
              <w:gridCol w:w="1175"/>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序</w:t>
                  </w:r>
                </w:p>
                <w:p>
                  <w:pPr>
                    <w:bidi w:val="0"/>
                    <w:jc w:val="center"/>
                    <w:rPr>
                      <w:rFonts w:hint="eastAsia"/>
                      <w:sz w:val="21"/>
                      <w:szCs w:val="21"/>
                      <w:u w:val="none" w:color="auto"/>
                      <w:lang w:val="en-US" w:eastAsia="zh-CN"/>
                    </w:rPr>
                  </w:pPr>
                  <w:r>
                    <w:rPr>
                      <w:rFonts w:hint="eastAsia"/>
                      <w:sz w:val="21"/>
                      <w:szCs w:val="21"/>
                      <w:u w:val="none" w:color="auto"/>
                      <w:lang w:val="en-US" w:eastAsia="zh-CN"/>
                    </w:rPr>
                    <w:t>号</w:t>
                  </w:r>
                </w:p>
              </w:tc>
              <w:tc>
                <w:tcPr>
                  <w:tcW w:w="69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类型</w:t>
                  </w:r>
                </w:p>
              </w:tc>
              <w:tc>
                <w:tcPr>
                  <w:tcW w:w="9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名称</w:t>
                  </w:r>
                </w:p>
              </w:tc>
              <w:tc>
                <w:tcPr>
                  <w:tcW w:w="591" w:type="dxa"/>
                  <w:noWrap w:val="0"/>
                  <w:vAlign w:val="center"/>
                </w:tcPr>
                <w:p>
                  <w:pPr>
                    <w:bidi w:val="0"/>
                    <w:jc w:val="center"/>
                    <w:rPr>
                      <w:rFonts w:hint="default"/>
                      <w:sz w:val="21"/>
                      <w:szCs w:val="21"/>
                      <w:u w:val="none" w:color="auto"/>
                      <w:lang w:val="en-US" w:eastAsia="zh-CN"/>
                    </w:rPr>
                  </w:pPr>
                  <w:r>
                    <w:rPr>
                      <w:rFonts w:hint="default"/>
                      <w:sz w:val="21"/>
                      <w:szCs w:val="21"/>
                      <w:u w:val="none" w:color="auto"/>
                      <w:lang w:val="en-US" w:eastAsia="zh-CN"/>
                    </w:rPr>
                    <w:t>类别</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代码</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主要有毒有害</w:t>
                  </w:r>
                </w:p>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物质名称</w:t>
                  </w:r>
                </w:p>
              </w:tc>
              <w:tc>
                <w:tcPr>
                  <w:tcW w:w="662"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eastAsia="zh-CN"/>
                    </w:rPr>
                    <w:t>形态</w:t>
                  </w:r>
                </w:p>
              </w:tc>
              <w:tc>
                <w:tcPr>
                  <w:tcW w:w="7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废物特性</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产生</w:t>
                  </w:r>
                </w:p>
                <w:p>
                  <w:pPr>
                    <w:bidi w:val="0"/>
                    <w:jc w:val="center"/>
                    <w:rPr>
                      <w:rFonts w:hint="eastAsia"/>
                      <w:sz w:val="21"/>
                      <w:szCs w:val="21"/>
                      <w:u w:val="none" w:color="auto"/>
                      <w:lang w:val="en-US" w:eastAsia="zh-CN"/>
                    </w:rPr>
                  </w:pPr>
                  <w:r>
                    <w:rPr>
                      <w:rFonts w:hint="eastAsia"/>
                      <w:sz w:val="21"/>
                      <w:szCs w:val="21"/>
                      <w:u w:val="none" w:color="auto"/>
                      <w:lang w:val="en-US" w:eastAsia="zh-CN"/>
                    </w:rPr>
                    <w:t>量（t/a</w:t>
                  </w:r>
                </w:p>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贮存</w:t>
                  </w:r>
                </w:p>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方式</w:t>
                  </w:r>
                </w:p>
              </w:tc>
              <w:tc>
                <w:tcPr>
                  <w:tcW w:w="714" w:type="dxa"/>
                  <w:noWrap w:val="0"/>
                  <w:vAlign w:val="center"/>
                </w:tcPr>
                <w:p>
                  <w:pPr>
                    <w:bidi w:val="0"/>
                    <w:jc w:val="center"/>
                    <w:rPr>
                      <w:rFonts w:hint="eastAsia"/>
                      <w:kern w:val="2"/>
                      <w:sz w:val="21"/>
                      <w:szCs w:val="21"/>
                      <w:u w:val="none" w:color="auto"/>
                      <w:lang w:val="en-US" w:eastAsia="zh-CN" w:bidi="ar-SA"/>
                    </w:rPr>
                  </w:pPr>
                  <w:r>
                    <w:rPr>
                      <w:rFonts w:hint="eastAsia"/>
                      <w:kern w:val="2"/>
                      <w:sz w:val="21"/>
                      <w:szCs w:val="21"/>
                      <w:u w:val="none" w:color="auto"/>
                      <w:lang w:val="en-US" w:eastAsia="zh-CN" w:bidi="ar-SA"/>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w:t>
                  </w:r>
                </w:p>
              </w:tc>
              <w:tc>
                <w:tcPr>
                  <w:tcW w:w="69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生活垃圾</w:t>
                  </w: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生活垃圾</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7.5</w:t>
                  </w:r>
                </w:p>
              </w:tc>
              <w:tc>
                <w:tcPr>
                  <w:tcW w:w="117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ascii="Times New Roman" w:hAnsi="Times New Roman" w:eastAsia="宋体" w:cs="Times New Roman"/>
                      <w:b w:val="0"/>
                      <w:bCs w:val="0"/>
                      <w:color w:val="auto"/>
                      <w:sz w:val="21"/>
                      <w:szCs w:val="21"/>
                      <w:highlight w:val="none"/>
                      <w:u w:val="none" w:color="auto"/>
                      <w:vertAlign w:val="baseline"/>
                      <w:lang w:eastAsia="zh-CN"/>
                    </w:rPr>
                    <w:t>垃圾桶</w:t>
                  </w:r>
                </w:p>
              </w:tc>
              <w:tc>
                <w:tcPr>
                  <w:tcW w:w="71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rPr>
                    <w:t>定期由环卫部门清运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2</w:t>
                  </w:r>
                </w:p>
              </w:tc>
              <w:tc>
                <w:tcPr>
                  <w:tcW w:w="693" w:type="dxa"/>
                  <w:vMerge w:val="restart"/>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w:t>
                  </w:r>
                </w:p>
                <w:p>
                  <w:pPr>
                    <w:bidi w:val="0"/>
                    <w:jc w:val="center"/>
                    <w:rPr>
                      <w:rFonts w:hint="eastAsia"/>
                      <w:sz w:val="21"/>
                      <w:szCs w:val="21"/>
                      <w:u w:val="none" w:color="auto"/>
                      <w:lang w:val="en-US" w:eastAsia="zh-CN"/>
                    </w:rPr>
                  </w:pPr>
                  <w:r>
                    <w:rPr>
                      <w:rFonts w:hint="eastAsia"/>
                      <w:sz w:val="21"/>
                      <w:szCs w:val="21"/>
                      <w:u w:val="none" w:color="auto"/>
                      <w:lang w:val="en-US" w:eastAsia="zh-CN"/>
                    </w:rPr>
                    <w:t>般</w:t>
                  </w:r>
                </w:p>
                <w:p>
                  <w:pPr>
                    <w:bidi w:val="0"/>
                    <w:jc w:val="center"/>
                    <w:rPr>
                      <w:rFonts w:hint="eastAsia"/>
                      <w:sz w:val="21"/>
                      <w:szCs w:val="21"/>
                      <w:u w:val="none" w:color="auto"/>
                      <w:lang w:val="en-US" w:eastAsia="zh-CN"/>
                    </w:rPr>
                  </w:pPr>
                  <w:r>
                    <w:rPr>
                      <w:rFonts w:hint="eastAsia"/>
                      <w:sz w:val="21"/>
                      <w:szCs w:val="21"/>
                      <w:u w:val="none" w:color="auto"/>
                      <w:lang w:val="en-US" w:eastAsia="zh-CN"/>
                    </w:rPr>
                    <w:t>固</w:t>
                  </w:r>
                </w:p>
                <w:p>
                  <w:pPr>
                    <w:bidi w:val="0"/>
                    <w:jc w:val="center"/>
                    <w:rPr>
                      <w:rFonts w:hint="eastAsia"/>
                      <w:sz w:val="21"/>
                      <w:szCs w:val="21"/>
                      <w:u w:val="none" w:color="auto"/>
                      <w:lang w:val="en-US" w:eastAsia="zh-CN"/>
                    </w:rPr>
                  </w:pPr>
                  <w:r>
                    <w:rPr>
                      <w:rFonts w:hint="eastAsia"/>
                      <w:sz w:val="21"/>
                      <w:szCs w:val="21"/>
                      <w:u w:val="none" w:color="auto"/>
                      <w:lang w:val="en-US" w:eastAsia="zh-CN"/>
                    </w:rPr>
                    <w:t>废</w:t>
                  </w: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其它不可利用物</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421-001-99</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137.4</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3</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lang w:val="en-US" w:eastAsia="zh-CN"/>
                    </w:rPr>
                    <w:t>磁选废料</w:t>
                  </w:r>
                </w:p>
              </w:tc>
              <w:tc>
                <w:tcPr>
                  <w:tcW w:w="591"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w:t>
                  </w:r>
                </w:p>
              </w:tc>
              <w:tc>
                <w:tcPr>
                  <w:tcW w:w="871" w:type="dxa"/>
                  <w:noWrap w:val="0"/>
                  <w:vAlign w:val="center"/>
                </w:tcPr>
                <w:p>
                  <w:pPr>
                    <w:bidi w:val="0"/>
                    <w:jc w:val="center"/>
                    <w:rPr>
                      <w:rFonts w:hint="eastAsia" w:eastAsia="宋体"/>
                      <w:kern w:val="2"/>
                      <w:sz w:val="21"/>
                      <w:szCs w:val="21"/>
                      <w:lang w:val="en-US" w:eastAsia="zh-CN" w:bidi="ar-SA"/>
                    </w:rPr>
                  </w:pPr>
                  <w:r>
                    <w:t>421</w:t>
                  </w:r>
                  <w:r>
                    <w:rPr>
                      <w:rFonts w:hint="eastAsia"/>
                      <w:lang w:val="en-US" w:eastAsia="zh-CN"/>
                    </w:rPr>
                    <w:t>-001-99</w:t>
                  </w:r>
                </w:p>
              </w:tc>
              <w:tc>
                <w:tcPr>
                  <w:tcW w:w="913"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w:t>
                  </w:r>
                </w:p>
              </w:tc>
              <w:tc>
                <w:tcPr>
                  <w:tcW w:w="662"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固态</w:t>
                  </w:r>
                </w:p>
              </w:tc>
              <w:tc>
                <w:tcPr>
                  <w:tcW w:w="700"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w:t>
                  </w:r>
                </w:p>
              </w:tc>
              <w:tc>
                <w:tcPr>
                  <w:tcW w:w="913"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0.5</w:t>
                  </w:r>
                </w:p>
              </w:tc>
              <w:tc>
                <w:tcPr>
                  <w:tcW w:w="1175" w:type="dxa"/>
                  <w:noWrap w:val="0"/>
                  <w:vAlign w:val="center"/>
                </w:tcPr>
                <w:p>
                  <w:pPr>
                    <w:bidi w:val="0"/>
                    <w:jc w:val="cente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4</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kern w:val="2"/>
                      <w:sz w:val="21"/>
                      <w:szCs w:val="21"/>
                      <w:u w:val="none"/>
                      <w:lang w:val="en-US" w:eastAsia="zh-CN" w:bidi="ar-SA"/>
                    </w:rPr>
                  </w:pPr>
                  <w:r>
                    <w:rPr>
                      <w:rFonts w:hint="eastAsia" w:ascii="Times New Roman" w:hAnsi="Times New Roman" w:cs="Times New Roman"/>
                      <w:b w:val="0"/>
                      <w:bCs w:val="0"/>
                      <w:sz w:val="21"/>
                      <w:szCs w:val="21"/>
                      <w:lang w:val="en-US" w:eastAsia="zh-CN"/>
                    </w:rPr>
                    <w:t>金属</w:t>
                  </w:r>
                  <w:r>
                    <w:rPr>
                      <w:rFonts w:hint="default" w:ascii="Times New Roman" w:hAnsi="Times New Roman" w:cs="Times New Roman"/>
                      <w:b w:val="0"/>
                      <w:bCs w:val="0"/>
                      <w:sz w:val="21"/>
                      <w:szCs w:val="21"/>
                      <w:lang w:val="en-US" w:eastAsia="zh-CN"/>
                    </w:rPr>
                    <w:t>粉尘</w:t>
                  </w:r>
                </w:p>
              </w:tc>
              <w:tc>
                <w:tcPr>
                  <w:tcW w:w="591"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w:t>
                  </w:r>
                </w:p>
              </w:tc>
              <w:tc>
                <w:tcPr>
                  <w:tcW w:w="871" w:type="dxa"/>
                  <w:noWrap w:val="0"/>
                  <w:vAlign w:val="center"/>
                </w:tcPr>
                <w:p>
                  <w:pPr>
                    <w:bidi w:val="0"/>
                    <w:jc w:val="center"/>
                    <w:rPr>
                      <w:rFonts w:hint="default"/>
                      <w:kern w:val="2"/>
                      <w:sz w:val="21"/>
                      <w:szCs w:val="21"/>
                      <w:lang w:val="en-US" w:eastAsia="zh-CN" w:bidi="ar-SA"/>
                    </w:rPr>
                  </w:pPr>
                  <w:r>
                    <w:t>421</w:t>
                  </w:r>
                  <w:r>
                    <w:rPr>
                      <w:rFonts w:hint="eastAsia"/>
                      <w:lang w:val="en-US" w:eastAsia="zh-CN"/>
                    </w:rPr>
                    <w:t>-001-63</w:t>
                  </w:r>
                </w:p>
              </w:tc>
              <w:tc>
                <w:tcPr>
                  <w:tcW w:w="913"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w:t>
                  </w:r>
                </w:p>
              </w:tc>
              <w:tc>
                <w:tcPr>
                  <w:tcW w:w="662"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固态</w:t>
                  </w:r>
                </w:p>
              </w:tc>
              <w:tc>
                <w:tcPr>
                  <w:tcW w:w="700"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w:t>
                  </w:r>
                </w:p>
              </w:tc>
              <w:tc>
                <w:tcPr>
                  <w:tcW w:w="913"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1.26</w:t>
                  </w:r>
                </w:p>
              </w:tc>
              <w:tc>
                <w:tcPr>
                  <w:tcW w:w="1175" w:type="dxa"/>
                  <w:noWrap w:val="0"/>
                  <w:vAlign w:val="center"/>
                </w:tcPr>
                <w:p>
                  <w:pPr>
                    <w:bidi w:val="0"/>
                    <w:jc w:val="cente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vertAlign w:val="baseline"/>
                      <w:lang w:eastAsia="zh-CN"/>
                    </w:rPr>
                    <w:t>桶装</w:t>
                  </w:r>
                </w:p>
              </w:tc>
              <w:tc>
                <w:tcPr>
                  <w:tcW w:w="714" w:type="dxa"/>
                  <w:noWrap w:val="0"/>
                  <w:vAlign w:val="center"/>
                </w:tcPr>
                <w:p>
                  <w:pPr>
                    <w:bidi w:val="0"/>
                    <w:jc w:val="center"/>
                    <w:rPr>
                      <w:rFonts w:hint="eastAsia"/>
                      <w:kern w:val="2"/>
                      <w:sz w:val="21"/>
                      <w:szCs w:val="21"/>
                      <w:lang w:val="en-US" w:eastAsia="zh-CN" w:bidi="ar-SA"/>
                    </w:rPr>
                  </w:pPr>
                  <w:r>
                    <w:rPr>
                      <w:rFonts w:hint="default" w:ascii="Times New Roman" w:hAnsi="Times New Roman" w:eastAsia="宋体" w:cs="Times New Roman"/>
                      <w:sz w:val="21"/>
                      <w:szCs w:val="21"/>
                      <w:highlight w:val="none"/>
                      <w:u w:val="none" w:color="auto"/>
                      <w:lang w:val="en-US" w:eastAsia="zh-CN"/>
                    </w:rPr>
                    <w:t>由废品回收商回收处理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5</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废钢铁</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421-001-09</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15603.4</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restart"/>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外售给相关回收单位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6</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废有色金属</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421-001-10</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769.8</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7</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废塑料</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421-001-06</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956.2</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8</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废玻璃</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421-001-08</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165.2</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9</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废安全气囊</w:t>
                  </w:r>
                </w:p>
              </w:tc>
              <w:tc>
                <w:tcPr>
                  <w:tcW w:w="591" w:type="dxa"/>
                  <w:noWrap w:val="0"/>
                  <w:vAlign w:val="center"/>
                </w:tcPr>
                <w:p>
                  <w:pPr>
                    <w:bidi w:val="0"/>
                    <w:jc w:val="center"/>
                    <w:rPr>
                      <w:rFonts w:hint="eastAsia"/>
                      <w:sz w:val="21"/>
                      <w:szCs w:val="21"/>
                      <w:u w:val="none" w:color="auto"/>
                      <w:lang w:val="en-US" w:eastAsia="zh-CN"/>
                    </w:rPr>
                  </w:pP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421-001-99</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eastAsia="宋体"/>
                      <w:color w:val="000000"/>
                      <w:sz w:val="21"/>
                      <w:szCs w:val="21"/>
                      <w:u w:val="none" w:color="auto"/>
                      <w:lang w:val="en-US" w:eastAsia="zh-CN"/>
                    </w:rPr>
                  </w:pPr>
                  <w:r>
                    <w:rPr>
                      <w:rFonts w:hint="eastAsia" w:eastAsia="宋体"/>
                      <w:color w:val="000000"/>
                      <w:sz w:val="21"/>
                      <w:szCs w:val="21"/>
                      <w:u w:val="none" w:color="auto"/>
                      <w:lang w:val="en-US" w:eastAsia="zh-CN"/>
                    </w:rPr>
                    <w:t>10</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10</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trike w:val="0"/>
                      <w:dstrike w:val="0"/>
                      <w:kern w:val="2"/>
                      <w:sz w:val="21"/>
                      <w:szCs w:val="21"/>
                      <w:u w:val="none" w:color="auto"/>
                      <w:lang w:val="en-US" w:eastAsia="zh-CN" w:bidi="ar-SA"/>
                    </w:rPr>
                  </w:pPr>
                  <w:r>
                    <w:rPr>
                      <w:rFonts w:hint="eastAsia"/>
                      <w:strike w:val="0"/>
                      <w:dstrike w:val="0"/>
                      <w:sz w:val="21"/>
                      <w:szCs w:val="21"/>
                      <w:u w:val="none" w:color="auto"/>
                      <w:lang w:val="en-US" w:eastAsia="zh-CN"/>
                    </w:rPr>
                    <w:t>废制冷剂</w:t>
                  </w:r>
                </w:p>
              </w:tc>
              <w:tc>
                <w:tcPr>
                  <w:tcW w:w="591" w:type="dxa"/>
                  <w:noWrap w:val="0"/>
                  <w:vAlign w:val="center"/>
                </w:tcPr>
                <w:p>
                  <w:pPr>
                    <w:bidi w:val="0"/>
                    <w:jc w:val="center"/>
                    <w:rPr>
                      <w:rFonts w:hint="eastAsia"/>
                      <w:strike w:val="0"/>
                      <w:dstrike w:val="0"/>
                      <w:kern w:val="2"/>
                      <w:sz w:val="21"/>
                      <w:szCs w:val="21"/>
                      <w:u w:val="none" w:color="auto"/>
                      <w:lang w:val="en-US" w:eastAsia="zh-CN" w:bidi="ar-SA"/>
                    </w:rPr>
                  </w:pPr>
                  <w:r>
                    <w:rPr>
                      <w:rFonts w:hint="eastAsia"/>
                      <w:strike w:val="0"/>
                      <w:dstrike w:val="0"/>
                      <w:kern w:val="2"/>
                      <w:sz w:val="21"/>
                      <w:szCs w:val="21"/>
                      <w:u w:val="none" w:color="auto"/>
                      <w:lang w:val="en-US" w:eastAsia="zh-CN" w:bidi="ar-SA"/>
                    </w:rPr>
                    <w:t>/</w:t>
                  </w:r>
                </w:p>
              </w:tc>
              <w:tc>
                <w:tcPr>
                  <w:tcW w:w="871" w:type="dxa"/>
                  <w:noWrap w:val="0"/>
                  <w:vAlign w:val="center"/>
                </w:tcPr>
                <w:p>
                  <w:pPr>
                    <w:bidi w:val="0"/>
                    <w:jc w:val="center"/>
                    <w:rPr>
                      <w:rFonts w:hint="eastAsia"/>
                      <w:strike w:val="0"/>
                      <w:dstrike w:val="0"/>
                      <w:kern w:val="2"/>
                      <w:sz w:val="21"/>
                      <w:szCs w:val="21"/>
                      <w:u w:val="none" w:color="auto"/>
                      <w:lang w:val="en-US" w:eastAsia="zh-CN" w:bidi="ar-SA"/>
                    </w:rPr>
                  </w:pPr>
                  <w:r>
                    <w:rPr>
                      <w:rFonts w:hint="eastAsia"/>
                      <w:strike w:val="0"/>
                      <w:dstrike w:val="0"/>
                      <w:sz w:val="21"/>
                      <w:szCs w:val="21"/>
                      <w:u w:val="none" w:color="auto"/>
                      <w:lang w:val="en-US" w:eastAsia="zh-CN"/>
                    </w:rPr>
                    <w:t>421-001-61</w:t>
                  </w:r>
                </w:p>
              </w:tc>
              <w:tc>
                <w:tcPr>
                  <w:tcW w:w="913" w:type="dxa"/>
                  <w:noWrap w:val="0"/>
                  <w:vAlign w:val="center"/>
                </w:tcPr>
                <w:p>
                  <w:pPr>
                    <w:bidi w:val="0"/>
                    <w:jc w:val="center"/>
                    <w:rPr>
                      <w:rFonts w:hint="eastAsia"/>
                      <w:strike w:val="0"/>
                      <w:dstrike w:val="0"/>
                      <w:kern w:val="2"/>
                      <w:sz w:val="21"/>
                      <w:szCs w:val="21"/>
                      <w:u w:val="none" w:color="auto"/>
                      <w:lang w:val="en-US" w:eastAsia="zh-CN" w:bidi="ar-SA"/>
                    </w:rPr>
                  </w:pPr>
                  <w:r>
                    <w:rPr>
                      <w:rFonts w:hint="eastAsia"/>
                      <w:strike w:val="0"/>
                      <w:dstrike w:val="0"/>
                      <w:sz w:val="21"/>
                      <w:szCs w:val="21"/>
                      <w:u w:val="none" w:color="auto"/>
                      <w:lang w:val="en-US" w:eastAsia="zh-CN"/>
                    </w:rPr>
                    <w:t>R12制冷剂、R-13A等制冷剂</w:t>
                  </w:r>
                </w:p>
              </w:tc>
              <w:tc>
                <w:tcPr>
                  <w:tcW w:w="662" w:type="dxa"/>
                  <w:noWrap w:val="0"/>
                  <w:vAlign w:val="center"/>
                </w:tcPr>
                <w:p>
                  <w:pPr>
                    <w:bidi w:val="0"/>
                    <w:jc w:val="center"/>
                    <w:rPr>
                      <w:rFonts w:hint="eastAsia"/>
                      <w:strike w:val="0"/>
                      <w:dstrike w:val="0"/>
                      <w:kern w:val="2"/>
                      <w:sz w:val="21"/>
                      <w:szCs w:val="21"/>
                      <w:u w:val="none" w:color="auto"/>
                      <w:lang w:val="en-US" w:eastAsia="zh-CN" w:bidi="ar-SA"/>
                    </w:rPr>
                  </w:pPr>
                  <w:r>
                    <w:rPr>
                      <w:rFonts w:hint="eastAsia"/>
                      <w:strike w:val="0"/>
                      <w:dstrike w:val="0"/>
                      <w:sz w:val="21"/>
                      <w:szCs w:val="21"/>
                      <w:u w:val="none" w:color="auto"/>
                      <w:lang w:val="en-US" w:eastAsia="zh-CN"/>
                    </w:rPr>
                    <w:t>液态</w:t>
                  </w:r>
                </w:p>
              </w:tc>
              <w:tc>
                <w:tcPr>
                  <w:tcW w:w="700" w:type="dxa"/>
                  <w:noWrap w:val="0"/>
                  <w:vAlign w:val="center"/>
                </w:tcPr>
                <w:p>
                  <w:pPr>
                    <w:bidi w:val="0"/>
                    <w:jc w:val="center"/>
                    <w:rPr>
                      <w:rFonts w:hint="eastAsia"/>
                      <w:strike w:val="0"/>
                      <w:dstrike w:val="0"/>
                      <w:kern w:val="2"/>
                      <w:sz w:val="21"/>
                      <w:szCs w:val="21"/>
                      <w:u w:val="none" w:color="auto"/>
                      <w:lang w:val="en-US" w:eastAsia="zh-CN" w:bidi="ar-SA"/>
                    </w:rPr>
                  </w:pPr>
                  <w:r>
                    <w:rPr>
                      <w:rFonts w:hint="eastAsia"/>
                      <w:strike w:val="0"/>
                      <w:dstrike w:val="0"/>
                      <w:sz w:val="21"/>
                      <w:szCs w:val="21"/>
                      <w:u w:val="none" w:color="auto"/>
                      <w:lang w:val="en-US" w:eastAsia="zh-CN"/>
                    </w:rPr>
                    <w:t>T</w:t>
                  </w:r>
                </w:p>
              </w:tc>
              <w:tc>
                <w:tcPr>
                  <w:tcW w:w="913" w:type="dxa"/>
                  <w:noWrap w:val="0"/>
                  <w:vAlign w:val="center"/>
                </w:tcPr>
                <w:p>
                  <w:pPr>
                    <w:bidi w:val="0"/>
                    <w:jc w:val="center"/>
                    <w:rPr>
                      <w:rFonts w:hint="default"/>
                      <w:strike w:val="0"/>
                      <w:dstrike w:val="0"/>
                      <w:kern w:val="2"/>
                      <w:sz w:val="21"/>
                      <w:szCs w:val="21"/>
                      <w:u w:val="none" w:color="auto"/>
                      <w:lang w:val="en-US" w:eastAsia="zh-CN" w:bidi="ar-SA"/>
                    </w:rPr>
                  </w:pPr>
                  <w:r>
                    <w:rPr>
                      <w:rFonts w:hint="eastAsia"/>
                      <w:strike w:val="0"/>
                      <w:dstrike w:val="0"/>
                      <w:sz w:val="21"/>
                      <w:szCs w:val="21"/>
                      <w:u w:val="none" w:color="auto"/>
                      <w:lang w:val="en-US" w:eastAsia="zh-CN"/>
                    </w:rPr>
                    <w:t>15.4</w:t>
                  </w:r>
                </w:p>
              </w:tc>
              <w:tc>
                <w:tcPr>
                  <w:tcW w:w="1175" w:type="dxa"/>
                  <w:noWrap w:val="0"/>
                  <w:vAlign w:val="center"/>
                </w:tcPr>
                <w:p>
                  <w:pPr>
                    <w:pStyle w:val="25"/>
                    <w:jc w:val="center"/>
                    <w:rPr>
                      <w:rFonts w:hint="eastAsia" w:hAnsi="Courier New"/>
                      <w:strike w:val="0"/>
                      <w:dstrike w:val="0"/>
                      <w:color w:val="000000"/>
                      <w:kern w:val="0"/>
                      <w:sz w:val="21"/>
                      <w:szCs w:val="21"/>
                      <w:u w:val="none" w:color="auto"/>
                      <w:vertAlign w:val="baseline"/>
                      <w:lang w:val="en-US" w:eastAsia="zh-CN" w:bidi="ar-SA"/>
                    </w:rPr>
                  </w:pPr>
                  <w:r>
                    <w:rPr>
                      <w:rFonts w:hint="eastAsia"/>
                      <w:strike w:val="0"/>
                      <w:dstrike w:val="0"/>
                      <w:sz w:val="21"/>
                      <w:szCs w:val="21"/>
                      <w:u w:val="none" w:color="auto"/>
                      <w:vertAlign w:val="baseline"/>
                      <w:lang w:val="en-US" w:eastAsia="zh-CN"/>
                    </w:rPr>
                    <w:t>钢瓶</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eastAsia"/>
                      <w:kern w:val="2"/>
                      <w:sz w:val="21"/>
                      <w:szCs w:val="21"/>
                      <w:u w:val="none" w:color="auto"/>
                      <w:lang w:val="en-US" w:eastAsia="zh-CN" w:bidi="ar-SA"/>
                    </w:rPr>
                  </w:pPr>
                  <w:r>
                    <w:rPr>
                      <w:rFonts w:hint="eastAsia"/>
                      <w:kern w:val="2"/>
                      <w:sz w:val="21"/>
                      <w:szCs w:val="21"/>
                      <w:u w:val="none" w:color="auto"/>
                      <w:lang w:val="en-US" w:eastAsia="zh-CN" w:bidi="ar-SA"/>
                    </w:rPr>
                    <w:t>11</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废电线电缆</w:t>
                  </w:r>
                </w:p>
              </w:tc>
              <w:tc>
                <w:tcPr>
                  <w:tcW w:w="591" w:type="dxa"/>
                  <w:noWrap w:val="0"/>
                  <w:vAlign w:val="center"/>
                </w:tcPr>
                <w:p>
                  <w:pPr>
                    <w:bidi w:val="0"/>
                    <w:jc w:val="center"/>
                    <w:rPr>
                      <w:rFonts w:hint="eastAsia"/>
                      <w:kern w:val="2"/>
                      <w:sz w:val="21"/>
                      <w:szCs w:val="21"/>
                      <w:u w:val="none" w:color="auto"/>
                      <w:lang w:val="en-US" w:eastAsia="zh-CN" w:bidi="ar-SA"/>
                    </w:rPr>
                  </w:pP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421-001-99</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109</w:t>
                  </w:r>
                </w:p>
              </w:tc>
              <w:tc>
                <w:tcPr>
                  <w:tcW w:w="1175"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一般固废暂存区</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12</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废动力电池</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871" w:type="dxa"/>
                  <w:noWrap w:val="0"/>
                  <w:vAlign w:val="center"/>
                </w:tcPr>
                <w:p>
                  <w:pPr>
                    <w:bidi w:val="0"/>
                    <w:jc w:val="center"/>
                    <w:rPr>
                      <w:u w:val="none" w:color="auto"/>
                    </w:rPr>
                  </w:pPr>
                  <w:r>
                    <w:rPr>
                      <w:rFonts w:hint="eastAsia"/>
                      <w:u w:val="none" w:color="auto"/>
                      <w:lang w:val="en-US" w:eastAsia="zh-CN"/>
                    </w:rPr>
                    <w:t>421-999-13</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3.4</w:t>
                  </w:r>
                </w:p>
              </w:tc>
              <w:tc>
                <w:tcPr>
                  <w:tcW w:w="1175" w:type="dxa"/>
                  <w:noWrap w:val="0"/>
                  <w:vAlign w:val="center"/>
                </w:tcPr>
                <w:p>
                  <w:pPr>
                    <w:bidi w:val="0"/>
                    <w:jc w:val="center"/>
                    <w:rPr>
                      <w:rFonts w:hint="default" w:ascii="Times New Roman" w:hAnsi="Times New Roman" w:eastAsia="宋体" w:cs="Times New Roman"/>
                      <w:b w:val="0"/>
                      <w:bCs w:val="0"/>
                      <w:color w:val="auto"/>
                      <w:sz w:val="21"/>
                      <w:szCs w:val="21"/>
                      <w:highlight w:val="none"/>
                      <w:u w:val="none" w:color="auto"/>
                      <w:vertAlign w:val="baseline"/>
                      <w:lang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一般固废储存区</w:t>
                  </w:r>
                  <w:r>
                    <w:rPr>
                      <w:rFonts w:hint="eastAsia" w:ascii="Times New Roman" w:hAnsi="Times New Roman" w:eastAsia="宋体" w:cs="Times New Roman"/>
                      <w:b w:val="0"/>
                      <w:bCs w:val="0"/>
                      <w:color w:val="auto"/>
                      <w:sz w:val="21"/>
                      <w:szCs w:val="21"/>
                      <w:highlight w:val="none"/>
                      <w:u w:val="none" w:color="auto"/>
                      <w:vertAlign w:val="baseline"/>
                      <w:lang w:val="en-US" w:eastAsia="zh-CN"/>
                    </w:rPr>
                    <w:t>-</w:t>
                  </w:r>
                  <w:r>
                    <w:rPr>
                      <w:rFonts w:hint="default" w:ascii="Times New Roman" w:hAnsi="Times New Roman" w:eastAsia="宋体" w:cs="Times New Roman"/>
                      <w:b w:val="0"/>
                      <w:bCs w:val="0"/>
                      <w:color w:val="auto"/>
                      <w:sz w:val="21"/>
                      <w:szCs w:val="21"/>
                      <w:highlight w:val="none"/>
                      <w:u w:val="none" w:color="auto"/>
                      <w:vertAlign w:val="baseline"/>
                      <w:lang w:eastAsia="zh-CN"/>
                    </w:rPr>
                    <w:t>电</w:t>
                  </w:r>
                </w:p>
                <w:p>
                  <w:pPr>
                    <w:bidi w:val="0"/>
                    <w:jc w:val="center"/>
                    <w:rPr>
                      <w:rFonts w:hint="eastAsia"/>
                      <w:sz w:val="21"/>
                      <w:szCs w:val="21"/>
                      <w:u w:val="none" w:color="auto"/>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池</w:t>
                  </w:r>
                  <w:r>
                    <w:rPr>
                      <w:rFonts w:hint="eastAsia" w:ascii="Times New Roman" w:hAnsi="Times New Roman" w:eastAsia="宋体" w:cs="Times New Roman"/>
                      <w:b w:val="0"/>
                      <w:bCs w:val="0"/>
                      <w:color w:val="auto"/>
                      <w:sz w:val="21"/>
                      <w:szCs w:val="21"/>
                      <w:highlight w:val="none"/>
                      <w:u w:val="none" w:color="auto"/>
                      <w:vertAlign w:val="baseline"/>
                      <w:lang w:eastAsia="zh-CN"/>
                    </w:rPr>
                    <w:t>暂存区</w:t>
                  </w:r>
                </w:p>
              </w:tc>
              <w:tc>
                <w:tcPr>
                  <w:tcW w:w="714" w:type="dxa"/>
                  <w:noWrap w:val="0"/>
                  <w:vAlign w:val="center"/>
                </w:tcPr>
                <w:p>
                  <w:pPr>
                    <w:bidi w:val="0"/>
                    <w:jc w:val="center"/>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外售给相</w:t>
                  </w:r>
                </w:p>
                <w:p>
                  <w:pPr>
                    <w:bidi w:val="0"/>
                    <w:jc w:val="center"/>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关回收单</w:t>
                  </w:r>
                </w:p>
                <w:p>
                  <w:pPr>
                    <w:bidi w:val="0"/>
                    <w:jc w:val="center"/>
                    <w:rPr>
                      <w:rFonts w:hint="default" w:ascii="Times New Roman" w:hAnsi="Times New Roman" w:eastAsia="宋体" w:cs="Times New Roman"/>
                      <w:sz w:val="21"/>
                      <w:szCs w:val="21"/>
                      <w:highlight w:val="none"/>
                      <w:u w:val="none" w:color="auto"/>
                      <w:lang w:val="en-US" w:eastAsia="zh-CN"/>
                    </w:rPr>
                  </w:pPr>
                  <w:r>
                    <w:rPr>
                      <w:rFonts w:hint="default" w:ascii="Times New Roman" w:hAnsi="Times New Roman" w:eastAsia="宋体" w:cs="Times New Roman"/>
                      <w:sz w:val="21"/>
                      <w:szCs w:val="21"/>
                      <w:highlight w:val="none"/>
                      <w:u w:val="none" w:color="auto"/>
                      <w:lang w:val="en-US" w:eastAsia="zh-CN"/>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13</w:t>
                  </w:r>
                </w:p>
              </w:tc>
              <w:tc>
                <w:tcPr>
                  <w:tcW w:w="693" w:type="dxa"/>
                  <w:vMerge w:val="restart"/>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危</w:t>
                  </w:r>
                </w:p>
                <w:p>
                  <w:pPr>
                    <w:bidi w:val="0"/>
                    <w:jc w:val="center"/>
                    <w:rPr>
                      <w:rFonts w:hint="eastAsia"/>
                      <w:sz w:val="21"/>
                      <w:szCs w:val="21"/>
                      <w:u w:val="none" w:color="auto"/>
                      <w:lang w:val="en-US" w:eastAsia="zh-CN"/>
                    </w:rPr>
                  </w:pPr>
                  <w:r>
                    <w:rPr>
                      <w:rFonts w:hint="eastAsia"/>
                      <w:sz w:val="21"/>
                      <w:szCs w:val="21"/>
                      <w:u w:val="none" w:color="auto"/>
                      <w:lang w:val="en-US" w:eastAsia="zh-CN"/>
                    </w:rPr>
                    <w:t>险</w:t>
                  </w:r>
                </w:p>
                <w:p>
                  <w:pPr>
                    <w:bidi w:val="0"/>
                    <w:jc w:val="center"/>
                    <w:rPr>
                      <w:rFonts w:hint="eastAsia"/>
                      <w:sz w:val="21"/>
                      <w:szCs w:val="21"/>
                      <w:u w:val="none" w:color="auto"/>
                      <w:lang w:val="en-US" w:eastAsia="zh-CN"/>
                    </w:rPr>
                  </w:pPr>
                  <w:r>
                    <w:rPr>
                      <w:rFonts w:hint="eastAsia"/>
                      <w:sz w:val="21"/>
                      <w:szCs w:val="21"/>
                      <w:u w:val="none" w:color="auto"/>
                      <w:lang w:val="en-US" w:eastAsia="zh-CN"/>
                    </w:rPr>
                    <w:t>废</w:t>
                  </w:r>
                </w:p>
                <w:p>
                  <w:pPr>
                    <w:bidi w:val="0"/>
                    <w:jc w:val="center"/>
                    <w:rPr>
                      <w:rFonts w:hint="eastAsia"/>
                      <w:sz w:val="21"/>
                      <w:szCs w:val="21"/>
                      <w:u w:val="none" w:color="auto"/>
                      <w:lang w:val="en-US" w:eastAsia="zh-CN"/>
                    </w:rPr>
                  </w:pPr>
                  <w:r>
                    <w:rPr>
                      <w:rFonts w:hint="eastAsia"/>
                      <w:sz w:val="21"/>
                      <w:szCs w:val="21"/>
                      <w:u w:val="none" w:color="auto"/>
                      <w:lang w:val="en-US" w:eastAsia="zh-CN"/>
                    </w:rPr>
                    <w:t>物</w:t>
                  </w: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含油废抹布</w:t>
                  </w:r>
                </w:p>
              </w:tc>
              <w:tc>
                <w:tcPr>
                  <w:tcW w:w="59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HW49</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900-041-49</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矿物油</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T/In</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0.1</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硬质塑料箱</w:t>
                  </w:r>
                </w:p>
              </w:tc>
              <w:tc>
                <w:tcPr>
                  <w:tcW w:w="714" w:type="dxa"/>
                  <w:vMerge w:val="restart"/>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收集后委托有资质单位处理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14</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废油箱</w:t>
                  </w:r>
                </w:p>
              </w:tc>
              <w:tc>
                <w:tcPr>
                  <w:tcW w:w="591"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HW49</w:t>
                  </w:r>
                </w:p>
              </w:tc>
              <w:tc>
                <w:tcPr>
                  <w:tcW w:w="871"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900-041-49</w:t>
                  </w:r>
                </w:p>
              </w:tc>
              <w:tc>
                <w:tcPr>
                  <w:tcW w:w="913"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矿物油</w:t>
                  </w:r>
                </w:p>
              </w:tc>
              <w:tc>
                <w:tcPr>
                  <w:tcW w:w="662"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固态</w:t>
                  </w:r>
                </w:p>
              </w:tc>
              <w:tc>
                <w:tcPr>
                  <w:tcW w:w="7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w:t>
                  </w:r>
                </w:p>
              </w:tc>
              <w:tc>
                <w:tcPr>
                  <w:tcW w:w="913"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70</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桶装</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15</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废油液</w:t>
                  </w:r>
                </w:p>
              </w:tc>
              <w:tc>
                <w:tcPr>
                  <w:tcW w:w="59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HW08</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900-199-08</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矿物油</w:t>
                  </w:r>
                </w:p>
              </w:tc>
              <w:tc>
                <w:tcPr>
                  <w:tcW w:w="662"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液态</w:t>
                  </w:r>
                </w:p>
              </w:tc>
              <w:tc>
                <w:tcPr>
                  <w:tcW w:w="7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T,I</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96.8</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桶装</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16</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废油类滤清器</w:t>
                  </w:r>
                </w:p>
              </w:tc>
              <w:tc>
                <w:tcPr>
                  <w:tcW w:w="59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HW49</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900-041-49</w:t>
                  </w:r>
                </w:p>
              </w:tc>
              <w:tc>
                <w:tcPr>
                  <w:tcW w:w="913"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矿物油</w:t>
                  </w:r>
                </w:p>
              </w:tc>
              <w:tc>
                <w:tcPr>
                  <w:tcW w:w="662"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固态</w:t>
                  </w:r>
                </w:p>
              </w:tc>
              <w:tc>
                <w:tcPr>
                  <w:tcW w:w="7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T/In</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15.4</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硬质塑料箱</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17</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废铅蓄电池</w:t>
                  </w:r>
                </w:p>
              </w:tc>
              <w:tc>
                <w:tcPr>
                  <w:tcW w:w="59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HW31</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900-052-31</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硫酸、</w:t>
                  </w:r>
                </w:p>
                <w:p>
                  <w:pPr>
                    <w:bidi w:val="0"/>
                    <w:jc w:val="center"/>
                    <w:rPr>
                      <w:rFonts w:hint="eastAsia"/>
                      <w:sz w:val="21"/>
                      <w:szCs w:val="21"/>
                      <w:u w:val="none" w:color="auto"/>
                      <w:lang w:val="en-US" w:eastAsia="zh-CN"/>
                    </w:rPr>
                  </w:pPr>
                  <w:r>
                    <w:rPr>
                      <w:rFonts w:hint="eastAsia"/>
                      <w:sz w:val="21"/>
                      <w:szCs w:val="21"/>
                      <w:u w:val="none" w:color="auto"/>
                      <w:lang w:val="en-US" w:eastAsia="zh-CN"/>
                    </w:rPr>
                    <w:t>重金属</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T,C</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99.6</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耐酸容器</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18</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废尾气净化催化装置</w:t>
                  </w:r>
                </w:p>
              </w:tc>
              <w:tc>
                <w:tcPr>
                  <w:tcW w:w="59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HW50</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900-049-50</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催化剂</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13</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硬质塑料箱</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19</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废电路板、废电容器</w:t>
                  </w:r>
                </w:p>
              </w:tc>
              <w:tc>
                <w:tcPr>
                  <w:tcW w:w="59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HW49</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900-045-49</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电路板等</w:t>
                  </w:r>
                </w:p>
              </w:tc>
              <w:tc>
                <w:tcPr>
                  <w:tcW w:w="662"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固态</w:t>
                  </w:r>
                </w:p>
              </w:tc>
              <w:tc>
                <w:tcPr>
                  <w:tcW w:w="7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21.8</w:t>
                  </w:r>
                </w:p>
              </w:tc>
              <w:tc>
                <w:tcPr>
                  <w:tcW w:w="1175" w:type="dxa"/>
                  <w:noWrap w:val="0"/>
                  <w:vAlign w:val="center"/>
                </w:tcPr>
                <w:p>
                  <w:pPr>
                    <w:pStyle w:val="25"/>
                    <w:jc w:val="center"/>
                    <w:rPr>
                      <w:rFonts w:hint="default"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硬质塑料箱</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20</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含汞废物</w:t>
                  </w:r>
                  <w:r>
                    <w:rPr>
                      <w:rFonts w:hint="eastAsia"/>
                      <w:sz w:val="21"/>
                      <w:szCs w:val="21"/>
                      <w:lang w:val="en-US" w:eastAsia="zh-CN"/>
                    </w:rPr>
                    <w:t>（废开关）</w:t>
                  </w:r>
                </w:p>
              </w:tc>
              <w:tc>
                <w:tcPr>
                  <w:tcW w:w="591"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HW29</w:t>
                  </w:r>
                </w:p>
              </w:tc>
              <w:tc>
                <w:tcPr>
                  <w:tcW w:w="871"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900-023-29</w:t>
                  </w:r>
                </w:p>
              </w:tc>
              <w:tc>
                <w:tcPr>
                  <w:tcW w:w="913"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汞</w:t>
                  </w:r>
                </w:p>
              </w:tc>
              <w:tc>
                <w:tcPr>
                  <w:tcW w:w="662"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固态</w:t>
                  </w:r>
                </w:p>
              </w:tc>
              <w:tc>
                <w:tcPr>
                  <w:tcW w:w="7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T</w:t>
                  </w:r>
                </w:p>
              </w:tc>
              <w:tc>
                <w:tcPr>
                  <w:tcW w:w="913" w:type="dxa"/>
                  <w:noWrap w:val="0"/>
                  <w:vAlign w:val="center"/>
                </w:tcPr>
                <w:p>
                  <w:pPr>
                    <w:bidi w:val="0"/>
                    <w:jc w:val="center"/>
                    <w:rPr>
                      <w:rFonts w:hint="default"/>
                      <w:kern w:val="2"/>
                      <w:sz w:val="21"/>
                      <w:szCs w:val="21"/>
                      <w:u w:val="none" w:color="auto"/>
                      <w:lang w:val="en-US" w:eastAsia="zh-CN" w:bidi="ar-SA"/>
                    </w:rPr>
                  </w:pPr>
                  <w:r>
                    <w:rPr>
                      <w:rFonts w:hint="eastAsia"/>
                      <w:sz w:val="21"/>
                      <w:szCs w:val="21"/>
                      <w:u w:val="none" w:color="auto"/>
                      <w:lang w:val="en-US" w:eastAsia="zh-CN"/>
                    </w:rPr>
                    <w:t>5.78</w:t>
                  </w:r>
                </w:p>
              </w:tc>
              <w:tc>
                <w:tcPr>
                  <w:tcW w:w="1175" w:type="dxa"/>
                  <w:noWrap w:val="0"/>
                  <w:vAlign w:val="center"/>
                </w:tcPr>
                <w:p>
                  <w:pPr>
                    <w:pStyle w:val="25"/>
                    <w:jc w:val="center"/>
                    <w:rPr>
                      <w:rFonts w:hint="eastAsia"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硬质塑料箱</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21</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废活性炭</w:t>
                  </w:r>
                </w:p>
              </w:tc>
              <w:tc>
                <w:tcPr>
                  <w:tcW w:w="591"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HW49</w:t>
                  </w:r>
                </w:p>
              </w:tc>
              <w:tc>
                <w:tcPr>
                  <w:tcW w:w="871"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900-041-49</w:t>
                  </w:r>
                </w:p>
              </w:tc>
              <w:tc>
                <w:tcPr>
                  <w:tcW w:w="913"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有机废气</w:t>
                  </w:r>
                </w:p>
              </w:tc>
              <w:tc>
                <w:tcPr>
                  <w:tcW w:w="662"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固态</w:t>
                  </w:r>
                </w:p>
              </w:tc>
              <w:tc>
                <w:tcPr>
                  <w:tcW w:w="700" w:type="dxa"/>
                  <w:noWrap w:val="0"/>
                  <w:vAlign w:val="center"/>
                </w:tcPr>
                <w:p>
                  <w:pPr>
                    <w:bidi w:val="0"/>
                    <w:jc w:val="center"/>
                    <w:rPr>
                      <w:rFonts w:hint="eastAsia"/>
                      <w:sz w:val="21"/>
                      <w:szCs w:val="21"/>
                      <w:u w:val="none" w:color="auto"/>
                      <w:lang w:val="en-US" w:eastAsia="zh-CN"/>
                    </w:rPr>
                  </w:pPr>
                  <w:r>
                    <w:rPr>
                      <w:rFonts w:hint="eastAsia"/>
                      <w:sz w:val="21"/>
                      <w:szCs w:val="21"/>
                      <w:u w:val="none" w:color="auto"/>
                      <w:lang w:val="en-US" w:eastAsia="zh-CN"/>
                    </w:rPr>
                    <w:t>T</w:t>
                  </w:r>
                </w:p>
              </w:tc>
              <w:tc>
                <w:tcPr>
                  <w:tcW w:w="913" w:type="dxa"/>
                  <w:noWrap w:val="0"/>
                  <w:vAlign w:val="center"/>
                </w:tcPr>
                <w:p>
                  <w:pPr>
                    <w:bidi w:val="0"/>
                    <w:jc w:val="center"/>
                    <w:rPr>
                      <w:rFonts w:hint="default"/>
                      <w:sz w:val="21"/>
                      <w:szCs w:val="21"/>
                      <w:u w:val="none" w:color="auto"/>
                      <w:lang w:val="en-US" w:eastAsia="zh-CN"/>
                    </w:rPr>
                  </w:pPr>
                  <w:r>
                    <w:rPr>
                      <w:rFonts w:hint="eastAsia"/>
                      <w:sz w:val="21"/>
                      <w:szCs w:val="21"/>
                      <w:u w:val="none" w:color="auto"/>
                      <w:lang w:val="en-US" w:eastAsia="zh-CN"/>
                    </w:rPr>
                    <w:t>1.2</w:t>
                  </w:r>
                </w:p>
              </w:tc>
              <w:tc>
                <w:tcPr>
                  <w:tcW w:w="1175" w:type="dxa"/>
                  <w:noWrap w:val="0"/>
                  <w:vAlign w:val="center"/>
                </w:tcPr>
                <w:p>
                  <w:pPr>
                    <w:pStyle w:val="25"/>
                    <w:jc w:val="center"/>
                    <w:rPr>
                      <w:rFonts w:hint="default"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硬质塑料箱</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22</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污泥</w:t>
                  </w:r>
                </w:p>
              </w:tc>
              <w:tc>
                <w:tcPr>
                  <w:tcW w:w="591"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HW49</w:t>
                  </w:r>
                </w:p>
              </w:tc>
              <w:tc>
                <w:tcPr>
                  <w:tcW w:w="871"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900-041-49</w:t>
                  </w:r>
                </w:p>
              </w:tc>
              <w:tc>
                <w:tcPr>
                  <w:tcW w:w="913"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矿物油</w:t>
                  </w:r>
                </w:p>
              </w:tc>
              <w:tc>
                <w:tcPr>
                  <w:tcW w:w="662"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半固态</w:t>
                  </w:r>
                </w:p>
              </w:tc>
              <w:tc>
                <w:tcPr>
                  <w:tcW w:w="700" w:type="dxa"/>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T/In</w:t>
                  </w:r>
                </w:p>
              </w:tc>
              <w:tc>
                <w:tcPr>
                  <w:tcW w:w="913" w:type="dxa"/>
                  <w:noWrap w:val="0"/>
                  <w:vAlign w:val="center"/>
                </w:tcPr>
                <w:p>
                  <w:pPr>
                    <w:bidi w:val="0"/>
                    <w:jc w:val="center"/>
                    <w:rPr>
                      <w:rFonts w:hint="default"/>
                      <w:lang w:val="en-US" w:eastAsia="zh-CN"/>
                    </w:rPr>
                  </w:pPr>
                  <w:r>
                    <w:rPr>
                      <w:rFonts w:hint="eastAsia"/>
                      <w:lang w:val="en-US" w:eastAsia="zh-CN"/>
                    </w:rPr>
                    <w:t>0.5</w:t>
                  </w:r>
                </w:p>
              </w:tc>
              <w:tc>
                <w:tcPr>
                  <w:tcW w:w="1175" w:type="dxa"/>
                  <w:noWrap w:val="0"/>
                  <w:vAlign w:val="center"/>
                </w:tcPr>
                <w:p>
                  <w:pPr>
                    <w:pStyle w:val="25"/>
                    <w:jc w:val="center"/>
                    <w:rPr>
                      <w:rFonts w:hint="default" w:hAnsi="Courier New"/>
                      <w:color w:val="000000"/>
                      <w:kern w:val="0"/>
                      <w:sz w:val="21"/>
                      <w:szCs w:val="21"/>
                      <w:u w:val="none" w:color="auto"/>
                      <w:vertAlign w:val="baseline"/>
                      <w:lang w:val="en-US" w:eastAsia="zh-CN" w:bidi="ar-SA"/>
                    </w:rPr>
                  </w:pPr>
                  <w:r>
                    <w:rPr>
                      <w:rFonts w:hint="eastAsia"/>
                      <w:sz w:val="21"/>
                      <w:szCs w:val="21"/>
                      <w:u w:val="none" w:color="auto"/>
                      <w:vertAlign w:val="baseline"/>
                      <w:lang w:val="en-US" w:eastAsia="zh-CN"/>
                    </w:rPr>
                    <w:t>桶装</w:t>
                  </w:r>
                </w:p>
              </w:tc>
              <w:tc>
                <w:tcPr>
                  <w:tcW w:w="714" w:type="dxa"/>
                  <w:vMerge w:val="continue"/>
                  <w:noWrap w:val="0"/>
                  <w:vAlign w:val="center"/>
                </w:tcPr>
                <w:p>
                  <w:pPr>
                    <w:bidi w:val="0"/>
                    <w:jc w:val="center"/>
                    <w:rPr>
                      <w:rFonts w:hint="eastAsia"/>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pPr>
                    <w:bidi w:val="0"/>
                    <w:jc w:val="center"/>
                    <w:rPr>
                      <w:rFonts w:hint="default"/>
                      <w:kern w:val="2"/>
                      <w:sz w:val="21"/>
                      <w:szCs w:val="21"/>
                      <w:u w:val="none" w:color="auto"/>
                      <w:lang w:val="en-US" w:eastAsia="zh-CN" w:bidi="ar-SA"/>
                    </w:rPr>
                  </w:pPr>
                  <w:r>
                    <w:rPr>
                      <w:rFonts w:hint="eastAsia"/>
                      <w:kern w:val="2"/>
                      <w:sz w:val="21"/>
                      <w:szCs w:val="21"/>
                      <w:u w:val="none" w:color="auto"/>
                      <w:lang w:val="en-US" w:eastAsia="zh-CN" w:bidi="ar-SA"/>
                    </w:rPr>
                    <w:t>23</w:t>
                  </w:r>
                </w:p>
              </w:tc>
              <w:tc>
                <w:tcPr>
                  <w:tcW w:w="693" w:type="dxa"/>
                  <w:vMerge w:val="continue"/>
                  <w:noWrap w:val="0"/>
                  <w:vAlign w:val="center"/>
                </w:tcPr>
                <w:p>
                  <w:pPr>
                    <w:bidi w:val="0"/>
                    <w:jc w:val="center"/>
                    <w:rPr>
                      <w:rFonts w:hint="eastAsia"/>
                      <w:sz w:val="21"/>
                      <w:szCs w:val="21"/>
                      <w:u w:val="none" w:color="auto"/>
                      <w:lang w:val="en-US" w:eastAsia="zh-CN"/>
                    </w:rPr>
                  </w:pPr>
                </w:p>
              </w:tc>
              <w:tc>
                <w:tcPr>
                  <w:tcW w:w="900" w:type="dxa"/>
                  <w:noWrap w:val="0"/>
                  <w:vAlign w:val="center"/>
                </w:tcPr>
                <w:p>
                  <w:pPr>
                    <w:bidi w:val="0"/>
                    <w:jc w:val="center"/>
                    <w:rPr>
                      <w:rFonts w:hint="eastAsia"/>
                      <w:kern w:val="2"/>
                      <w:sz w:val="21"/>
                      <w:szCs w:val="21"/>
                      <w:u w:val="none"/>
                      <w:lang w:val="en-US" w:eastAsia="zh-CN" w:bidi="ar-SA"/>
                    </w:rPr>
                  </w:pPr>
                  <w:r>
                    <w:rPr>
                      <w:rFonts w:hint="eastAsia"/>
                      <w:sz w:val="21"/>
                      <w:szCs w:val="21"/>
                      <w:u w:val="none"/>
                      <w:lang w:val="en-US" w:eastAsia="zh-CN"/>
                    </w:rPr>
                    <w:t>废机油、废液压油</w:t>
                  </w:r>
                </w:p>
              </w:tc>
              <w:tc>
                <w:tcPr>
                  <w:tcW w:w="591" w:type="dxa"/>
                  <w:noWrap w:val="0"/>
                  <w:vAlign w:val="center"/>
                </w:tcPr>
                <w:p>
                  <w:pPr>
                    <w:jc w:val="center"/>
                    <w:rPr>
                      <w:rFonts w:hint="eastAsia"/>
                      <w:kern w:val="2"/>
                      <w:sz w:val="21"/>
                      <w:szCs w:val="21"/>
                      <w:u w:val="none"/>
                      <w:lang w:val="en-US" w:eastAsia="zh-CN" w:bidi="ar-SA"/>
                    </w:rPr>
                  </w:pPr>
                  <w:r>
                    <w:rPr>
                      <w:rFonts w:hint="eastAsia"/>
                      <w:sz w:val="21"/>
                      <w:szCs w:val="21"/>
                      <w:u w:val="none"/>
                      <w:lang w:val="en-US" w:eastAsia="zh-CN"/>
                    </w:rPr>
                    <w:t>HW08</w:t>
                  </w:r>
                </w:p>
              </w:tc>
              <w:tc>
                <w:tcPr>
                  <w:tcW w:w="871" w:type="dxa"/>
                  <w:noWrap w:val="0"/>
                  <w:vAlign w:val="center"/>
                </w:tcPr>
                <w:p>
                  <w:pPr>
                    <w:jc w:val="center"/>
                    <w:rPr>
                      <w:rFonts w:hint="eastAsia" w:ascii="Calibri" w:hAnsi="Calibri" w:eastAsia="宋体" w:cs="Times New Roman"/>
                      <w:kern w:val="2"/>
                      <w:sz w:val="21"/>
                      <w:szCs w:val="21"/>
                      <w:u w:val="none"/>
                      <w:lang w:val="en-US" w:eastAsia="zh-CN" w:bidi="ar-SA"/>
                    </w:rPr>
                  </w:pPr>
                  <w:r>
                    <w:rPr>
                      <w:rFonts w:hint="eastAsia" w:ascii="Times New Roman" w:hAnsi="Times New Roman" w:eastAsia="宋体" w:cs="Times New Roman"/>
                      <w:sz w:val="21"/>
                      <w:szCs w:val="21"/>
                      <w:lang w:val="en-US" w:eastAsia="zh-CN"/>
                    </w:rPr>
                    <w:t>900-210-08</w:t>
                  </w:r>
                </w:p>
              </w:tc>
              <w:tc>
                <w:tcPr>
                  <w:tcW w:w="913"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矿物油</w:t>
                  </w:r>
                </w:p>
              </w:tc>
              <w:tc>
                <w:tcPr>
                  <w:tcW w:w="662"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固态</w:t>
                  </w:r>
                </w:p>
              </w:tc>
              <w:tc>
                <w:tcPr>
                  <w:tcW w:w="700"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T,I</w:t>
                  </w:r>
                </w:p>
              </w:tc>
              <w:tc>
                <w:tcPr>
                  <w:tcW w:w="913" w:type="dxa"/>
                  <w:noWrap w:val="0"/>
                  <w:vAlign w:val="center"/>
                </w:tcPr>
                <w:p>
                  <w:pPr>
                    <w:bidi w:val="0"/>
                    <w:jc w:val="center"/>
                    <w:rPr>
                      <w:rFonts w:hint="eastAsia"/>
                      <w:kern w:val="2"/>
                      <w:sz w:val="21"/>
                      <w:szCs w:val="21"/>
                      <w:lang w:val="en-US" w:eastAsia="zh-CN" w:bidi="ar-SA"/>
                    </w:rPr>
                  </w:pPr>
                  <w:r>
                    <w:rPr>
                      <w:rFonts w:hint="eastAsia"/>
                      <w:sz w:val="21"/>
                      <w:szCs w:val="21"/>
                      <w:lang w:val="en-US" w:eastAsia="zh-CN"/>
                    </w:rPr>
                    <w:t>0.1</w:t>
                  </w:r>
                </w:p>
              </w:tc>
              <w:tc>
                <w:tcPr>
                  <w:tcW w:w="1175" w:type="dxa"/>
                  <w:noWrap w:val="0"/>
                  <w:vAlign w:val="center"/>
                </w:tcPr>
                <w:p>
                  <w:pPr>
                    <w:bidi w:val="0"/>
                    <w:jc w:val="center"/>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sz w:val="21"/>
                      <w:szCs w:val="21"/>
                      <w:highlight w:val="none"/>
                      <w:u w:val="none" w:color="auto"/>
                      <w:vertAlign w:val="baseline"/>
                      <w:lang w:eastAsia="zh-CN"/>
                    </w:rPr>
                    <w:t>桶装</w:t>
                  </w:r>
                </w:p>
              </w:tc>
              <w:tc>
                <w:tcPr>
                  <w:tcW w:w="714" w:type="dxa"/>
                  <w:vMerge w:val="continue"/>
                  <w:noWrap w:val="0"/>
                  <w:vAlign w:val="center"/>
                </w:tcPr>
                <w:p>
                  <w:pPr>
                    <w:bidi w:val="0"/>
                    <w:jc w:val="center"/>
                    <w:rPr>
                      <w:rFonts w:hint="eastAsia"/>
                      <w:sz w:val="21"/>
                      <w:szCs w:val="21"/>
                      <w:u w:val="none" w:color="auto"/>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rPr>
                <w:rFonts w:hint="eastAsia" w:ascii="Times New Roman" w:hAnsi="Times New Roman"/>
                <w:b/>
                <w:bCs/>
                <w:sz w:val="24"/>
                <w:szCs w:val="24"/>
                <w:u w:val="none"/>
              </w:rPr>
            </w:pPr>
            <w:r>
              <w:rPr>
                <w:rFonts w:hint="eastAsia" w:ascii="Times New Roman" w:hAnsi="Times New Roman"/>
                <w:b/>
                <w:bCs/>
                <w:sz w:val="24"/>
                <w:szCs w:val="24"/>
                <w:u w:val="none"/>
                <w:lang w:val="en-US" w:eastAsia="zh-CN"/>
              </w:rPr>
              <w:t>4.3</w:t>
            </w:r>
            <w:r>
              <w:rPr>
                <w:rFonts w:hint="eastAsia" w:ascii="Times New Roman" w:hAnsi="Times New Roman"/>
                <w:b/>
                <w:bCs/>
                <w:sz w:val="24"/>
                <w:szCs w:val="24"/>
                <w:u w:val="none"/>
              </w:rPr>
              <w:t>处置去向及环境管理要求</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（1）生活垃圾</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生活垃圾统一收集，交由环卫部门统一处理。</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（2）一般固体废物</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项目拟</w:t>
            </w:r>
            <w:r>
              <w:rPr>
                <w:rFonts w:hint="eastAsia" w:ascii="Times New Roman" w:hAnsi="Times New Roman"/>
                <w:sz w:val="24"/>
                <w:szCs w:val="24"/>
                <w:u w:val="none"/>
                <w:lang w:eastAsia="zh-CN"/>
              </w:rPr>
              <w:t>在</w:t>
            </w:r>
            <w:r>
              <w:rPr>
                <w:rFonts w:hint="eastAsia" w:ascii="Times New Roman" w:hAnsi="Times New Roman"/>
                <w:sz w:val="24"/>
                <w:szCs w:val="24"/>
                <w:u w:val="none"/>
                <w:lang w:val="en-US" w:eastAsia="zh-CN"/>
              </w:rPr>
              <w:t>2号</w:t>
            </w:r>
            <w:r>
              <w:rPr>
                <w:rFonts w:hint="eastAsia" w:ascii="Times New Roman" w:hAnsi="Times New Roman"/>
                <w:sz w:val="24"/>
                <w:szCs w:val="24"/>
                <w:u w:val="none"/>
                <w:lang w:eastAsia="zh-CN"/>
              </w:rPr>
              <w:t>车间</w:t>
            </w:r>
            <w:r>
              <w:rPr>
                <w:rFonts w:hint="eastAsia" w:ascii="Times New Roman" w:hAnsi="Times New Roman"/>
                <w:color w:val="auto"/>
                <w:sz w:val="24"/>
                <w:szCs w:val="24"/>
                <w:u w:val="none"/>
                <w:lang w:eastAsia="zh-CN"/>
              </w:rPr>
              <w:t>靠东北侧</w:t>
            </w:r>
            <w:r>
              <w:rPr>
                <w:rFonts w:hint="eastAsia" w:ascii="Times New Roman" w:hAnsi="Times New Roman"/>
                <w:color w:val="auto"/>
                <w:sz w:val="24"/>
                <w:szCs w:val="24"/>
                <w:u w:val="none"/>
              </w:rPr>
              <w:t>设置</w:t>
            </w:r>
            <w:r>
              <w:rPr>
                <w:rFonts w:hint="eastAsia" w:ascii="Times New Roman" w:hAnsi="Times New Roman"/>
                <w:color w:val="auto"/>
                <w:sz w:val="24"/>
                <w:szCs w:val="24"/>
                <w:u w:val="none"/>
                <w:lang w:val="en-US" w:eastAsia="zh-CN"/>
              </w:rPr>
              <w:t>2660.85</w:t>
            </w:r>
            <w:r>
              <w:rPr>
                <w:rFonts w:hint="eastAsia" w:ascii="Times New Roman" w:hAnsi="Times New Roman"/>
                <w:color w:val="auto"/>
                <w:sz w:val="24"/>
                <w:szCs w:val="24"/>
                <w:u w:val="none"/>
              </w:rPr>
              <w:t>m</w:t>
            </w:r>
            <w:r>
              <w:rPr>
                <w:rFonts w:hint="eastAsia" w:ascii="Times New Roman" w:hAnsi="Times New Roman"/>
                <w:color w:val="auto"/>
                <w:sz w:val="24"/>
                <w:szCs w:val="24"/>
                <w:u w:val="none"/>
                <w:vertAlign w:val="superscript"/>
              </w:rPr>
              <w:t>2</w:t>
            </w:r>
            <w:r>
              <w:rPr>
                <w:rFonts w:hint="eastAsia" w:ascii="Times New Roman" w:hAnsi="Times New Roman"/>
                <w:sz w:val="24"/>
                <w:szCs w:val="24"/>
                <w:u w:val="none"/>
              </w:rPr>
              <w:t>一般固废暂存</w:t>
            </w:r>
            <w:r>
              <w:rPr>
                <w:rFonts w:hint="eastAsia" w:ascii="Times New Roman" w:hAnsi="Times New Roman"/>
                <w:sz w:val="24"/>
                <w:szCs w:val="24"/>
                <w:u w:val="none"/>
                <w:lang w:eastAsia="zh-CN"/>
              </w:rPr>
              <w:t>区，</w:t>
            </w:r>
            <w:r>
              <w:rPr>
                <w:rFonts w:hint="eastAsia" w:ascii="Times New Roman" w:hAnsi="Times New Roman"/>
                <w:sz w:val="24"/>
                <w:szCs w:val="24"/>
                <w:u w:val="none"/>
              </w:rPr>
              <w:t>一般固废暂存</w:t>
            </w:r>
            <w:r>
              <w:rPr>
                <w:rFonts w:hint="eastAsia" w:ascii="Times New Roman" w:hAnsi="Times New Roman"/>
                <w:sz w:val="24"/>
                <w:szCs w:val="24"/>
                <w:u w:val="none"/>
                <w:lang w:eastAsia="zh-CN"/>
              </w:rPr>
              <w:t>区按照《一般工业固体废物贮存和填埋污染控制标准》（GB18599-2020）的要求进行规范储存，</w:t>
            </w:r>
            <w:r>
              <w:rPr>
                <w:rFonts w:hint="eastAsia" w:ascii="Times New Roman" w:hAnsi="Times New Roman"/>
                <w:sz w:val="24"/>
                <w:szCs w:val="24"/>
                <w:u w:val="none"/>
              </w:rPr>
              <w:t>一般固废暂存</w:t>
            </w:r>
            <w:r>
              <w:rPr>
                <w:rFonts w:hint="eastAsia" w:ascii="Times New Roman" w:hAnsi="Times New Roman"/>
                <w:sz w:val="24"/>
                <w:szCs w:val="24"/>
                <w:u w:val="none"/>
                <w:lang w:eastAsia="zh-CN"/>
              </w:rPr>
              <w:t>区并对地面做防渗处理（项目</w:t>
            </w:r>
            <w:r>
              <w:rPr>
                <w:rFonts w:hint="eastAsia" w:ascii="Times New Roman" w:hAnsi="Times New Roman"/>
                <w:sz w:val="24"/>
                <w:szCs w:val="24"/>
                <w:u w:val="none"/>
              </w:rPr>
              <w:t>一般固废暂存</w:t>
            </w:r>
            <w:r>
              <w:rPr>
                <w:rFonts w:hint="eastAsia" w:ascii="Times New Roman" w:hAnsi="Times New Roman"/>
                <w:sz w:val="24"/>
                <w:szCs w:val="24"/>
                <w:u w:val="none"/>
                <w:lang w:eastAsia="zh-CN"/>
              </w:rPr>
              <w:t>区采用天然或人工材料构筑防渗层，防渗层的防渗性能应相当于渗透系数1.0×10</w:t>
            </w:r>
            <w:r>
              <w:rPr>
                <w:rFonts w:hint="eastAsia" w:ascii="Times New Roman" w:hAnsi="Times New Roman"/>
                <w:sz w:val="24"/>
                <w:szCs w:val="24"/>
                <w:u w:val="none"/>
                <w:vertAlign w:val="superscript"/>
                <w:lang w:eastAsia="zh-CN"/>
              </w:rPr>
              <w:t>-7</w:t>
            </w:r>
            <w:r>
              <w:rPr>
                <w:rFonts w:hint="eastAsia" w:ascii="Times New Roman" w:hAnsi="Times New Roman"/>
                <w:sz w:val="24"/>
                <w:szCs w:val="24"/>
                <w:u w:val="none"/>
                <w:lang w:eastAsia="zh-CN"/>
              </w:rPr>
              <w:t>cm/s和厚度1.5m的粘土层的防渗性能），固废分类储存，</w:t>
            </w:r>
            <w:r>
              <w:rPr>
                <w:rFonts w:hint="eastAsia" w:ascii="Times New Roman" w:hAnsi="Times New Roman"/>
                <w:sz w:val="24"/>
                <w:szCs w:val="24"/>
                <w:u w:val="none"/>
              </w:rPr>
              <w:t>一般固废暂存</w:t>
            </w:r>
            <w:r>
              <w:rPr>
                <w:rFonts w:hint="eastAsia" w:ascii="Times New Roman" w:hAnsi="Times New Roman"/>
                <w:sz w:val="24"/>
                <w:szCs w:val="24"/>
                <w:u w:val="none"/>
                <w:lang w:eastAsia="zh-CN"/>
              </w:rPr>
              <w:t>区张贴标识标牌</w:t>
            </w:r>
            <w:r>
              <w:rPr>
                <w:rFonts w:hint="eastAsia" w:ascii="Times New Roman" w:hAnsi="Times New Roman"/>
                <w:sz w:val="24"/>
                <w:szCs w:val="24"/>
                <w:u w:val="none"/>
              </w:rPr>
              <w:t>，提出如下环保措施：</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1）贮存、处置场的建设类型，必须与将要堆放的一般工业固体废物的类别相</w:t>
            </w:r>
          </w:p>
          <w:p>
            <w:pPr>
              <w:spacing w:line="360" w:lineRule="auto"/>
              <w:jc w:val="both"/>
              <w:rPr>
                <w:rFonts w:hint="eastAsia" w:ascii="Times New Roman" w:hAnsi="Times New Roman"/>
                <w:sz w:val="24"/>
                <w:szCs w:val="24"/>
                <w:u w:val="none"/>
              </w:rPr>
            </w:pPr>
            <w:r>
              <w:rPr>
                <w:rFonts w:hint="eastAsia" w:ascii="Times New Roman" w:hAnsi="Times New Roman"/>
                <w:sz w:val="24"/>
                <w:szCs w:val="24"/>
                <w:u w:val="none"/>
              </w:rPr>
              <w:t>一致；为加强监督管理，贮存、处置场应按GB15562.2设置环境保护图形标志。</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lang w:val="en-US" w:eastAsia="zh-CN"/>
              </w:rPr>
              <w:t>2</w:t>
            </w:r>
            <w:r>
              <w:rPr>
                <w:rFonts w:hint="eastAsia" w:ascii="Times New Roman" w:hAnsi="Times New Roman"/>
                <w:sz w:val="24"/>
                <w:szCs w:val="24"/>
                <w:u w:val="none"/>
              </w:rPr>
              <w:t>）一般工业固体贮存、处置场禁止危险废物和生活垃圾混入；贮存、处置场</w:t>
            </w:r>
          </w:p>
          <w:p>
            <w:pPr>
              <w:spacing w:line="360" w:lineRule="auto"/>
              <w:jc w:val="both"/>
              <w:rPr>
                <w:rFonts w:hint="eastAsia" w:ascii="Times New Roman" w:hAnsi="Times New Roman"/>
                <w:sz w:val="24"/>
                <w:szCs w:val="24"/>
                <w:u w:val="none"/>
              </w:rPr>
            </w:pPr>
            <w:r>
              <w:rPr>
                <w:rFonts w:hint="eastAsia" w:ascii="Times New Roman" w:hAnsi="Times New Roman"/>
                <w:sz w:val="24"/>
                <w:szCs w:val="24"/>
                <w:u w:val="none"/>
              </w:rPr>
              <w:t>的使用单位，应建立档案制度。应将入场的一般工业固体废物的种类和数量等资料详细记录在案，长期保存，供随时查阅。</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（3）危险废物</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项目拟对各类危险废物进行分类收集、包装，并建设危险废物暂存间，危险废物委托有资质单位处置。项目在危险废物的产生、贮存、运输、处置、利用过程中拟制定严格的管理制度和操作规程，严格按照《危险废物收集、贮存、运输技术规范》（HJ2025-2012）、《危险废物转移联单管理办法》、《危险废物规范化管理指标体系》等要求规范化建设和运行。</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项目拟严格按照《危险废物贮存污染控制标准》（GB18597-2001）及其2013 年修改单要求，设置危险废物暂存间，并根据项目危险废物产生量、贮存期限等，分区设置各类危险废物贮存场所的能力，以满足暂存要求，具体情况如下：</w:t>
            </w:r>
          </w:p>
          <w:p>
            <w:pPr>
              <w:adjustRightInd w:val="0"/>
              <w:snapToGrid w:val="0"/>
              <w:spacing w:line="360" w:lineRule="auto"/>
              <w:ind w:firstLine="480" w:firstLineChars="200"/>
              <w:rPr>
                <w:rFonts w:hint="eastAsia"/>
                <w:sz w:val="24"/>
                <w:szCs w:val="24"/>
                <w:u w:val="none"/>
              </w:rPr>
            </w:pPr>
            <w:r>
              <w:rPr>
                <w:rFonts w:hint="eastAsia"/>
                <w:sz w:val="24"/>
                <w:szCs w:val="24"/>
                <w:u w:val="none"/>
              </w:rPr>
              <w:t>A</w:t>
            </w:r>
            <w:r>
              <w:rPr>
                <w:rFonts w:hint="eastAsia"/>
                <w:sz w:val="24"/>
                <w:szCs w:val="24"/>
                <w:u w:val="none"/>
                <w:lang w:val="en-US" w:eastAsia="zh-CN"/>
              </w:rPr>
              <w:t>废铅蓄电池</w:t>
            </w:r>
            <w:r>
              <w:rPr>
                <w:rFonts w:hint="eastAsia"/>
                <w:sz w:val="24"/>
                <w:szCs w:val="24"/>
                <w:u w:val="none"/>
              </w:rPr>
              <w:t>暂存间</w:t>
            </w:r>
          </w:p>
          <w:p>
            <w:pPr>
              <w:adjustRightInd w:val="0"/>
              <w:snapToGrid w:val="0"/>
              <w:spacing w:line="360" w:lineRule="auto"/>
              <w:ind w:firstLine="480" w:firstLineChars="200"/>
              <w:rPr>
                <w:sz w:val="24"/>
                <w:szCs w:val="24"/>
                <w:u w:val="none"/>
              </w:rPr>
            </w:pPr>
            <w:r>
              <w:rPr>
                <w:rFonts w:hint="eastAsia"/>
                <w:sz w:val="24"/>
                <w:szCs w:val="24"/>
                <w:u w:val="none"/>
                <w:lang w:val="en-US" w:eastAsia="zh-CN"/>
              </w:rPr>
              <w:t>废铅蓄电池</w:t>
            </w:r>
            <w:r>
              <w:rPr>
                <w:rFonts w:hint="eastAsia"/>
                <w:sz w:val="24"/>
                <w:szCs w:val="24"/>
                <w:u w:val="none"/>
              </w:rPr>
              <w:t>暂存</w:t>
            </w:r>
            <w:r>
              <w:rPr>
                <w:rFonts w:hint="eastAsia"/>
                <w:sz w:val="24"/>
                <w:szCs w:val="24"/>
                <w:u w:val="none"/>
                <w:lang w:eastAsia="zh-CN"/>
              </w:rPr>
              <w:t>间</w:t>
            </w:r>
            <w:r>
              <w:rPr>
                <w:rFonts w:hint="eastAsia"/>
                <w:sz w:val="24"/>
                <w:szCs w:val="24"/>
                <w:u w:val="none"/>
              </w:rPr>
              <w:t>用于暂存</w:t>
            </w:r>
            <w:r>
              <w:rPr>
                <w:rFonts w:hint="eastAsia"/>
                <w:sz w:val="24"/>
                <w:szCs w:val="24"/>
                <w:u w:val="none"/>
                <w:lang w:val="en-US" w:eastAsia="zh-CN"/>
              </w:rPr>
              <w:t>废铅蓄电池</w:t>
            </w:r>
            <w:r>
              <w:rPr>
                <w:rFonts w:hint="eastAsia"/>
                <w:sz w:val="24"/>
                <w:szCs w:val="24"/>
                <w:u w:val="none"/>
              </w:rPr>
              <w:t>。项目拆解过程不对</w:t>
            </w:r>
            <w:r>
              <w:rPr>
                <w:rFonts w:hint="eastAsia"/>
                <w:sz w:val="24"/>
                <w:szCs w:val="24"/>
                <w:u w:val="none"/>
                <w:lang w:val="en-US" w:eastAsia="zh-CN"/>
              </w:rPr>
              <w:t>废铅蓄电池</w:t>
            </w:r>
            <w:r>
              <w:rPr>
                <w:rFonts w:hint="eastAsia"/>
                <w:sz w:val="24"/>
                <w:szCs w:val="24"/>
                <w:u w:val="none"/>
              </w:rPr>
              <w:t>进行拆解、碾压及其他破碎操作，以保证废电池的外壳完整，减少并防止有害物质渗出。拆解后采用专用的耐酸防腐容器包装和贮存，地面设防腐防渗耐酸地面及泄漏收集池等措施，规范化设置危险废物识别标志，其贮存能力可满足暂存要求。项目拆解产生的废铅酸蓄电池严格按危险废物的管理和处置要求，</w:t>
            </w:r>
            <w:r>
              <w:rPr>
                <w:rFonts w:hint="eastAsia"/>
                <w:sz w:val="24"/>
                <w:szCs w:val="24"/>
                <w:u w:val="single"/>
              </w:rPr>
              <w:t>贮存最长周期为</w:t>
            </w:r>
            <w:r>
              <w:rPr>
                <w:rFonts w:hint="eastAsia"/>
                <w:sz w:val="24"/>
                <w:szCs w:val="24"/>
                <w:u w:val="single"/>
                <w:lang w:val="en-US" w:eastAsia="zh-CN"/>
              </w:rPr>
              <w:t>3</w:t>
            </w:r>
            <w:r>
              <w:rPr>
                <w:rFonts w:hint="eastAsia"/>
                <w:sz w:val="24"/>
                <w:szCs w:val="24"/>
                <w:u w:val="single"/>
              </w:rPr>
              <w:t>个月</w:t>
            </w:r>
            <w:r>
              <w:rPr>
                <w:rFonts w:hint="eastAsia"/>
                <w:sz w:val="24"/>
                <w:szCs w:val="24"/>
                <w:u w:val="none"/>
              </w:rPr>
              <w:t>，按规范要求进行转移并委托有资质的单位进行处置。</w:t>
            </w:r>
          </w:p>
          <w:p>
            <w:pPr>
              <w:adjustRightInd w:val="0"/>
              <w:snapToGrid w:val="0"/>
              <w:spacing w:line="360" w:lineRule="auto"/>
              <w:ind w:firstLine="480" w:firstLineChars="200"/>
              <w:rPr>
                <w:sz w:val="24"/>
                <w:szCs w:val="24"/>
                <w:u w:val="none"/>
              </w:rPr>
            </w:pPr>
            <w:r>
              <w:rPr>
                <w:rFonts w:hint="eastAsia"/>
                <w:sz w:val="24"/>
                <w:szCs w:val="24"/>
                <w:u w:val="none"/>
              </w:rPr>
              <w:t>B废油液暂存间</w:t>
            </w:r>
          </w:p>
          <w:p>
            <w:pPr>
              <w:spacing w:line="360" w:lineRule="auto"/>
              <w:ind w:firstLine="480" w:firstLineChars="200"/>
              <w:jc w:val="both"/>
              <w:rPr>
                <w:rFonts w:hint="eastAsia"/>
                <w:sz w:val="24"/>
                <w:szCs w:val="24"/>
                <w:u w:val="none"/>
              </w:rPr>
            </w:pPr>
            <w:r>
              <w:rPr>
                <w:rFonts w:hint="eastAsia"/>
                <w:sz w:val="24"/>
                <w:szCs w:val="24"/>
                <w:u w:val="none"/>
              </w:rPr>
              <w:t>项目废油液暂存于废液暂存</w:t>
            </w:r>
            <w:r>
              <w:rPr>
                <w:rFonts w:hint="eastAsia"/>
                <w:sz w:val="24"/>
                <w:szCs w:val="24"/>
                <w:u w:val="none"/>
                <w:lang w:eastAsia="zh-CN"/>
              </w:rPr>
              <w:t>间</w:t>
            </w:r>
            <w:r>
              <w:rPr>
                <w:rFonts w:hint="eastAsia"/>
                <w:sz w:val="24"/>
                <w:szCs w:val="24"/>
                <w:u w:val="none"/>
              </w:rPr>
              <w:t>，地面采取防腐、防渗</w:t>
            </w:r>
            <w:r>
              <w:rPr>
                <w:rFonts w:hint="eastAsia"/>
                <w:sz w:val="24"/>
                <w:szCs w:val="24"/>
                <w:u w:val="none"/>
                <w:lang w:eastAsia="zh-CN"/>
              </w:rPr>
              <w:t>处理</w:t>
            </w:r>
            <w:r>
              <w:rPr>
                <w:rFonts w:hint="eastAsia"/>
                <w:sz w:val="24"/>
                <w:szCs w:val="24"/>
                <w:u w:val="none"/>
              </w:rPr>
              <w:t>措施、泄漏收集等措施，</w:t>
            </w:r>
            <w:r>
              <w:rPr>
                <w:rFonts w:hint="eastAsia" w:ascii="Times New Roman" w:hAnsi="Times New Roman"/>
                <w:sz w:val="24"/>
                <w:szCs w:val="24"/>
                <w:u w:val="none"/>
                <w:lang w:eastAsia="zh-CN"/>
              </w:rPr>
              <w:t>对于暂存废油液产生非甲烷总烃的</w:t>
            </w:r>
            <w:r>
              <w:rPr>
                <w:rFonts w:hint="eastAsia"/>
                <w:sz w:val="24"/>
                <w:szCs w:val="24"/>
                <w:u w:val="none"/>
              </w:rPr>
              <w:t>废油液</w:t>
            </w:r>
            <w:r>
              <w:rPr>
                <w:rFonts w:hint="eastAsia" w:ascii="Times New Roman" w:hAnsi="Times New Roman"/>
                <w:sz w:val="24"/>
                <w:szCs w:val="24"/>
                <w:u w:val="none"/>
                <w:lang w:eastAsia="zh-CN"/>
              </w:rPr>
              <w:t>暂存间</w:t>
            </w:r>
            <w:r>
              <w:rPr>
                <w:rFonts w:hint="eastAsia"/>
                <w:sz w:val="24"/>
                <w:szCs w:val="24"/>
                <w:lang w:val="en-US" w:eastAsia="zh-CN"/>
              </w:rPr>
              <w:t>设置</w:t>
            </w:r>
            <w:r>
              <w:rPr>
                <w:rFonts w:hint="eastAsia" w:ascii="Times New Roman" w:hAnsi="Times New Roman"/>
                <w:sz w:val="24"/>
                <w:szCs w:val="24"/>
                <w:u w:val="none"/>
              </w:rPr>
              <w:t>引风管道</w:t>
            </w:r>
            <w:r>
              <w:rPr>
                <w:rFonts w:hint="eastAsia"/>
                <w:sz w:val="24"/>
                <w:szCs w:val="24"/>
                <w:lang w:val="en-US" w:eastAsia="zh-CN"/>
              </w:rPr>
              <w:t>收集后引至活性炭吸附装置净化处理后</w:t>
            </w:r>
            <w:r>
              <w:rPr>
                <w:rFonts w:hint="default" w:ascii="Times New Roman" w:hAnsi="Times New Roman" w:eastAsia="宋体" w:cs="Times New Roman"/>
                <w:sz w:val="24"/>
                <w:lang w:eastAsia="zh-CN"/>
              </w:rPr>
              <w:t>与</w:t>
            </w:r>
            <w:r>
              <w:rPr>
                <w:rFonts w:hint="default" w:ascii="Times New Roman" w:hAnsi="Times New Roman" w:cs="Times New Roman"/>
                <w:b w:val="0"/>
                <w:bCs w:val="0"/>
                <w:color w:val="auto"/>
                <w:sz w:val="24"/>
                <w:szCs w:val="24"/>
                <w:lang w:val="en-US" w:eastAsia="zh-CN"/>
              </w:rPr>
              <w:t>废油液挥发废气</w:t>
            </w:r>
            <w:r>
              <w:rPr>
                <w:rFonts w:hint="default" w:ascii="Times New Roman" w:hAnsi="Times New Roman" w:eastAsia="宋体" w:cs="Times New Roman"/>
                <w:sz w:val="24"/>
                <w:lang w:eastAsia="zh-CN"/>
              </w:rPr>
              <w:t>一并经15m高排气筒排放</w:t>
            </w:r>
            <w:r>
              <w:rPr>
                <w:rFonts w:hint="eastAsia"/>
                <w:sz w:val="24"/>
                <w:szCs w:val="24"/>
                <w:u w:val="none"/>
              </w:rPr>
              <w:t>。废</w:t>
            </w:r>
            <w:r>
              <w:rPr>
                <w:rFonts w:hint="eastAsia"/>
                <w:sz w:val="24"/>
                <w:szCs w:val="24"/>
                <w:u w:val="none"/>
                <w:lang w:eastAsia="zh-CN"/>
              </w:rPr>
              <w:t>油</w:t>
            </w:r>
            <w:r>
              <w:rPr>
                <w:rFonts w:hint="eastAsia"/>
                <w:sz w:val="24"/>
                <w:szCs w:val="24"/>
                <w:u w:val="none"/>
              </w:rPr>
              <w:t>液经收集后贮存于密闭容器中，</w:t>
            </w:r>
            <w:r>
              <w:rPr>
                <w:rFonts w:hint="eastAsia" w:ascii="Times New Roman" w:hAnsi="Times New Roman"/>
                <w:sz w:val="24"/>
                <w:szCs w:val="24"/>
                <w:u w:val="none"/>
              </w:rPr>
              <w:t>废油液暂存</w:t>
            </w:r>
            <w:r>
              <w:rPr>
                <w:rFonts w:hint="eastAsia" w:ascii="Times New Roman" w:hAnsi="Times New Roman"/>
                <w:sz w:val="24"/>
                <w:szCs w:val="24"/>
                <w:u w:val="none"/>
                <w:lang w:eastAsia="zh-CN"/>
              </w:rPr>
              <w:t>间</w:t>
            </w:r>
            <w:r>
              <w:rPr>
                <w:rFonts w:hint="eastAsia" w:ascii="Times New Roman" w:hAnsi="Times New Roman"/>
                <w:sz w:val="24"/>
                <w:szCs w:val="24"/>
                <w:u w:val="none"/>
              </w:rPr>
              <w:t>地面四周设置导流沟，导流沟连接</w:t>
            </w:r>
            <w:r>
              <w:rPr>
                <w:rFonts w:hint="eastAsia" w:ascii="Times New Roman" w:hAnsi="Times New Roman"/>
                <w:sz w:val="24"/>
                <w:szCs w:val="24"/>
                <w:u w:val="none"/>
                <w:lang w:eastAsia="zh-CN"/>
              </w:rPr>
              <w:t>收集池</w:t>
            </w:r>
            <w:r>
              <w:rPr>
                <w:rFonts w:hint="eastAsia" w:ascii="Times New Roman" w:hAnsi="Times New Roman"/>
                <w:sz w:val="24"/>
                <w:szCs w:val="24"/>
                <w:u w:val="none"/>
              </w:rPr>
              <w:t>，可防止废液外溢至外环境</w:t>
            </w:r>
            <w:r>
              <w:rPr>
                <w:rFonts w:hint="eastAsia"/>
                <w:sz w:val="24"/>
                <w:szCs w:val="24"/>
                <w:u w:val="none"/>
              </w:rPr>
              <w:t>，</w:t>
            </w:r>
            <w:r>
              <w:rPr>
                <w:rFonts w:hint="eastAsia"/>
                <w:sz w:val="24"/>
                <w:szCs w:val="24"/>
                <w:u w:val="single"/>
              </w:rPr>
              <w:t>贮存最长周期为</w:t>
            </w:r>
            <w:r>
              <w:rPr>
                <w:rFonts w:hint="eastAsia"/>
                <w:sz w:val="24"/>
                <w:szCs w:val="24"/>
                <w:u w:val="single"/>
                <w:lang w:val="en-US" w:eastAsia="zh-CN"/>
              </w:rPr>
              <w:t>3</w:t>
            </w:r>
            <w:r>
              <w:rPr>
                <w:rFonts w:hint="eastAsia"/>
                <w:sz w:val="24"/>
                <w:szCs w:val="24"/>
                <w:u w:val="single"/>
              </w:rPr>
              <w:t>个月</w:t>
            </w:r>
            <w:r>
              <w:rPr>
                <w:rFonts w:hint="eastAsia"/>
                <w:sz w:val="24"/>
                <w:szCs w:val="24"/>
                <w:u w:val="none"/>
              </w:rPr>
              <w:t>，按规范要求进行转移并委托有资质的单位进行处置。</w:t>
            </w:r>
          </w:p>
          <w:p>
            <w:pPr>
              <w:adjustRightInd w:val="0"/>
              <w:snapToGrid w:val="0"/>
              <w:spacing w:line="360" w:lineRule="auto"/>
              <w:ind w:firstLine="480" w:firstLineChars="200"/>
              <w:rPr>
                <w:rFonts w:hint="eastAsia"/>
                <w:sz w:val="24"/>
                <w:szCs w:val="24"/>
                <w:u w:val="none"/>
              </w:rPr>
            </w:pPr>
            <w:r>
              <w:rPr>
                <w:rFonts w:hint="eastAsia"/>
                <w:sz w:val="24"/>
                <w:szCs w:val="24"/>
                <w:u w:val="none"/>
              </w:rPr>
              <w:t>C、其他危废暂存间</w:t>
            </w:r>
          </w:p>
          <w:p>
            <w:pPr>
              <w:adjustRightInd w:val="0"/>
              <w:snapToGrid w:val="0"/>
              <w:spacing w:line="360" w:lineRule="auto"/>
              <w:ind w:firstLine="480" w:firstLineChars="200"/>
              <w:rPr>
                <w:rFonts w:hint="eastAsia"/>
                <w:lang w:eastAsia="zh-CN"/>
              </w:rPr>
            </w:pPr>
            <w:r>
              <w:rPr>
                <w:rFonts w:hint="eastAsia"/>
                <w:sz w:val="24"/>
                <w:szCs w:val="24"/>
                <w:u w:val="none"/>
              </w:rPr>
              <w:t>项目拆解过程中产生的其它危险废物主要包括废</w:t>
            </w:r>
            <w:r>
              <w:rPr>
                <w:rFonts w:hint="eastAsia"/>
                <w:sz w:val="24"/>
                <w:szCs w:val="24"/>
                <w:u w:val="none"/>
                <w:lang w:eastAsia="zh-CN"/>
              </w:rPr>
              <w:t>油类</w:t>
            </w:r>
            <w:r>
              <w:rPr>
                <w:rFonts w:hint="eastAsia"/>
                <w:sz w:val="24"/>
                <w:szCs w:val="24"/>
                <w:u w:val="none"/>
              </w:rPr>
              <w:t>滤清器、废</w:t>
            </w:r>
            <w:r>
              <w:rPr>
                <w:rFonts w:hint="eastAsia"/>
                <w:sz w:val="24"/>
                <w:szCs w:val="24"/>
                <w:u w:val="none"/>
                <w:lang w:eastAsia="zh-CN"/>
              </w:rPr>
              <w:t>尾气净化</w:t>
            </w:r>
            <w:r>
              <w:rPr>
                <w:rFonts w:hint="eastAsia"/>
                <w:sz w:val="24"/>
                <w:szCs w:val="24"/>
                <w:u w:val="none"/>
              </w:rPr>
              <w:t>催化</w:t>
            </w:r>
            <w:r>
              <w:rPr>
                <w:rFonts w:hint="eastAsia"/>
                <w:sz w:val="24"/>
                <w:szCs w:val="24"/>
                <w:u w:val="none"/>
                <w:lang w:eastAsia="zh-CN"/>
              </w:rPr>
              <w:t>装置</w:t>
            </w:r>
            <w:r>
              <w:rPr>
                <w:rFonts w:hint="eastAsia"/>
                <w:sz w:val="24"/>
                <w:szCs w:val="24"/>
                <w:u w:val="none"/>
              </w:rPr>
              <w:t>、废电路板</w:t>
            </w:r>
            <w:r>
              <w:rPr>
                <w:rFonts w:hint="eastAsia"/>
                <w:sz w:val="24"/>
                <w:szCs w:val="24"/>
                <w:u w:val="none"/>
                <w:lang w:eastAsia="zh-CN"/>
              </w:rPr>
              <w:t>、废电容器、</w:t>
            </w:r>
            <w:r>
              <w:rPr>
                <w:rFonts w:hint="eastAsia"/>
                <w:sz w:val="24"/>
                <w:szCs w:val="24"/>
                <w:u w:val="none"/>
                <w:lang w:val="en-US" w:eastAsia="zh-CN"/>
              </w:rPr>
              <w:t>含汞废物（废开关）</w:t>
            </w:r>
            <w:r>
              <w:rPr>
                <w:rFonts w:hint="eastAsia"/>
                <w:sz w:val="24"/>
                <w:szCs w:val="24"/>
                <w:u w:val="none"/>
              </w:rPr>
              <w:t>、</w:t>
            </w:r>
            <w:r>
              <w:rPr>
                <w:rFonts w:hint="eastAsia"/>
                <w:sz w:val="24"/>
                <w:szCs w:val="24"/>
                <w:u w:val="none"/>
                <w:lang w:eastAsia="zh-CN"/>
              </w:rPr>
              <w:t>废制冷剂、污泥、废活性炭、含油废抹布</w:t>
            </w:r>
            <w:r>
              <w:rPr>
                <w:rFonts w:hint="eastAsia"/>
                <w:sz w:val="24"/>
                <w:szCs w:val="24"/>
                <w:u w:val="none"/>
              </w:rPr>
              <w:t>等，分类贮存于其他危废暂存区，地面采取防渗、防腐及泄漏收集等措施，对各类危险废物采用密闭式包装后分类贮存，其贮存能力可满足暂存要求；严格按危险废物的管理要求，</w:t>
            </w:r>
            <w:r>
              <w:rPr>
                <w:rFonts w:hint="eastAsia"/>
                <w:sz w:val="24"/>
                <w:szCs w:val="24"/>
                <w:u w:val="single"/>
              </w:rPr>
              <w:t>贮存最长周期为</w:t>
            </w:r>
            <w:r>
              <w:rPr>
                <w:rFonts w:hint="eastAsia"/>
                <w:sz w:val="24"/>
                <w:szCs w:val="24"/>
                <w:u w:val="single"/>
                <w:lang w:val="en-US" w:eastAsia="zh-CN"/>
              </w:rPr>
              <w:t>3</w:t>
            </w:r>
            <w:r>
              <w:rPr>
                <w:rFonts w:hint="eastAsia"/>
                <w:sz w:val="24"/>
                <w:szCs w:val="24"/>
                <w:u w:val="single"/>
              </w:rPr>
              <w:t>个月</w:t>
            </w:r>
            <w:r>
              <w:rPr>
                <w:rFonts w:hint="eastAsia"/>
                <w:sz w:val="24"/>
                <w:szCs w:val="24"/>
                <w:u w:val="none"/>
              </w:rPr>
              <w:t>，按规范要求进行转移并委托有资质的单位进行处置。</w:t>
            </w:r>
          </w:p>
          <w:p>
            <w:pPr>
              <w:spacing w:line="360" w:lineRule="auto"/>
              <w:ind w:firstLine="480" w:firstLineChars="200"/>
              <w:jc w:val="both"/>
              <w:rPr>
                <w:rFonts w:hint="eastAsia" w:ascii="Times New Roman" w:hAnsi="Times New Roman"/>
                <w:b w:val="0"/>
                <w:bCs w:val="0"/>
                <w:sz w:val="24"/>
                <w:szCs w:val="24"/>
                <w:u w:val="none"/>
                <w:lang w:val="en-US" w:eastAsia="zh-CN"/>
              </w:rPr>
            </w:pPr>
            <w:r>
              <w:rPr>
                <w:rFonts w:hint="eastAsia" w:ascii="Times New Roman" w:hAnsi="Times New Roman"/>
                <w:b w:val="0"/>
                <w:bCs w:val="0"/>
                <w:sz w:val="24"/>
                <w:szCs w:val="24"/>
                <w:u w:val="none"/>
                <w:lang w:val="en-US" w:eastAsia="zh-CN"/>
              </w:rPr>
              <w:t>本项目危险废物贮存场所基本情况及贮存包装方式详见下表：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eastAsia" w:ascii="Times New Roman" w:hAnsi="Times New Roman"/>
                <w:b/>
                <w:bCs/>
                <w:sz w:val="21"/>
                <w:szCs w:val="21"/>
                <w:u w:val="none"/>
                <w:lang w:val="en-US" w:eastAsia="zh-CN"/>
              </w:rPr>
            </w:pPr>
            <w:r>
              <w:rPr>
                <w:rFonts w:hint="eastAsia" w:ascii="Times New Roman" w:hAnsi="Times New Roman"/>
                <w:b/>
                <w:bCs/>
                <w:sz w:val="21"/>
                <w:szCs w:val="21"/>
                <w:u w:val="none"/>
                <w:lang w:val="en-US" w:eastAsia="zh-CN"/>
              </w:rPr>
              <w:t>表4-15  建设项目危险废物贮存场所（设施）基本情况表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686"/>
              <w:gridCol w:w="1323"/>
              <w:gridCol w:w="844"/>
              <w:gridCol w:w="910"/>
              <w:gridCol w:w="672"/>
              <w:gridCol w:w="860"/>
              <w:gridCol w:w="945"/>
              <w:gridCol w:w="869"/>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序号</w:t>
                  </w:r>
                </w:p>
              </w:tc>
              <w:tc>
                <w:tcPr>
                  <w:tcW w:w="404"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贮存场所</w:t>
                  </w:r>
                </w:p>
              </w:tc>
              <w:tc>
                <w:tcPr>
                  <w:tcW w:w="780"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危险废物名称</w:t>
                  </w:r>
                </w:p>
              </w:tc>
              <w:tc>
                <w:tcPr>
                  <w:tcW w:w="49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危险废物类别</w:t>
                  </w:r>
                </w:p>
              </w:tc>
              <w:tc>
                <w:tcPr>
                  <w:tcW w:w="536"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危险废物代码</w:t>
                  </w:r>
                </w:p>
              </w:tc>
              <w:tc>
                <w:tcPr>
                  <w:tcW w:w="396"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位置</w:t>
                  </w:r>
                </w:p>
              </w:tc>
              <w:tc>
                <w:tcPr>
                  <w:tcW w:w="50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占地面积</w:t>
                  </w: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贮存方式</w:t>
                  </w:r>
                </w:p>
              </w:tc>
              <w:tc>
                <w:tcPr>
                  <w:tcW w:w="512"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最大存储量</w:t>
                  </w:r>
                </w:p>
              </w:tc>
              <w:tc>
                <w:tcPr>
                  <w:tcW w:w="540" w:type="pct"/>
                  <w:noWrap w:val="0"/>
                  <w:vAlign w:val="center"/>
                </w:tcPr>
                <w:p>
                  <w:pPr>
                    <w:pStyle w:val="25"/>
                    <w:jc w:val="center"/>
                    <w:rPr>
                      <w:rFonts w:hint="eastAsia"/>
                      <w:sz w:val="21"/>
                      <w:szCs w:val="21"/>
                      <w:u w:val="single"/>
                      <w:vertAlign w:val="baseline"/>
                      <w:lang w:val="en-US" w:eastAsia="zh-CN"/>
                    </w:rPr>
                  </w:pPr>
                  <w:r>
                    <w:rPr>
                      <w:rFonts w:hint="eastAsia"/>
                      <w:sz w:val="21"/>
                      <w:szCs w:val="21"/>
                      <w:u w:val="single"/>
                      <w:vertAlign w:val="baseline"/>
                      <w:lang w:val="en-US" w:eastAsia="zh-CN"/>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eastAsia" w:hAnsi="Courier New"/>
                      <w:color w:val="000000"/>
                      <w:kern w:val="0"/>
                      <w:sz w:val="21"/>
                      <w:szCs w:val="21"/>
                      <w:vertAlign w:val="baseline"/>
                      <w:lang w:val="en-US" w:eastAsia="zh-CN" w:bidi="ar-SA"/>
                    </w:rPr>
                  </w:pPr>
                  <w:r>
                    <w:rPr>
                      <w:rFonts w:hint="eastAsia"/>
                      <w:sz w:val="21"/>
                      <w:szCs w:val="21"/>
                      <w:vertAlign w:val="baseline"/>
                      <w:lang w:val="en-US" w:eastAsia="zh-CN"/>
                    </w:rPr>
                    <w:t>1</w:t>
                  </w:r>
                </w:p>
              </w:tc>
              <w:tc>
                <w:tcPr>
                  <w:tcW w:w="404" w:type="pct"/>
                  <w:vMerge w:val="restar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危险废物暂存间</w:t>
                  </w: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废铅蓄电池</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HW31</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900-052-31</w:t>
                  </w:r>
                </w:p>
              </w:tc>
              <w:tc>
                <w:tcPr>
                  <w:tcW w:w="396" w:type="pct"/>
                  <w:vMerge w:val="restart"/>
                  <w:noWrap w:val="0"/>
                  <w:vAlign w:val="center"/>
                </w:tcPr>
                <w:p>
                  <w:pPr>
                    <w:pStyle w:val="25"/>
                    <w:jc w:val="center"/>
                    <w:rPr>
                      <w:rFonts w:hint="default"/>
                      <w:sz w:val="21"/>
                      <w:szCs w:val="21"/>
                      <w:vertAlign w:val="baseline"/>
                      <w:lang w:val="en-US" w:eastAsia="zh-CN"/>
                    </w:rPr>
                  </w:pPr>
                  <w:r>
                    <w:rPr>
                      <w:rFonts w:hint="eastAsia"/>
                      <w:color w:val="auto"/>
                      <w:sz w:val="21"/>
                      <w:szCs w:val="21"/>
                      <w:vertAlign w:val="baseline"/>
                      <w:lang w:val="en-US" w:eastAsia="zh-CN"/>
                    </w:rPr>
                    <w:t>2号厂房东南侧</w:t>
                  </w:r>
                </w:p>
              </w:tc>
              <w:tc>
                <w:tcPr>
                  <w:tcW w:w="507" w:type="pct"/>
                  <w:vMerge w:val="restart"/>
                  <w:noWrap w:val="0"/>
                  <w:vAlign w:val="center"/>
                </w:tcPr>
                <w:p>
                  <w:pPr>
                    <w:pStyle w:val="25"/>
                    <w:jc w:val="center"/>
                    <w:rPr>
                      <w:rFonts w:hint="default"/>
                      <w:sz w:val="21"/>
                      <w:szCs w:val="21"/>
                      <w:vertAlign w:val="baseline"/>
                      <w:lang w:val="en-US" w:eastAsia="zh-CN"/>
                    </w:rPr>
                  </w:pPr>
                  <w:r>
                    <w:rPr>
                      <w:rFonts w:hint="eastAsia"/>
                      <w:sz w:val="21"/>
                      <w:szCs w:val="21"/>
                      <w:lang w:val="en-US" w:eastAsia="zh-CN"/>
                    </w:rPr>
                    <w:t>271.82</w:t>
                  </w:r>
                  <w:r>
                    <w:rPr>
                      <w:rFonts w:hint="eastAsia"/>
                      <w:sz w:val="21"/>
                      <w:szCs w:val="21"/>
                      <w:vertAlign w:val="baseline"/>
                      <w:lang w:val="en-US" w:eastAsia="zh-CN"/>
                    </w:rPr>
                    <w:t>m</w:t>
                  </w:r>
                  <w:r>
                    <w:rPr>
                      <w:rFonts w:hint="eastAsia"/>
                      <w:sz w:val="21"/>
                      <w:szCs w:val="21"/>
                      <w:vertAlign w:val="superscript"/>
                      <w:lang w:val="en-US" w:eastAsia="zh-CN"/>
                    </w:rPr>
                    <w:t>2</w:t>
                  </w:r>
                </w:p>
              </w:tc>
              <w:tc>
                <w:tcPr>
                  <w:tcW w:w="557" w:type="pct"/>
                  <w:noWrap w:val="0"/>
                  <w:vAlign w:val="center"/>
                </w:tcPr>
                <w:p>
                  <w:pPr>
                    <w:pStyle w:val="25"/>
                    <w:jc w:val="center"/>
                    <w:rPr>
                      <w:rFonts w:hint="eastAsia" w:hAnsi="Courier New"/>
                      <w:color w:val="000000"/>
                      <w:kern w:val="0"/>
                      <w:sz w:val="21"/>
                      <w:szCs w:val="21"/>
                      <w:vertAlign w:val="baseline"/>
                      <w:lang w:val="en-US" w:eastAsia="zh-CN" w:bidi="ar-SA"/>
                    </w:rPr>
                  </w:pPr>
                  <w:r>
                    <w:rPr>
                      <w:rFonts w:hint="eastAsia"/>
                      <w:sz w:val="21"/>
                      <w:szCs w:val="21"/>
                      <w:vertAlign w:val="baseline"/>
                      <w:lang w:val="en-US" w:eastAsia="zh-CN"/>
                    </w:rPr>
                    <w:t>耐酸容器</w:t>
                  </w:r>
                </w:p>
              </w:tc>
              <w:tc>
                <w:tcPr>
                  <w:tcW w:w="512" w:type="pct"/>
                  <w:noWrap w:val="0"/>
                  <w:vAlign w:val="center"/>
                </w:tcPr>
                <w:p>
                  <w:pPr>
                    <w:pStyle w:val="25"/>
                    <w:jc w:val="center"/>
                    <w:rPr>
                      <w:rFonts w:hint="eastAsia" w:hAnsi="Courier New"/>
                      <w:color w:val="000000"/>
                      <w:kern w:val="0"/>
                      <w:sz w:val="21"/>
                      <w:szCs w:val="21"/>
                      <w:vertAlign w:val="baseline"/>
                      <w:lang w:val="en-US" w:eastAsia="zh-CN" w:bidi="ar-SA"/>
                    </w:rPr>
                  </w:pPr>
                  <w:r>
                    <w:rPr>
                      <w:rFonts w:hint="eastAsia"/>
                      <w:sz w:val="21"/>
                      <w:szCs w:val="21"/>
                      <w:vertAlign w:val="baseline"/>
                      <w:lang w:val="en-US" w:eastAsia="zh-CN"/>
                    </w:rPr>
                    <w:t>9.3</w:t>
                  </w:r>
                </w:p>
              </w:tc>
              <w:tc>
                <w:tcPr>
                  <w:tcW w:w="540" w:type="pct"/>
                  <w:noWrap w:val="0"/>
                  <w:vAlign w:val="center"/>
                </w:tcPr>
                <w:p>
                  <w:pPr>
                    <w:jc w:val="center"/>
                    <w:rPr>
                      <w:rFonts w:hint="eastAsia"/>
                      <w:kern w:val="2"/>
                      <w:sz w:val="21"/>
                      <w:szCs w:val="21"/>
                      <w:u w:val="single"/>
                      <w:vertAlign w:val="baseline"/>
                      <w:lang w:val="en-US" w:eastAsia="zh-CN" w:bidi="ar-SA"/>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2</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含油废抹布</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HW49</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900-041-49</w:t>
                  </w:r>
                </w:p>
              </w:tc>
              <w:tc>
                <w:tcPr>
                  <w:tcW w:w="396" w:type="pct"/>
                  <w:vMerge w:val="continue"/>
                  <w:noWrap w:val="0"/>
                  <w:vAlign w:val="center"/>
                </w:tcPr>
                <w:p>
                  <w:pPr>
                    <w:pStyle w:val="25"/>
                    <w:jc w:val="center"/>
                    <w:rPr>
                      <w:rFonts w:hint="default"/>
                      <w:sz w:val="21"/>
                      <w:szCs w:val="21"/>
                      <w:vertAlign w:val="baseline"/>
                      <w:lang w:val="en-US" w:eastAsia="zh-CN"/>
                    </w:rPr>
                  </w:pPr>
                </w:p>
              </w:tc>
              <w:tc>
                <w:tcPr>
                  <w:tcW w:w="507" w:type="pct"/>
                  <w:vMerge w:val="continue"/>
                  <w:noWrap w:val="0"/>
                  <w:vAlign w:val="center"/>
                </w:tcPr>
                <w:p>
                  <w:pPr>
                    <w:pStyle w:val="25"/>
                    <w:jc w:val="center"/>
                    <w:rPr>
                      <w:rFonts w:hint="default"/>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硬质塑料箱</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0.05</w:t>
                  </w:r>
                </w:p>
              </w:tc>
              <w:tc>
                <w:tcPr>
                  <w:tcW w:w="540" w:type="pct"/>
                  <w:noWrap w:val="0"/>
                  <w:vAlign w:val="center"/>
                </w:tcPr>
                <w:p>
                  <w:pPr>
                    <w:jc w:val="center"/>
                    <w:rPr>
                      <w:rFonts w:hint="default"/>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3</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废油液</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HW08</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900-199-08</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桶装</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9.7</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4</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废油类滤清器</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HW49</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900-041-49</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硬质塑料箱</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3.2</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5</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含汞废物（废开关）</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HW29</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900-023-29</w:t>
                  </w:r>
                </w:p>
              </w:tc>
              <w:tc>
                <w:tcPr>
                  <w:tcW w:w="396" w:type="pct"/>
                  <w:vMerge w:val="continue"/>
                  <w:noWrap w:val="0"/>
                  <w:vAlign w:val="center"/>
                </w:tcPr>
                <w:p>
                  <w:pPr>
                    <w:pStyle w:val="25"/>
                    <w:jc w:val="center"/>
                    <w:rPr>
                      <w:rFonts w:hint="eastAsia" w:hAnsi="Courier New"/>
                      <w:color w:val="000000"/>
                      <w:kern w:val="0"/>
                      <w:sz w:val="21"/>
                      <w:szCs w:val="21"/>
                      <w:vertAlign w:val="baseline"/>
                      <w:lang w:val="en-US" w:eastAsia="zh-CN" w:bidi="ar-SA"/>
                    </w:rPr>
                  </w:pPr>
                </w:p>
              </w:tc>
              <w:tc>
                <w:tcPr>
                  <w:tcW w:w="507" w:type="pct"/>
                  <w:vMerge w:val="continue"/>
                  <w:noWrap w:val="0"/>
                  <w:vAlign w:val="center"/>
                </w:tcPr>
                <w:p>
                  <w:pPr>
                    <w:pStyle w:val="25"/>
                    <w:jc w:val="center"/>
                    <w:rPr>
                      <w:rFonts w:hint="eastAsia" w:hAnsi="Courier New"/>
                      <w:color w:val="000000"/>
                      <w:kern w:val="0"/>
                      <w:sz w:val="21"/>
                      <w:szCs w:val="21"/>
                      <w:vertAlign w:val="baseline"/>
                      <w:lang w:val="en-US" w:eastAsia="zh-CN" w:bidi="ar-SA"/>
                    </w:rPr>
                  </w:pPr>
                </w:p>
              </w:tc>
              <w:tc>
                <w:tcPr>
                  <w:tcW w:w="557" w:type="pct"/>
                  <w:noWrap w:val="0"/>
                  <w:vAlign w:val="center"/>
                </w:tcPr>
                <w:p>
                  <w:pPr>
                    <w:pStyle w:val="25"/>
                    <w:jc w:val="center"/>
                    <w:rPr>
                      <w:rFonts w:hint="eastAsia" w:hAnsi="Courier New"/>
                      <w:color w:val="000000"/>
                      <w:kern w:val="0"/>
                      <w:sz w:val="21"/>
                      <w:szCs w:val="21"/>
                      <w:vertAlign w:val="baseline"/>
                      <w:lang w:val="en-US" w:eastAsia="zh-CN" w:bidi="ar-SA"/>
                    </w:rPr>
                  </w:pPr>
                  <w:r>
                    <w:rPr>
                      <w:rFonts w:hint="eastAsia"/>
                      <w:sz w:val="21"/>
                      <w:szCs w:val="21"/>
                      <w:vertAlign w:val="baseline"/>
                      <w:lang w:val="en-US" w:eastAsia="zh-CN"/>
                    </w:rPr>
                    <w:t>硬质塑料箱</w:t>
                  </w:r>
                </w:p>
              </w:tc>
              <w:tc>
                <w:tcPr>
                  <w:tcW w:w="512"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0.4</w:t>
                  </w:r>
                </w:p>
              </w:tc>
              <w:tc>
                <w:tcPr>
                  <w:tcW w:w="540" w:type="pct"/>
                  <w:noWrap w:val="0"/>
                  <w:vAlign w:val="center"/>
                </w:tcPr>
                <w:p>
                  <w:pPr>
                    <w:jc w:val="center"/>
                    <w:rPr>
                      <w:rFonts w:hint="eastAsia"/>
                      <w:kern w:val="2"/>
                      <w:sz w:val="21"/>
                      <w:szCs w:val="21"/>
                      <w:u w:val="single"/>
                      <w:vertAlign w:val="baseline"/>
                      <w:lang w:val="en-US" w:eastAsia="zh-CN" w:bidi="ar-SA"/>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6</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废尾气净化催化装置</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HW50</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900-049-50</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硬质塑料箱</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3.5</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7</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废油箱</w:t>
                  </w:r>
                </w:p>
              </w:tc>
              <w:tc>
                <w:tcPr>
                  <w:tcW w:w="497" w:type="pct"/>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HW49</w:t>
                  </w:r>
                </w:p>
              </w:tc>
              <w:tc>
                <w:tcPr>
                  <w:tcW w:w="536" w:type="pct"/>
                  <w:noWrap w:val="0"/>
                  <w:vAlign w:val="center"/>
                </w:tcPr>
                <w:p>
                  <w:pPr>
                    <w:bidi w:val="0"/>
                    <w:jc w:val="center"/>
                    <w:rPr>
                      <w:rFonts w:hint="eastAsia"/>
                      <w:kern w:val="2"/>
                      <w:sz w:val="21"/>
                      <w:szCs w:val="21"/>
                      <w:u w:val="none" w:color="auto"/>
                      <w:lang w:val="en-US" w:eastAsia="zh-CN" w:bidi="ar-SA"/>
                    </w:rPr>
                  </w:pPr>
                  <w:r>
                    <w:rPr>
                      <w:rFonts w:hint="eastAsia"/>
                      <w:sz w:val="21"/>
                      <w:szCs w:val="21"/>
                      <w:u w:val="none" w:color="auto"/>
                      <w:lang w:val="en-US" w:eastAsia="zh-CN"/>
                    </w:rPr>
                    <w:t>900-041-49</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u w:val="none" w:color="auto"/>
                      <w:vertAlign w:val="baseline"/>
                      <w:lang w:val="en-US" w:eastAsia="zh-CN"/>
                    </w:rPr>
                    <w:t>桶装</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6</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8</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sz w:val="21"/>
                      <w:szCs w:val="21"/>
                      <w:lang w:val="en-US" w:eastAsia="zh-CN"/>
                    </w:rPr>
                  </w:pPr>
                  <w:r>
                    <w:rPr>
                      <w:rFonts w:hint="eastAsia"/>
                      <w:sz w:val="21"/>
                      <w:szCs w:val="21"/>
                      <w:lang w:val="en-US" w:eastAsia="zh-CN"/>
                    </w:rPr>
                    <w:t>废电路</w:t>
                  </w:r>
                </w:p>
                <w:p>
                  <w:pPr>
                    <w:bidi w:val="0"/>
                    <w:jc w:val="center"/>
                    <w:rPr>
                      <w:rFonts w:hint="eastAsia"/>
                      <w:kern w:val="2"/>
                      <w:sz w:val="21"/>
                      <w:szCs w:val="21"/>
                      <w:lang w:val="en-US" w:eastAsia="zh-CN" w:bidi="ar-SA"/>
                    </w:rPr>
                  </w:pPr>
                  <w:r>
                    <w:rPr>
                      <w:rFonts w:hint="eastAsia"/>
                      <w:sz w:val="21"/>
                      <w:szCs w:val="21"/>
                      <w:lang w:val="en-US" w:eastAsia="zh-CN"/>
                    </w:rPr>
                    <w:t>板、废电容器</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HW49</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900-045-49</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硬质塑料箱</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5.6</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9</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废活性炭</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HW49</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900-041-49</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硬质塑料箱</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0.5</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hAnsi="Courier New"/>
                      <w:color w:val="000000"/>
                      <w:kern w:val="0"/>
                      <w:sz w:val="21"/>
                      <w:szCs w:val="21"/>
                      <w:vertAlign w:val="baseline"/>
                      <w:lang w:val="en-US" w:eastAsia="zh-CN" w:bidi="ar-SA"/>
                    </w:rPr>
                  </w:pPr>
                  <w:r>
                    <w:rPr>
                      <w:rFonts w:hint="eastAsia"/>
                      <w:sz w:val="21"/>
                      <w:szCs w:val="21"/>
                      <w:vertAlign w:val="baseline"/>
                      <w:lang w:val="en-US" w:eastAsia="zh-CN"/>
                    </w:rPr>
                    <w:t>10</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污泥</w:t>
                  </w:r>
                </w:p>
              </w:tc>
              <w:tc>
                <w:tcPr>
                  <w:tcW w:w="497"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HW49</w:t>
                  </w:r>
                </w:p>
              </w:tc>
              <w:tc>
                <w:tcPr>
                  <w:tcW w:w="536" w:type="pct"/>
                  <w:noWrap w:val="0"/>
                  <w:vAlign w:val="center"/>
                </w:tcPr>
                <w:p>
                  <w:pPr>
                    <w:bidi w:val="0"/>
                    <w:jc w:val="center"/>
                    <w:rPr>
                      <w:rFonts w:hint="eastAsia"/>
                      <w:kern w:val="2"/>
                      <w:sz w:val="21"/>
                      <w:szCs w:val="21"/>
                      <w:lang w:val="en-US" w:eastAsia="zh-CN" w:bidi="ar-SA"/>
                    </w:rPr>
                  </w:pPr>
                  <w:r>
                    <w:rPr>
                      <w:rFonts w:hint="eastAsia"/>
                      <w:sz w:val="21"/>
                      <w:szCs w:val="21"/>
                      <w:lang w:val="en-US" w:eastAsia="zh-CN"/>
                    </w:rPr>
                    <w:t>900-041-49</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eastAsia"/>
                      <w:sz w:val="21"/>
                      <w:szCs w:val="21"/>
                      <w:vertAlign w:val="baseline"/>
                      <w:lang w:val="en-US" w:eastAsia="zh-CN"/>
                    </w:rPr>
                    <w:t>桶装</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0.2</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11</w:t>
                  </w:r>
                </w:p>
              </w:tc>
              <w:tc>
                <w:tcPr>
                  <w:tcW w:w="404" w:type="pct"/>
                  <w:vMerge w:val="continue"/>
                  <w:noWrap w:val="0"/>
                  <w:vAlign w:val="center"/>
                </w:tcPr>
                <w:p>
                  <w:pPr>
                    <w:pStyle w:val="25"/>
                    <w:jc w:val="center"/>
                    <w:rPr>
                      <w:rFonts w:hint="eastAsia"/>
                      <w:sz w:val="21"/>
                      <w:szCs w:val="21"/>
                      <w:vertAlign w:val="baseline"/>
                      <w:lang w:val="en-US" w:eastAsia="zh-CN"/>
                    </w:rPr>
                  </w:pPr>
                </w:p>
              </w:tc>
              <w:tc>
                <w:tcPr>
                  <w:tcW w:w="780" w:type="pct"/>
                  <w:noWrap w:val="0"/>
                  <w:vAlign w:val="center"/>
                </w:tcPr>
                <w:p>
                  <w:pPr>
                    <w:bidi w:val="0"/>
                    <w:jc w:val="center"/>
                    <w:rPr>
                      <w:rFonts w:hint="eastAsia"/>
                      <w:kern w:val="2"/>
                      <w:sz w:val="21"/>
                      <w:szCs w:val="21"/>
                      <w:u w:val="none"/>
                      <w:lang w:val="en-US" w:eastAsia="zh-CN" w:bidi="ar-SA"/>
                    </w:rPr>
                  </w:pPr>
                  <w:r>
                    <w:rPr>
                      <w:rFonts w:hint="eastAsia"/>
                      <w:sz w:val="21"/>
                      <w:szCs w:val="21"/>
                      <w:u w:val="none"/>
                      <w:lang w:val="en-US" w:eastAsia="zh-CN"/>
                    </w:rPr>
                    <w:t>废机油、废液压油</w:t>
                  </w:r>
                </w:p>
              </w:tc>
              <w:tc>
                <w:tcPr>
                  <w:tcW w:w="497" w:type="pct"/>
                  <w:noWrap w:val="0"/>
                  <w:vAlign w:val="center"/>
                </w:tcPr>
                <w:p>
                  <w:pPr>
                    <w:jc w:val="center"/>
                    <w:rPr>
                      <w:rFonts w:hint="eastAsia"/>
                      <w:kern w:val="2"/>
                      <w:sz w:val="21"/>
                      <w:szCs w:val="21"/>
                      <w:u w:val="none"/>
                      <w:lang w:val="en-US" w:eastAsia="zh-CN" w:bidi="ar-SA"/>
                    </w:rPr>
                  </w:pPr>
                  <w:r>
                    <w:rPr>
                      <w:rFonts w:hint="eastAsia"/>
                      <w:sz w:val="21"/>
                      <w:szCs w:val="21"/>
                      <w:u w:val="none"/>
                      <w:lang w:val="en-US" w:eastAsia="zh-CN"/>
                    </w:rPr>
                    <w:t>HW08</w:t>
                  </w:r>
                </w:p>
              </w:tc>
              <w:tc>
                <w:tcPr>
                  <w:tcW w:w="536" w:type="pct"/>
                  <w:noWrap w:val="0"/>
                  <w:vAlign w:val="center"/>
                </w:tcPr>
                <w:p>
                  <w:pPr>
                    <w:jc w:val="center"/>
                    <w:rPr>
                      <w:rFonts w:hint="eastAsia" w:ascii="Calibri" w:hAnsi="Calibri" w:eastAsia="宋体" w:cs="Times New Roman"/>
                      <w:kern w:val="2"/>
                      <w:sz w:val="21"/>
                      <w:szCs w:val="21"/>
                      <w:u w:val="none"/>
                      <w:lang w:val="en-US" w:eastAsia="zh-CN" w:bidi="ar-SA"/>
                    </w:rPr>
                  </w:pPr>
                  <w:r>
                    <w:rPr>
                      <w:rFonts w:hint="eastAsia" w:ascii="Times New Roman" w:hAnsi="Times New Roman" w:eastAsia="宋体" w:cs="Times New Roman"/>
                      <w:sz w:val="21"/>
                      <w:szCs w:val="21"/>
                      <w:lang w:val="en-US" w:eastAsia="zh-CN"/>
                    </w:rPr>
                    <w:t>900-210-08</w:t>
                  </w:r>
                </w:p>
              </w:tc>
              <w:tc>
                <w:tcPr>
                  <w:tcW w:w="396" w:type="pct"/>
                  <w:vMerge w:val="continue"/>
                  <w:noWrap w:val="0"/>
                  <w:vAlign w:val="center"/>
                </w:tcPr>
                <w:p>
                  <w:pPr>
                    <w:pStyle w:val="25"/>
                    <w:jc w:val="center"/>
                    <w:rPr>
                      <w:rFonts w:hint="eastAsia"/>
                      <w:sz w:val="21"/>
                      <w:szCs w:val="21"/>
                      <w:vertAlign w:val="baseline"/>
                      <w:lang w:val="en-US" w:eastAsia="zh-CN"/>
                    </w:rPr>
                  </w:pPr>
                </w:p>
              </w:tc>
              <w:tc>
                <w:tcPr>
                  <w:tcW w:w="507" w:type="pct"/>
                  <w:vMerge w:val="continue"/>
                  <w:noWrap w:val="0"/>
                  <w:vAlign w:val="center"/>
                </w:tcPr>
                <w:p>
                  <w:pPr>
                    <w:pStyle w:val="25"/>
                    <w:jc w:val="center"/>
                    <w:rPr>
                      <w:rFonts w:hint="eastAsia"/>
                      <w:sz w:val="21"/>
                      <w:szCs w:val="21"/>
                      <w:vertAlign w:val="baseline"/>
                      <w:lang w:val="en-US" w:eastAsia="zh-CN"/>
                    </w:rPr>
                  </w:pPr>
                </w:p>
              </w:tc>
              <w:tc>
                <w:tcPr>
                  <w:tcW w:w="557" w:type="pct"/>
                  <w:noWrap w:val="0"/>
                  <w:vAlign w:val="center"/>
                </w:tcPr>
                <w:p>
                  <w:pPr>
                    <w:pStyle w:val="25"/>
                    <w:jc w:val="center"/>
                    <w:rPr>
                      <w:rFonts w:hint="eastAsia"/>
                      <w:sz w:val="21"/>
                      <w:szCs w:val="21"/>
                      <w:vertAlign w:val="baseline"/>
                      <w:lang w:val="en-US" w:eastAsia="zh-CN"/>
                    </w:rPr>
                  </w:pPr>
                  <w:r>
                    <w:rPr>
                      <w:rFonts w:hint="default" w:ascii="Times New Roman" w:hAnsi="Times New Roman" w:eastAsia="宋体" w:cs="Times New Roman"/>
                      <w:b w:val="0"/>
                      <w:bCs w:val="0"/>
                      <w:color w:val="auto"/>
                      <w:sz w:val="21"/>
                      <w:szCs w:val="21"/>
                      <w:highlight w:val="none"/>
                      <w:u w:val="none" w:color="auto"/>
                      <w:vertAlign w:val="baseline"/>
                      <w:lang w:eastAsia="zh-CN"/>
                    </w:rPr>
                    <w:t>桶装</w:t>
                  </w:r>
                </w:p>
              </w:tc>
              <w:tc>
                <w:tcPr>
                  <w:tcW w:w="512" w:type="pct"/>
                  <w:noWrap w:val="0"/>
                  <w:vAlign w:val="center"/>
                </w:tcPr>
                <w:p>
                  <w:pPr>
                    <w:pStyle w:val="25"/>
                    <w:jc w:val="center"/>
                    <w:rPr>
                      <w:rFonts w:hint="default"/>
                      <w:sz w:val="21"/>
                      <w:szCs w:val="21"/>
                      <w:vertAlign w:val="baseline"/>
                      <w:lang w:val="en-US" w:eastAsia="zh-CN"/>
                    </w:rPr>
                  </w:pPr>
                  <w:r>
                    <w:rPr>
                      <w:rFonts w:hint="eastAsia"/>
                      <w:sz w:val="21"/>
                      <w:szCs w:val="21"/>
                      <w:vertAlign w:val="baseline"/>
                      <w:lang w:val="en-US" w:eastAsia="zh-CN"/>
                    </w:rPr>
                    <w:t>0.001</w:t>
                  </w:r>
                </w:p>
              </w:tc>
              <w:tc>
                <w:tcPr>
                  <w:tcW w:w="540" w:type="pct"/>
                  <w:noWrap w:val="0"/>
                  <w:vAlign w:val="center"/>
                </w:tcPr>
                <w:p>
                  <w:pPr>
                    <w:jc w:val="center"/>
                    <w:rPr>
                      <w:rFonts w:hint="eastAsia"/>
                      <w:sz w:val="21"/>
                      <w:szCs w:val="21"/>
                      <w:u w:val="single"/>
                      <w:vertAlign w:val="baseline"/>
                      <w:lang w:val="en-US" w:eastAsia="zh-CN"/>
                    </w:rPr>
                  </w:pPr>
                  <w:r>
                    <w:rPr>
                      <w:rFonts w:hint="eastAsia"/>
                      <w:sz w:val="21"/>
                      <w:szCs w:val="21"/>
                      <w:u w:val="single"/>
                      <w:vertAlign w:val="baseline"/>
                      <w:lang w:val="en-US" w:eastAsia="zh-CN"/>
                    </w:rPr>
                    <w:t>3个月</w:t>
                  </w:r>
                </w:p>
              </w:tc>
            </w:tr>
          </w:tbl>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危险废物储存及转运要求：</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①</w:t>
            </w:r>
            <w:r>
              <w:rPr>
                <w:rFonts w:hint="eastAsia" w:ascii="Times New Roman" w:hAnsi="Times New Roman"/>
                <w:sz w:val="24"/>
                <w:szCs w:val="24"/>
                <w:u w:val="none"/>
                <w:lang w:eastAsia="zh-CN"/>
              </w:rPr>
              <w:t>本项目拟在</w:t>
            </w:r>
            <w:r>
              <w:rPr>
                <w:rFonts w:hint="eastAsia" w:ascii="Times New Roman" w:hAnsi="Times New Roman"/>
                <w:sz w:val="24"/>
                <w:szCs w:val="24"/>
                <w:u w:val="none"/>
                <w:lang w:val="en-US" w:eastAsia="zh-CN"/>
              </w:rPr>
              <w:t>2号</w:t>
            </w:r>
            <w:r>
              <w:rPr>
                <w:rFonts w:hint="eastAsia" w:ascii="Times New Roman" w:hAnsi="Times New Roman"/>
                <w:sz w:val="24"/>
                <w:szCs w:val="24"/>
                <w:u w:val="none"/>
                <w:lang w:eastAsia="zh-CN"/>
              </w:rPr>
              <w:t>车间</w:t>
            </w:r>
            <w:r>
              <w:rPr>
                <w:rFonts w:hint="eastAsia" w:ascii="Times New Roman" w:hAnsi="Times New Roman"/>
                <w:color w:val="auto"/>
                <w:sz w:val="24"/>
                <w:szCs w:val="24"/>
                <w:u w:val="none"/>
                <w:lang w:eastAsia="zh-CN"/>
              </w:rPr>
              <w:t>东南侧新建</w:t>
            </w:r>
            <w:r>
              <w:rPr>
                <w:rFonts w:hint="eastAsia" w:ascii="Times New Roman" w:hAnsi="Times New Roman"/>
                <w:color w:val="auto"/>
                <w:sz w:val="24"/>
                <w:szCs w:val="24"/>
                <w:u w:val="none"/>
                <w:lang w:val="en-US" w:eastAsia="zh-CN"/>
              </w:rPr>
              <w:t>271.82m</w:t>
            </w:r>
            <w:r>
              <w:rPr>
                <w:rFonts w:hint="eastAsia" w:ascii="Times New Roman" w:hAnsi="Times New Roman"/>
                <w:color w:val="auto"/>
                <w:sz w:val="24"/>
                <w:szCs w:val="24"/>
                <w:u w:val="none"/>
                <w:vertAlign w:val="superscript"/>
                <w:lang w:val="en-US" w:eastAsia="zh-CN"/>
              </w:rPr>
              <w:t>2</w:t>
            </w:r>
            <w:r>
              <w:rPr>
                <w:rFonts w:hint="eastAsia" w:ascii="Times New Roman" w:hAnsi="Times New Roman"/>
                <w:color w:val="auto"/>
                <w:sz w:val="24"/>
                <w:szCs w:val="24"/>
                <w:u w:val="none"/>
                <w:lang w:val="en-US" w:eastAsia="zh-CN"/>
              </w:rPr>
              <w:t>的</w:t>
            </w:r>
            <w:r>
              <w:rPr>
                <w:rFonts w:hint="eastAsia" w:ascii="Times New Roman" w:hAnsi="Times New Roman"/>
                <w:sz w:val="24"/>
                <w:szCs w:val="24"/>
                <w:u w:val="none"/>
                <w:lang w:val="en-US" w:eastAsia="zh-CN"/>
              </w:rPr>
              <w:t>危险废物暂存间，</w:t>
            </w:r>
            <w:r>
              <w:rPr>
                <w:rFonts w:hint="eastAsia" w:ascii="Times New Roman" w:hAnsi="Times New Roman"/>
                <w:sz w:val="24"/>
                <w:szCs w:val="24"/>
                <w:u w:val="none"/>
              </w:rPr>
              <w:t>分类收集和暂存。有关要求按《危险废物贮存污染控制标准》（GB18597-2001，2013年修订），做好“防渗、防淋、防晒”和其它相应措施，危险化学品仓库必须设置“危险”的标志。由于危废需要先在厂区内暂存到一定量时才外运，因此需按照危废处置、暂存的环保法规的要求在厂区内专门的暂存</w:t>
            </w:r>
            <w:r>
              <w:rPr>
                <w:rFonts w:hint="eastAsia" w:ascii="Times New Roman" w:hAnsi="Times New Roman"/>
                <w:sz w:val="24"/>
                <w:szCs w:val="24"/>
                <w:u w:val="none"/>
                <w:lang w:eastAsia="zh-CN"/>
              </w:rPr>
              <w:t>间</w:t>
            </w:r>
            <w:r>
              <w:rPr>
                <w:rFonts w:hint="eastAsia" w:ascii="Times New Roman" w:hAnsi="Times New Roman"/>
                <w:sz w:val="24"/>
                <w:szCs w:val="24"/>
                <w:u w:val="none"/>
              </w:rPr>
              <w:t>（项目危废暂存间拟采用20cm厚混凝砼硬化层+2.0mm环氧树脂漆防腐、防渗层，保证渗透系数K≤1×10</w:t>
            </w:r>
            <w:r>
              <w:rPr>
                <w:rFonts w:hint="eastAsia" w:ascii="Times New Roman" w:hAnsi="Times New Roman"/>
                <w:sz w:val="24"/>
                <w:szCs w:val="24"/>
                <w:u w:val="none"/>
                <w:vertAlign w:val="superscript"/>
              </w:rPr>
              <w:t>-10</w:t>
            </w:r>
            <w:r>
              <w:rPr>
                <w:rFonts w:hint="eastAsia" w:ascii="Times New Roman" w:hAnsi="Times New Roman"/>
                <w:sz w:val="24"/>
                <w:szCs w:val="24"/>
                <w:u w:val="none"/>
              </w:rPr>
              <w:t>cm/s）进行密封暂存。</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②根据环发[2001]199号《危险废物污染防治技术政策》，国家技术政策的总原则是危险废物的减量化、资源化和无害化。即首先通过清洁生产减少废弃物的产生，在无法减量化的情况下进行废物资源化利用，最终对不可利用废物进行无害化处置。</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③危险废物的处理</w:t>
            </w:r>
            <w:r>
              <w:rPr>
                <w:rFonts w:hint="eastAsia" w:ascii="Times New Roman" w:hAnsi="Times New Roman"/>
                <w:sz w:val="24"/>
                <w:szCs w:val="24"/>
                <w:u w:val="none"/>
                <w:lang w:eastAsia="zh-CN"/>
              </w:rPr>
              <w:t>满足危险废物规范化管理要求的环境管理制度</w:t>
            </w:r>
            <w:r>
              <w:rPr>
                <w:rFonts w:hint="eastAsia" w:ascii="Times New Roman" w:hAnsi="Times New Roman"/>
                <w:sz w:val="24"/>
                <w:szCs w:val="24"/>
                <w:u w:val="none"/>
              </w:rPr>
              <w:t>，无论是转移到固废处置中心还是销售给其他企业综合利用，均应遵从《危险废物转移联单管理办法》及其他有关规定的要求，以便管理部门对危险废物的流向进行有效控制，防止在转移过程中将危险废物排放至环境中。</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对于危险固废，企业不能随意处理，也不能乱堆乱放，必须密闭转移，及时清运，在生产过程中要注意对这些废渣的收集和储运。必须切实做好固废的分类工作，尽可能回收其中可以再利用的部分，减少危险固废的产生量。</w:t>
            </w:r>
          </w:p>
          <w:p>
            <w:pPr>
              <w:spacing w:line="360" w:lineRule="auto"/>
              <w:ind w:firstLine="480" w:firstLineChars="200"/>
              <w:jc w:val="both"/>
              <w:rPr>
                <w:rFonts w:hint="eastAsia" w:ascii="Times New Roman" w:hAnsi="Times New Roman"/>
                <w:sz w:val="24"/>
                <w:szCs w:val="24"/>
                <w:u w:val="none"/>
              </w:rPr>
            </w:pPr>
            <w:r>
              <w:rPr>
                <w:rFonts w:hint="eastAsia" w:ascii="Times New Roman" w:hAnsi="Times New Roman"/>
                <w:sz w:val="24"/>
                <w:szCs w:val="24"/>
                <w:u w:val="none"/>
              </w:rPr>
              <w:t>综上所述，在采取上述适当妥善的存储、处理处置方式，并加强固体废物分类收集管理的情况下，本项目固废不会对周围环境产生不良影响。</w:t>
            </w:r>
          </w:p>
          <w:p>
            <w:pPr>
              <w:spacing w:line="360" w:lineRule="auto"/>
              <w:ind w:firstLine="482" w:firstLineChars="200"/>
              <w:jc w:val="both"/>
              <w:rPr>
                <w:rFonts w:hint="eastAsia" w:ascii="Times New Roman" w:hAnsi="Times New Roman"/>
                <w:b/>
                <w:bCs/>
                <w:color w:val="auto"/>
                <w:sz w:val="24"/>
                <w:szCs w:val="24"/>
                <w:u w:val="none"/>
              </w:rPr>
            </w:pPr>
            <w:r>
              <w:rPr>
                <w:rFonts w:hint="eastAsia" w:ascii="Times New Roman" w:hAnsi="Times New Roman"/>
                <w:b/>
                <w:bCs/>
                <w:color w:val="auto"/>
                <w:sz w:val="24"/>
                <w:szCs w:val="24"/>
                <w:u w:val="none"/>
                <w:lang w:val="en-US" w:eastAsia="zh-CN"/>
              </w:rPr>
              <w:t>5、分区防渗要求</w:t>
            </w:r>
          </w:p>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color w:val="auto"/>
                <w:sz w:val="24"/>
                <w:szCs w:val="24"/>
              </w:rPr>
            </w:pPr>
            <w:r>
              <w:rPr>
                <w:rFonts w:hint="eastAsia"/>
                <w:color w:val="auto"/>
                <w:sz w:val="24"/>
                <w:szCs w:val="24"/>
              </w:rPr>
              <w:t>本项目为</w:t>
            </w:r>
            <w:r>
              <w:rPr>
                <w:rFonts w:hint="eastAsia"/>
                <w:color w:val="auto"/>
                <w:sz w:val="24"/>
                <w:szCs w:val="24"/>
                <w:lang w:eastAsia="zh-CN"/>
              </w:rPr>
              <w:t>报废机动车</w:t>
            </w:r>
            <w:r>
              <w:rPr>
                <w:rFonts w:hint="eastAsia"/>
                <w:color w:val="auto"/>
                <w:sz w:val="24"/>
                <w:szCs w:val="24"/>
              </w:rPr>
              <w:t>拆解项目，不同区域根据下表要求进行防渗。</w:t>
            </w:r>
          </w:p>
          <w:p>
            <w:pPr>
              <w:bidi w:val="0"/>
              <w:jc w:val="center"/>
              <w:rPr>
                <w:rFonts w:hint="eastAsia"/>
                <w:color w:val="auto"/>
                <w:lang w:val="en-US" w:eastAsia="zh-CN"/>
              </w:rPr>
            </w:pPr>
            <w:r>
              <w:rPr>
                <w:rFonts w:hint="eastAsia"/>
                <w:b/>
                <w:bCs/>
                <w:color w:val="auto"/>
                <w:lang w:val="en-US" w:eastAsia="zh-CN"/>
              </w:rPr>
              <w:t>表4-16 项目分区防渗一览表</w:t>
            </w:r>
          </w:p>
          <w:tbl>
            <w:tblPr>
              <w:tblStyle w:val="17"/>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2790"/>
              <w:gridCol w:w="4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防渗分区</w:t>
                  </w:r>
                </w:p>
              </w:tc>
              <w:tc>
                <w:tcPr>
                  <w:tcW w:w="2790"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所属区域</w:t>
                  </w:r>
                </w:p>
              </w:tc>
              <w:tc>
                <w:tcPr>
                  <w:tcW w:w="4475"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293"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重点防渗区</w:t>
                  </w:r>
                </w:p>
              </w:tc>
              <w:tc>
                <w:tcPr>
                  <w:tcW w:w="2790"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危险废物暂存间、车辆暂存</w:t>
                  </w:r>
                  <w:r>
                    <w:rPr>
                      <w:rFonts w:hint="eastAsia"/>
                      <w:color w:val="auto"/>
                      <w:sz w:val="21"/>
                      <w:szCs w:val="21"/>
                      <w:vertAlign w:val="baseline"/>
                      <w:lang w:val="en-US" w:eastAsia="zh-CN"/>
                    </w:rPr>
                    <w:t>区</w:t>
                  </w:r>
                  <w:r>
                    <w:rPr>
                      <w:rFonts w:hint="default"/>
                      <w:color w:val="auto"/>
                      <w:sz w:val="21"/>
                      <w:szCs w:val="21"/>
                      <w:vertAlign w:val="baseline"/>
                      <w:lang w:val="en-US" w:eastAsia="zh-CN"/>
                    </w:rPr>
                    <w:t>、拆解</w:t>
                  </w:r>
                  <w:r>
                    <w:rPr>
                      <w:rFonts w:hint="eastAsia"/>
                      <w:color w:val="auto"/>
                      <w:sz w:val="21"/>
                      <w:szCs w:val="21"/>
                      <w:vertAlign w:val="baseline"/>
                      <w:lang w:val="en-US" w:eastAsia="zh-CN"/>
                    </w:rPr>
                    <w:t>区（</w:t>
                  </w:r>
                  <w:r>
                    <w:rPr>
                      <w:rFonts w:hint="default"/>
                      <w:color w:val="auto"/>
                      <w:sz w:val="21"/>
                      <w:szCs w:val="21"/>
                      <w:vertAlign w:val="baseline"/>
                      <w:lang w:val="en-US" w:eastAsia="zh-CN"/>
                    </w:rPr>
                    <w:t>预拆解区域）</w:t>
                  </w:r>
                </w:p>
              </w:tc>
              <w:tc>
                <w:tcPr>
                  <w:tcW w:w="4475"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地表等效粘土防渗层Mb≥6.0m，K≤1×10</w:t>
                  </w:r>
                  <w:r>
                    <w:rPr>
                      <w:rFonts w:hint="default"/>
                      <w:color w:val="auto"/>
                      <w:sz w:val="21"/>
                      <w:szCs w:val="21"/>
                      <w:vertAlign w:val="superscript"/>
                      <w:lang w:val="en-US" w:eastAsia="zh-CN"/>
                    </w:rPr>
                    <w:t xml:space="preserve">-10 </w:t>
                  </w:r>
                  <w:r>
                    <w:rPr>
                      <w:rFonts w:hint="default"/>
                      <w:color w:val="auto"/>
                      <w:sz w:val="21"/>
                      <w:szCs w:val="21"/>
                      <w:vertAlign w:val="baseline"/>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93"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一般防渗区</w:t>
                  </w:r>
                </w:p>
              </w:tc>
              <w:tc>
                <w:tcPr>
                  <w:tcW w:w="2790"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仓库</w:t>
                  </w:r>
                </w:p>
              </w:tc>
              <w:tc>
                <w:tcPr>
                  <w:tcW w:w="4475"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等效粘土防渗层Mb≥1.5m，K≤1×10</w:t>
                  </w:r>
                  <w:r>
                    <w:rPr>
                      <w:rFonts w:hint="default"/>
                      <w:color w:val="auto"/>
                      <w:sz w:val="21"/>
                      <w:szCs w:val="21"/>
                      <w:vertAlign w:val="superscript"/>
                      <w:lang w:val="en-US" w:eastAsia="zh-CN"/>
                    </w:rPr>
                    <w:t xml:space="preserve">-7 </w:t>
                  </w:r>
                  <w:r>
                    <w:rPr>
                      <w:rFonts w:hint="default"/>
                      <w:color w:val="auto"/>
                      <w:sz w:val="21"/>
                      <w:szCs w:val="21"/>
                      <w:vertAlign w:val="baseline"/>
                      <w:lang w:val="en-US" w:eastAsia="zh-CN"/>
                    </w:rPr>
                    <w:t>cm/s，且表面无裂隙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293"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简单防渗区</w:t>
                  </w:r>
                </w:p>
              </w:tc>
              <w:tc>
                <w:tcPr>
                  <w:tcW w:w="2790"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其它区域</w:t>
                  </w:r>
                </w:p>
              </w:tc>
              <w:tc>
                <w:tcPr>
                  <w:tcW w:w="4475" w:type="dxa"/>
                  <w:noWrap w:val="0"/>
                  <w:vAlign w:val="center"/>
                </w:tcPr>
                <w:p>
                  <w:pPr>
                    <w:pStyle w:val="4"/>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一般地面硬化</w:t>
                  </w:r>
                </w:p>
              </w:tc>
            </w:tr>
          </w:tbl>
          <w:p>
            <w:pPr>
              <w:pStyle w:val="1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2" w:firstLineChars="200"/>
              <w:textAlignment w:val="auto"/>
              <w:rPr>
                <w:rFonts w:hint="eastAsia"/>
                <w:b/>
                <w:bCs/>
                <w:sz w:val="24"/>
                <w:szCs w:val="24"/>
                <w:lang w:val="en-US" w:eastAsia="zh-CN"/>
              </w:rPr>
            </w:pPr>
            <w:r>
              <w:rPr>
                <w:rFonts w:hint="eastAsia"/>
                <w:b/>
                <w:bCs/>
                <w:sz w:val="24"/>
                <w:szCs w:val="24"/>
                <w:lang w:val="en-US" w:eastAsia="zh-CN"/>
              </w:rPr>
              <w:t>6、环境风险</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76"/>
              <w:textAlignment w:val="auto"/>
              <w:rPr>
                <w:bCs/>
                <w:color w:val="000000"/>
                <w:sz w:val="24"/>
                <w:szCs w:val="24"/>
              </w:rPr>
            </w:pPr>
            <w:r>
              <w:rPr>
                <w:rFonts w:hint="eastAsia"/>
                <w:bCs/>
                <w:color w:val="000000"/>
                <w:sz w:val="24"/>
                <w:szCs w:val="24"/>
              </w:rPr>
              <w:t>（1）风险调查</w:t>
            </w:r>
          </w:p>
          <w:p>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宋体" w:hAnsi="宋体" w:cs="宋体"/>
                <w:sz w:val="24"/>
                <w:szCs w:val="24"/>
              </w:rPr>
            </w:pPr>
            <w:r>
              <w:rPr>
                <w:rFonts w:hint="default" w:ascii="Times New Roman" w:hAnsi="Times New Roman" w:cs="Times New Roman"/>
                <w:bCs/>
                <w:color w:val="000000"/>
                <w:sz w:val="24"/>
                <w:szCs w:val="24"/>
              </w:rPr>
              <w:t>根据</w:t>
            </w:r>
            <w:r>
              <w:rPr>
                <w:rFonts w:hint="default" w:ascii="Times New Roman" w:hAnsi="Times New Roman" w:cs="Times New Roman"/>
                <w:sz w:val="24"/>
                <w:szCs w:val="24"/>
              </w:rPr>
              <w:t>《建设项目环境风险技术导则》（HJ/T169-2018）中的相关规定风险调查主要包括危险物质数量和分布情况、生产工艺特点，收集危险物质安全技术说明书（MSDS）等基础资料。</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sz w:val="24"/>
                <w:szCs w:val="24"/>
              </w:rPr>
            </w:pPr>
            <w:r>
              <w:rPr>
                <w:rFonts w:hint="eastAsia" w:ascii="宋体" w:hAnsi="宋体" w:cs="宋体"/>
                <w:sz w:val="24"/>
                <w:szCs w:val="24"/>
              </w:rPr>
              <w:t>1）物质危险性识别</w:t>
            </w:r>
          </w:p>
          <w:p>
            <w:pPr>
              <w:spacing w:line="360" w:lineRule="auto"/>
              <w:ind w:firstLine="480" w:firstLineChars="200"/>
              <w:rPr>
                <w:rFonts w:hint="eastAsia" w:ascii="宋体" w:hAnsi="宋体" w:cs="宋体"/>
                <w:sz w:val="24"/>
                <w:szCs w:val="24"/>
                <w:u w:val="none"/>
                <w:lang w:eastAsia="zh-CN"/>
              </w:rPr>
            </w:pPr>
            <w:r>
              <w:rPr>
                <w:rFonts w:ascii="宋体" w:hAnsi="宋体" w:cs="宋体"/>
                <w:sz w:val="24"/>
                <w:szCs w:val="24"/>
                <w:u w:val="none"/>
              </w:rPr>
              <w:t>本项目为</w:t>
            </w:r>
            <w:r>
              <w:rPr>
                <w:rFonts w:hint="eastAsia" w:ascii="宋体" w:hAnsi="宋体" w:cs="宋体"/>
                <w:sz w:val="24"/>
                <w:szCs w:val="24"/>
                <w:u w:val="none"/>
                <w:lang w:eastAsia="zh-CN"/>
              </w:rPr>
              <w:t>报废机动车拆解项目</w:t>
            </w:r>
            <w:r>
              <w:rPr>
                <w:rFonts w:ascii="宋体" w:hAnsi="宋体" w:cs="宋体"/>
                <w:sz w:val="24"/>
                <w:szCs w:val="24"/>
                <w:u w:val="none"/>
              </w:rPr>
              <w:t>，生产过程中涉及危险废物包括</w:t>
            </w:r>
            <w:r>
              <w:rPr>
                <w:rFonts w:hint="eastAsia" w:ascii="宋体" w:hAnsi="宋体" w:cs="宋体"/>
                <w:sz w:val="24"/>
                <w:szCs w:val="24"/>
                <w:u w:val="none"/>
                <w:lang w:eastAsia="zh-CN"/>
              </w:rPr>
              <w:t>易燃易爆物质的油类物质（燃油、废油液）、废制冷剂和硫酸（蓄电池）。</w:t>
            </w:r>
          </w:p>
          <w:p>
            <w:pPr>
              <w:pStyle w:val="39"/>
              <w:spacing w:line="360" w:lineRule="auto"/>
              <w:ind w:firstLine="474"/>
              <w:rPr>
                <w:rFonts w:hint="default" w:ascii="Times New Roman" w:hAnsi="Times New Roman" w:cs="Times New Roman"/>
                <w:sz w:val="24"/>
                <w:szCs w:val="24"/>
                <w:u w:val="single"/>
              </w:rPr>
            </w:pPr>
            <w:r>
              <w:rPr>
                <w:rFonts w:hint="default" w:ascii="Times New Roman" w:hAnsi="Times New Roman" w:cs="Times New Roman"/>
                <w:sz w:val="24"/>
                <w:szCs w:val="24"/>
                <w:lang w:eastAsia="zh-CN"/>
              </w:rPr>
              <w:t>根据《建设项目环境风险评价技术导则》（HJ/T169-2018）附录B，拟建项目原材料及产品涉及的危险物质详见表</w:t>
            </w:r>
            <w:r>
              <w:rPr>
                <w:rFonts w:hint="eastAsia" w:ascii="Times New Roman" w:hAnsi="Times New Roman" w:cs="Times New Roman"/>
                <w:color w:val="auto"/>
                <w:sz w:val="24"/>
                <w:szCs w:val="24"/>
                <w:lang w:val="en-US" w:eastAsia="zh-CN"/>
              </w:rPr>
              <w:t>4-17</w:t>
            </w:r>
            <w:r>
              <w:rPr>
                <w:rFonts w:hint="default" w:ascii="Times New Roman" w:hAnsi="Times New Roman" w:cs="Times New Roman"/>
                <w:sz w:val="24"/>
                <w:szCs w:val="24"/>
                <w:lang w:eastAsia="zh-CN"/>
              </w:rPr>
              <w:t>。根据《危险化学品重大危险源辨识》（GB18218-2018），“长期或短期生产、加工、运输、使用或贮存危险物质，且危险物质的数量等于或超过临界量的功能单元”定为重大危险源。本项目危险物质不构成重大危险源。</w:t>
            </w:r>
          </w:p>
          <w:p>
            <w:pPr>
              <w:pStyle w:val="39"/>
              <w:spacing w:line="360" w:lineRule="auto"/>
              <w:ind w:firstLine="474"/>
              <w:rPr>
                <w:sz w:val="24"/>
                <w:szCs w:val="24"/>
                <w:u w:val="none"/>
              </w:rPr>
            </w:pPr>
            <w:r>
              <w:rPr>
                <w:rFonts w:hint="eastAsia"/>
                <w:sz w:val="24"/>
                <w:szCs w:val="24"/>
                <w:u w:val="none"/>
              </w:rPr>
              <w:t>2）</w:t>
            </w:r>
            <w:r>
              <w:rPr>
                <w:sz w:val="24"/>
                <w:szCs w:val="24"/>
                <w:u w:val="none"/>
              </w:rPr>
              <w:t>生产系统危险性识别</w:t>
            </w:r>
          </w:p>
          <w:p>
            <w:pPr>
              <w:pStyle w:val="39"/>
              <w:spacing w:line="360" w:lineRule="auto"/>
              <w:ind w:firstLine="474"/>
              <w:rPr>
                <w:sz w:val="24"/>
                <w:szCs w:val="24"/>
                <w:u w:val="none"/>
              </w:rPr>
            </w:pPr>
            <w:r>
              <w:rPr>
                <w:sz w:val="24"/>
                <w:szCs w:val="24"/>
                <w:u w:val="none"/>
              </w:rPr>
              <w:t>盛放有废液油、燃油的油桶属于易燃易爆物质，油桶发生破裂导致废液油泄露，遇到火源则发生火灾、爆炸事故，或者遭受雷击也可能诱发火灾、爆炸事故。产生的火灾导致含卤素的塑料燃烧，产生大量有毒有害烟雾，造成中毒；此外，还有蓄电池的废酸等有毒或腐蚀性物质流出，污染地下水等。</w:t>
            </w:r>
          </w:p>
          <w:p>
            <w:pPr>
              <w:pStyle w:val="39"/>
              <w:spacing w:line="360" w:lineRule="auto"/>
              <w:ind w:firstLine="474"/>
              <w:rPr>
                <w:sz w:val="24"/>
                <w:szCs w:val="24"/>
                <w:u w:val="none"/>
              </w:rPr>
            </w:pPr>
            <w:r>
              <w:rPr>
                <w:sz w:val="24"/>
                <w:szCs w:val="24"/>
                <w:u w:val="none"/>
              </w:rPr>
              <w:t>拆解车间洒落少量机油、润滑油，报废的机动车传动装置、发动机等金属表面沾有少量的机油、润滑油等，遇到火源可能发生火灾；塑料、橡胶暂时堆放点存在火灾风险，其燃烧产生大量有毒有害烟雾，造成中毒等二次污染。</w:t>
            </w:r>
          </w:p>
          <w:p>
            <w:pPr>
              <w:pStyle w:val="39"/>
              <w:spacing w:line="360" w:lineRule="auto"/>
              <w:ind w:firstLine="474"/>
              <w:rPr>
                <w:sz w:val="24"/>
                <w:szCs w:val="24"/>
                <w:u w:val="none"/>
              </w:rPr>
            </w:pPr>
            <w:r>
              <w:rPr>
                <w:rFonts w:hint="eastAsia"/>
                <w:sz w:val="24"/>
                <w:szCs w:val="24"/>
                <w:u w:val="none"/>
              </w:rPr>
              <w:t>本项目机动车拆解过程中所产生的</w:t>
            </w:r>
            <w:r>
              <w:rPr>
                <w:rFonts w:hint="eastAsia"/>
                <w:sz w:val="24"/>
                <w:szCs w:val="24"/>
                <w:u w:val="none"/>
                <w:lang w:eastAsia="zh-CN"/>
              </w:rPr>
              <w:t>废铅蓄电池</w:t>
            </w:r>
            <w:r>
              <w:rPr>
                <w:rFonts w:hint="eastAsia"/>
                <w:sz w:val="24"/>
                <w:szCs w:val="24"/>
                <w:u w:val="none"/>
              </w:rPr>
              <w:t>、汽油、柴油和冷却液等分类收集后，暂存于危废暂存间，定期委托有资质的单位进行处置。在装卸、存储过程中可能存在的风险事故为：暂存过程中由于储罐、封盖老化或操作不规范，致使物料泄漏逸散，导致人员中毒；汽油散发到空气中遇明火可能会发生火灾甚至爆炸。</w:t>
            </w:r>
            <w:r>
              <w:rPr>
                <w:sz w:val="24"/>
                <w:szCs w:val="24"/>
                <w:u w:val="none"/>
              </w:rPr>
              <w:t>该过程的风险由运输单位负责。</w:t>
            </w:r>
          </w:p>
          <w:p>
            <w:pPr>
              <w:pStyle w:val="39"/>
              <w:spacing w:line="360" w:lineRule="auto"/>
              <w:ind w:firstLine="474"/>
              <w:rPr>
                <w:sz w:val="24"/>
                <w:szCs w:val="24"/>
              </w:rPr>
            </w:pPr>
            <w:r>
              <w:rPr>
                <w:sz w:val="24"/>
                <w:szCs w:val="24"/>
              </w:rPr>
              <w:t>3）风险潜势初判</w:t>
            </w:r>
          </w:p>
          <w:p>
            <w:pPr>
              <w:pStyle w:val="39"/>
              <w:spacing w:line="360" w:lineRule="auto"/>
              <w:ind w:firstLine="474"/>
              <w:rPr>
                <w:rFonts w:ascii="宋体" w:hAnsi="宋体" w:cs="宋体"/>
                <w:sz w:val="24"/>
                <w:szCs w:val="24"/>
              </w:rPr>
            </w:pPr>
            <w:r>
              <w:rPr>
                <w:rFonts w:hint="eastAsia"/>
                <w:color w:val="000000"/>
                <w:sz w:val="24"/>
                <w:szCs w:val="24"/>
              </w:rPr>
              <w:t>根据</w:t>
            </w:r>
            <w:r>
              <w:rPr>
                <w:sz w:val="24"/>
                <w:szCs w:val="24"/>
              </w:rPr>
              <w:t>《</w:t>
            </w:r>
            <w:r>
              <w:rPr>
                <w:rFonts w:hint="eastAsia"/>
                <w:sz w:val="24"/>
                <w:szCs w:val="24"/>
              </w:rPr>
              <w:t>建设项目环境风险技术导则</w:t>
            </w:r>
            <w:r>
              <w:rPr>
                <w:sz w:val="24"/>
                <w:szCs w:val="24"/>
              </w:rPr>
              <w:t>》</w:t>
            </w:r>
            <w:r>
              <w:rPr>
                <w:rFonts w:hint="eastAsia"/>
                <w:sz w:val="24"/>
                <w:szCs w:val="24"/>
              </w:rPr>
              <w:t>（HJ/T169-2018），</w:t>
            </w:r>
            <w:r>
              <w:rPr>
                <w:rFonts w:ascii="宋体" w:hAnsi="宋体" w:cs="宋体"/>
                <w:sz w:val="24"/>
                <w:szCs w:val="24"/>
              </w:rPr>
              <w:t>依据建设项目涉及的物质及工艺系统危险性和所在的环境敏感性确定环境风险潜势。</w:t>
            </w:r>
          </w:p>
          <w:p>
            <w:pPr>
              <w:pStyle w:val="39"/>
              <w:spacing w:line="360" w:lineRule="auto"/>
              <w:ind w:firstLine="474"/>
              <w:rPr>
                <w:rFonts w:ascii="宋体" w:hAnsi="宋体" w:cs="宋体"/>
                <w:sz w:val="24"/>
                <w:szCs w:val="24"/>
              </w:rPr>
            </w:pPr>
            <w:r>
              <w:rPr>
                <w:rFonts w:ascii="宋体" w:hAnsi="宋体" w:cs="宋体"/>
                <w:sz w:val="24"/>
                <w:szCs w:val="24"/>
              </w:rPr>
              <w:t>计算建设项目所涉及每种风险物质在厂界内的最大存在总量与其在《建设项目环境风险评价技术导则》(</w:t>
            </w:r>
            <w:r>
              <w:rPr>
                <w:sz w:val="24"/>
                <w:szCs w:val="24"/>
              </w:rPr>
              <w:t>HJ/T169-2018</w:t>
            </w:r>
            <w:r>
              <w:rPr>
                <w:rFonts w:ascii="宋体" w:hAnsi="宋体" w:cs="宋体"/>
                <w:sz w:val="24"/>
                <w:szCs w:val="24"/>
              </w:rPr>
              <w:t>)附</w:t>
            </w:r>
            <w:r>
              <w:rPr>
                <w:sz w:val="24"/>
                <w:szCs w:val="24"/>
              </w:rPr>
              <w:t>录B中对应的临界量的比值Q。在不同厂区的同一种物质，按其在厂界内的最大存在总量</w:t>
            </w:r>
            <w:r>
              <w:rPr>
                <w:rFonts w:ascii="宋体" w:hAnsi="宋体" w:cs="宋体"/>
                <w:sz w:val="24"/>
                <w:szCs w:val="24"/>
              </w:rPr>
              <w:t>计算。</w:t>
            </w:r>
          </w:p>
          <w:p>
            <w:pPr>
              <w:pStyle w:val="39"/>
              <w:spacing w:line="360" w:lineRule="auto"/>
              <w:ind w:firstLine="474"/>
              <w:rPr>
                <w:rFonts w:hint="eastAsia" w:ascii="宋体" w:hAnsi="宋体" w:cs="宋体"/>
                <w:sz w:val="24"/>
                <w:szCs w:val="24"/>
              </w:rPr>
            </w:pPr>
            <w:r>
              <w:rPr>
                <w:rFonts w:ascii="宋体" w:hAnsi="宋体" w:cs="宋体"/>
                <w:sz w:val="24"/>
                <w:szCs w:val="24"/>
              </w:rPr>
              <w:t>当企业只涉及一种危险物质时，计算该物质的总量与其临界量的比值，即为</w:t>
            </w:r>
            <w:r>
              <w:rPr>
                <w:sz w:val="24"/>
                <w:szCs w:val="24"/>
              </w:rPr>
              <w:t>Q</w:t>
            </w:r>
            <w:r>
              <w:rPr>
                <w:rFonts w:hint="eastAsia" w:ascii="宋体" w:hAnsi="宋体" w:cs="宋体"/>
                <w:sz w:val="24"/>
                <w:szCs w:val="24"/>
              </w:rPr>
              <w:t>；</w:t>
            </w:r>
          </w:p>
          <w:p>
            <w:pPr>
              <w:pStyle w:val="39"/>
              <w:spacing w:line="360" w:lineRule="auto"/>
              <w:ind w:firstLine="474"/>
              <w:rPr>
                <w:rFonts w:hint="eastAsia" w:ascii="宋体" w:hAnsi="宋体" w:cs="宋体"/>
                <w:sz w:val="24"/>
                <w:szCs w:val="24"/>
              </w:rPr>
            </w:pPr>
            <w:r>
              <w:rPr>
                <w:rFonts w:ascii="宋体" w:hAnsi="宋体" w:cs="宋体"/>
                <w:sz w:val="24"/>
                <w:szCs w:val="24"/>
              </w:rPr>
              <w:t>当存在多种危险物质时，按公式(</w:t>
            </w:r>
            <w:r>
              <w:rPr>
                <w:sz w:val="24"/>
                <w:szCs w:val="24"/>
              </w:rPr>
              <w:t>1</w:t>
            </w:r>
            <w:r>
              <w:rPr>
                <w:rFonts w:ascii="宋体" w:hAnsi="宋体" w:cs="宋体"/>
                <w:sz w:val="24"/>
                <w:szCs w:val="24"/>
              </w:rPr>
              <w:t>)计算物质总量与其临界量的比值，即为(</w:t>
            </w:r>
            <w:r>
              <w:rPr>
                <w:sz w:val="24"/>
                <w:szCs w:val="24"/>
              </w:rPr>
              <w:t>Q</w:t>
            </w:r>
            <w:r>
              <w:rPr>
                <w:rFonts w:ascii="宋体" w:hAnsi="宋体" w:cs="宋体"/>
                <w:sz w:val="24"/>
                <w:szCs w:val="24"/>
              </w:rPr>
              <w:t>)</w:t>
            </w:r>
            <w:r>
              <w:rPr>
                <w:rFonts w:hint="eastAsia" w:ascii="宋体" w:hAnsi="宋体" w:cs="宋体"/>
                <w:sz w:val="24"/>
                <w:szCs w:val="24"/>
              </w:rPr>
              <w:t>；</w:t>
            </w:r>
          </w:p>
          <w:p>
            <w:pPr>
              <w:pStyle w:val="39"/>
              <w:spacing w:line="360" w:lineRule="auto"/>
              <w:ind w:firstLine="0" w:firstLineChars="0"/>
              <w:jc w:val="center"/>
              <w:rPr>
                <w:sz w:val="21"/>
                <w:szCs w:val="21"/>
              </w:rPr>
            </w:pPr>
            <w:r>
              <w:rPr>
                <w:sz w:val="21"/>
                <w:szCs w:val="21"/>
              </w:rPr>
              <w:drawing>
                <wp:inline distT="0" distB="0" distL="114300" distR="114300">
                  <wp:extent cx="2086610" cy="552450"/>
                  <wp:effectExtent l="0" t="0" r="8890" b="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28"/>
                          <a:stretch>
                            <a:fillRect/>
                          </a:stretch>
                        </pic:blipFill>
                        <pic:spPr>
                          <a:xfrm>
                            <a:off x="0" y="0"/>
                            <a:ext cx="2086610" cy="552450"/>
                          </a:xfrm>
                          <a:prstGeom prst="rect">
                            <a:avLst/>
                          </a:prstGeom>
                          <a:noFill/>
                          <a:ln>
                            <a:noFill/>
                          </a:ln>
                        </pic:spPr>
                      </pic:pic>
                    </a:graphicData>
                  </a:graphic>
                </wp:inline>
              </w:drawing>
            </w:r>
          </w:p>
          <w:p>
            <w:pPr>
              <w:spacing w:line="360" w:lineRule="auto"/>
              <w:ind w:firstLine="480" w:firstLineChars="200"/>
              <w:rPr>
                <w:sz w:val="24"/>
                <w:szCs w:val="24"/>
              </w:rPr>
            </w:pPr>
            <w:r>
              <w:rPr>
                <w:sz w:val="24"/>
                <w:szCs w:val="24"/>
              </w:rPr>
              <w:t>式中：q1、q2、···qn——每种环境风险物质的最大存在总量，t；</w:t>
            </w:r>
          </w:p>
          <w:p>
            <w:pPr>
              <w:pStyle w:val="39"/>
              <w:spacing w:line="360" w:lineRule="auto"/>
              <w:ind w:firstLine="474"/>
              <w:rPr>
                <w:sz w:val="24"/>
                <w:szCs w:val="24"/>
              </w:rPr>
            </w:pPr>
            <w:r>
              <w:rPr>
                <w:sz w:val="24"/>
                <w:szCs w:val="24"/>
              </w:rPr>
              <w:t>Q1、Q2、···Qn——每种环境风险物质相对应的临界量，t。</w:t>
            </w:r>
          </w:p>
          <w:p>
            <w:pPr>
              <w:pStyle w:val="39"/>
              <w:spacing w:line="360" w:lineRule="auto"/>
              <w:ind w:firstLine="474"/>
              <w:rPr>
                <w:sz w:val="24"/>
                <w:szCs w:val="24"/>
              </w:rPr>
            </w:pPr>
            <w:r>
              <w:rPr>
                <w:sz w:val="24"/>
                <w:szCs w:val="24"/>
              </w:rPr>
              <w:t>计算出Q值后，将Q值划分为4级，分别为Q＜1，该项目环境风险潜势为Ⅰ；当Q ≥1有三种情况，1≤Q＜10；10≤Q＜100；Q≥100）。</w:t>
            </w:r>
          </w:p>
          <w:p>
            <w:pPr>
              <w:pStyle w:val="39"/>
              <w:spacing w:line="360" w:lineRule="auto"/>
              <w:ind w:firstLine="474"/>
              <w:rPr>
                <w:rFonts w:hint="eastAsia"/>
                <w:sz w:val="24"/>
                <w:szCs w:val="24"/>
              </w:rPr>
            </w:pPr>
            <w:r>
              <w:rPr>
                <w:rFonts w:hint="eastAsia"/>
                <w:sz w:val="24"/>
                <w:szCs w:val="24"/>
              </w:rPr>
              <w:t>根据</w:t>
            </w:r>
            <w:r>
              <w:rPr>
                <w:sz w:val="24"/>
                <w:szCs w:val="24"/>
              </w:rPr>
              <w:t>《</w:t>
            </w:r>
            <w:r>
              <w:rPr>
                <w:rFonts w:hint="eastAsia"/>
                <w:sz w:val="24"/>
                <w:szCs w:val="24"/>
              </w:rPr>
              <w:t>建设项目环境风险技术导则</w:t>
            </w:r>
            <w:r>
              <w:rPr>
                <w:sz w:val="24"/>
                <w:szCs w:val="24"/>
              </w:rPr>
              <w:t>》</w:t>
            </w:r>
            <w:r>
              <w:rPr>
                <w:rFonts w:hint="eastAsia"/>
                <w:sz w:val="24"/>
                <w:szCs w:val="24"/>
              </w:rPr>
              <w:t>（HJ/T169-2018）中附录B表B.1及B.2中的突发环境事件风险物质，本项目Q值确定见下表。</w:t>
            </w:r>
          </w:p>
          <w:p>
            <w:pPr>
              <w:pStyle w:val="39"/>
              <w:spacing w:line="360" w:lineRule="auto"/>
              <w:ind w:firstLine="416"/>
              <w:jc w:val="center"/>
              <w:rPr>
                <w:rFonts w:hint="eastAsia" w:ascii="Times New Roman" w:hAnsi="Times New Roman" w:eastAsia="Calibri"/>
                <w:b/>
                <w:bCs/>
                <w:kern w:val="2"/>
                <w:sz w:val="21"/>
                <w:szCs w:val="21"/>
                <w:u w:val="none"/>
                <w:lang w:val="en-US" w:eastAsia="zh-CN" w:bidi="ar-SA"/>
              </w:rPr>
            </w:pPr>
            <w:r>
              <w:rPr>
                <w:rFonts w:hint="eastAsia" w:ascii="Times New Roman" w:hAnsi="Times New Roman" w:eastAsia="Calibri"/>
                <w:b/>
                <w:bCs/>
                <w:kern w:val="2"/>
                <w:sz w:val="21"/>
                <w:szCs w:val="21"/>
                <w:u w:val="none"/>
                <w:lang w:val="en-US" w:eastAsia="zh-CN" w:bidi="ar-SA"/>
              </w:rPr>
              <w:t>表4-17 建设项目Q值确定表</w:t>
            </w:r>
          </w:p>
          <w:tbl>
            <w:tblPr>
              <w:tblStyle w:val="16"/>
              <w:tblW w:w="84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2014"/>
              <w:gridCol w:w="1436"/>
              <w:gridCol w:w="1417"/>
              <w:gridCol w:w="1412"/>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787" w:type="dxa"/>
                  <w:noWrap w:val="0"/>
                  <w:vAlign w:val="center"/>
                </w:tcPr>
                <w:p>
                  <w:pPr>
                    <w:pStyle w:val="39"/>
                    <w:spacing w:line="240" w:lineRule="auto"/>
                    <w:ind w:firstLine="0" w:firstLineChars="0"/>
                    <w:jc w:val="center"/>
                    <w:rPr>
                      <w:sz w:val="21"/>
                      <w:szCs w:val="21"/>
                      <w:u w:val="none"/>
                    </w:rPr>
                  </w:pPr>
                  <w:r>
                    <w:rPr>
                      <w:rFonts w:hint="eastAsia"/>
                      <w:sz w:val="21"/>
                      <w:szCs w:val="21"/>
                      <w:u w:val="none"/>
                    </w:rPr>
                    <w:t>序号</w:t>
                  </w:r>
                </w:p>
              </w:tc>
              <w:tc>
                <w:tcPr>
                  <w:tcW w:w="2014" w:type="dxa"/>
                  <w:noWrap w:val="0"/>
                  <w:vAlign w:val="center"/>
                </w:tcPr>
                <w:p>
                  <w:pPr>
                    <w:pStyle w:val="39"/>
                    <w:spacing w:line="240" w:lineRule="auto"/>
                    <w:ind w:firstLine="0" w:firstLineChars="0"/>
                    <w:jc w:val="center"/>
                    <w:rPr>
                      <w:sz w:val="21"/>
                      <w:szCs w:val="21"/>
                      <w:u w:val="none"/>
                    </w:rPr>
                  </w:pPr>
                  <w:r>
                    <w:rPr>
                      <w:rFonts w:hint="eastAsia"/>
                      <w:sz w:val="21"/>
                      <w:szCs w:val="21"/>
                      <w:u w:val="none"/>
                    </w:rPr>
                    <w:t>危险物质名称</w:t>
                  </w:r>
                </w:p>
              </w:tc>
              <w:tc>
                <w:tcPr>
                  <w:tcW w:w="1436" w:type="dxa"/>
                  <w:noWrap w:val="0"/>
                  <w:vAlign w:val="center"/>
                </w:tcPr>
                <w:p>
                  <w:pPr>
                    <w:pStyle w:val="39"/>
                    <w:spacing w:line="240" w:lineRule="auto"/>
                    <w:ind w:firstLine="0" w:firstLineChars="0"/>
                    <w:jc w:val="center"/>
                    <w:rPr>
                      <w:sz w:val="21"/>
                      <w:szCs w:val="21"/>
                      <w:u w:val="none"/>
                    </w:rPr>
                  </w:pPr>
                  <w:r>
                    <w:rPr>
                      <w:rFonts w:hint="eastAsia"/>
                      <w:sz w:val="21"/>
                      <w:szCs w:val="21"/>
                      <w:u w:val="none"/>
                    </w:rPr>
                    <w:t>CAS号</w:t>
                  </w:r>
                </w:p>
              </w:tc>
              <w:tc>
                <w:tcPr>
                  <w:tcW w:w="1417" w:type="dxa"/>
                  <w:noWrap w:val="0"/>
                  <w:vAlign w:val="center"/>
                </w:tcPr>
                <w:p>
                  <w:pPr>
                    <w:pStyle w:val="39"/>
                    <w:spacing w:line="240" w:lineRule="auto"/>
                    <w:ind w:firstLine="0" w:firstLineChars="0"/>
                    <w:jc w:val="center"/>
                    <w:rPr>
                      <w:sz w:val="21"/>
                      <w:szCs w:val="21"/>
                      <w:u w:val="none"/>
                    </w:rPr>
                  </w:pPr>
                  <w:r>
                    <w:rPr>
                      <w:rFonts w:hint="eastAsia"/>
                      <w:sz w:val="21"/>
                      <w:szCs w:val="21"/>
                      <w:u w:val="none"/>
                    </w:rPr>
                    <w:t>最大存在总量qn/t</w:t>
                  </w:r>
                </w:p>
              </w:tc>
              <w:tc>
                <w:tcPr>
                  <w:tcW w:w="1412" w:type="dxa"/>
                  <w:noWrap w:val="0"/>
                  <w:vAlign w:val="center"/>
                </w:tcPr>
                <w:p>
                  <w:pPr>
                    <w:pStyle w:val="39"/>
                    <w:spacing w:line="240" w:lineRule="auto"/>
                    <w:ind w:firstLine="0" w:firstLineChars="0"/>
                    <w:jc w:val="center"/>
                    <w:rPr>
                      <w:sz w:val="21"/>
                      <w:szCs w:val="21"/>
                      <w:u w:val="none"/>
                    </w:rPr>
                  </w:pPr>
                  <w:r>
                    <w:rPr>
                      <w:rFonts w:hint="eastAsia"/>
                      <w:sz w:val="21"/>
                      <w:szCs w:val="21"/>
                      <w:u w:val="none"/>
                    </w:rPr>
                    <w:t>临界量Qn/t</w:t>
                  </w:r>
                </w:p>
              </w:tc>
              <w:tc>
                <w:tcPr>
                  <w:tcW w:w="1426" w:type="dxa"/>
                  <w:noWrap w:val="0"/>
                  <w:vAlign w:val="center"/>
                </w:tcPr>
                <w:p>
                  <w:pPr>
                    <w:pStyle w:val="39"/>
                    <w:spacing w:line="240" w:lineRule="auto"/>
                    <w:ind w:firstLine="0" w:firstLineChars="0"/>
                    <w:jc w:val="center"/>
                    <w:rPr>
                      <w:sz w:val="21"/>
                      <w:szCs w:val="21"/>
                      <w:u w:val="none"/>
                    </w:rPr>
                  </w:pPr>
                  <w:r>
                    <w:rPr>
                      <w:rFonts w:hint="eastAsia"/>
                      <w:sz w:val="21"/>
                      <w:szCs w:val="21"/>
                      <w:u w:val="none"/>
                    </w:rPr>
                    <w:t>风险物质qn/Qn值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87" w:type="dxa"/>
                  <w:noWrap w:val="0"/>
                  <w:vAlign w:val="center"/>
                </w:tcPr>
                <w:p>
                  <w:pPr>
                    <w:pStyle w:val="39"/>
                    <w:spacing w:line="240" w:lineRule="auto"/>
                    <w:ind w:firstLine="0" w:firstLineChars="0"/>
                    <w:jc w:val="center"/>
                    <w:rPr>
                      <w:sz w:val="21"/>
                      <w:szCs w:val="21"/>
                      <w:u w:val="none"/>
                    </w:rPr>
                  </w:pPr>
                  <w:r>
                    <w:rPr>
                      <w:rFonts w:hint="eastAsia"/>
                      <w:sz w:val="21"/>
                      <w:szCs w:val="21"/>
                      <w:u w:val="none"/>
                    </w:rPr>
                    <w:t>1</w:t>
                  </w:r>
                </w:p>
              </w:tc>
              <w:tc>
                <w:tcPr>
                  <w:tcW w:w="2014" w:type="dxa"/>
                  <w:noWrap w:val="0"/>
                  <w:vAlign w:val="center"/>
                </w:tcPr>
                <w:p>
                  <w:pPr>
                    <w:pStyle w:val="39"/>
                    <w:spacing w:line="240" w:lineRule="auto"/>
                    <w:ind w:firstLine="0" w:firstLineChars="0"/>
                    <w:jc w:val="center"/>
                    <w:rPr>
                      <w:rFonts w:hint="eastAsia" w:eastAsia="Calibri"/>
                      <w:sz w:val="21"/>
                      <w:szCs w:val="21"/>
                      <w:u w:val="none"/>
                      <w:lang w:eastAsia="zh-CN"/>
                    </w:rPr>
                  </w:pPr>
                  <w:r>
                    <w:rPr>
                      <w:rFonts w:hint="eastAsia"/>
                      <w:sz w:val="21"/>
                      <w:szCs w:val="21"/>
                      <w:u w:val="none"/>
                      <w:lang w:eastAsia="zh-CN"/>
                    </w:rPr>
                    <w:t>油类物质（燃油、废油液）</w:t>
                  </w:r>
                </w:p>
              </w:tc>
              <w:tc>
                <w:tcPr>
                  <w:tcW w:w="1436" w:type="dxa"/>
                  <w:noWrap w:val="0"/>
                  <w:vAlign w:val="center"/>
                </w:tcPr>
                <w:p>
                  <w:pPr>
                    <w:pStyle w:val="39"/>
                    <w:spacing w:line="240" w:lineRule="auto"/>
                    <w:ind w:firstLine="0" w:firstLineChars="0"/>
                    <w:jc w:val="center"/>
                    <w:rPr>
                      <w:sz w:val="21"/>
                      <w:szCs w:val="21"/>
                      <w:u w:val="none"/>
                    </w:rPr>
                  </w:pPr>
                  <w:r>
                    <w:rPr>
                      <w:rFonts w:hint="eastAsia"/>
                      <w:sz w:val="21"/>
                      <w:szCs w:val="21"/>
                      <w:u w:val="none"/>
                    </w:rPr>
                    <w:t>--</w:t>
                  </w:r>
                </w:p>
              </w:tc>
              <w:tc>
                <w:tcPr>
                  <w:tcW w:w="1417" w:type="dxa"/>
                  <w:noWrap w:val="0"/>
                  <w:vAlign w:val="center"/>
                </w:tcPr>
                <w:p>
                  <w:pPr>
                    <w:pStyle w:val="39"/>
                    <w:spacing w:line="240" w:lineRule="auto"/>
                    <w:ind w:firstLine="0" w:firstLineChars="0"/>
                    <w:jc w:val="center"/>
                    <w:rPr>
                      <w:rFonts w:hint="default" w:eastAsia="Calibri"/>
                      <w:sz w:val="21"/>
                      <w:szCs w:val="21"/>
                      <w:u w:val="none"/>
                      <w:lang w:val="en-US" w:eastAsia="zh-CN"/>
                    </w:rPr>
                  </w:pPr>
                  <w:r>
                    <w:rPr>
                      <w:rFonts w:hint="eastAsia"/>
                      <w:sz w:val="21"/>
                      <w:szCs w:val="21"/>
                      <w:u w:val="none"/>
                      <w:lang w:val="en-US" w:eastAsia="zh-CN"/>
                    </w:rPr>
                    <w:t>9.7</w:t>
                  </w:r>
                </w:p>
              </w:tc>
              <w:tc>
                <w:tcPr>
                  <w:tcW w:w="1412" w:type="dxa"/>
                  <w:noWrap w:val="0"/>
                  <w:vAlign w:val="center"/>
                </w:tcPr>
                <w:p>
                  <w:pPr>
                    <w:pStyle w:val="39"/>
                    <w:spacing w:line="240" w:lineRule="auto"/>
                    <w:ind w:firstLine="0" w:firstLineChars="0"/>
                    <w:jc w:val="center"/>
                    <w:rPr>
                      <w:rFonts w:hint="default" w:eastAsia="Calibri"/>
                      <w:sz w:val="21"/>
                      <w:szCs w:val="21"/>
                      <w:u w:val="none"/>
                      <w:lang w:val="en-US" w:eastAsia="zh-CN"/>
                    </w:rPr>
                  </w:pPr>
                  <w:r>
                    <w:rPr>
                      <w:rFonts w:hint="eastAsia"/>
                      <w:sz w:val="21"/>
                      <w:szCs w:val="21"/>
                      <w:u w:val="none"/>
                      <w:lang w:val="en-US" w:eastAsia="zh-CN"/>
                    </w:rPr>
                    <w:t>2500</w:t>
                  </w:r>
                </w:p>
              </w:tc>
              <w:tc>
                <w:tcPr>
                  <w:tcW w:w="1426" w:type="dxa"/>
                  <w:noWrap w:val="0"/>
                  <w:vAlign w:val="center"/>
                </w:tcPr>
                <w:p>
                  <w:pPr>
                    <w:pStyle w:val="39"/>
                    <w:spacing w:line="240" w:lineRule="auto"/>
                    <w:ind w:firstLine="0" w:firstLineChars="0"/>
                    <w:jc w:val="center"/>
                    <w:rPr>
                      <w:rFonts w:hint="default" w:eastAsia="宋体"/>
                      <w:sz w:val="21"/>
                      <w:szCs w:val="21"/>
                      <w:u w:val="none"/>
                      <w:lang w:val="en-US" w:eastAsia="zh-CN"/>
                    </w:rPr>
                  </w:pPr>
                  <w:r>
                    <w:rPr>
                      <w:rFonts w:hint="eastAsia"/>
                      <w:sz w:val="21"/>
                      <w:szCs w:val="21"/>
                      <w:u w:val="none"/>
                    </w:rPr>
                    <w:t>0.</w:t>
                  </w:r>
                  <w:r>
                    <w:rPr>
                      <w:rFonts w:hint="eastAsia"/>
                      <w:sz w:val="21"/>
                      <w:szCs w:val="21"/>
                      <w:u w:val="none"/>
                      <w:lang w:val="en-US" w:eastAsia="zh-CN"/>
                    </w:rPr>
                    <w:t>00388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87" w:type="dxa"/>
                  <w:noWrap w:val="0"/>
                  <w:vAlign w:val="center"/>
                </w:tcPr>
                <w:p>
                  <w:pPr>
                    <w:pStyle w:val="39"/>
                    <w:spacing w:line="240" w:lineRule="auto"/>
                    <w:ind w:firstLine="0" w:firstLineChars="0"/>
                    <w:jc w:val="center"/>
                    <w:rPr>
                      <w:rFonts w:hint="eastAsia" w:eastAsia="宋体"/>
                      <w:sz w:val="21"/>
                      <w:szCs w:val="21"/>
                      <w:u w:val="none"/>
                      <w:lang w:val="en-US" w:eastAsia="zh-CN"/>
                    </w:rPr>
                  </w:pPr>
                  <w:r>
                    <w:rPr>
                      <w:rFonts w:hint="eastAsia"/>
                      <w:sz w:val="21"/>
                      <w:szCs w:val="21"/>
                      <w:u w:val="none"/>
                      <w:lang w:val="en-US" w:eastAsia="zh-CN"/>
                    </w:rPr>
                    <w:t>2</w:t>
                  </w:r>
                </w:p>
              </w:tc>
              <w:tc>
                <w:tcPr>
                  <w:tcW w:w="2014" w:type="dxa"/>
                  <w:noWrap w:val="0"/>
                  <w:vAlign w:val="center"/>
                </w:tcPr>
                <w:p>
                  <w:pPr>
                    <w:pStyle w:val="39"/>
                    <w:spacing w:line="240" w:lineRule="auto"/>
                    <w:ind w:firstLine="0" w:firstLineChars="0"/>
                    <w:jc w:val="center"/>
                    <w:rPr>
                      <w:rFonts w:hint="eastAsia"/>
                      <w:sz w:val="21"/>
                      <w:szCs w:val="21"/>
                      <w:u w:val="none"/>
                      <w:lang w:eastAsia="zh-CN"/>
                    </w:rPr>
                  </w:pPr>
                  <w:r>
                    <w:rPr>
                      <w:rFonts w:hint="eastAsia"/>
                      <w:sz w:val="21"/>
                      <w:szCs w:val="21"/>
                      <w:u w:val="none"/>
                      <w:lang w:eastAsia="zh-CN"/>
                    </w:rPr>
                    <w:t>硫酸</w:t>
                  </w:r>
                </w:p>
              </w:tc>
              <w:tc>
                <w:tcPr>
                  <w:tcW w:w="1436" w:type="dxa"/>
                  <w:noWrap w:val="0"/>
                  <w:vAlign w:val="center"/>
                </w:tcPr>
                <w:p>
                  <w:pPr>
                    <w:pStyle w:val="39"/>
                    <w:spacing w:line="240" w:lineRule="auto"/>
                    <w:ind w:firstLine="0" w:firstLineChars="0"/>
                    <w:jc w:val="center"/>
                    <w:rPr>
                      <w:rFonts w:hint="default" w:eastAsia="宋体"/>
                      <w:sz w:val="21"/>
                      <w:szCs w:val="21"/>
                      <w:u w:val="none"/>
                      <w:lang w:val="en-US" w:eastAsia="zh-CN"/>
                    </w:rPr>
                  </w:pPr>
                  <w:r>
                    <w:rPr>
                      <w:rFonts w:hint="eastAsia"/>
                      <w:sz w:val="21"/>
                      <w:szCs w:val="21"/>
                      <w:u w:val="none"/>
                      <w:lang w:val="en-US" w:eastAsia="zh-CN"/>
                    </w:rPr>
                    <w:t>7664-93-9</w:t>
                  </w:r>
                </w:p>
              </w:tc>
              <w:tc>
                <w:tcPr>
                  <w:tcW w:w="1417" w:type="dxa"/>
                  <w:noWrap w:val="0"/>
                  <w:vAlign w:val="center"/>
                </w:tcPr>
                <w:p>
                  <w:pPr>
                    <w:pStyle w:val="39"/>
                    <w:spacing w:line="240" w:lineRule="auto"/>
                    <w:ind w:firstLine="0" w:firstLineChars="0"/>
                    <w:jc w:val="center"/>
                    <w:rPr>
                      <w:rFonts w:hint="default"/>
                      <w:sz w:val="21"/>
                      <w:szCs w:val="21"/>
                      <w:u w:val="none"/>
                      <w:lang w:val="en-US" w:eastAsia="zh-CN"/>
                    </w:rPr>
                  </w:pPr>
                  <w:r>
                    <w:rPr>
                      <w:rFonts w:hint="eastAsia"/>
                      <w:sz w:val="21"/>
                      <w:szCs w:val="21"/>
                      <w:u w:val="none"/>
                      <w:lang w:val="en-US" w:eastAsia="zh-CN"/>
                    </w:rPr>
                    <w:t>0.93</w:t>
                  </w:r>
                </w:p>
              </w:tc>
              <w:tc>
                <w:tcPr>
                  <w:tcW w:w="1412" w:type="dxa"/>
                  <w:noWrap w:val="0"/>
                  <w:vAlign w:val="center"/>
                </w:tcPr>
                <w:p>
                  <w:pPr>
                    <w:pStyle w:val="39"/>
                    <w:spacing w:line="240" w:lineRule="auto"/>
                    <w:ind w:firstLine="0" w:firstLineChars="0"/>
                    <w:jc w:val="center"/>
                    <w:rPr>
                      <w:rFonts w:hint="default"/>
                      <w:sz w:val="21"/>
                      <w:szCs w:val="21"/>
                      <w:u w:val="none"/>
                      <w:lang w:val="en-US" w:eastAsia="zh-CN"/>
                    </w:rPr>
                  </w:pPr>
                  <w:r>
                    <w:rPr>
                      <w:rFonts w:hint="eastAsia"/>
                      <w:sz w:val="21"/>
                      <w:szCs w:val="21"/>
                      <w:u w:val="none"/>
                      <w:lang w:val="en-US" w:eastAsia="zh-CN"/>
                    </w:rPr>
                    <w:t>10</w:t>
                  </w:r>
                </w:p>
              </w:tc>
              <w:tc>
                <w:tcPr>
                  <w:tcW w:w="1426" w:type="dxa"/>
                  <w:noWrap w:val="0"/>
                  <w:vAlign w:val="center"/>
                </w:tcPr>
                <w:p>
                  <w:pPr>
                    <w:pStyle w:val="39"/>
                    <w:spacing w:line="240" w:lineRule="auto"/>
                    <w:ind w:firstLine="0" w:firstLineChars="0"/>
                    <w:jc w:val="center"/>
                    <w:rPr>
                      <w:rFonts w:hint="default" w:eastAsia="宋体"/>
                      <w:sz w:val="21"/>
                      <w:szCs w:val="21"/>
                      <w:u w:val="none"/>
                      <w:lang w:val="en-US" w:eastAsia="zh-CN"/>
                    </w:rPr>
                  </w:pPr>
                  <w:r>
                    <w:rPr>
                      <w:rFonts w:hint="eastAsia"/>
                      <w:sz w:val="21"/>
                      <w:szCs w:val="21"/>
                      <w:u w:val="none"/>
                      <w:lang w:val="en-US" w:eastAsia="zh-CN"/>
                    </w:rPr>
                    <w:t>0.093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7066" w:type="dxa"/>
                  <w:gridSpan w:val="5"/>
                  <w:noWrap w:val="0"/>
                  <w:vAlign w:val="center"/>
                </w:tcPr>
                <w:p>
                  <w:pPr>
                    <w:pStyle w:val="39"/>
                    <w:spacing w:line="240" w:lineRule="auto"/>
                    <w:ind w:firstLine="0" w:firstLineChars="0"/>
                    <w:jc w:val="center"/>
                    <w:rPr>
                      <w:rFonts w:hint="eastAsia" w:eastAsia="Calibri"/>
                      <w:sz w:val="21"/>
                      <w:szCs w:val="21"/>
                      <w:u w:val="none"/>
                      <w:lang w:eastAsia="zh-CN"/>
                    </w:rPr>
                  </w:pPr>
                  <w:r>
                    <w:rPr>
                      <w:rFonts w:hint="eastAsia"/>
                      <w:sz w:val="21"/>
                      <w:szCs w:val="21"/>
                      <w:u w:val="none"/>
                      <w:lang w:eastAsia="zh-CN"/>
                    </w:rPr>
                    <w:t>项目</w:t>
                  </w:r>
                  <w:r>
                    <w:rPr>
                      <w:rFonts w:hint="eastAsia"/>
                      <w:sz w:val="21"/>
                      <w:szCs w:val="21"/>
                      <w:u w:val="none"/>
                    </w:rPr>
                    <w:t>Q</w:t>
                  </w:r>
                  <w:r>
                    <w:rPr>
                      <w:rFonts w:hint="eastAsia"/>
                      <w:sz w:val="21"/>
                      <w:szCs w:val="21"/>
                      <w:u w:val="none"/>
                      <w:lang w:eastAsia="zh-CN"/>
                    </w:rPr>
                    <w:t>值</w:t>
                  </w:r>
                </w:p>
              </w:tc>
              <w:tc>
                <w:tcPr>
                  <w:tcW w:w="1426" w:type="dxa"/>
                  <w:noWrap w:val="0"/>
                  <w:vAlign w:val="center"/>
                </w:tcPr>
                <w:p>
                  <w:pPr>
                    <w:pStyle w:val="39"/>
                    <w:spacing w:line="240" w:lineRule="auto"/>
                    <w:ind w:firstLine="0" w:firstLineChars="0"/>
                    <w:jc w:val="center"/>
                    <w:rPr>
                      <w:rFonts w:hint="default" w:eastAsia="宋体"/>
                      <w:sz w:val="21"/>
                      <w:szCs w:val="21"/>
                      <w:u w:val="none"/>
                      <w:lang w:val="en-US" w:eastAsia="zh-CN"/>
                    </w:rPr>
                  </w:pPr>
                  <w:r>
                    <w:rPr>
                      <w:rFonts w:hint="eastAsia"/>
                      <w:sz w:val="21"/>
                      <w:szCs w:val="21"/>
                      <w:u w:val="none"/>
                    </w:rPr>
                    <w:t>0.</w:t>
                  </w:r>
                  <w:r>
                    <w:rPr>
                      <w:rFonts w:hint="eastAsia"/>
                      <w:sz w:val="21"/>
                      <w:szCs w:val="21"/>
                      <w:u w:val="none"/>
                      <w:lang w:val="en-US" w:eastAsia="zh-CN"/>
                    </w:rPr>
                    <w:t>0969</w:t>
                  </w:r>
                </w:p>
              </w:tc>
            </w:tr>
          </w:tbl>
          <w:p>
            <w:pPr>
              <w:pStyle w:val="39"/>
              <w:spacing w:line="360" w:lineRule="auto"/>
              <w:ind w:firstLine="474"/>
              <w:rPr>
                <w:rFonts w:hint="eastAsia"/>
                <w:sz w:val="24"/>
                <w:szCs w:val="24"/>
                <w:u w:val="none"/>
              </w:rPr>
            </w:pPr>
            <w:r>
              <w:rPr>
                <w:rFonts w:hint="eastAsia"/>
                <w:sz w:val="24"/>
                <w:szCs w:val="24"/>
                <w:u w:val="none"/>
              </w:rPr>
              <w:t>本项目危险物质存储量按照转运周期内存储最大量进行计算。废油液转运周期为1个月，其最大存储量为</w:t>
            </w:r>
            <w:r>
              <w:rPr>
                <w:rFonts w:hint="eastAsia"/>
                <w:sz w:val="24"/>
                <w:szCs w:val="24"/>
                <w:u w:val="none"/>
                <w:lang w:val="en-US" w:eastAsia="zh-CN"/>
              </w:rPr>
              <w:t>9.7</w:t>
            </w:r>
            <w:r>
              <w:rPr>
                <w:rFonts w:hint="eastAsia"/>
                <w:sz w:val="24"/>
                <w:szCs w:val="24"/>
                <w:u w:val="none"/>
              </w:rPr>
              <w:t>t；</w:t>
            </w:r>
            <w:r>
              <w:rPr>
                <w:rFonts w:hint="eastAsia"/>
                <w:sz w:val="24"/>
                <w:szCs w:val="24"/>
                <w:u w:val="none"/>
                <w:lang w:eastAsia="zh-CN"/>
              </w:rPr>
              <w:t>废铅蓄电池</w:t>
            </w:r>
            <w:r>
              <w:rPr>
                <w:rFonts w:hint="eastAsia"/>
                <w:sz w:val="24"/>
                <w:szCs w:val="24"/>
                <w:u w:val="none"/>
              </w:rPr>
              <w:t>转运周期为1个月，其最大存储量为</w:t>
            </w:r>
            <w:r>
              <w:rPr>
                <w:rFonts w:hint="eastAsia"/>
                <w:sz w:val="24"/>
                <w:szCs w:val="24"/>
                <w:u w:val="none"/>
                <w:lang w:val="en-US" w:eastAsia="zh-CN"/>
              </w:rPr>
              <w:t>9.3</w:t>
            </w:r>
            <w:r>
              <w:rPr>
                <w:rFonts w:hint="eastAsia"/>
                <w:sz w:val="24"/>
                <w:szCs w:val="24"/>
                <w:u w:val="none"/>
              </w:rPr>
              <w:t>t，硫酸量为蓄电池重量为1‰，则蓄电池中硫酸量为0.</w:t>
            </w:r>
            <w:r>
              <w:rPr>
                <w:rFonts w:hint="eastAsia"/>
                <w:sz w:val="24"/>
                <w:szCs w:val="24"/>
                <w:u w:val="none"/>
                <w:lang w:val="en-US" w:eastAsia="zh-CN"/>
              </w:rPr>
              <w:t>93</w:t>
            </w:r>
            <w:r>
              <w:rPr>
                <w:rFonts w:hint="eastAsia"/>
                <w:sz w:val="24"/>
                <w:szCs w:val="24"/>
                <w:u w:val="none"/>
              </w:rPr>
              <w:t>t。</w:t>
            </w:r>
          </w:p>
          <w:p>
            <w:pPr>
              <w:pStyle w:val="39"/>
              <w:spacing w:line="360" w:lineRule="auto"/>
              <w:ind w:firstLine="474"/>
              <w:rPr>
                <w:rFonts w:hint="eastAsia"/>
                <w:sz w:val="24"/>
                <w:szCs w:val="24"/>
                <w:u w:val="none"/>
              </w:rPr>
            </w:pPr>
            <w:r>
              <w:rPr>
                <w:rFonts w:hint="eastAsia"/>
                <w:sz w:val="24"/>
                <w:szCs w:val="24"/>
                <w:u w:val="none"/>
              </w:rPr>
              <w:t>根据《建设项目环境风险评价技术导则》（HJ169- 2018）附录C计算公式计算后，本项目危险物质数量与临界量比值Q值为0.00466，Q＜1，该项目环境风险潜势为Ⅰ。</w:t>
            </w:r>
          </w:p>
          <w:p>
            <w:pPr>
              <w:pStyle w:val="39"/>
              <w:spacing w:line="360" w:lineRule="auto"/>
              <w:ind w:firstLine="474"/>
              <w:rPr>
                <w:sz w:val="24"/>
                <w:szCs w:val="24"/>
                <w:u w:val="none"/>
              </w:rPr>
            </w:pPr>
            <w:r>
              <w:rPr>
                <w:rFonts w:hint="eastAsia"/>
                <w:sz w:val="24"/>
                <w:szCs w:val="24"/>
                <w:u w:val="none"/>
              </w:rPr>
              <w:t>4）评价等级</w:t>
            </w:r>
          </w:p>
          <w:p>
            <w:pPr>
              <w:pStyle w:val="39"/>
              <w:spacing w:line="360" w:lineRule="auto"/>
              <w:ind w:firstLine="474"/>
              <w:rPr>
                <w:sz w:val="24"/>
                <w:szCs w:val="24"/>
                <w:u w:val="none"/>
              </w:rPr>
            </w:pPr>
            <w:r>
              <w:rPr>
                <w:rFonts w:hint="eastAsia"/>
                <w:sz w:val="24"/>
                <w:szCs w:val="24"/>
                <w:u w:val="none"/>
              </w:rPr>
              <w:t>根据项目风险潜势初判，项目环境风险潜势为</w:t>
            </w:r>
            <w:r>
              <w:rPr>
                <w:sz w:val="24"/>
                <w:szCs w:val="24"/>
                <w:u w:val="none"/>
              </w:rPr>
              <w:t>Ⅰ</w:t>
            </w:r>
            <w:r>
              <w:rPr>
                <w:rFonts w:hint="eastAsia"/>
                <w:sz w:val="24"/>
                <w:szCs w:val="24"/>
                <w:u w:val="none"/>
              </w:rPr>
              <w:t>。根据</w:t>
            </w:r>
            <w:r>
              <w:rPr>
                <w:sz w:val="24"/>
                <w:szCs w:val="24"/>
                <w:u w:val="none"/>
              </w:rPr>
              <w:t>《</w:t>
            </w:r>
            <w:r>
              <w:rPr>
                <w:rFonts w:hint="eastAsia"/>
                <w:sz w:val="24"/>
                <w:szCs w:val="24"/>
                <w:u w:val="none"/>
              </w:rPr>
              <w:t>建设项目环境风险技术导则</w:t>
            </w:r>
            <w:r>
              <w:rPr>
                <w:sz w:val="24"/>
                <w:szCs w:val="24"/>
                <w:u w:val="none"/>
              </w:rPr>
              <w:t>》</w:t>
            </w:r>
            <w:r>
              <w:rPr>
                <w:rFonts w:hint="eastAsia"/>
                <w:sz w:val="24"/>
                <w:szCs w:val="24"/>
                <w:u w:val="none"/>
              </w:rPr>
              <w:t>（HJ/T169-2018）项目环境风险潜势为</w:t>
            </w:r>
            <w:r>
              <w:rPr>
                <w:sz w:val="24"/>
                <w:szCs w:val="24"/>
                <w:u w:val="none"/>
              </w:rPr>
              <w:t>Ⅰ</w:t>
            </w:r>
            <w:r>
              <w:rPr>
                <w:rFonts w:hint="eastAsia"/>
                <w:sz w:val="24"/>
                <w:szCs w:val="24"/>
                <w:u w:val="none"/>
              </w:rPr>
              <w:t>，环境风险按评价仅需简单分析。</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w:t>
            </w:r>
            <w:r>
              <w:rPr>
                <w:rFonts w:hint="eastAsia" w:ascii="Times New Roman" w:hAnsi="Times New Roman" w:eastAsia="宋体" w:cs="Times New Roman"/>
                <w:sz w:val="24"/>
                <w:szCs w:val="24"/>
                <w:u w:val="none"/>
                <w:lang w:val="en-US" w:eastAsia="zh-CN"/>
              </w:rPr>
              <w:t>2</w:t>
            </w:r>
            <w:r>
              <w:rPr>
                <w:rFonts w:hint="default" w:ascii="Times New Roman" w:hAnsi="Times New Roman" w:eastAsia="宋体" w:cs="Times New Roman"/>
                <w:sz w:val="24"/>
                <w:szCs w:val="24"/>
                <w:u w:val="none"/>
                <w:lang w:val="en-US" w:eastAsia="zh-CN"/>
              </w:rPr>
              <w:t>）环境风险防范措施</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①危险废物泄漏的防范措施</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1）地面采用高标号防渗混凝土作为防渗，并涂上一层环氧漆作为防腐；</w:t>
            </w:r>
          </w:p>
          <w:p>
            <w:pPr>
              <w:spacing w:line="360" w:lineRule="auto"/>
              <w:ind w:firstLine="480" w:firstLineChars="200"/>
              <w:rPr>
                <w:rFonts w:hint="eastAsia"/>
                <w:sz w:val="24"/>
                <w:szCs w:val="24"/>
                <w:u w:val="none"/>
              </w:rPr>
            </w:pPr>
            <w:r>
              <w:rPr>
                <w:rFonts w:hint="default" w:ascii="Times New Roman" w:hAnsi="Times New Roman" w:eastAsia="宋体" w:cs="Times New Roman"/>
                <w:sz w:val="24"/>
                <w:szCs w:val="24"/>
                <w:u w:val="none"/>
                <w:lang w:val="en-US" w:eastAsia="zh-CN"/>
              </w:rPr>
              <w:t>2）</w:t>
            </w:r>
            <w:r>
              <w:rPr>
                <w:rFonts w:hint="eastAsia"/>
                <w:sz w:val="24"/>
                <w:szCs w:val="24"/>
                <w:u w:val="none"/>
              </w:rPr>
              <w:t>本项目危废暂存区的液体废物采用加盖桶装进行收集，该区域地面进行防腐、防渗处理，</w:t>
            </w:r>
            <w:r>
              <w:rPr>
                <w:rFonts w:hint="eastAsia"/>
                <w:sz w:val="24"/>
                <w:szCs w:val="24"/>
                <w:u w:val="none"/>
                <w:lang w:eastAsia="zh-CN"/>
              </w:rPr>
              <w:t>地面</w:t>
            </w:r>
            <w:r>
              <w:rPr>
                <w:rFonts w:hint="eastAsia"/>
                <w:sz w:val="24"/>
                <w:szCs w:val="24"/>
                <w:u w:val="none"/>
              </w:rPr>
              <w:t>四周设环形导流</w:t>
            </w:r>
            <w:r>
              <w:rPr>
                <w:rFonts w:hint="eastAsia"/>
                <w:sz w:val="24"/>
                <w:szCs w:val="24"/>
                <w:u w:val="none"/>
                <w:lang w:eastAsia="zh-CN"/>
              </w:rPr>
              <w:t>沟</w:t>
            </w:r>
            <w:r>
              <w:rPr>
                <w:rFonts w:hint="eastAsia"/>
                <w:sz w:val="24"/>
                <w:szCs w:val="24"/>
                <w:u w:val="none"/>
              </w:rPr>
              <w:t>和集液池，集液池有效容积不小于2m</w:t>
            </w:r>
            <w:r>
              <w:rPr>
                <w:rFonts w:hint="eastAsia"/>
                <w:sz w:val="24"/>
                <w:szCs w:val="24"/>
                <w:u w:val="none"/>
                <w:vertAlign w:val="superscript"/>
              </w:rPr>
              <w:t>3</w:t>
            </w:r>
            <w:r>
              <w:rPr>
                <w:rFonts w:hint="eastAsia"/>
                <w:sz w:val="24"/>
                <w:szCs w:val="24"/>
                <w:u w:val="none"/>
              </w:rPr>
              <w:t>，区域内事故泄漏液均由集液池收集并通过泵抽至桶内，收集的事故废液作为危险废物交给有资质的单位处理。</w:t>
            </w:r>
          </w:p>
          <w:p>
            <w:pPr>
              <w:spacing w:line="360" w:lineRule="auto"/>
              <w:ind w:firstLine="480" w:firstLineChars="200"/>
              <w:rPr>
                <w:rFonts w:hint="eastAsia"/>
                <w:sz w:val="24"/>
                <w:szCs w:val="24"/>
                <w:u w:val="none"/>
              </w:rPr>
            </w:pPr>
            <w:r>
              <w:rPr>
                <w:rFonts w:hint="eastAsia"/>
                <w:sz w:val="24"/>
                <w:szCs w:val="24"/>
                <w:u w:val="none"/>
                <w:lang w:val="en-US" w:eastAsia="zh-CN"/>
              </w:rPr>
              <w:t>3</w:t>
            </w:r>
            <w:r>
              <w:rPr>
                <w:rFonts w:hint="eastAsia"/>
                <w:sz w:val="24"/>
                <w:szCs w:val="24"/>
                <w:u w:val="none"/>
                <w:lang w:eastAsia="zh-CN"/>
              </w:rPr>
              <w:t>）</w:t>
            </w:r>
            <w:r>
              <w:rPr>
                <w:rFonts w:hint="eastAsia"/>
                <w:sz w:val="24"/>
                <w:szCs w:val="24"/>
                <w:u w:val="none"/>
              </w:rPr>
              <w:t>设置完备的应急物资，针对厂房矿物油及油液等泄漏应配备相应的应急物资。在危险废物暂存间、油品存放间应该设置灭火器、应急</w:t>
            </w:r>
            <w:r>
              <w:rPr>
                <w:rFonts w:hint="eastAsia"/>
                <w:sz w:val="24"/>
                <w:szCs w:val="24"/>
                <w:u w:val="none"/>
                <w:lang w:eastAsia="zh-CN"/>
              </w:rPr>
              <w:t>泄漏</w:t>
            </w:r>
            <w:r>
              <w:rPr>
                <w:rFonts w:hint="eastAsia"/>
                <w:sz w:val="24"/>
                <w:szCs w:val="24"/>
                <w:u w:val="none"/>
              </w:rPr>
              <w:t>桶、消防砂、铲子、扫帚、吸液棉等。</w:t>
            </w:r>
          </w:p>
          <w:p>
            <w:pPr>
              <w:spacing w:line="360" w:lineRule="auto"/>
              <w:ind w:firstLine="480" w:firstLineChars="200"/>
              <w:rPr>
                <w:rFonts w:hint="eastAsia"/>
                <w:sz w:val="24"/>
                <w:szCs w:val="24"/>
                <w:u w:val="none"/>
              </w:rPr>
            </w:pPr>
            <w:r>
              <w:rPr>
                <w:rFonts w:hint="eastAsia"/>
                <w:sz w:val="24"/>
                <w:szCs w:val="24"/>
                <w:u w:val="none"/>
                <w:lang w:val="en-US" w:eastAsia="zh-CN"/>
              </w:rPr>
              <w:t>4</w:t>
            </w:r>
            <w:r>
              <w:rPr>
                <w:rFonts w:hint="eastAsia"/>
                <w:sz w:val="24"/>
                <w:szCs w:val="24"/>
                <w:u w:val="none"/>
                <w:lang w:eastAsia="zh-CN"/>
              </w:rPr>
              <w:t>）</w:t>
            </w:r>
            <w:r>
              <w:rPr>
                <w:rFonts w:hint="eastAsia"/>
                <w:sz w:val="24"/>
                <w:szCs w:val="24"/>
                <w:u w:val="none"/>
              </w:rPr>
              <w:t>按照要求，建设单位应编制环境风险应急预案，编制完成后，报</w:t>
            </w:r>
            <w:r>
              <w:rPr>
                <w:rFonts w:hint="eastAsia"/>
                <w:sz w:val="24"/>
                <w:szCs w:val="24"/>
                <w:u w:val="none"/>
                <w:lang w:eastAsia="zh-CN"/>
              </w:rPr>
              <w:t>生态环境</w:t>
            </w:r>
            <w:r>
              <w:rPr>
                <w:rFonts w:hint="eastAsia"/>
                <w:sz w:val="24"/>
                <w:szCs w:val="24"/>
                <w:u w:val="none"/>
              </w:rPr>
              <w:t>部门备案后实施，并安排环境风险应急演练，进行应急处置宣传、教育。</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sz w:val="24"/>
                <w:szCs w:val="24"/>
                <w:u w:val="none"/>
                <w:lang w:val="en-US" w:eastAsia="zh-CN"/>
              </w:rPr>
              <w:t>5</w:t>
            </w:r>
            <w:r>
              <w:rPr>
                <w:rFonts w:hint="eastAsia"/>
                <w:sz w:val="24"/>
                <w:szCs w:val="24"/>
                <w:u w:val="none"/>
                <w:lang w:eastAsia="zh-CN"/>
              </w:rPr>
              <w:t>）</w:t>
            </w:r>
            <w:r>
              <w:rPr>
                <w:rFonts w:hint="eastAsia"/>
                <w:sz w:val="24"/>
                <w:szCs w:val="24"/>
                <w:u w:val="none"/>
              </w:rPr>
              <w:t>项目危废储存区及拆解</w:t>
            </w:r>
            <w:r>
              <w:rPr>
                <w:rFonts w:hint="eastAsia"/>
                <w:sz w:val="24"/>
                <w:szCs w:val="24"/>
                <w:u w:val="none"/>
                <w:lang w:eastAsia="zh-CN"/>
              </w:rPr>
              <w:t>区</w:t>
            </w:r>
            <w:r>
              <w:rPr>
                <w:rFonts w:hint="eastAsia"/>
                <w:sz w:val="24"/>
                <w:szCs w:val="24"/>
                <w:u w:val="none"/>
              </w:rPr>
              <w:t>等涉油、液物品区域四周均应设置一定高度的围堰，</w:t>
            </w:r>
            <w:r>
              <w:rPr>
                <w:rFonts w:hint="eastAsia"/>
                <w:sz w:val="24"/>
                <w:szCs w:val="24"/>
                <w:u w:val="none"/>
                <w:lang w:eastAsia="zh-CN"/>
              </w:rPr>
              <w:t>地面做好防渗措施，</w:t>
            </w:r>
            <w:r>
              <w:rPr>
                <w:rFonts w:hint="eastAsia"/>
                <w:sz w:val="24"/>
                <w:szCs w:val="24"/>
                <w:u w:val="none"/>
              </w:rPr>
              <w:t>确保油液</w:t>
            </w:r>
            <w:r>
              <w:rPr>
                <w:rFonts w:hint="eastAsia"/>
                <w:sz w:val="24"/>
                <w:szCs w:val="24"/>
                <w:u w:val="none"/>
                <w:lang w:eastAsia="zh-CN"/>
              </w:rPr>
              <w:t>泄漏</w:t>
            </w:r>
            <w:r>
              <w:rPr>
                <w:rFonts w:hint="eastAsia"/>
                <w:sz w:val="24"/>
                <w:szCs w:val="24"/>
                <w:u w:val="none"/>
              </w:rPr>
              <w:t>限定在库房和车间内。蓄电池贮存区、耐酸碱的塑料槽、耐酸容器（电解液）、汽油储存桶、柴油储存桶、各类废油液收集容器、废制冷剂密闭容器等各类储存容器、桶四周也应另设围堰，确保</w:t>
            </w:r>
            <w:r>
              <w:rPr>
                <w:rFonts w:hint="eastAsia"/>
                <w:sz w:val="24"/>
                <w:szCs w:val="24"/>
                <w:u w:val="none"/>
                <w:lang w:eastAsia="zh-CN"/>
              </w:rPr>
              <w:t>泄漏</w:t>
            </w:r>
            <w:r>
              <w:rPr>
                <w:rFonts w:hint="eastAsia"/>
                <w:sz w:val="24"/>
                <w:szCs w:val="24"/>
                <w:u w:val="none"/>
              </w:rPr>
              <w:t>后不与其他物品混合。</w:t>
            </w:r>
            <w:r>
              <w:rPr>
                <w:rFonts w:hint="default" w:ascii="Times New Roman" w:hAnsi="Times New Roman" w:eastAsia="宋体" w:cs="Times New Roman"/>
                <w:sz w:val="24"/>
                <w:szCs w:val="24"/>
                <w:u w:val="none"/>
                <w:lang w:val="en-US" w:eastAsia="zh-CN"/>
              </w:rPr>
              <w:t>危废暂存区根据危险废弃物的种类设置相应的收集桶分类存放；</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6</w:t>
            </w:r>
            <w:r>
              <w:rPr>
                <w:rFonts w:hint="default" w:ascii="Times New Roman" w:hAnsi="Times New Roman" w:eastAsia="宋体" w:cs="Times New Roman"/>
                <w:sz w:val="24"/>
                <w:szCs w:val="24"/>
                <w:u w:val="none"/>
                <w:lang w:val="en-US" w:eastAsia="zh-CN"/>
              </w:rPr>
              <w:t>）门口设置台账作为出入库记录；</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7</w:t>
            </w:r>
            <w:r>
              <w:rPr>
                <w:rFonts w:hint="default" w:ascii="Times New Roman" w:hAnsi="Times New Roman" w:eastAsia="宋体" w:cs="Times New Roman"/>
                <w:sz w:val="24"/>
                <w:szCs w:val="24"/>
                <w:u w:val="none"/>
                <w:lang w:val="en-US" w:eastAsia="zh-CN"/>
              </w:rPr>
              <w:t>）专人管理，定期检查防渗层的情况。</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8</w:t>
            </w:r>
            <w:r>
              <w:rPr>
                <w:rFonts w:hint="default" w:ascii="Times New Roman" w:hAnsi="Times New Roman" w:eastAsia="宋体" w:cs="Times New Roman"/>
                <w:sz w:val="24"/>
                <w:szCs w:val="24"/>
                <w:u w:val="none"/>
                <w:lang w:val="en-US" w:eastAsia="zh-CN"/>
              </w:rPr>
              <w:t>）贮存场地面应做耐腐蚀、防渗漏处理，防渗层为防渗系数&lt;10</w:t>
            </w:r>
            <w:r>
              <w:rPr>
                <w:rFonts w:hint="default" w:ascii="Times New Roman" w:hAnsi="Times New Roman" w:eastAsia="宋体" w:cs="Times New Roman"/>
                <w:sz w:val="24"/>
                <w:szCs w:val="24"/>
                <w:u w:val="none"/>
                <w:vertAlign w:val="superscript"/>
                <w:lang w:val="en-US" w:eastAsia="zh-CN"/>
              </w:rPr>
              <w:t>-10</w:t>
            </w:r>
            <w:r>
              <w:rPr>
                <w:rFonts w:hint="default" w:ascii="Times New Roman" w:hAnsi="Times New Roman" w:eastAsia="宋体" w:cs="Times New Roman"/>
                <w:sz w:val="24"/>
                <w:szCs w:val="24"/>
                <w:u w:val="none"/>
                <w:lang w:val="en-US" w:eastAsia="zh-CN"/>
              </w:rPr>
              <w:t>cm/s，保证地面无裂痕。</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9</w:t>
            </w:r>
            <w:r>
              <w:rPr>
                <w:rFonts w:hint="default" w:ascii="Times New Roman" w:hAnsi="Times New Roman" w:eastAsia="宋体" w:cs="Times New Roman"/>
                <w:sz w:val="24"/>
                <w:szCs w:val="24"/>
                <w:u w:val="none"/>
                <w:lang w:val="en-US" w:eastAsia="zh-CN"/>
              </w:rPr>
              <w:t>）废油、废制冷剂等液体物料分区暂存，在该类储存区域设置托盘或围堰，以便将泄漏时外泄的物质及时收容并转移至备用收集桶内暂存。设置事故应急池容纳事故废水。</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②原料仓库泄漏的防范措施</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1）仓库应防风、防雨、防晒，地面应防渗、防腐。</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2）应根据不同物品的危险特性分别存放，并设有隔离间隔断。如：保持贮藏器密封，放入紧密的贮藏器内，储存在阴凉，干燥的地方，避免接触氧化物。</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3</w:t>
            </w:r>
            <w:r>
              <w:rPr>
                <w:rFonts w:hint="default" w:ascii="Times New Roman" w:hAnsi="Times New Roman" w:eastAsia="宋体" w:cs="Times New Roman"/>
                <w:sz w:val="24"/>
                <w:szCs w:val="24"/>
                <w:u w:val="none"/>
                <w:lang w:val="en-US" w:eastAsia="zh-CN"/>
              </w:rPr>
              <w:t>）贮存间设置防泄漏的堵截裙脚，地面与裙脚所围容积不小于单体存量及总存量的1/5，应有泄漏收集装置，及时收集泄漏的油品等危险化学品。</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4</w:t>
            </w:r>
            <w:r>
              <w:rPr>
                <w:rFonts w:hint="default" w:ascii="Times New Roman" w:hAnsi="Times New Roman" w:eastAsia="宋体" w:cs="Times New Roman"/>
                <w:sz w:val="24"/>
                <w:szCs w:val="24"/>
                <w:u w:val="none"/>
                <w:lang w:val="en-US" w:eastAsia="zh-CN"/>
              </w:rPr>
              <w:t>）操作人员应根据不同物品的危险特性，分别配戴相应的防护用具，包括工作服、手套等。</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5</w:t>
            </w:r>
            <w:r>
              <w:rPr>
                <w:rFonts w:hint="default" w:ascii="Times New Roman" w:hAnsi="Times New Roman" w:eastAsia="宋体" w:cs="Times New Roman"/>
                <w:sz w:val="24"/>
                <w:szCs w:val="24"/>
                <w:u w:val="none"/>
                <w:lang w:val="en-US" w:eastAsia="zh-CN"/>
              </w:rPr>
              <w:t>）为防止偶然火灾事故造成重大人身伤亡和设备损失，企业按照完整、高效的消防报警系统，这个系统包括烟感系统，应急疏散系统，室内外消防装置系统，排烟系统和应急照片及疏散指示系统。</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6</w:t>
            </w:r>
            <w:r>
              <w:rPr>
                <w:rFonts w:hint="default" w:ascii="Times New Roman" w:hAnsi="Times New Roman" w:eastAsia="宋体" w:cs="Times New Roman"/>
                <w:sz w:val="24"/>
                <w:szCs w:val="24"/>
                <w:u w:val="none"/>
                <w:lang w:val="en-US" w:eastAsia="zh-CN"/>
              </w:rPr>
              <w:t>）一旦发生原料</w:t>
            </w:r>
            <w:r>
              <w:rPr>
                <w:rFonts w:hint="eastAsia" w:ascii="Times New Roman" w:hAnsi="Times New Roman" w:eastAsia="宋体" w:cs="Times New Roman"/>
                <w:sz w:val="24"/>
                <w:szCs w:val="24"/>
                <w:u w:val="none"/>
                <w:lang w:val="en-US" w:eastAsia="zh-CN"/>
              </w:rPr>
              <w:t>泄漏</w:t>
            </w:r>
            <w:r>
              <w:rPr>
                <w:rFonts w:hint="default" w:ascii="Times New Roman" w:hAnsi="Times New Roman" w:eastAsia="宋体" w:cs="Times New Roman"/>
                <w:sz w:val="24"/>
                <w:szCs w:val="24"/>
                <w:u w:val="none"/>
                <w:lang w:val="en-US" w:eastAsia="zh-CN"/>
              </w:rPr>
              <w:t>，应立即收集清理</w:t>
            </w:r>
            <w:r>
              <w:rPr>
                <w:rFonts w:hint="eastAsia" w:ascii="Times New Roman" w:hAnsi="Times New Roman" w:eastAsia="宋体" w:cs="Times New Roman"/>
                <w:sz w:val="24"/>
                <w:szCs w:val="24"/>
                <w:u w:val="none"/>
                <w:lang w:val="en-US" w:eastAsia="zh-CN"/>
              </w:rPr>
              <w:t>泄漏</w:t>
            </w:r>
            <w:r>
              <w:rPr>
                <w:rFonts w:hint="default" w:ascii="Times New Roman" w:hAnsi="Times New Roman" w:eastAsia="宋体" w:cs="Times New Roman"/>
                <w:sz w:val="24"/>
                <w:szCs w:val="24"/>
                <w:u w:val="none"/>
                <w:lang w:val="en-US" w:eastAsia="zh-CN"/>
              </w:rPr>
              <w:t>源，更换原料包装容器。</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7</w:t>
            </w:r>
            <w:r>
              <w:rPr>
                <w:rFonts w:hint="default" w:ascii="Times New Roman" w:hAnsi="Times New Roman" w:eastAsia="宋体" w:cs="Times New Roman"/>
                <w:sz w:val="24"/>
                <w:szCs w:val="24"/>
                <w:u w:val="none"/>
                <w:lang w:val="en-US" w:eastAsia="zh-CN"/>
              </w:rPr>
              <w:t>）建议在原辅材料仓库内设置集液沟，同时应敷设管道将集液沟与公共事故应急池连接起来，以防事故时</w:t>
            </w:r>
            <w:r>
              <w:rPr>
                <w:rFonts w:hint="eastAsia" w:ascii="Times New Roman" w:hAnsi="Times New Roman" w:eastAsia="宋体" w:cs="Times New Roman"/>
                <w:sz w:val="24"/>
                <w:szCs w:val="24"/>
                <w:u w:val="none"/>
                <w:lang w:val="en-US" w:eastAsia="zh-CN"/>
              </w:rPr>
              <w:t>泄漏</w:t>
            </w:r>
            <w:r>
              <w:rPr>
                <w:rFonts w:hint="default" w:ascii="Times New Roman" w:hAnsi="Times New Roman" w:eastAsia="宋体" w:cs="Times New Roman"/>
                <w:sz w:val="24"/>
                <w:szCs w:val="24"/>
                <w:u w:val="none"/>
                <w:lang w:val="en-US" w:eastAsia="zh-CN"/>
              </w:rPr>
              <w:t>的物料可以先进入集液沟，集液沟接近满负荷时可通过管道流至事故应急池。室内消防废水可通过各厂房各车间内围墙脚处设置的截水沟，并使用管道将厂房各楼层各车间内的截水沟连通汇集至厂房室外截水沟汇总口，再通过管道连接至公共事故应急池，确保废水得以妥善处置，不随意向外环境排放。</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8</w:t>
            </w:r>
            <w:r>
              <w:rPr>
                <w:rFonts w:hint="default" w:ascii="Times New Roman" w:hAnsi="Times New Roman" w:eastAsia="宋体" w:cs="Times New Roman"/>
                <w:sz w:val="24"/>
                <w:szCs w:val="24"/>
                <w:u w:val="none"/>
                <w:lang w:val="en-US" w:eastAsia="zh-CN"/>
              </w:rPr>
              <w:t>）设置仓库管理员，一旦发生泄漏等事故能够第一时间发现并控制。</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eastAsia" w:ascii="Times New Roman" w:hAnsi="Times New Roman" w:eastAsia="宋体" w:cs="Times New Roman"/>
                <w:sz w:val="24"/>
                <w:szCs w:val="24"/>
                <w:u w:val="none"/>
                <w:lang w:val="en-US" w:eastAsia="zh-CN"/>
              </w:rPr>
              <w:t>9</w:t>
            </w:r>
            <w:r>
              <w:rPr>
                <w:rFonts w:hint="default" w:ascii="Times New Roman" w:hAnsi="Times New Roman" w:eastAsia="宋体" w:cs="Times New Roman"/>
                <w:sz w:val="24"/>
                <w:szCs w:val="24"/>
                <w:u w:val="none"/>
                <w:lang w:val="en-US" w:eastAsia="zh-CN"/>
              </w:rPr>
              <w:t>）制订事故应急预案和定期演练制度，综合防范项目运营过程中油回收处理的环境风险。</w:t>
            </w:r>
          </w:p>
          <w:p>
            <w:pPr>
              <w:spacing w:line="360" w:lineRule="auto"/>
              <w:ind w:firstLine="480" w:firstLineChars="200"/>
              <w:rPr>
                <w:rFonts w:hint="default" w:ascii="Times New Roman" w:hAnsi="Times New Roman" w:eastAsia="宋体" w:cs="Times New Roman"/>
                <w:sz w:val="24"/>
                <w:szCs w:val="24"/>
                <w:u w:val="none"/>
                <w:lang w:val="en-US" w:eastAsia="zh-CN"/>
              </w:rPr>
            </w:pPr>
            <w:r>
              <w:rPr>
                <w:rFonts w:hint="default" w:ascii="Times New Roman" w:hAnsi="Times New Roman" w:eastAsia="宋体" w:cs="Times New Roman"/>
                <w:sz w:val="24"/>
                <w:szCs w:val="24"/>
                <w:u w:val="none"/>
                <w:lang w:val="en-US" w:eastAsia="zh-CN"/>
              </w:rPr>
              <w:t>项目危险物质的储存量较小，泄漏、火灾等事故发生概率较低，只要通过加强公司管理，做好防范措施等，可以较为有效地最大限度防范风险事故的发生在项目运营过程中，制订和完善风险防范措施和应急预案，将在项目运营过程中认真落实环境风险在可控范围</w:t>
            </w:r>
            <w:r>
              <w:rPr>
                <w:rFonts w:hint="eastAsia" w:ascii="Times New Roman" w:hAnsi="Times New Roman" w:eastAsia="宋体" w:cs="Times New Roman"/>
                <w:sz w:val="24"/>
                <w:szCs w:val="24"/>
                <w:u w:val="none"/>
                <w:lang w:val="en-US" w:eastAsia="zh-CN"/>
              </w:rPr>
              <w:t>。</w:t>
            </w:r>
          </w:p>
          <w:p>
            <w:pPr>
              <w:spacing w:line="360" w:lineRule="auto"/>
              <w:ind w:firstLine="482" w:firstLineChars="200"/>
              <w:rPr>
                <w:rFonts w:hint="eastAsia"/>
                <w:b/>
                <w:bCs/>
                <w:sz w:val="24"/>
                <w:szCs w:val="24"/>
              </w:rPr>
            </w:pPr>
            <w:r>
              <w:rPr>
                <w:rFonts w:hint="eastAsia"/>
                <w:b/>
                <w:bCs/>
                <w:sz w:val="24"/>
                <w:szCs w:val="24"/>
                <w:lang w:val="en-US" w:eastAsia="zh-CN"/>
              </w:rPr>
              <w:t>7、</w:t>
            </w:r>
            <w:r>
              <w:rPr>
                <w:rFonts w:hint="eastAsia"/>
                <w:b/>
                <w:bCs/>
                <w:sz w:val="24"/>
                <w:szCs w:val="24"/>
              </w:rPr>
              <w:t>环保投资</w:t>
            </w:r>
          </w:p>
          <w:p>
            <w:pPr>
              <w:spacing w:line="360" w:lineRule="auto"/>
              <w:ind w:firstLine="560"/>
              <w:rPr>
                <w:b/>
              </w:rPr>
            </w:pPr>
            <w:r>
              <w:rPr>
                <w:rFonts w:hint="eastAsia"/>
                <w:sz w:val="24"/>
                <w:szCs w:val="24"/>
              </w:rPr>
              <w:t>本项目总投资</w:t>
            </w:r>
            <w:r>
              <w:rPr>
                <w:rFonts w:hint="eastAsia"/>
                <w:sz w:val="24"/>
                <w:szCs w:val="24"/>
                <w:lang w:val="en-US" w:eastAsia="zh-CN"/>
              </w:rPr>
              <w:t>6000</w:t>
            </w:r>
            <w:r>
              <w:rPr>
                <w:rFonts w:hint="eastAsia"/>
                <w:sz w:val="24"/>
                <w:szCs w:val="24"/>
              </w:rPr>
              <w:t>万元，其中环保总投资</w:t>
            </w:r>
            <w:r>
              <w:rPr>
                <w:rFonts w:hint="eastAsia"/>
                <w:sz w:val="24"/>
                <w:szCs w:val="24"/>
                <w:lang w:val="en-US" w:eastAsia="zh-CN"/>
              </w:rPr>
              <w:t>2109.2</w:t>
            </w:r>
            <w:r>
              <w:rPr>
                <w:rFonts w:hint="eastAsia"/>
                <w:sz w:val="24"/>
                <w:szCs w:val="24"/>
              </w:rPr>
              <w:t>万元，占总投资的</w:t>
            </w:r>
            <w:r>
              <w:rPr>
                <w:rFonts w:hint="eastAsia"/>
                <w:sz w:val="24"/>
                <w:szCs w:val="24"/>
                <w:lang w:val="en-US" w:eastAsia="zh-CN"/>
              </w:rPr>
              <w:t>35.2</w:t>
            </w:r>
            <w:r>
              <w:rPr>
                <w:rFonts w:hint="eastAsia"/>
                <w:sz w:val="24"/>
                <w:szCs w:val="24"/>
              </w:rPr>
              <w:t>%，环保投资详见下表：</w:t>
            </w:r>
          </w:p>
          <w:p>
            <w:pPr>
              <w:jc w:val="center"/>
              <w:rPr>
                <w:b/>
              </w:rPr>
            </w:pPr>
            <w:r>
              <w:rPr>
                <w:b/>
              </w:rPr>
              <w:t>表</w:t>
            </w:r>
            <w:r>
              <w:rPr>
                <w:rFonts w:hint="eastAsia"/>
                <w:b/>
              </w:rPr>
              <w:t>4</w:t>
            </w:r>
            <w:r>
              <w:rPr>
                <w:b/>
              </w:rPr>
              <w:t>-1</w:t>
            </w:r>
            <w:r>
              <w:rPr>
                <w:rFonts w:hint="eastAsia"/>
                <w:b/>
                <w:lang w:val="en-US" w:eastAsia="zh-CN"/>
              </w:rPr>
              <w:t>8</w:t>
            </w:r>
            <w:r>
              <w:rPr>
                <w:b/>
              </w:rPr>
              <w:t xml:space="preserve"> </w:t>
            </w:r>
            <w:r>
              <w:rPr>
                <w:rFonts w:hint="eastAsia"/>
                <w:b/>
              </w:rPr>
              <w:t>本项目</w:t>
            </w:r>
            <w:r>
              <w:rPr>
                <w:b/>
              </w:rPr>
              <w:t>环保投资估算表</w:t>
            </w:r>
          </w:p>
          <w:tbl>
            <w:tblPr>
              <w:tblStyle w:val="1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5"/>
              <w:gridCol w:w="2368"/>
              <w:gridCol w:w="4331"/>
              <w:gridCol w:w="1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noWrap w:val="0"/>
                  <w:vAlign w:val="center"/>
                </w:tcPr>
                <w:p>
                  <w:pPr>
                    <w:adjustRightInd w:val="0"/>
                    <w:snapToGrid w:val="0"/>
                    <w:jc w:val="center"/>
                    <w:rPr>
                      <w:sz w:val="21"/>
                      <w:szCs w:val="21"/>
                      <w:u w:val="none"/>
                    </w:rPr>
                  </w:pPr>
                  <w:r>
                    <w:rPr>
                      <w:sz w:val="21"/>
                      <w:szCs w:val="21"/>
                      <w:u w:val="none"/>
                    </w:rPr>
                    <w:t>类别</w:t>
                  </w:r>
                </w:p>
              </w:tc>
              <w:tc>
                <w:tcPr>
                  <w:tcW w:w="1395" w:type="pct"/>
                  <w:noWrap w:val="0"/>
                  <w:vAlign w:val="center"/>
                </w:tcPr>
                <w:p>
                  <w:pPr>
                    <w:adjustRightInd w:val="0"/>
                    <w:snapToGrid w:val="0"/>
                    <w:jc w:val="center"/>
                    <w:rPr>
                      <w:sz w:val="21"/>
                      <w:szCs w:val="21"/>
                      <w:u w:val="none"/>
                    </w:rPr>
                  </w:pPr>
                  <w:r>
                    <w:rPr>
                      <w:sz w:val="21"/>
                      <w:szCs w:val="21"/>
                      <w:u w:val="none"/>
                    </w:rPr>
                    <w:t>污染源</w:t>
                  </w:r>
                </w:p>
              </w:tc>
              <w:tc>
                <w:tcPr>
                  <w:tcW w:w="2552" w:type="pct"/>
                  <w:noWrap w:val="0"/>
                  <w:vAlign w:val="center"/>
                </w:tcPr>
                <w:p>
                  <w:pPr>
                    <w:adjustRightInd w:val="0"/>
                    <w:snapToGrid w:val="0"/>
                    <w:jc w:val="center"/>
                    <w:rPr>
                      <w:sz w:val="21"/>
                      <w:szCs w:val="21"/>
                      <w:u w:val="none"/>
                    </w:rPr>
                  </w:pPr>
                  <w:r>
                    <w:rPr>
                      <w:sz w:val="21"/>
                      <w:szCs w:val="21"/>
                      <w:u w:val="none"/>
                    </w:rPr>
                    <w:t>污染防治措施</w:t>
                  </w:r>
                </w:p>
              </w:tc>
              <w:tc>
                <w:tcPr>
                  <w:tcW w:w="606" w:type="pct"/>
                  <w:noWrap w:val="0"/>
                  <w:vAlign w:val="center"/>
                </w:tcPr>
                <w:p>
                  <w:pPr>
                    <w:adjustRightInd w:val="0"/>
                    <w:snapToGrid w:val="0"/>
                    <w:jc w:val="center"/>
                    <w:rPr>
                      <w:sz w:val="21"/>
                      <w:szCs w:val="21"/>
                      <w:u w:val="none"/>
                    </w:rPr>
                  </w:pPr>
                  <w:r>
                    <w:rPr>
                      <w:sz w:val="21"/>
                      <w:szCs w:val="21"/>
                      <w:u w:val="none"/>
                    </w:rPr>
                    <w:t>投资</w:t>
                  </w:r>
                </w:p>
                <w:p>
                  <w:pPr>
                    <w:adjustRightInd w:val="0"/>
                    <w:snapToGrid w:val="0"/>
                    <w:jc w:val="center"/>
                    <w:rPr>
                      <w:sz w:val="21"/>
                      <w:szCs w:val="21"/>
                      <w:u w:val="none"/>
                    </w:rPr>
                  </w:pPr>
                  <w:r>
                    <w:rPr>
                      <w:sz w:val="21"/>
                      <w:szCs w:val="21"/>
                      <w:u w:val="none"/>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840" w:type="pct"/>
                  <w:gridSpan w:val="2"/>
                  <w:noWrap w:val="0"/>
                  <w:vAlign w:val="center"/>
                </w:tcPr>
                <w:p>
                  <w:pPr>
                    <w:adjustRightInd w:val="0"/>
                    <w:snapToGrid w:val="0"/>
                    <w:jc w:val="center"/>
                    <w:rPr>
                      <w:sz w:val="21"/>
                      <w:szCs w:val="21"/>
                      <w:u w:val="single"/>
                    </w:rPr>
                  </w:pPr>
                  <w:bookmarkStart w:id="7" w:name="_Hlk43644089"/>
                  <w:r>
                    <w:rPr>
                      <w:rFonts w:hint="eastAsia"/>
                      <w:sz w:val="21"/>
                      <w:szCs w:val="21"/>
                      <w:u w:val="single"/>
                      <w:lang w:eastAsia="zh-CN"/>
                    </w:rPr>
                    <w:t>主体工程</w:t>
                  </w:r>
                  <w:r>
                    <w:rPr>
                      <w:rFonts w:hint="eastAsia"/>
                      <w:sz w:val="21"/>
                      <w:szCs w:val="21"/>
                      <w:u w:val="single"/>
                      <w:lang w:val="en-US" w:eastAsia="zh-CN"/>
                    </w:rPr>
                    <w:t>2#</w:t>
                  </w:r>
                  <w:r>
                    <w:rPr>
                      <w:rFonts w:hint="eastAsia"/>
                      <w:sz w:val="21"/>
                      <w:szCs w:val="21"/>
                      <w:u w:val="single"/>
                    </w:rPr>
                    <w:t>生产车间</w:t>
                  </w:r>
                </w:p>
              </w:tc>
              <w:tc>
                <w:tcPr>
                  <w:tcW w:w="2552" w:type="pct"/>
                  <w:noWrap w:val="0"/>
                  <w:vAlign w:val="center"/>
                </w:tcPr>
                <w:p>
                  <w:pPr>
                    <w:adjustRightInd w:val="0"/>
                    <w:snapToGrid w:val="0"/>
                    <w:jc w:val="center"/>
                    <w:rPr>
                      <w:rFonts w:hint="default" w:eastAsia="宋体"/>
                      <w:sz w:val="21"/>
                      <w:szCs w:val="21"/>
                      <w:u w:val="single"/>
                      <w:lang w:val="en-US" w:eastAsia="zh-CN"/>
                    </w:rPr>
                  </w:pPr>
                  <w:r>
                    <w:rPr>
                      <w:rFonts w:hint="eastAsia"/>
                      <w:sz w:val="21"/>
                      <w:szCs w:val="21"/>
                      <w:u w:val="single"/>
                      <w:lang w:val="en-US" w:eastAsia="zh-CN"/>
                    </w:rPr>
                    <w:t>1#2#</w:t>
                  </w:r>
                  <w:r>
                    <w:rPr>
                      <w:rFonts w:hint="eastAsia"/>
                      <w:sz w:val="21"/>
                      <w:szCs w:val="21"/>
                      <w:u w:val="single"/>
                    </w:rPr>
                    <w:t>生产车间</w:t>
                  </w:r>
                  <w:r>
                    <w:rPr>
                      <w:rFonts w:hint="eastAsia"/>
                      <w:sz w:val="21"/>
                      <w:szCs w:val="21"/>
                      <w:u w:val="single"/>
                      <w:lang w:eastAsia="zh-CN"/>
                    </w:rPr>
                    <w:t>封闭式厂房，</w:t>
                  </w:r>
                  <w:r>
                    <w:rPr>
                      <w:rFonts w:hint="eastAsia"/>
                      <w:sz w:val="21"/>
                      <w:szCs w:val="21"/>
                      <w:u w:val="single"/>
                      <w:lang w:val="en-US" w:eastAsia="zh-CN"/>
                    </w:rPr>
                    <w:t>2#</w:t>
                  </w:r>
                  <w:r>
                    <w:rPr>
                      <w:rFonts w:hint="eastAsia"/>
                      <w:sz w:val="21"/>
                      <w:szCs w:val="21"/>
                      <w:u w:val="single"/>
                    </w:rPr>
                    <w:t>生产车间</w:t>
                  </w:r>
                  <w:r>
                    <w:rPr>
                      <w:rFonts w:hint="eastAsia"/>
                      <w:sz w:val="21"/>
                      <w:szCs w:val="21"/>
                      <w:u w:val="single"/>
                      <w:lang w:eastAsia="zh-CN"/>
                    </w:rPr>
                    <w:t>地面防静电、地面硬化及防渗措施</w:t>
                  </w:r>
                </w:p>
              </w:tc>
              <w:tc>
                <w:tcPr>
                  <w:tcW w:w="606"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restart"/>
                  <w:noWrap w:val="0"/>
                  <w:vAlign w:val="center"/>
                </w:tcPr>
                <w:p>
                  <w:pPr>
                    <w:snapToGrid w:val="0"/>
                    <w:jc w:val="center"/>
                    <w:rPr>
                      <w:sz w:val="21"/>
                      <w:szCs w:val="21"/>
                      <w:u w:val="none"/>
                    </w:rPr>
                  </w:pPr>
                  <w:r>
                    <w:rPr>
                      <w:sz w:val="21"/>
                      <w:szCs w:val="21"/>
                      <w:u w:val="none"/>
                    </w:rPr>
                    <w:t>废水</w:t>
                  </w:r>
                </w:p>
              </w:tc>
              <w:tc>
                <w:tcPr>
                  <w:tcW w:w="1395" w:type="pct"/>
                  <w:noWrap w:val="0"/>
                  <w:vAlign w:val="center"/>
                </w:tcPr>
                <w:p>
                  <w:pPr>
                    <w:snapToGrid w:val="0"/>
                    <w:jc w:val="center"/>
                    <w:rPr>
                      <w:sz w:val="21"/>
                      <w:szCs w:val="21"/>
                      <w:u w:val="none"/>
                    </w:rPr>
                  </w:pPr>
                  <w:r>
                    <w:rPr>
                      <w:rFonts w:hint="eastAsia"/>
                      <w:bCs/>
                      <w:sz w:val="21"/>
                      <w:szCs w:val="21"/>
                      <w:u w:val="none"/>
                      <w:lang w:val="en-US" w:eastAsia="zh-CN"/>
                    </w:rPr>
                    <w:t>初期雨水</w:t>
                  </w:r>
                  <w:r>
                    <w:rPr>
                      <w:rFonts w:hint="eastAsia"/>
                      <w:bCs/>
                      <w:sz w:val="21"/>
                      <w:szCs w:val="21"/>
                      <w:u w:val="none"/>
                    </w:rPr>
                    <w:t>+拆解</w:t>
                  </w:r>
                  <w:r>
                    <w:rPr>
                      <w:rFonts w:hint="eastAsia"/>
                      <w:bCs/>
                      <w:sz w:val="21"/>
                      <w:szCs w:val="21"/>
                      <w:u w:val="none"/>
                      <w:lang w:eastAsia="zh-CN"/>
                    </w:rPr>
                    <w:t>区</w:t>
                  </w:r>
                  <w:r>
                    <w:rPr>
                      <w:rFonts w:hint="eastAsia"/>
                      <w:bCs/>
                      <w:sz w:val="21"/>
                      <w:szCs w:val="21"/>
                      <w:u w:val="none"/>
                    </w:rPr>
                    <w:t>地面</w:t>
                  </w:r>
                  <w:r>
                    <w:rPr>
                      <w:rFonts w:hint="eastAsia"/>
                      <w:bCs/>
                      <w:sz w:val="21"/>
                      <w:szCs w:val="21"/>
                      <w:u w:val="none"/>
                      <w:lang w:val="en-US" w:eastAsia="zh-CN"/>
                    </w:rPr>
                    <w:t>清洁</w:t>
                  </w:r>
                  <w:r>
                    <w:rPr>
                      <w:rFonts w:hint="eastAsia"/>
                      <w:bCs/>
                      <w:sz w:val="21"/>
                      <w:szCs w:val="21"/>
                      <w:u w:val="none"/>
                    </w:rPr>
                    <w:t>废水</w:t>
                  </w:r>
                </w:p>
              </w:tc>
              <w:tc>
                <w:tcPr>
                  <w:tcW w:w="2552" w:type="pct"/>
                  <w:noWrap w:val="0"/>
                  <w:vAlign w:val="center"/>
                </w:tcPr>
                <w:p>
                  <w:pPr>
                    <w:pStyle w:val="25"/>
                    <w:jc w:val="center"/>
                    <w:rPr>
                      <w:rFonts w:hint="default"/>
                      <w:sz w:val="21"/>
                      <w:szCs w:val="21"/>
                      <w:u w:val="none"/>
                      <w:lang w:val="en-US" w:eastAsia="zh-CN"/>
                    </w:rPr>
                  </w:pPr>
                  <w:r>
                    <w:rPr>
                      <w:rFonts w:hint="eastAsia" w:ascii="Calibri" w:hAnsi="Calibri" w:eastAsia="宋体" w:cs="Times New Roman"/>
                      <w:sz w:val="21"/>
                      <w:szCs w:val="21"/>
                      <w:lang w:val="en-US" w:eastAsia="zh-CN"/>
                    </w:rPr>
                    <w:t>雨水收集池+隔油池+</w:t>
                  </w:r>
                  <w:r>
                    <w:rPr>
                      <w:rFonts w:hint="eastAsia" w:ascii="Calibri" w:hAnsi="Calibri" w:eastAsia="宋体" w:cs="Times New Roman"/>
                      <w:sz w:val="21"/>
                      <w:szCs w:val="21"/>
                      <w:lang w:eastAsia="zh-CN"/>
                    </w:rPr>
                    <w:t>气浮机</w:t>
                  </w:r>
                </w:p>
              </w:tc>
              <w:tc>
                <w:tcPr>
                  <w:tcW w:w="606"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sz w:val="21"/>
                      <w:szCs w:val="21"/>
                      <w:u w:val="none"/>
                    </w:rPr>
                  </w:pPr>
                </w:p>
              </w:tc>
              <w:tc>
                <w:tcPr>
                  <w:tcW w:w="1395" w:type="pct"/>
                  <w:noWrap w:val="0"/>
                  <w:vAlign w:val="center"/>
                </w:tcPr>
                <w:p>
                  <w:pPr>
                    <w:snapToGrid w:val="0"/>
                    <w:jc w:val="center"/>
                    <w:rPr>
                      <w:rFonts w:hint="eastAsia"/>
                      <w:bCs/>
                      <w:sz w:val="21"/>
                      <w:szCs w:val="21"/>
                      <w:u w:val="none"/>
                      <w:lang w:val="en-US" w:eastAsia="zh-CN"/>
                    </w:rPr>
                  </w:pPr>
                  <w:r>
                    <w:rPr>
                      <w:rFonts w:hint="eastAsia"/>
                      <w:bCs/>
                      <w:sz w:val="21"/>
                      <w:szCs w:val="21"/>
                      <w:u w:val="none"/>
                      <w:lang w:val="en-US" w:eastAsia="zh-CN"/>
                    </w:rPr>
                    <w:t xml:space="preserve"> 生活污水</w:t>
                  </w:r>
                </w:p>
              </w:tc>
              <w:tc>
                <w:tcPr>
                  <w:tcW w:w="2552" w:type="pct"/>
                  <w:noWrap w:val="0"/>
                  <w:vAlign w:val="center"/>
                </w:tcPr>
                <w:p>
                  <w:pPr>
                    <w:pStyle w:val="25"/>
                    <w:jc w:val="center"/>
                    <w:rPr>
                      <w:rFonts w:hint="default" w:ascii="Calibri" w:hAnsi="Calibri" w:eastAsia="宋体" w:cs="Times New Roman"/>
                      <w:sz w:val="21"/>
                      <w:szCs w:val="21"/>
                      <w:lang w:val="en-US" w:eastAsia="zh-CN"/>
                    </w:rPr>
                  </w:pPr>
                  <w:r>
                    <w:rPr>
                      <w:rFonts w:hint="eastAsia" w:ascii="Calibri" w:hAnsi="Calibri" w:eastAsia="宋体" w:cs="Times New Roman"/>
                      <w:sz w:val="21"/>
                      <w:szCs w:val="21"/>
                      <w:lang w:val="en-US" w:eastAsia="zh-CN"/>
                    </w:rPr>
                    <w:t>隔油池+化粪池</w:t>
                  </w:r>
                </w:p>
              </w:tc>
              <w:tc>
                <w:tcPr>
                  <w:tcW w:w="606" w:type="pct"/>
                  <w:noWrap w:val="0"/>
                  <w:vAlign w:val="center"/>
                </w:tcPr>
                <w:p>
                  <w:pPr>
                    <w:adjustRightInd w:val="0"/>
                    <w:snapToGrid w:val="0"/>
                    <w:jc w:val="center"/>
                    <w:rPr>
                      <w:rFonts w:hint="default"/>
                      <w:sz w:val="21"/>
                      <w:szCs w:val="21"/>
                      <w:u w:val="none"/>
                      <w:lang w:val="en-US" w:eastAsia="zh-CN"/>
                    </w:rPr>
                  </w:pPr>
                  <w:r>
                    <w:rPr>
                      <w:rFonts w:hint="eastAsia"/>
                      <w:sz w:val="21"/>
                      <w:szCs w:val="21"/>
                      <w:u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restart"/>
                  <w:noWrap w:val="0"/>
                  <w:vAlign w:val="center"/>
                </w:tcPr>
                <w:p>
                  <w:pPr>
                    <w:snapToGrid w:val="0"/>
                    <w:jc w:val="center"/>
                    <w:rPr>
                      <w:rFonts w:hint="eastAsia" w:eastAsia="宋体"/>
                      <w:sz w:val="21"/>
                      <w:szCs w:val="21"/>
                      <w:u w:val="none"/>
                      <w:lang w:val="en-US" w:eastAsia="zh-CN"/>
                    </w:rPr>
                  </w:pPr>
                  <w:r>
                    <w:rPr>
                      <w:rFonts w:hint="eastAsia"/>
                      <w:sz w:val="21"/>
                      <w:szCs w:val="21"/>
                      <w:u w:val="none"/>
                      <w:lang w:val="en-US" w:eastAsia="zh-CN"/>
                    </w:rPr>
                    <w:t>废气</w:t>
                  </w:r>
                </w:p>
              </w:tc>
              <w:tc>
                <w:tcPr>
                  <w:tcW w:w="1395" w:type="pct"/>
                  <w:noWrap w:val="0"/>
                  <w:vAlign w:val="center"/>
                </w:tcPr>
                <w:p>
                  <w:pPr>
                    <w:adjustRightInd w:val="0"/>
                    <w:snapToGrid w:val="0"/>
                    <w:jc w:val="center"/>
                    <w:rPr>
                      <w:rFonts w:hint="eastAsia" w:eastAsia="宋体"/>
                      <w:bCs/>
                      <w:sz w:val="21"/>
                      <w:szCs w:val="21"/>
                      <w:u w:val="none"/>
                      <w:lang w:eastAsia="zh-CN"/>
                    </w:rPr>
                  </w:pPr>
                  <w:r>
                    <w:rPr>
                      <w:rFonts w:hint="eastAsia"/>
                      <w:sz w:val="21"/>
                      <w:szCs w:val="21"/>
                      <w:lang w:val="en-US" w:eastAsia="zh-CN"/>
                    </w:rPr>
                    <w:t>废油液挥发废气</w:t>
                  </w:r>
                </w:p>
              </w:tc>
              <w:tc>
                <w:tcPr>
                  <w:tcW w:w="2552" w:type="pct"/>
                  <w:noWrap w:val="0"/>
                  <w:vAlign w:val="center"/>
                </w:tcPr>
                <w:p>
                  <w:pPr>
                    <w:adjustRightInd w:val="0"/>
                    <w:snapToGrid w:val="0"/>
                    <w:jc w:val="center"/>
                    <w:rPr>
                      <w:rFonts w:hint="default" w:eastAsia="宋体"/>
                      <w:sz w:val="21"/>
                      <w:szCs w:val="21"/>
                      <w:u w:val="none"/>
                      <w:lang w:val="en-US" w:eastAsia="zh-CN"/>
                    </w:rPr>
                  </w:pPr>
                  <w:r>
                    <w:rPr>
                      <w:rFonts w:hint="default" w:eastAsia="宋体"/>
                      <w:sz w:val="21"/>
                      <w:szCs w:val="21"/>
                      <w:u w:val="none"/>
                      <w:lang w:val="en-US" w:eastAsia="zh-CN"/>
                    </w:rPr>
                    <w:t>集尘罩+</w:t>
                  </w:r>
                  <w:r>
                    <w:rPr>
                      <w:rFonts w:hint="eastAsia" w:eastAsia="宋体"/>
                      <w:sz w:val="21"/>
                      <w:szCs w:val="21"/>
                      <w:u w:val="none"/>
                      <w:lang w:val="en-US" w:eastAsia="zh-CN"/>
                    </w:rPr>
                    <w:t>活性炭吸附</w:t>
                  </w:r>
                  <w:r>
                    <w:rPr>
                      <w:rFonts w:hint="default" w:eastAsia="宋体"/>
                      <w:sz w:val="21"/>
                      <w:szCs w:val="21"/>
                      <w:u w:val="none"/>
                      <w:lang w:val="en-US" w:eastAsia="zh-CN"/>
                    </w:rPr>
                    <w:t>+15m高排气筒</w:t>
                  </w:r>
                </w:p>
              </w:tc>
              <w:tc>
                <w:tcPr>
                  <w:tcW w:w="606" w:type="pct"/>
                  <w:noWrap w:val="0"/>
                  <w:vAlign w:val="center"/>
                </w:tcPr>
                <w:p>
                  <w:pPr>
                    <w:adjustRightInd w:val="0"/>
                    <w:snapToGrid w:val="0"/>
                    <w:jc w:val="center"/>
                    <w:rPr>
                      <w:rFonts w:hint="default"/>
                      <w:sz w:val="21"/>
                      <w:szCs w:val="21"/>
                      <w:u w:val="none"/>
                      <w:lang w:val="en-US" w:eastAsia="zh-CN"/>
                    </w:rPr>
                  </w:pPr>
                  <w:r>
                    <w:rPr>
                      <w:rFonts w:hint="eastAsia"/>
                      <w:sz w:val="21"/>
                      <w:szCs w:val="21"/>
                      <w:u w:val="none"/>
                      <w:lang w:val="en-US" w:eastAsia="zh-CN"/>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rFonts w:hint="eastAsia"/>
                      <w:sz w:val="21"/>
                      <w:szCs w:val="21"/>
                      <w:u w:val="none"/>
                      <w:lang w:val="en-US" w:eastAsia="zh-CN"/>
                    </w:rPr>
                  </w:pPr>
                </w:p>
              </w:tc>
              <w:tc>
                <w:tcPr>
                  <w:tcW w:w="1395" w:type="pct"/>
                  <w:noWrap w:val="0"/>
                  <w:vAlign w:val="center"/>
                </w:tcPr>
                <w:p>
                  <w:pPr>
                    <w:adjustRightInd w:val="0"/>
                    <w:snapToGrid w:val="0"/>
                    <w:jc w:val="center"/>
                    <w:rPr>
                      <w:rFonts w:hint="eastAsia"/>
                      <w:kern w:val="2"/>
                      <w:sz w:val="21"/>
                      <w:szCs w:val="21"/>
                      <w:lang w:val="en-US" w:eastAsia="zh-CN" w:bidi="ar-SA"/>
                    </w:rPr>
                  </w:pPr>
                  <w:r>
                    <w:rPr>
                      <w:rFonts w:hint="eastAsia"/>
                      <w:sz w:val="21"/>
                      <w:szCs w:val="21"/>
                      <w:lang w:val="en-US" w:eastAsia="zh-CN"/>
                    </w:rPr>
                    <w:t>危险废物暂存间</w:t>
                  </w:r>
                </w:p>
              </w:tc>
              <w:tc>
                <w:tcPr>
                  <w:tcW w:w="2552" w:type="pct"/>
                  <w:noWrap w:val="0"/>
                  <w:vAlign w:val="center"/>
                </w:tcPr>
                <w:p>
                  <w:pPr>
                    <w:adjustRightInd w:val="0"/>
                    <w:snapToGrid w:val="0"/>
                    <w:jc w:val="center"/>
                    <w:rPr>
                      <w:rFonts w:hint="default" w:eastAsia="宋体"/>
                      <w:kern w:val="2"/>
                      <w:sz w:val="21"/>
                      <w:szCs w:val="21"/>
                      <w:u w:val="none"/>
                      <w:lang w:val="en-US" w:eastAsia="zh-CN" w:bidi="ar-SA"/>
                    </w:rPr>
                  </w:pPr>
                  <w:r>
                    <w:rPr>
                      <w:rFonts w:hint="default" w:ascii="Times New Roman" w:hAnsi="Times New Roman" w:cs="Times New Roman"/>
                      <w:kern w:val="2"/>
                      <w:sz w:val="21"/>
                      <w:szCs w:val="21"/>
                      <w:u w:val="none"/>
                      <w:lang w:val="en-US" w:eastAsia="zh-CN" w:bidi="ar-SA"/>
                    </w:rPr>
                    <w:t>引风管道+活性炭吸附处理后与</w:t>
                  </w:r>
                  <w:r>
                    <w:rPr>
                      <w:rFonts w:hint="eastAsia"/>
                      <w:sz w:val="21"/>
                      <w:szCs w:val="21"/>
                      <w:lang w:val="en-US" w:eastAsia="zh-CN"/>
                    </w:rPr>
                    <w:t>废油液挥发废气</w:t>
                  </w:r>
                  <w:r>
                    <w:rPr>
                      <w:rFonts w:hint="default" w:ascii="Times New Roman" w:hAnsi="Times New Roman" w:cs="Times New Roman"/>
                      <w:kern w:val="2"/>
                      <w:sz w:val="21"/>
                      <w:szCs w:val="21"/>
                      <w:u w:val="none"/>
                      <w:lang w:val="en-US" w:eastAsia="zh-CN" w:bidi="ar-SA"/>
                    </w:rPr>
                    <w:t>一同经15m高排气筒外排</w:t>
                  </w:r>
                </w:p>
              </w:tc>
              <w:tc>
                <w:tcPr>
                  <w:tcW w:w="606" w:type="pct"/>
                  <w:noWrap w:val="0"/>
                  <w:vAlign w:val="center"/>
                </w:tcPr>
                <w:p>
                  <w:pPr>
                    <w:adjustRightInd w:val="0"/>
                    <w:snapToGrid w:val="0"/>
                    <w:jc w:val="center"/>
                    <w:rPr>
                      <w:rFonts w:hint="default"/>
                      <w:sz w:val="21"/>
                      <w:szCs w:val="21"/>
                      <w:u w:val="none"/>
                      <w:lang w:val="en-US" w:eastAsia="zh-CN"/>
                    </w:rPr>
                  </w:pPr>
                  <w:r>
                    <w:rPr>
                      <w:rFonts w:hint="eastAsia"/>
                      <w:sz w:val="21"/>
                      <w:szCs w:val="21"/>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rFonts w:hint="eastAsia"/>
                      <w:sz w:val="21"/>
                      <w:szCs w:val="21"/>
                      <w:u w:val="none"/>
                      <w:lang w:val="en-US" w:eastAsia="zh-CN"/>
                    </w:rPr>
                  </w:pPr>
                </w:p>
              </w:tc>
              <w:tc>
                <w:tcPr>
                  <w:tcW w:w="1395" w:type="pct"/>
                  <w:noWrap w:val="0"/>
                  <w:vAlign w:val="center"/>
                </w:tcPr>
                <w:p>
                  <w:pPr>
                    <w:adjustRightInd w:val="0"/>
                    <w:snapToGrid w:val="0"/>
                    <w:jc w:val="center"/>
                    <w:rPr>
                      <w:rFonts w:hint="eastAsia"/>
                      <w:sz w:val="21"/>
                      <w:szCs w:val="21"/>
                      <w:lang w:val="en-US" w:eastAsia="zh-CN"/>
                    </w:rPr>
                  </w:pPr>
                  <w:r>
                    <w:rPr>
                      <w:rFonts w:hint="eastAsia"/>
                      <w:szCs w:val="21"/>
                      <w:u w:val="none"/>
                      <w:lang w:eastAsia="zh-CN"/>
                    </w:rPr>
                    <w:t>拆解粉尘</w:t>
                  </w:r>
                </w:p>
              </w:tc>
              <w:tc>
                <w:tcPr>
                  <w:tcW w:w="2552" w:type="pct"/>
                  <w:noWrap w:val="0"/>
                  <w:vAlign w:val="center"/>
                </w:tcPr>
                <w:p>
                  <w:pPr>
                    <w:adjustRightInd w:val="0"/>
                    <w:snapToGrid w:val="0"/>
                    <w:jc w:val="center"/>
                    <w:rPr>
                      <w:rFonts w:hint="default" w:ascii="Times New Roman" w:hAnsi="Times New Roman" w:cs="Times New Roman"/>
                      <w:kern w:val="2"/>
                      <w:sz w:val="21"/>
                      <w:szCs w:val="21"/>
                      <w:u w:val="none"/>
                      <w:lang w:val="en-US" w:eastAsia="zh-CN" w:bidi="ar-SA"/>
                    </w:rPr>
                  </w:pPr>
                  <w:r>
                    <w:rPr>
                      <w:rFonts w:hint="eastAsia"/>
                      <w:sz w:val="21"/>
                      <w:szCs w:val="21"/>
                      <w:u w:val="none"/>
                      <w:lang w:eastAsia="zh-CN"/>
                    </w:rPr>
                    <w:t>及时清扫车间地面粉尘，加强车间通风</w:t>
                  </w:r>
                </w:p>
              </w:tc>
              <w:tc>
                <w:tcPr>
                  <w:tcW w:w="606" w:type="pct"/>
                  <w:noWrap w:val="0"/>
                  <w:vAlign w:val="center"/>
                </w:tcPr>
                <w:p>
                  <w:pPr>
                    <w:adjustRightInd w:val="0"/>
                    <w:snapToGrid w:val="0"/>
                    <w:jc w:val="center"/>
                    <w:rPr>
                      <w:rFonts w:hint="default"/>
                      <w:sz w:val="21"/>
                      <w:szCs w:val="21"/>
                      <w:u w:val="none"/>
                      <w:lang w:val="en-US" w:eastAsia="zh-CN"/>
                    </w:rPr>
                  </w:pPr>
                  <w:r>
                    <w:rPr>
                      <w:rFonts w:hint="eastAsia"/>
                      <w:sz w:val="21"/>
                      <w:szCs w:val="21"/>
                      <w:u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rFonts w:hint="eastAsia" w:eastAsia="宋体"/>
                      <w:sz w:val="21"/>
                      <w:szCs w:val="21"/>
                      <w:u w:val="none"/>
                      <w:lang w:val="en-US" w:eastAsia="zh-CN"/>
                    </w:rPr>
                  </w:pPr>
                </w:p>
              </w:tc>
              <w:tc>
                <w:tcPr>
                  <w:tcW w:w="1395" w:type="pct"/>
                  <w:noWrap w:val="0"/>
                  <w:vAlign w:val="center"/>
                </w:tcPr>
                <w:p>
                  <w:pPr>
                    <w:adjustRightInd w:val="0"/>
                    <w:snapToGrid w:val="0"/>
                    <w:jc w:val="center"/>
                    <w:rPr>
                      <w:rFonts w:hint="eastAsia"/>
                      <w:kern w:val="2"/>
                      <w:sz w:val="21"/>
                      <w:szCs w:val="21"/>
                      <w:u w:val="none"/>
                      <w:lang w:val="en-US" w:eastAsia="zh-CN" w:bidi="ar-SA"/>
                    </w:rPr>
                  </w:pPr>
                  <w:r>
                    <w:rPr>
                      <w:rFonts w:hint="eastAsia"/>
                      <w:szCs w:val="21"/>
                    </w:rPr>
                    <w:t>制冷剂回收废气</w:t>
                  </w:r>
                </w:p>
              </w:tc>
              <w:tc>
                <w:tcPr>
                  <w:tcW w:w="2552" w:type="pct"/>
                  <w:noWrap w:val="0"/>
                  <w:vAlign w:val="center"/>
                </w:tcPr>
                <w:p>
                  <w:pPr>
                    <w:adjustRightInd w:val="0"/>
                    <w:snapToGrid w:val="0"/>
                    <w:jc w:val="center"/>
                    <w:rPr>
                      <w:rFonts w:hint="eastAsia"/>
                      <w:kern w:val="2"/>
                      <w:sz w:val="21"/>
                      <w:szCs w:val="21"/>
                      <w:u w:val="none"/>
                      <w:lang w:val="en-US" w:eastAsia="zh-CN" w:bidi="ar-SA"/>
                    </w:rPr>
                  </w:pPr>
                  <w:r>
                    <w:rPr>
                      <w:rFonts w:hint="eastAsia"/>
                      <w:sz w:val="21"/>
                      <w:szCs w:val="21"/>
                      <w:u w:val="none"/>
                      <w:lang w:eastAsia="zh-CN"/>
                    </w:rPr>
                    <w:t>经</w:t>
                  </w:r>
                  <w:r>
                    <w:rPr>
                      <w:rFonts w:hint="eastAsia"/>
                      <w:sz w:val="21"/>
                      <w:szCs w:val="21"/>
                      <w:u w:val="none"/>
                    </w:rPr>
                    <w:t>专门的制冷剂回收装置</w:t>
                  </w:r>
                  <w:r>
                    <w:rPr>
                      <w:rFonts w:hint="eastAsia"/>
                      <w:szCs w:val="21"/>
                    </w:rPr>
                    <w:t>回收</w:t>
                  </w:r>
                </w:p>
              </w:tc>
              <w:tc>
                <w:tcPr>
                  <w:tcW w:w="606" w:type="pct"/>
                  <w:noWrap w:val="0"/>
                  <w:vAlign w:val="center"/>
                </w:tcPr>
                <w:p>
                  <w:pPr>
                    <w:adjustRightInd w:val="0"/>
                    <w:snapToGrid w:val="0"/>
                    <w:jc w:val="center"/>
                    <w:rPr>
                      <w:rFonts w:hint="eastAsia" w:eastAsia="宋体"/>
                      <w:sz w:val="21"/>
                      <w:szCs w:val="21"/>
                      <w:u w:val="none"/>
                      <w:lang w:val="en-US" w:eastAsia="zh-CN"/>
                    </w:rPr>
                  </w:pPr>
                  <w:r>
                    <w:rPr>
                      <w:rFonts w:hint="eastAsia"/>
                      <w:sz w:val="21"/>
                      <w:szCs w:val="21"/>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rFonts w:hint="eastAsia" w:eastAsia="宋体"/>
                      <w:sz w:val="21"/>
                      <w:szCs w:val="21"/>
                      <w:u w:val="none"/>
                      <w:lang w:val="en-US" w:eastAsia="zh-CN"/>
                    </w:rPr>
                  </w:pPr>
                </w:p>
              </w:tc>
              <w:tc>
                <w:tcPr>
                  <w:tcW w:w="1395" w:type="pct"/>
                  <w:noWrap w:val="0"/>
                  <w:vAlign w:val="center"/>
                </w:tcPr>
                <w:p>
                  <w:pPr>
                    <w:adjustRightInd w:val="0"/>
                    <w:snapToGrid w:val="0"/>
                    <w:jc w:val="center"/>
                    <w:rPr>
                      <w:bCs/>
                      <w:sz w:val="21"/>
                      <w:szCs w:val="21"/>
                      <w:u w:val="none"/>
                    </w:rPr>
                  </w:pPr>
                  <w:r>
                    <w:rPr>
                      <w:rFonts w:hint="eastAsia" w:ascii="Times New Roman" w:hAnsi="Times New Roman" w:cs="Times New Roman"/>
                      <w:b w:val="0"/>
                      <w:bCs w:val="0"/>
                      <w:sz w:val="21"/>
                      <w:szCs w:val="21"/>
                      <w:lang w:val="en-US" w:eastAsia="zh-CN"/>
                    </w:rPr>
                    <w:t>金属</w:t>
                  </w:r>
                  <w:r>
                    <w:rPr>
                      <w:rFonts w:hint="default" w:ascii="Times New Roman" w:hAnsi="Times New Roman" w:cs="Times New Roman"/>
                      <w:b w:val="0"/>
                      <w:bCs w:val="0"/>
                      <w:sz w:val="21"/>
                      <w:szCs w:val="21"/>
                      <w:lang w:val="en-US" w:eastAsia="zh-CN"/>
                    </w:rPr>
                    <w:t>粉尘</w:t>
                  </w:r>
                </w:p>
              </w:tc>
              <w:tc>
                <w:tcPr>
                  <w:tcW w:w="2552" w:type="pct"/>
                  <w:noWrap w:val="0"/>
                  <w:vAlign w:val="center"/>
                </w:tcPr>
                <w:p>
                  <w:pPr>
                    <w:adjustRightInd w:val="0"/>
                    <w:snapToGrid w:val="0"/>
                    <w:jc w:val="center"/>
                    <w:rPr>
                      <w:sz w:val="21"/>
                      <w:szCs w:val="21"/>
                      <w:u w:val="none"/>
                    </w:rPr>
                  </w:pPr>
                  <w:r>
                    <w:rPr>
                      <w:rFonts w:hint="default" w:eastAsia="宋体"/>
                      <w:sz w:val="21"/>
                      <w:szCs w:val="21"/>
                      <w:u w:val="none"/>
                      <w:lang w:val="en-US" w:eastAsia="zh-CN"/>
                    </w:rPr>
                    <w:t>集尘罩+布袋除尘器+15m高排气筒</w:t>
                  </w:r>
                </w:p>
              </w:tc>
              <w:tc>
                <w:tcPr>
                  <w:tcW w:w="606" w:type="pct"/>
                  <w:noWrap w:val="0"/>
                  <w:vAlign w:val="center"/>
                </w:tcPr>
                <w:p>
                  <w:pPr>
                    <w:adjustRightInd w:val="0"/>
                    <w:snapToGrid w:val="0"/>
                    <w:jc w:val="center"/>
                    <w:rPr>
                      <w:rFonts w:hint="default"/>
                      <w:sz w:val="21"/>
                      <w:szCs w:val="21"/>
                      <w:u w:val="none"/>
                      <w:lang w:val="en-US" w:eastAsia="zh-CN"/>
                    </w:rPr>
                  </w:pPr>
                  <w:r>
                    <w:rPr>
                      <w:rFonts w:hint="eastAsia"/>
                      <w:sz w:val="21"/>
                      <w:szCs w:val="21"/>
                      <w:u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rFonts w:hint="eastAsia" w:eastAsia="宋体"/>
                      <w:sz w:val="21"/>
                      <w:szCs w:val="21"/>
                      <w:u w:val="none"/>
                      <w:lang w:val="en-US" w:eastAsia="zh-CN"/>
                    </w:rPr>
                  </w:pPr>
                </w:p>
              </w:tc>
              <w:tc>
                <w:tcPr>
                  <w:tcW w:w="1395" w:type="pct"/>
                  <w:noWrap w:val="0"/>
                  <w:vAlign w:val="center"/>
                </w:tcPr>
                <w:p>
                  <w:pPr>
                    <w:adjustRightInd w:val="0"/>
                    <w:snapToGrid w:val="0"/>
                    <w:jc w:val="center"/>
                    <w:rPr>
                      <w:rFonts w:hint="eastAsia"/>
                      <w:kern w:val="2"/>
                      <w:sz w:val="21"/>
                      <w:szCs w:val="21"/>
                      <w:u w:val="none"/>
                      <w:lang w:val="en-US" w:eastAsia="zh-CN" w:bidi="ar-SA"/>
                    </w:rPr>
                  </w:pPr>
                  <w:r>
                    <w:rPr>
                      <w:rFonts w:hint="default" w:ascii="Times New Roman" w:hAnsi="Times New Roman" w:cs="Times New Roman"/>
                      <w:b w:val="0"/>
                      <w:bCs w:val="0"/>
                      <w:sz w:val="21"/>
                      <w:szCs w:val="21"/>
                      <w:lang w:val="en-US" w:eastAsia="zh-CN"/>
                    </w:rPr>
                    <w:t>安全气囊废气</w:t>
                  </w:r>
                </w:p>
              </w:tc>
              <w:tc>
                <w:tcPr>
                  <w:tcW w:w="2552" w:type="pct"/>
                  <w:noWrap w:val="0"/>
                  <w:vAlign w:val="center"/>
                </w:tcPr>
                <w:p>
                  <w:pPr>
                    <w:adjustRightInd w:val="0"/>
                    <w:snapToGrid w:val="0"/>
                    <w:jc w:val="center"/>
                    <w:rPr>
                      <w:rFonts w:hint="default"/>
                      <w:kern w:val="2"/>
                      <w:sz w:val="21"/>
                      <w:szCs w:val="21"/>
                      <w:u w:val="none"/>
                      <w:lang w:val="en-US" w:eastAsia="zh-CN" w:bidi="ar-SA"/>
                    </w:rPr>
                  </w:pPr>
                  <w:r>
                    <w:rPr>
                      <w:rFonts w:hint="default" w:ascii="Times New Roman" w:hAnsi="Times New Roman" w:cs="Times New Roman"/>
                      <w:b w:val="0"/>
                      <w:bCs w:val="0"/>
                      <w:sz w:val="21"/>
                      <w:szCs w:val="21"/>
                      <w:lang w:val="en-US" w:eastAsia="zh-CN"/>
                    </w:rPr>
                    <w:t>经爆破自带收尘系统过滤</w:t>
                  </w:r>
                </w:p>
              </w:tc>
              <w:tc>
                <w:tcPr>
                  <w:tcW w:w="606" w:type="pct"/>
                  <w:noWrap w:val="0"/>
                  <w:vAlign w:val="center"/>
                </w:tcPr>
                <w:p>
                  <w:pPr>
                    <w:adjustRightInd w:val="0"/>
                    <w:snapToGrid w:val="0"/>
                    <w:jc w:val="center"/>
                    <w:rPr>
                      <w:rFonts w:hint="eastAsia"/>
                      <w:kern w:val="2"/>
                      <w:sz w:val="21"/>
                      <w:szCs w:val="21"/>
                      <w:u w:val="none"/>
                      <w:lang w:val="en-US" w:eastAsia="zh-CN" w:bidi="ar-SA"/>
                    </w:rPr>
                  </w:pPr>
                  <w:r>
                    <w:rPr>
                      <w:rFonts w:hint="eastAsia"/>
                      <w:sz w:val="21"/>
                      <w:szCs w:val="21"/>
                      <w:u w:val="none"/>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snapToGrid w:val="0"/>
                    <w:jc w:val="center"/>
                    <w:rPr>
                      <w:rFonts w:hint="eastAsia" w:eastAsia="宋体"/>
                      <w:sz w:val="21"/>
                      <w:szCs w:val="21"/>
                      <w:u w:val="none"/>
                      <w:lang w:val="en-US" w:eastAsia="zh-CN"/>
                    </w:rPr>
                  </w:pPr>
                </w:p>
              </w:tc>
              <w:tc>
                <w:tcPr>
                  <w:tcW w:w="1395" w:type="pct"/>
                  <w:noWrap w:val="0"/>
                  <w:vAlign w:val="center"/>
                </w:tcPr>
                <w:p>
                  <w:pPr>
                    <w:keepNext w:val="0"/>
                    <w:keepLines w:val="0"/>
                    <w:pageBreakBefore w:val="0"/>
                    <w:widowControl w:val="0"/>
                    <w:kinsoku/>
                    <w:wordWrap/>
                    <w:overflowPunct/>
                    <w:topLinePunct w:val="0"/>
                    <w:bidi w:val="0"/>
                    <w:spacing w:line="276" w:lineRule="auto"/>
                    <w:ind w:left="0" w:leftChars="0" w:right="0" w:rightChars="0" w:firstLine="0" w:firstLineChars="0"/>
                    <w:jc w:val="center"/>
                    <w:outlineLvl w:val="9"/>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sz w:val="21"/>
                      <w:szCs w:val="21"/>
                      <w:u w:val="none" w:color="auto"/>
                      <w:lang w:eastAsia="zh-CN"/>
                    </w:rPr>
                    <w:t>食堂</w:t>
                  </w:r>
                </w:p>
              </w:tc>
              <w:tc>
                <w:tcPr>
                  <w:tcW w:w="2552" w:type="pct"/>
                  <w:noWrap w:val="0"/>
                  <w:vAlign w:val="center"/>
                </w:tcPr>
                <w:p>
                  <w:pPr>
                    <w:keepNext w:val="0"/>
                    <w:keepLines w:val="0"/>
                    <w:pageBreakBefore w:val="0"/>
                    <w:widowControl w:val="0"/>
                    <w:kinsoku/>
                    <w:wordWrap/>
                    <w:overflowPunct/>
                    <w:topLinePunct w:val="0"/>
                    <w:bidi w:val="0"/>
                    <w:spacing w:line="276" w:lineRule="auto"/>
                    <w:ind w:left="0" w:leftChars="0" w:right="0" w:rightChars="0" w:firstLine="0" w:firstLineChars="0"/>
                    <w:jc w:val="center"/>
                    <w:outlineLvl w:val="9"/>
                    <w:rPr>
                      <w:rFonts w:hint="default" w:ascii="Times New Roman" w:hAnsi="Times New Roman" w:eastAsia="宋体" w:cs="Times New Roman"/>
                      <w:bCs/>
                      <w:kern w:val="2"/>
                      <w:sz w:val="21"/>
                      <w:szCs w:val="21"/>
                      <w:u w:val="none" w:color="auto"/>
                      <w:lang w:val="en-US" w:eastAsia="zh-CN" w:bidi="ar-SA"/>
                    </w:rPr>
                  </w:pPr>
                  <w:r>
                    <w:rPr>
                      <w:rFonts w:hint="default" w:ascii="Times New Roman" w:hAnsi="Times New Roman" w:eastAsia="宋体" w:cs="Times New Roman"/>
                      <w:bCs/>
                      <w:sz w:val="21"/>
                      <w:szCs w:val="21"/>
                      <w:u w:val="none" w:color="auto"/>
                      <w:lang w:eastAsia="zh-CN"/>
                    </w:rPr>
                    <w:t>油烟净化器处理</w:t>
                  </w:r>
                </w:p>
              </w:tc>
              <w:tc>
                <w:tcPr>
                  <w:tcW w:w="606" w:type="pct"/>
                  <w:noWrap w:val="0"/>
                  <w:vAlign w:val="center"/>
                </w:tcPr>
                <w:p>
                  <w:pPr>
                    <w:adjustRightInd w:val="0"/>
                    <w:snapToGrid w:val="0"/>
                    <w:jc w:val="center"/>
                    <w:rPr>
                      <w:rFonts w:hint="default"/>
                      <w:sz w:val="21"/>
                      <w:szCs w:val="21"/>
                      <w:u w:val="none"/>
                      <w:lang w:val="en-US" w:eastAsia="zh-CN"/>
                    </w:rPr>
                  </w:pPr>
                  <w:r>
                    <w:rPr>
                      <w:rFonts w:hint="eastAsia"/>
                      <w:sz w:val="21"/>
                      <w:szCs w:val="21"/>
                      <w:u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noWrap w:val="0"/>
                  <w:vAlign w:val="center"/>
                </w:tcPr>
                <w:p>
                  <w:pPr>
                    <w:adjustRightInd w:val="0"/>
                    <w:snapToGrid w:val="0"/>
                    <w:jc w:val="center"/>
                    <w:rPr>
                      <w:sz w:val="21"/>
                      <w:szCs w:val="21"/>
                      <w:u w:val="none"/>
                    </w:rPr>
                  </w:pPr>
                  <w:r>
                    <w:rPr>
                      <w:sz w:val="21"/>
                      <w:szCs w:val="21"/>
                      <w:u w:val="none"/>
                    </w:rPr>
                    <w:t>噪声</w:t>
                  </w:r>
                </w:p>
              </w:tc>
              <w:tc>
                <w:tcPr>
                  <w:tcW w:w="1395" w:type="pct"/>
                  <w:noWrap w:val="0"/>
                  <w:vAlign w:val="center"/>
                </w:tcPr>
                <w:p>
                  <w:pPr>
                    <w:adjustRightInd w:val="0"/>
                    <w:snapToGrid w:val="0"/>
                    <w:jc w:val="center"/>
                    <w:rPr>
                      <w:sz w:val="21"/>
                      <w:szCs w:val="21"/>
                      <w:u w:val="none"/>
                    </w:rPr>
                  </w:pPr>
                  <w:r>
                    <w:rPr>
                      <w:rFonts w:hint="default"/>
                      <w:sz w:val="21"/>
                      <w:szCs w:val="21"/>
                      <w:u w:val="none"/>
                    </w:rPr>
                    <w:t>机械</w:t>
                  </w:r>
                  <w:r>
                    <w:rPr>
                      <w:sz w:val="21"/>
                      <w:szCs w:val="21"/>
                      <w:u w:val="none"/>
                    </w:rPr>
                    <w:t>设备</w:t>
                  </w:r>
                </w:p>
              </w:tc>
              <w:tc>
                <w:tcPr>
                  <w:tcW w:w="2552" w:type="pct"/>
                  <w:noWrap w:val="0"/>
                  <w:vAlign w:val="center"/>
                </w:tcPr>
                <w:p>
                  <w:pPr>
                    <w:adjustRightInd w:val="0"/>
                    <w:snapToGrid w:val="0"/>
                    <w:jc w:val="center"/>
                    <w:rPr>
                      <w:sz w:val="21"/>
                      <w:szCs w:val="21"/>
                      <w:u w:val="none"/>
                    </w:rPr>
                  </w:pPr>
                  <w:r>
                    <w:rPr>
                      <w:sz w:val="21"/>
                      <w:szCs w:val="21"/>
                      <w:u w:val="none"/>
                    </w:rPr>
                    <w:t>基础减振、厂房隔声、消声器</w:t>
                  </w:r>
                </w:p>
              </w:tc>
              <w:tc>
                <w:tcPr>
                  <w:tcW w:w="606" w:type="pct"/>
                  <w:noWrap w:val="0"/>
                  <w:vAlign w:val="center"/>
                </w:tcPr>
                <w:p>
                  <w:pPr>
                    <w:adjustRightInd w:val="0"/>
                    <w:snapToGrid w:val="0"/>
                    <w:jc w:val="center"/>
                    <w:rPr>
                      <w:rFonts w:hint="eastAsia" w:eastAsia="宋体"/>
                      <w:sz w:val="21"/>
                      <w:szCs w:val="21"/>
                      <w:u w:val="none"/>
                      <w:lang w:val="en-US" w:eastAsia="zh-CN"/>
                    </w:rPr>
                  </w:pPr>
                  <w:r>
                    <w:rPr>
                      <w:rFonts w:hint="eastAsia"/>
                      <w:sz w:val="21"/>
                      <w:szCs w:val="21"/>
                      <w:u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restart"/>
                  <w:noWrap w:val="0"/>
                  <w:vAlign w:val="center"/>
                </w:tcPr>
                <w:p>
                  <w:pPr>
                    <w:adjustRightInd w:val="0"/>
                    <w:snapToGrid w:val="0"/>
                    <w:jc w:val="center"/>
                    <w:rPr>
                      <w:sz w:val="21"/>
                      <w:szCs w:val="21"/>
                      <w:u w:val="none"/>
                    </w:rPr>
                  </w:pPr>
                  <w:r>
                    <w:rPr>
                      <w:sz w:val="21"/>
                      <w:szCs w:val="21"/>
                      <w:u w:val="none"/>
                    </w:rPr>
                    <w:t>固废</w:t>
                  </w:r>
                </w:p>
              </w:tc>
              <w:tc>
                <w:tcPr>
                  <w:tcW w:w="1395"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危险废物暂存间</w:t>
                  </w:r>
                </w:p>
              </w:tc>
              <w:tc>
                <w:tcPr>
                  <w:tcW w:w="2552"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lang w:val="en-US" w:eastAsia="zh-CN"/>
                    </w:rPr>
                    <w:t>271.82</w:t>
                  </w:r>
                  <w:r>
                    <w:rPr>
                      <w:bCs/>
                      <w:sz w:val="21"/>
                      <w:szCs w:val="21"/>
                      <w:u w:val="none"/>
                    </w:rPr>
                    <w:t>m</w:t>
                  </w:r>
                  <w:r>
                    <w:rPr>
                      <w:bCs/>
                      <w:sz w:val="21"/>
                      <w:szCs w:val="21"/>
                      <w:u w:val="none"/>
                      <w:vertAlign w:val="superscript"/>
                    </w:rPr>
                    <w:t>2</w:t>
                  </w:r>
                  <w:r>
                    <w:rPr>
                      <w:bCs/>
                      <w:sz w:val="21"/>
                      <w:szCs w:val="21"/>
                      <w:u w:val="none"/>
                    </w:rPr>
                    <w:t>的危废暂存间</w:t>
                  </w:r>
                  <w:r>
                    <w:rPr>
                      <w:rFonts w:hint="eastAsia"/>
                      <w:bCs/>
                      <w:sz w:val="21"/>
                      <w:szCs w:val="21"/>
                      <w:u w:val="none"/>
                      <w:lang w:eastAsia="zh-CN"/>
                    </w:rPr>
                    <w:t>（防渗），</w:t>
                  </w:r>
                  <w:r>
                    <w:rPr>
                      <w:rFonts w:hint="eastAsia"/>
                      <w:sz w:val="21"/>
                      <w:szCs w:val="21"/>
                      <w:lang w:val="en-US" w:eastAsia="zh-CN"/>
                    </w:rPr>
                    <w:t>各类</w:t>
                  </w:r>
                  <w:r>
                    <w:rPr>
                      <w:rFonts w:hint="eastAsia"/>
                      <w:sz w:val="21"/>
                      <w:szCs w:val="21"/>
                    </w:rPr>
                    <w:t>危险废物分</w:t>
                  </w:r>
                  <w:r>
                    <w:rPr>
                      <w:rFonts w:hint="eastAsia"/>
                      <w:sz w:val="21"/>
                      <w:szCs w:val="21"/>
                      <w:lang w:eastAsia="zh-CN"/>
                    </w:rPr>
                    <w:t>类</w:t>
                  </w:r>
                  <w:r>
                    <w:rPr>
                      <w:rFonts w:hint="eastAsia"/>
                      <w:sz w:val="21"/>
                      <w:szCs w:val="21"/>
                    </w:rPr>
                    <w:t>存放，</w:t>
                  </w:r>
                  <w:r>
                    <w:rPr>
                      <w:rFonts w:hint="eastAsia"/>
                      <w:bCs/>
                      <w:sz w:val="21"/>
                      <w:szCs w:val="21"/>
                      <w:u w:val="none"/>
                      <w:lang w:val="en-US" w:eastAsia="zh-CN"/>
                    </w:rPr>
                    <w:t>委托有资质单位处置，</w:t>
                  </w:r>
                  <w:r>
                    <w:rPr>
                      <w:rFonts w:hint="eastAsia"/>
                      <w:sz w:val="21"/>
                      <w:szCs w:val="21"/>
                      <w:lang w:val="en-US" w:eastAsia="zh-CN"/>
                    </w:rPr>
                    <w:t>废油液</w:t>
                  </w:r>
                  <w:r>
                    <w:rPr>
                      <w:rFonts w:hint="eastAsia"/>
                      <w:sz w:val="21"/>
                      <w:szCs w:val="21"/>
                      <w:lang w:eastAsia="zh-CN"/>
                    </w:rPr>
                    <w:t>暂存间地面四周设置导流沟和收集池等。</w:t>
                  </w:r>
                </w:p>
              </w:tc>
              <w:tc>
                <w:tcPr>
                  <w:tcW w:w="606" w:type="pct"/>
                  <w:tcBorders>
                    <w:bottom w:val="single" w:color="auto" w:sz="4" w:space="0"/>
                  </w:tcBorders>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adjustRightInd w:val="0"/>
                    <w:snapToGrid w:val="0"/>
                    <w:jc w:val="center"/>
                    <w:rPr>
                      <w:sz w:val="21"/>
                      <w:szCs w:val="21"/>
                      <w:u w:val="none"/>
                    </w:rPr>
                  </w:pPr>
                </w:p>
              </w:tc>
              <w:tc>
                <w:tcPr>
                  <w:tcW w:w="1395"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一般固废暂存区</w:t>
                  </w:r>
                </w:p>
              </w:tc>
              <w:tc>
                <w:tcPr>
                  <w:tcW w:w="2552" w:type="pct"/>
                  <w:noWrap w:val="0"/>
                  <w:vAlign w:val="center"/>
                </w:tcPr>
                <w:p>
                  <w:pPr>
                    <w:adjustRightInd w:val="0"/>
                    <w:snapToGrid w:val="0"/>
                    <w:jc w:val="center"/>
                    <w:rPr>
                      <w:rFonts w:hint="eastAsia" w:eastAsia="宋体"/>
                      <w:sz w:val="21"/>
                      <w:szCs w:val="21"/>
                      <w:u w:val="none"/>
                      <w:lang w:eastAsia="zh-CN"/>
                    </w:rPr>
                  </w:pPr>
                  <w:r>
                    <w:rPr>
                      <w:rFonts w:hint="eastAsia"/>
                      <w:sz w:val="21"/>
                      <w:szCs w:val="21"/>
                      <w:lang w:val="en-US" w:eastAsia="zh-CN"/>
                    </w:rPr>
                    <w:t>2660.85</w:t>
                  </w:r>
                  <w:r>
                    <w:rPr>
                      <w:bCs/>
                      <w:sz w:val="21"/>
                      <w:szCs w:val="21"/>
                      <w:u w:val="none"/>
                    </w:rPr>
                    <w:t>m</w:t>
                  </w:r>
                  <w:r>
                    <w:rPr>
                      <w:bCs/>
                      <w:sz w:val="21"/>
                      <w:szCs w:val="21"/>
                      <w:u w:val="none"/>
                      <w:vertAlign w:val="superscript"/>
                    </w:rPr>
                    <w:t>2</w:t>
                  </w:r>
                  <w:r>
                    <w:rPr>
                      <w:bCs/>
                      <w:sz w:val="21"/>
                      <w:szCs w:val="21"/>
                      <w:u w:val="none"/>
                    </w:rPr>
                    <w:t>的</w:t>
                  </w:r>
                  <w:r>
                    <w:rPr>
                      <w:rFonts w:hint="eastAsia"/>
                      <w:bCs/>
                      <w:sz w:val="21"/>
                      <w:szCs w:val="21"/>
                      <w:u w:val="none"/>
                    </w:rPr>
                    <w:t>一般工业固废暂存</w:t>
                  </w:r>
                  <w:r>
                    <w:rPr>
                      <w:rFonts w:hint="eastAsia"/>
                      <w:bCs/>
                      <w:sz w:val="21"/>
                      <w:szCs w:val="21"/>
                      <w:u w:val="none"/>
                      <w:lang w:eastAsia="zh-CN"/>
                    </w:rPr>
                    <w:t>区</w:t>
                  </w:r>
                </w:p>
              </w:tc>
              <w:tc>
                <w:tcPr>
                  <w:tcW w:w="606" w:type="pct"/>
                  <w:tcBorders>
                    <w:top w:val="single" w:color="auto" w:sz="4" w:space="0"/>
                  </w:tcBorders>
                  <w:noWrap w:val="0"/>
                  <w:vAlign w:val="center"/>
                </w:tcPr>
                <w:p>
                  <w:pPr>
                    <w:adjustRightInd w:val="0"/>
                    <w:snapToGrid w:val="0"/>
                    <w:jc w:val="center"/>
                    <w:rPr>
                      <w:rFonts w:hint="eastAsia" w:eastAsia="宋体"/>
                      <w:sz w:val="21"/>
                      <w:szCs w:val="21"/>
                      <w:u w:val="none"/>
                      <w:lang w:val="en-US" w:eastAsia="zh-CN"/>
                    </w:rPr>
                  </w:pPr>
                  <w:r>
                    <w:rPr>
                      <w:rFonts w:hint="eastAsia"/>
                      <w:sz w:val="21"/>
                      <w:szCs w:val="21"/>
                      <w:u w:val="none"/>
                      <w:lang w:val="en-US" w:eastAsia="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45" w:type="pct"/>
                  <w:vMerge w:val="continue"/>
                  <w:noWrap w:val="0"/>
                  <w:vAlign w:val="center"/>
                </w:tcPr>
                <w:p>
                  <w:pPr>
                    <w:adjustRightInd w:val="0"/>
                    <w:snapToGrid w:val="0"/>
                    <w:jc w:val="center"/>
                    <w:rPr>
                      <w:sz w:val="21"/>
                      <w:szCs w:val="21"/>
                      <w:u w:val="none"/>
                    </w:rPr>
                  </w:pPr>
                </w:p>
              </w:tc>
              <w:tc>
                <w:tcPr>
                  <w:tcW w:w="1395" w:type="pct"/>
                  <w:noWrap w:val="0"/>
                  <w:vAlign w:val="center"/>
                </w:tcPr>
                <w:p>
                  <w:pPr>
                    <w:adjustRightInd w:val="0"/>
                    <w:snapToGrid w:val="0"/>
                    <w:jc w:val="center"/>
                    <w:rPr>
                      <w:sz w:val="21"/>
                      <w:szCs w:val="21"/>
                      <w:u w:val="none"/>
                    </w:rPr>
                  </w:pPr>
                  <w:r>
                    <w:rPr>
                      <w:sz w:val="21"/>
                      <w:szCs w:val="21"/>
                      <w:u w:val="none"/>
                    </w:rPr>
                    <w:t>生活垃圾</w:t>
                  </w:r>
                </w:p>
              </w:tc>
              <w:tc>
                <w:tcPr>
                  <w:tcW w:w="2552" w:type="pct"/>
                  <w:noWrap w:val="0"/>
                  <w:vAlign w:val="center"/>
                </w:tcPr>
                <w:p>
                  <w:pPr>
                    <w:adjustRightInd w:val="0"/>
                    <w:snapToGrid w:val="0"/>
                    <w:jc w:val="center"/>
                    <w:rPr>
                      <w:sz w:val="21"/>
                      <w:szCs w:val="21"/>
                      <w:u w:val="none"/>
                    </w:rPr>
                  </w:pPr>
                  <w:r>
                    <w:rPr>
                      <w:sz w:val="21"/>
                      <w:szCs w:val="21"/>
                      <w:u w:val="none"/>
                    </w:rPr>
                    <w:t>委托环卫部门定期清运处置</w:t>
                  </w:r>
                </w:p>
              </w:tc>
              <w:tc>
                <w:tcPr>
                  <w:tcW w:w="606"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840" w:type="pct"/>
                  <w:gridSpan w:val="2"/>
                  <w:noWrap w:val="0"/>
                  <w:vAlign w:val="center"/>
                </w:tcPr>
                <w:p>
                  <w:pPr>
                    <w:adjustRightInd w:val="0"/>
                    <w:snapToGrid w:val="0"/>
                    <w:jc w:val="center"/>
                    <w:rPr>
                      <w:sz w:val="21"/>
                      <w:szCs w:val="21"/>
                      <w:u w:val="none"/>
                    </w:rPr>
                  </w:pPr>
                  <w:r>
                    <w:rPr>
                      <w:sz w:val="21"/>
                      <w:szCs w:val="21"/>
                      <w:u w:val="none"/>
                    </w:rPr>
                    <w:t>环境风险</w:t>
                  </w:r>
                </w:p>
              </w:tc>
              <w:tc>
                <w:tcPr>
                  <w:tcW w:w="2552" w:type="pct"/>
                  <w:noWrap w:val="0"/>
                  <w:vAlign w:val="center"/>
                </w:tcPr>
                <w:p>
                  <w:pPr>
                    <w:adjustRightInd w:val="0"/>
                    <w:snapToGrid w:val="0"/>
                    <w:jc w:val="center"/>
                    <w:rPr>
                      <w:sz w:val="21"/>
                      <w:szCs w:val="21"/>
                      <w:u w:val="none"/>
                    </w:rPr>
                  </w:pPr>
                  <w:r>
                    <w:rPr>
                      <w:rFonts w:hint="eastAsia"/>
                      <w:sz w:val="21"/>
                      <w:szCs w:val="21"/>
                      <w:u w:val="none"/>
                      <w:lang w:eastAsia="zh-CN"/>
                    </w:rPr>
                    <w:t>厂区防渗、</w:t>
                  </w:r>
                  <w:r>
                    <w:rPr>
                      <w:rFonts w:hint="eastAsia"/>
                      <w:sz w:val="21"/>
                      <w:szCs w:val="21"/>
                      <w:u w:val="none"/>
                    </w:rPr>
                    <w:t>车间和仓库</w:t>
                  </w:r>
                </w:p>
              </w:tc>
              <w:tc>
                <w:tcPr>
                  <w:tcW w:w="606"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1840" w:type="pct"/>
                  <w:gridSpan w:val="2"/>
                  <w:noWrap w:val="0"/>
                  <w:vAlign w:val="center"/>
                </w:tcPr>
                <w:p>
                  <w:pPr>
                    <w:adjustRightInd w:val="0"/>
                    <w:snapToGrid w:val="0"/>
                    <w:jc w:val="center"/>
                    <w:rPr>
                      <w:sz w:val="21"/>
                      <w:szCs w:val="21"/>
                      <w:u w:val="none"/>
                    </w:rPr>
                  </w:pPr>
                  <w:r>
                    <w:rPr>
                      <w:rFonts w:hint="eastAsia"/>
                      <w:sz w:val="21"/>
                      <w:szCs w:val="21"/>
                      <w:u w:val="none"/>
                    </w:rPr>
                    <w:t>施工期废水、废气、噪声</w:t>
                  </w:r>
                </w:p>
              </w:tc>
              <w:tc>
                <w:tcPr>
                  <w:tcW w:w="2552" w:type="pct"/>
                  <w:noWrap w:val="0"/>
                  <w:vAlign w:val="center"/>
                </w:tcPr>
                <w:p>
                  <w:pPr>
                    <w:adjustRightInd w:val="0"/>
                    <w:snapToGrid w:val="0"/>
                    <w:jc w:val="center"/>
                    <w:rPr>
                      <w:sz w:val="21"/>
                      <w:szCs w:val="21"/>
                      <w:u w:val="none"/>
                    </w:rPr>
                  </w:pPr>
                  <w:r>
                    <w:rPr>
                      <w:rFonts w:hint="eastAsia"/>
                      <w:sz w:val="21"/>
                      <w:szCs w:val="21"/>
                      <w:u w:val="none"/>
                    </w:rPr>
                    <w:t>施工废水沉淀池、围挡、洒水装置等</w:t>
                  </w:r>
                </w:p>
              </w:tc>
              <w:tc>
                <w:tcPr>
                  <w:tcW w:w="606" w:type="pct"/>
                  <w:noWrap w:val="0"/>
                  <w:vAlign w:val="center"/>
                </w:tcPr>
                <w:p>
                  <w:pPr>
                    <w:adjustRightInd w:val="0"/>
                    <w:snapToGrid w:val="0"/>
                    <w:jc w:val="center"/>
                    <w:rPr>
                      <w:rFonts w:hint="default" w:eastAsia="宋体"/>
                      <w:sz w:val="21"/>
                      <w:szCs w:val="21"/>
                      <w:u w:val="none"/>
                      <w:lang w:val="en-US" w:eastAsia="zh-CN"/>
                    </w:rPr>
                  </w:pPr>
                  <w:r>
                    <w:rPr>
                      <w:rFonts w:hint="eastAsia" w:eastAsia="宋体"/>
                      <w:sz w:val="21"/>
                      <w:szCs w:val="21"/>
                      <w:u w:val="none"/>
                      <w:lang w:val="en-US" w:eastAsia="zh-CN"/>
                    </w:rPr>
                    <w:t>15</w:t>
                  </w:r>
                </w:p>
              </w:tc>
            </w:tr>
            <w:bookmarkEnd w:id="7"/>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393" w:type="pct"/>
                  <w:gridSpan w:val="3"/>
                  <w:noWrap w:val="0"/>
                  <w:vAlign w:val="center"/>
                </w:tcPr>
                <w:p>
                  <w:pPr>
                    <w:adjustRightInd w:val="0"/>
                    <w:snapToGrid w:val="0"/>
                    <w:jc w:val="center"/>
                    <w:rPr>
                      <w:sz w:val="21"/>
                      <w:szCs w:val="21"/>
                      <w:u w:val="none"/>
                    </w:rPr>
                  </w:pPr>
                  <w:r>
                    <w:rPr>
                      <w:sz w:val="21"/>
                      <w:szCs w:val="21"/>
                      <w:u w:val="none"/>
                    </w:rPr>
                    <w:t>合计</w:t>
                  </w:r>
                </w:p>
              </w:tc>
              <w:tc>
                <w:tcPr>
                  <w:tcW w:w="606" w:type="pct"/>
                  <w:noWrap w:val="0"/>
                  <w:vAlign w:val="center"/>
                </w:tcPr>
                <w:p>
                  <w:pPr>
                    <w:adjustRightInd w:val="0"/>
                    <w:snapToGrid w:val="0"/>
                    <w:jc w:val="center"/>
                    <w:rPr>
                      <w:rFonts w:hint="default" w:eastAsia="宋体"/>
                      <w:sz w:val="21"/>
                      <w:szCs w:val="21"/>
                      <w:u w:val="none"/>
                      <w:lang w:val="en-US" w:eastAsia="zh-CN"/>
                    </w:rPr>
                  </w:pPr>
                  <w:r>
                    <w:rPr>
                      <w:rFonts w:hint="eastAsia"/>
                      <w:sz w:val="21"/>
                      <w:szCs w:val="21"/>
                      <w:u w:val="none"/>
                      <w:lang w:val="en-US" w:eastAsia="zh-CN"/>
                    </w:rPr>
                    <w:t>2109.2</w:t>
                  </w:r>
                </w:p>
              </w:tc>
            </w:tr>
          </w:tbl>
          <w:p>
            <w:pPr>
              <w:adjustRightInd w:val="0"/>
              <w:snapToGrid w:val="0"/>
              <w:spacing w:line="360" w:lineRule="auto"/>
              <w:ind w:firstLine="420" w:firstLineChars="200"/>
              <w:rPr>
                <w:bCs/>
                <w:szCs w:val="21"/>
              </w:rPr>
            </w:pPr>
          </w:p>
        </w:tc>
      </w:tr>
    </w:tbl>
    <w:p>
      <w:pPr>
        <w:adjustRightInd w:val="0"/>
        <w:snapToGrid w:val="0"/>
        <w:spacing w:line="360" w:lineRule="auto"/>
        <w:rPr>
          <w:b/>
          <w:kern w:val="0"/>
          <w:sz w:val="28"/>
          <w:szCs w:val="28"/>
        </w:rPr>
        <w:sectPr>
          <w:pgSz w:w="11907" w:h="16840"/>
          <w:pgMar w:top="1418" w:right="1531" w:bottom="1418"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3"/>
        <w:keepNext w:val="0"/>
        <w:keepLines w:val="0"/>
        <w:pageBreakBefore w:val="0"/>
        <w:widowControl/>
        <w:kinsoku/>
        <w:wordWrap/>
        <w:overflowPunct/>
        <w:topLinePunct w:val="0"/>
        <w:autoSpaceDE/>
        <w:autoSpaceDN/>
        <w:bidi w:val="0"/>
        <w:adjustRightInd/>
        <w:snapToGrid/>
        <w:spacing w:before="0" w:beforeAutospacing="0" w:after="157" w:afterLines="50" w:afterAutospacing="0" w:line="360" w:lineRule="auto"/>
        <w:jc w:val="center"/>
        <w:textAlignment w:val="auto"/>
        <w:outlineLvl w:val="0"/>
        <w:rPr>
          <w:rFonts w:ascii="Times New Roman" w:hAnsi="Times New Roman" w:eastAsia="黑体"/>
          <w:snapToGrid w:val="0"/>
          <w:sz w:val="30"/>
          <w:szCs w:val="30"/>
        </w:rPr>
      </w:pPr>
      <w:bookmarkStart w:id="8" w:name="_Toc78811938"/>
      <w:r>
        <w:rPr>
          <w:rFonts w:ascii="Times New Roman" w:hAnsi="黑体" w:eastAsia="黑体"/>
          <w:snapToGrid w:val="0"/>
          <w:sz w:val="30"/>
          <w:szCs w:val="30"/>
        </w:rPr>
        <w:t>五、</w:t>
      </w:r>
      <w:bookmarkStart w:id="9" w:name="_Hlk54167917"/>
      <w:r>
        <w:rPr>
          <w:rFonts w:ascii="Times New Roman" w:hAnsi="黑体" w:eastAsia="黑体"/>
          <w:snapToGrid w:val="0"/>
          <w:sz w:val="30"/>
          <w:szCs w:val="30"/>
        </w:rPr>
        <w:t>环境保护措施监督检查清单</w:t>
      </w:r>
      <w:bookmarkEnd w:id="8"/>
      <w:bookmarkEnd w:id="9"/>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1517"/>
        <w:gridCol w:w="1289"/>
        <w:gridCol w:w="2261"/>
        <w:gridCol w:w="26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tcBorders>
              <w:tl2br w:val="single" w:color="auto" w:sz="4" w:space="0"/>
            </w:tcBorders>
            <w:noWrap w:val="0"/>
            <w:vAlign w:val="top"/>
          </w:tcPr>
          <w:p>
            <w:pPr>
              <w:adjustRightInd w:val="0"/>
              <w:snapToGrid w:val="0"/>
              <w:ind w:firstLine="630" w:firstLineChars="300"/>
              <w:rPr>
                <w:sz w:val="21"/>
                <w:szCs w:val="21"/>
                <w:u w:val="none"/>
              </w:rPr>
            </w:pPr>
            <w:r>
              <w:rPr>
                <w:rFonts w:hAnsi="宋体"/>
                <w:sz w:val="21"/>
                <w:szCs w:val="21"/>
                <w:u w:val="none"/>
              </w:rPr>
              <w:t>内容</w:t>
            </w:r>
          </w:p>
          <w:p>
            <w:pPr>
              <w:adjustRightInd w:val="0"/>
              <w:snapToGrid w:val="0"/>
              <w:rPr>
                <w:sz w:val="21"/>
                <w:szCs w:val="21"/>
                <w:u w:val="none"/>
              </w:rPr>
            </w:pPr>
            <w:r>
              <w:rPr>
                <w:rFonts w:hAnsi="宋体"/>
                <w:sz w:val="21"/>
                <w:szCs w:val="21"/>
                <w:u w:val="none"/>
              </w:rPr>
              <w:t>要素</w:t>
            </w:r>
          </w:p>
        </w:tc>
        <w:tc>
          <w:tcPr>
            <w:tcW w:w="1517" w:type="dxa"/>
            <w:noWrap w:val="0"/>
            <w:vAlign w:val="center"/>
          </w:tcPr>
          <w:p>
            <w:pPr>
              <w:adjustRightInd w:val="0"/>
              <w:snapToGrid w:val="0"/>
              <w:jc w:val="center"/>
              <w:rPr>
                <w:sz w:val="21"/>
                <w:szCs w:val="21"/>
                <w:u w:val="none"/>
              </w:rPr>
            </w:pPr>
            <w:r>
              <w:rPr>
                <w:rFonts w:hAnsi="宋体"/>
                <w:sz w:val="21"/>
                <w:szCs w:val="21"/>
                <w:u w:val="none"/>
              </w:rPr>
              <w:t>排放口</w:t>
            </w:r>
            <w:r>
              <w:rPr>
                <w:sz w:val="21"/>
                <w:szCs w:val="21"/>
                <w:u w:val="none"/>
              </w:rPr>
              <w:t>(</w:t>
            </w:r>
            <w:r>
              <w:rPr>
                <w:rFonts w:hAnsi="宋体"/>
                <w:sz w:val="21"/>
                <w:szCs w:val="21"/>
                <w:u w:val="none"/>
              </w:rPr>
              <w:t>编号、</w:t>
            </w:r>
          </w:p>
          <w:p>
            <w:pPr>
              <w:adjustRightInd w:val="0"/>
              <w:snapToGrid w:val="0"/>
              <w:jc w:val="center"/>
              <w:rPr>
                <w:sz w:val="21"/>
                <w:szCs w:val="21"/>
                <w:u w:val="none"/>
              </w:rPr>
            </w:pPr>
            <w:r>
              <w:rPr>
                <w:rFonts w:hAnsi="宋体"/>
                <w:sz w:val="21"/>
                <w:szCs w:val="21"/>
                <w:u w:val="none"/>
              </w:rPr>
              <w:t>名称</w:t>
            </w:r>
            <w:r>
              <w:rPr>
                <w:sz w:val="21"/>
                <w:szCs w:val="21"/>
                <w:u w:val="none"/>
              </w:rPr>
              <w:t>)/</w:t>
            </w:r>
            <w:r>
              <w:rPr>
                <w:rFonts w:hAnsi="宋体"/>
                <w:sz w:val="21"/>
                <w:szCs w:val="21"/>
                <w:u w:val="none"/>
              </w:rPr>
              <w:t>污染源</w:t>
            </w:r>
          </w:p>
        </w:tc>
        <w:tc>
          <w:tcPr>
            <w:tcW w:w="1289" w:type="dxa"/>
            <w:noWrap w:val="0"/>
            <w:vAlign w:val="center"/>
          </w:tcPr>
          <w:p>
            <w:pPr>
              <w:adjustRightInd w:val="0"/>
              <w:snapToGrid w:val="0"/>
              <w:jc w:val="center"/>
              <w:rPr>
                <w:sz w:val="21"/>
                <w:szCs w:val="21"/>
                <w:u w:val="none"/>
              </w:rPr>
            </w:pPr>
            <w:r>
              <w:rPr>
                <w:rFonts w:hAnsi="宋体"/>
                <w:sz w:val="21"/>
                <w:szCs w:val="21"/>
                <w:u w:val="none"/>
              </w:rPr>
              <w:t>污染物项目</w:t>
            </w:r>
          </w:p>
        </w:tc>
        <w:tc>
          <w:tcPr>
            <w:tcW w:w="2261" w:type="dxa"/>
            <w:noWrap w:val="0"/>
            <w:vAlign w:val="center"/>
          </w:tcPr>
          <w:p>
            <w:pPr>
              <w:adjustRightInd w:val="0"/>
              <w:snapToGrid w:val="0"/>
              <w:jc w:val="center"/>
              <w:rPr>
                <w:sz w:val="21"/>
                <w:szCs w:val="21"/>
                <w:u w:val="none"/>
              </w:rPr>
            </w:pPr>
            <w:r>
              <w:rPr>
                <w:rFonts w:hAnsi="宋体"/>
                <w:sz w:val="21"/>
                <w:szCs w:val="21"/>
                <w:u w:val="none"/>
              </w:rPr>
              <w:t>环境保护措施</w:t>
            </w:r>
          </w:p>
        </w:tc>
        <w:tc>
          <w:tcPr>
            <w:tcW w:w="2654" w:type="dxa"/>
            <w:noWrap w:val="0"/>
            <w:vAlign w:val="center"/>
          </w:tcPr>
          <w:p>
            <w:pPr>
              <w:adjustRightInd w:val="0"/>
              <w:snapToGrid w:val="0"/>
              <w:jc w:val="center"/>
              <w:rPr>
                <w:sz w:val="21"/>
                <w:szCs w:val="21"/>
                <w:u w:val="none"/>
              </w:rPr>
            </w:pPr>
            <w:r>
              <w:rPr>
                <w:rFonts w:hAnsi="宋体"/>
                <w:sz w:val="21"/>
                <w:szCs w:val="21"/>
                <w:u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restart"/>
            <w:noWrap w:val="0"/>
            <w:vAlign w:val="center"/>
          </w:tcPr>
          <w:p>
            <w:pPr>
              <w:adjustRightInd w:val="0"/>
              <w:snapToGrid w:val="0"/>
              <w:jc w:val="center"/>
              <w:rPr>
                <w:sz w:val="21"/>
                <w:szCs w:val="21"/>
                <w:u w:val="none"/>
              </w:rPr>
            </w:pPr>
            <w:r>
              <w:rPr>
                <w:rFonts w:hAnsi="宋体"/>
                <w:sz w:val="21"/>
                <w:szCs w:val="21"/>
                <w:u w:val="none"/>
              </w:rPr>
              <w:t>大气环境</w:t>
            </w:r>
          </w:p>
        </w:tc>
        <w:tc>
          <w:tcPr>
            <w:tcW w:w="1517" w:type="dxa"/>
            <w:noWrap w:val="0"/>
            <w:vAlign w:val="center"/>
          </w:tcPr>
          <w:p>
            <w:pPr>
              <w:adjustRightInd w:val="0"/>
              <w:snapToGrid w:val="0"/>
              <w:jc w:val="center"/>
              <w:rPr>
                <w:rFonts w:hint="eastAsia" w:eastAsia="宋体"/>
                <w:kern w:val="2"/>
                <w:sz w:val="21"/>
                <w:szCs w:val="21"/>
                <w:u w:val="none"/>
                <w:lang w:val="en-US" w:eastAsia="zh-CN" w:bidi="ar-SA"/>
              </w:rPr>
            </w:pPr>
            <w:r>
              <w:rPr>
                <w:rFonts w:hint="eastAsia" w:eastAsia="宋体"/>
                <w:kern w:val="2"/>
                <w:sz w:val="21"/>
                <w:szCs w:val="21"/>
                <w:u w:val="none"/>
                <w:lang w:val="en-US" w:eastAsia="zh-CN" w:bidi="ar-SA"/>
              </w:rPr>
              <w:t>DA001废油液挥发废气</w:t>
            </w:r>
          </w:p>
        </w:tc>
        <w:tc>
          <w:tcPr>
            <w:tcW w:w="1289" w:type="dxa"/>
            <w:noWrap w:val="0"/>
            <w:vAlign w:val="center"/>
          </w:tcPr>
          <w:p>
            <w:pPr>
              <w:adjustRightInd w:val="0"/>
              <w:snapToGrid w:val="0"/>
              <w:jc w:val="center"/>
              <w:rPr>
                <w:rFonts w:hint="eastAsia" w:eastAsia="宋体"/>
                <w:kern w:val="2"/>
                <w:sz w:val="21"/>
                <w:szCs w:val="21"/>
                <w:u w:val="none"/>
                <w:lang w:val="en-US" w:eastAsia="zh-CN" w:bidi="ar-SA"/>
              </w:rPr>
            </w:pPr>
            <w:r>
              <w:rPr>
                <w:rFonts w:hint="eastAsia"/>
                <w:sz w:val="21"/>
                <w:szCs w:val="21"/>
                <w:u w:val="none"/>
                <w:lang w:eastAsia="zh-CN"/>
              </w:rPr>
              <w:t>非甲烷总烃</w:t>
            </w:r>
          </w:p>
        </w:tc>
        <w:tc>
          <w:tcPr>
            <w:tcW w:w="2261" w:type="dxa"/>
            <w:noWrap w:val="0"/>
            <w:vAlign w:val="center"/>
          </w:tcPr>
          <w:p>
            <w:pPr>
              <w:adjustRightInd w:val="0"/>
              <w:snapToGrid w:val="0"/>
              <w:jc w:val="center"/>
              <w:rPr>
                <w:kern w:val="2"/>
                <w:sz w:val="21"/>
                <w:szCs w:val="21"/>
                <w:u w:val="none"/>
                <w:lang w:val="en-US" w:eastAsia="zh-CN" w:bidi="ar-SA"/>
              </w:rPr>
            </w:pPr>
            <w:r>
              <w:rPr>
                <w:rFonts w:hint="default" w:eastAsia="宋体"/>
                <w:sz w:val="21"/>
                <w:szCs w:val="21"/>
                <w:u w:val="none"/>
                <w:lang w:val="en-US" w:eastAsia="zh-CN"/>
              </w:rPr>
              <w:t>集尘罩+</w:t>
            </w:r>
            <w:r>
              <w:rPr>
                <w:rFonts w:hint="eastAsia" w:eastAsia="宋体"/>
                <w:sz w:val="21"/>
                <w:szCs w:val="21"/>
                <w:u w:val="none"/>
                <w:lang w:val="en-US" w:eastAsia="zh-CN"/>
              </w:rPr>
              <w:t>活性炭吸附</w:t>
            </w:r>
            <w:r>
              <w:rPr>
                <w:rFonts w:hint="default" w:eastAsia="宋体"/>
                <w:sz w:val="21"/>
                <w:szCs w:val="21"/>
                <w:u w:val="none"/>
                <w:lang w:val="en-US" w:eastAsia="zh-CN"/>
              </w:rPr>
              <w:t>+15m高排气筒</w:t>
            </w:r>
          </w:p>
        </w:tc>
        <w:tc>
          <w:tcPr>
            <w:tcW w:w="2654" w:type="dxa"/>
            <w:noWrap w:val="0"/>
            <w:vAlign w:val="center"/>
          </w:tcPr>
          <w:p>
            <w:pPr>
              <w:adjustRightInd w:val="0"/>
              <w:snapToGrid w:val="0"/>
              <w:jc w:val="center"/>
              <w:rPr>
                <w:kern w:val="2"/>
                <w:sz w:val="21"/>
                <w:szCs w:val="21"/>
                <w:u w:val="none"/>
                <w:lang w:val="en-US" w:eastAsia="zh-CN" w:bidi="ar-SA"/>
              </w:rPr>
            </w:pPr>
            <w:r>
              <w:rPr>
                <w:rFonts w:hint="eastAsia"/>
                <w:sz w:val="21"/>
                <w:szCs w:val="21"/>
                <w:lang w:val="en-US" w:eastAsia="zh-CN"/>
              </w:rPr>
              <w:t>《大气污染物综合排放》（GB16297-1996）二级排放标准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rFonts w:hint="eastAsia"/>
                <w:kern w:val="2"/>
                <w:sz w:val="21"/>
                <w:szCs w:val="21"/>
                <w:u w:val="none"/>
                <w:lang w:val="en-US" w:eastAsia="zh-CN" w:bidi="ar-SA"/>
              </w:rPr>
            </w:pPr>
            <w:r>
              <w:rPr>
                <w:rFonts w:hint="eastAsia" w:eastAsia="宋体"/>
                <w:kern w:val="2"/>
                <w:sz w:val="21"/>
                <w:szCs w:val="21"/>
                <w:u w:val="none"/>
                <w:lang w:val="en-US" w:eastAsia="zh-CN" w:bidi="ar-SA"/>
              </w:rPr>
              <w:t>DA001</w:t>
            </w:r>
            <w:r>
              <w:rPr>
                <w:rFonts w:hint="eastAsia"/>
                <w:sz w:val="21"/>
                <w:szCs w:val="21"/>
                <w:u w:val="none"/>
                <w:lang w:val="en-US" w:eastAsia="zh-CN"/>
              </w:rPr>
              <w:t>危险废物暂存间</w:t>
            </w:r>
          </w:p>
        </w:tc>
        <w:tc>
          <w:tcPr>
            <w:tcW w:w="1289" w:type="dxa"/>
            <w:noWrap w:val="0"/>
            <w:vAlign w:val="center"/>
          </w:tcPr>
          <w:p>
            <w:pPr>
              <w:adjustRightInd w:val="0"/>
              <w:snapToGrid w:val="0"/>
              <w:jc w:val="center"/>
              <w:rPr>
                <w:rFonts w:hint="eastAsia"/>
                <w:kern w:val="2"/>
                <w:sz w:val="21"/>
                <w:szCs w:val="21"/>
                <w:u w:val="none"/>
                <w:lang w:val="en-US" w:eastAsia="zh-CN" w:bidi="ar-SA"/>
              </w:rPr>
            </w:pPr>
            <w:r>
              <w:rPr>
                <w:rFonts w:hint="eastAsia"/>
                <w:sz w:val="21"/>
                <w:szCs w:val="21"/>
                <w:u w:val="none"/>
                <w:lang w:eastAsia="zh-CN"/>
              </w:rPr>
              <w:t>非甲烷总烃</w:t>
            </w:r>
          </w:p>
        </w:tc>
        <w:tc>
          <w:tcPr>
            <w:tcW w:w="2261" w:type="dxa"/>
            <w:noWrap w:val="0"/>
            <w:vAlign w:val="center"/>
          </w:tcPr>
          <w:p>
            <w:pPr>
              <w:adjustRightInd w:val="0"/>
              <w:snapToGrid w:val="0"/>
              <w:jc w:val="center"/>
              <w:rPr>
                <w:rFonts w:hint="default" w:eastAsia="宋体"/>
                <w:kern w:val="2"/>
                <w:sz w:val="21"/>
                <w:szCs w:val="21"/>
                <w:u w:val="none"/>
                <w:lang w:val="en-US" w:eastAsia="zh-CN" w:bidi="ar-SA"/>
              </w:rPr>
            </w:pPr>
            <w:r>
              <w:rPr>
                <w:rFonts w:hint="default" w:ascii="Times New Roman" w:hAnsi="Times New Roman" w:cs="Times New Roman"/>
                <w:kern w:val="2"/>
                <w:sz w:val="21"/>
                <w:szCs w:val="21"/>
                <w:u w:val="none"/>
                <w:lang w:val="en-US" w:eastAsia="zh-CN" w:bidi="ar-SA"/>
              </w:rPr>
              <w:t>引风管道+活性炭吸附处理后与</w:t>
            </w:r>
            <w:r>
              <w:rPr>
                <w:rFonts w:hint="eastAsia"/>
                <w:sz w:val="21"/>
                <w:szCs w:val="21"/>
                <w:lang w:val="en-US" w:eastAsia="zh-CN"/>
              </w:rPr>
              <w:t>废油液挥发废气</w:t>
            </w:r>
            <w:r>
              <w:rPr>
                <w:rFonts w:hint="default" w:ascii="Times New Roman" w:hAnsi="Times New Roman" w:cs="Times New Roman"/>
                <w:kern w:val="2"/>
                <w:sz w:val="21"/>
                <w:szCs w:val="21"/>
                <w:u w:val="none"/>
                <w:lang w:val="en-US" w:eastAsia="zh-CN" w:bidi="ar-SA"/>
              </w:rPr>
              <w:t>一同经 15m高排气筒外排</w:t>
            </w:r>
          </w:p>
        </w:tc>
        <w:tc>
          <w:tcPr>
            <w:tcW w:w="2654" w:type="dxa"/>
            <w:noWrap w:val="0"/>
            <w:vAlign w:val="center"/>
          </w:tcPr>
          <w:p>
            <w:pPr>
              <w:adjustRightInd w:val="0"/>
              <w:snapToGrid w:val="0"/>
              <w:jc w:val="center"/>
              <w:rPr>
                <w:rFonts w:hint="eastAsia"/>
                <w:kern w:val="2"/>
                <w:sz w:val="21"/>
                <w:szCs w:val="21"/>
                <w:lang w:val="en-US" w:eastAsia="zh-CN" w:bidi="ar-SA"/>
              </w:rPr>
            </w:pPr>
            <w:r>
              <w:rPr>
                <w:rFonts w:hint="eastAsia"/>
                <w:sz w:val="21"/>
                <w:szCs w:val="21"/>
                <w:lang w:val="en-US" w:eastAsia="zh-CN"/>
              </w:rPr>
              <w:t>《大气污染物综合排放》（GB16297-1996）二级排放标准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kern w:val="2"/>
                <w:sz w:val="21"/>
                <w:szCs w:val="21"/>
                <w:u w:val="none"/>
                <w:lang w:val="en-US" w:eastAsia="zh-CN" w:bidi="ar-SA"/>
              </w:rPr>
            </w:pPr>
            <w:r>
              <w:rPr>
                <w:rFonts w:hint="eastAsia"/>
                <w:szCs w:val="21"/>
                <w:u w:val="none"/>
              </w:rPr>
              <w:t>制冷剂回收废气</w:t>
            </w:r>
          </w:p>
        </w:tc>
        <w:tc>
          <w:tcPr>
            <w:tcW w:w="1289" w:type="dxa"/>
            <w:noWrap w:val="0"/>
            <w:vAlign w:val="center"/>
          </w:tcPr>
          <w:p>
            <w:pPr>
              <w:adjustRightInd w:val="0"/>
              <w:snapToGrid w:val="0"/>
              <w:jc w:val="center"/>
              <w:rPr>
                <w:rFonts w:hint="eastAsia" w:eastAsia="宋体"/>
                <w:kern w:val="2"/>
                <w:sz w:val="21"/>
                <w:szCs w:val="21"/>
                <w:u w:val="none"/>
                <w:lang w:val="en-US" w:eastAsia="zh-CN" w:bidi="ar-SA"/>
              </w:rPr>
            </w:pPr>
            <w:r>
              <w:rPr>
                <w:rFonts w:hint="eastAsia"/>
                <w:sz w:val="21"/>
                <w:szCs w:val="21"/>
                <w:u w:val="none"/>
                <w:lang w:val="en-US" w:eastAsia="zh-CN"/>
              </w:rPr>
              <w:t>氟化物</w:t>
            </w:r>
          </w:p>
        </w:tc>
        <w:tc>
          <w:tcPr>
            <w:tcW w:w="2261" w:type="dxa"/>
            <w:noWrap w:val="0"/>
            <w:vAlign w:val="center"/>
          </w:tcPr>
          <w:p>
            <w:pPr>
              <w:adjustRightInd w:val="0"/>
              <w:snapToGrid w:val="0"/>
              <w:jc w:val="center"/>
              <w:rPr>
                <w:kern w:val="2"/>
                <w:sz w:val="21"/>
                <w:szCs w:val="21"/>
                <w:u w:val="none"/>
                <w:lang w:val="en-US" w:eastAsia="zh-CN" w:bidi="ar-SA"/>
              </w:rPr>
            </w:pPr>
            <w:r>
              <w:rPr>
                <w:rFonts w:hint="eastAsia"/>
                <w:sz w:val="21"/>
                <w:szCs w:val="21"/>
                <w:u w:val="none"/>
                <w:lang w:eastAsia="zh-CN"/>
              </w:rPr>
              <w:t>经</w:t>
            </w:r>
            <w:r>
              <w:rPr>
                <w:rFonts w:hint="eastAsia"/>
                <w:sz w:val="21"/>
                <w:szCs w:val="21"/>
                <w:u w:val="none"/>
              </w:rPr>
              <w:t>专门的制冷剂回收装置</w:t>
            </w:r>
            <w:r>
              <w:rPr>
                <w:rFonts w:hint="eastAsia"/>
                <w:szCs w:val="21"/>
              </w:rPr>
              <w:t>回收</w:t>
            </w:r>
          </w:p>
        </w:tc>
        <w:tc>
          <w:tcPr>
            <w:tcW w:w="2654" w:type="dxa"/>
            <w:vMerge w:val="restart"/>
            <w:noWrap w:val="0"/>
            <w:vAlign w:val="center"/>
          </w:tcPr>
          <w:p>
            <w:pPr>
              <w:adjustRightInd w:val="0"/>
              <w:snapToGrid w:val="0"/>
              <w:jc w:val="center"/>
              <w:rPr>
                <w:sz w:val="21"/>
                <w:szCs w:val="21"/>
                <w:u w:val="none"/>
              </w:rPr>
            </w:pPr>
            <w:r>
              <w:rPr>
                <w:rFonts w:hint="eastAsia"/>
                <w:sz w:val="21"/>
                <w:szCs w:val="21"/>
                <w:lang w:eastAsia="zh-CN"/>
              </w:rPr>
              <w:t>厂界浓度执行《大气污染物综合排放标准》（GB16297-1996）表2中无组织排放监控浓度限值要求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rFonts w:hint="eastAsia" w:eastAsia="宋体"/>
                <w:szCs w:val="21"/>
                <w:u w:val="none"/>
                <w:lang w:eastAsia="zh-CN"/>
              </w:rPr>
            </w:pPr>
            <w:r>
              <w:rPr>
                <w:rFonts w:hint="eastAsia"/>
                <w:szCs w:val="21"/>
                <w:u w:val="none"/>
                <w:lang w:eastAsia="zh-CN"/>
              </w:rPr>
              <w:t>拆解粉尘</w:t>
            </w:r>
          </w:p>
        </w:tc>
        <w:tc>
          <w:tcPr>
            <w:tcW w:w="1289" w:type="dxa"/>
            <w:noWrap w:val="0"/>
            <w:vAlign w:val="center"/>
          </w:tcPr>
          <w:p>
            <w:pPr>
              <w:adjustRightInd w:val="0"/>
              <w:snapToGrid w:val="0"/>
              <w:jc w:val="center"/>
              <w:rPr>
                <w:rFonts w:hint="eastAsia"/>
                <w:sz w:val="21"/>
                <w:szCs w:val="21"/>
                <w:u w:val="none"/>
                <w:lang w:val="en-US" w:eastAsia="zh-CN"/>
              </w:rPr>
            </w:pPr>
            <w:r>
              <w:rPr>
                <w:rFonts w:hint="eastAsia"/>
                <w:sz w:val="21"/>
                <w:szCs w:val="21"/>
                <w:u w:val="none"/>
                <w:lang w:val="en-US" w:eastAsia="zh-CN"/>
              </w:rPr>
              <w:t>颗粒物</w:t>
            </w:r>
          </w:p>
        </w:tc>
        <w:tc>
          <w:tcPr>
            <w:tcW w:w="2261" w:type="dxa"/>
            <w:noWrap w:val="0"/>
            <w:vAlign w:val="center"/>
          </w:tcPr>
          <w:p>
            <w:pPr>
              <w:adjustRightInd w:val="0"/>
              <w:snapToGrid w:val="0"/>
              <w:jc w:val="both"/>
              <w:rPr>
                <w:rFonts w:hint="eastAsia"/>
                <w:sz w:val="21"/>
                <w:szCs w:val="21"/>
                <w:u w:val="none"/>
                <w:lang w:eastAsia="zh-CN"/>
              </w:rPr>
            </w:pPr>
            <w:r>
              <w:rPr>
                <w:rFonts w:hint="eastAsia"/>
                <w:sz w:val="21"/>
                <w:szCs w:val="21"/>
                <w:u w:val="none"/>
                <w:lang w:eastAsia="zh-CN"/>
              </w:rPr>
              <w:t>及时清扫车间地面粉尘，加强车间通风</w:t>
            </w:r>
          </w:p>
        </w:tc>
        <w:tc>
          <w:tcPr>
            <w:tcW w:w="2654" w:type="dxa"/>
            <w:vMerge w:val="continue"/>
            <w:noWrap w:val="0"/>
            <w:vAlign w:val="center"/>
          </w:tcPr>
          <w:p>
            <w:pPr>
              <w:adjustRightInd w:val="0"/>
              <w:snapToGrid w:val="0"/>
              <w:jc w:val="center"/>
              <w:rPr>
                <w:rFonts w:hint="eastAsia"/>
                <w:sz w:val="21"/>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rFonts w:hint="eastAsia"/>
                <w:kern w:val="2"/>
                <w:sz w:val="21"/>
                <w:szCs w:val="21"/>
                <w:u w:val="none"/>
                <w:lang w:val="en-US" w:eastAsia="zh-CN" w:bidi="ar-SA"/>
              </w:rPr>
            </w:pPr>
            <w:r>
              <w:rPr>
                <w:rFonts w:hint="default" w:ascii="Times New Roman" w:hAnsi="Times New Roman" w:cs="Times New Roman"/>
                <w:b w:val="0"/>
                <w:bCs w:val="0"/>
                <w:sz w:val="21"/>
                <w:szCs w:val="21"/>
                <w:u w:val="none"/>
                <w:lang w:val="en-US" w:eastAsia="zh-CN"/>
              </w:rPr>
              <w:t>安全气囊废气</w:t>
            </w:r>
          </w:p>
        </w:tc>
        <w:tc>
          <w:tcPr>
            <w:tcW w:w="1289" w:type="dxa"/>
            <w:noWrap w:val="0"/>
            <w:vAlign w:val="center"/>
          </w:tcPr>
          <w:p>
            <w:pPr>
              <w:adjustRightInd w:val="0"/>
              <w:snapToGrid w:val="0"/>
              <w:jc w:val="center"/>
              <w:rPr>
                <w:rFonts w:hint="eastAsia" w:eastAsia="宋体"/>
                <w:kern w:val="2"/>
                <w:sz w:val="21"/>
                <w:szCs w:val="21"/>
                <w:u w:val="none"/>
                <w:lang w:val="en-US" w:eastAsia="zh-CN" w:bidi="ar-SA"/>
              </w:rPr>
            </w:pPr>
            <w:r>
              <w:rPr>
                <w:rFonts w:hint="eastAsia"/>
                <w:sz w:val="21"/>
                <w:szCs w:val="21"/>
                <w:u w:val="none"/>
                <w:lang w:eastAsia="zh-CN"/>
              </w:rPr>
              <w:t>颗粒物</w:t>
            </w:r>
          </w:p>
        </w:tc>
        <w:tc>
          <w:tcPr>
            <w:tcW w:w="2261" w:type="dxa"/>
            <w:noWrap w:val="0"/>
            <w:vAlign w:val="center"/>
          </w:tcPr>
          <w:p>
            <w:pPr>
              <w:adjustRightInd w:val="0"/>
              <w:snapToGrid w:val="0"/>
              <w:jc w:val="center"/>
              <w:rPr>
                <w:kern w:val="2"/>
                <w:sz w:val="21"/>
                <w:szCs w:val="21"/>
                <w:u w:val="none"/>
                <w:lang w:val="en-US" w:eastAsia="zh-CN" w:bidi="ar-SA"/>
              </w:rPr>
            </w:pPr>
            <w:r>
              <w:rPr>
                <w:rFonts w:hint="default" w:ascii="Times New Roman" w:hAnsi="Times New Roman" w:cs="Times New Roman"/>
                <w:b w:val="0"/>
                <w:bCs w:val="0"/>
                <w:sz w:val="21"/>
                <w:szCs w:val="21"/>
                <w:lang w:val="en-US" w:eastAsia="zh-CN"/>
              </w:rPr>
              <w:t>经爆破自带收尘系统过滤</w:t>
            </w:r>
          </w:p>
        </w:tc>
        <w:tc>
          <w:tcPr>
            <w:tcW w:w="2654" w:type="dxa"/>
            <w:vMerge w:val="continue"/>
            <w:noWrap w:val="0"/>
            <w:vAlign w:val="center"/>
          </w:tcPr>
          <w:p>
            <w:pPr>
              <w:adjustRightInd w:val="0"/>
              <w:snapToGrid w:val="0"/>
              <w:jc w:val="center"/>
              <w:rPr>
                <w:sz w:val="21"/>
                <w:szCs w:val="21"/>
                <w:u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rFonts w:hint="eastAsia"/>
                <w:kern w:val="2"/>
                <w:sz w:val="21"/>
                <w:szCs w:val="21"/>
                <w:lang w:val="en-US" w:eastAsia="zh-CN" w:bidi="ar-SA"/>
              </w:rPr>
            </w:pPr>
            <w:r>
              <w:rPr>
                <w:rFonts w:hint="eastAsia"/>
                <w:sz w:val="21"/>
                <w:szCs w:val="21"/>
                <w:lang w:eastAsia="zh-CN"/>
              </w:rPr>
              <w:t>食堂</w:t>
            </w:r>
          </w:p>
        </w:tc>
        <w:tc>
          <w:tcPr>
            <w:tcW w:w="1289" w:type="dxa"/>
            <w:noWrap w:val="0"/>
            <w:vAlign w:val="center"/>
          </w:tcPr>
          <w:p>
            <w:pPr>
              <w:adjustRightInd w:val="0"/>
              <w:snapToGrid w:val="0"/>
              <w:jc w:val="center"/>
              <w:rPr>
                <w:rFonts w:hint="eastAsia"/>
                <w:kern w:val="2"/>
                <w:sz w:val="21"/>
                <w:szCs w:val="21"/>
                <w:lang w:val="en-US" w:eastAsia="zh-CN" w:bidi="ar-SA"/>
              </w:rPr>
            </w:pPr>
            <w:r>
              <w:rPr>
                <w:rFonts w:hint="eastAsia"/>
                <w:sz w:val="21"/>
                <w:szCs w:val="21"/>
                <w:lang w:eastAsia="zh-CN"/>
              </w:rPr>
              <w:t>食堂油烟</w:t>
            </w:r>
          </w:p>
        </w:tc>
        <w:tc>
          <w:tcPr>
            <w:tcW w:w="2261" w:type="dxa"/>
            <w:noWrap w:val="0"/>
            <w:vAlign w:val="center"/>
          </w:tcPr>
          <w:p>
            <w:pPr>
              <w:adjustRightInd w:val="0"/>
              <w:snapToGrid w:val="0"/>
              <w:jc w:val="center"/>
              <w:rPr>
                <w:rFonts w:hint="eastAsia"/>
                <w:kern w:val="2"/>
                <w:sz w:val="21"/>
                <w:szCs w:val="21"/>
                <w:lang w:val="en-US" w:eastAsia="zh-CN" w:bidi="ar-SA"/>
              </w:rPr>
            </w:pPr>
            <w:r>
              <w:rPr>
                <w:rFonts w:hint="eastAsia"/>
                <w:sz w:val="21"/>
                <w:szCs w:val="21"/>
                <w:lang w:eastAsia="zh-CN"/>
              </w:rPr>
              <w:t>油烟净化器</w:t>
            </w:r>
          </w:p>
        </w:tc>
        <w:tc>
          <w:tcPr>
            <w:tcW w:w="2654" w:type="dxa"/>
            <w:noWrap w:val="0"/>
            <w:vAlign w:val="center"/>
          </w:tcPr>
          <w:p>
            <w:pPr>
              <w:adjustRightInd w:val="0"/>
              <w:snapToGrid w:val="0"/>
              <w:jc w:val="center"/>
              <w:rPr>
                <w:rFonts w:hint="eastAsia"/>
                <w:kern w:val="2"/>
                <w:sz w:val="21"/>
                <w:szCs w:val="21"/>
                <w:lang w:val="en-US" w:eastAsia="zh-CN" w:bidi="ar-SA"/>
              </w:rPr>
            </w:pPr>
            <w:r>
              <w:rPr>
                <w:rFonts w:hint="eastAsia"/>
                <w:sz w:val="21"/>
                <w:szCs w:val="21"/>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DA002废钢铁废气</w:t>
            </w:r>
          </w:p>
        </w:tc>
        <w:tc>
          <w:tcPr>
            <w:tcW w:w="1289" w:type="dxa"/>
            <w:noWrap w:val="0"/>
            <w:vAlign w:val="center"/>
          </w:tcPr>
          <w:p>
            <w:pPr>
              <w:adjustRightInd w:val="0"/>
              <w:snapToGrid w:val="0"/>
              <w:jc w:val="center"/>
              <w:rPr>
                <w:rFonts w:hint="default"/>
                <w:sz w:val="21"/>
                <w:szCs w:val="21"/>
                <w:lang w:val="en-US" w:eastAsia="zh-CN"/>
              </w:rPr>
            </w:pPr>
            <w:r>
              <w:rPr>
                <w:rFonts w:hint="eastAsia"/>
                <w:sz w:val="21"/>
                <w:szCs w:val="21"/>
                <w:lang w:val="en-US" w:eastAsia="zh-CN"/>
              </w:rPr>
              <w:t>颗粒物</w:t>
            </w:r>
          </w:p>
        </w:tc>
        <w:tc>
          <w:tcPr>
            <w:tcW w:w="2261" w:type="dxa"/>
            <w:noWrap w:val="0"/>
            <w:vAlign w:val="center"/>
          </w:tcPr>
          <w:p>
            <w:pPr>
              <w:adjustRightInd w:val="0"/>
              <w:snapToGrid w:val="0"/>
              <w:jc w:val="center"/>
              <w:rPr>
                <w:rFonts w:hint="eastAsia"/>
                <w:sz w:val="21"/>
                <w:szCs w:val="21"/>
                <w:lang w:eastAsia="zh-CN"/>
              </w:rPr>
            </w:pPr>
            <w:r>
              <w:rPr>
                <w:rFonts w:hint="default" w:eastAsia="宋体"/>
                <w:sz w:val="21"/>
                <w:szCs w:val="21"/>
                <w:u w:val="none"/>
                <w:lang w:val="en-US" w:eastAsia="zh-CN"/>
              </w:rPr>
              <w:t>集尘罩+布袋除尘器+15m高排气筒</w:t>
            </w:r>
          </w:p>
        </w:tc>
        <w:tc>
          <w:tcPr>
            <w:tcW w:w="2654" w:type="dxa"/>
            <w:noWrap w:val="0"/>
            <w:vAlign w:val="center"/>
          </w:tcPr>
          <w:p>
            <w:pPr>
              <w:adjustRightInd w:val="0"/>
              <w:snapToGrid w:val="0"/>
              <w:jc w:val="center"/>
              <w:rPr>
                <w:rFonts w:hint="eastAsia"/>
                <w:sz w:val="21"/>
                <w:szCs w:val="21"/>
              </w:rPr>
            </w:pPr>
            <w:r>
              <w:rPr>
                <w:rFonts w:hint="eastAsia"/>
                <w:sz w:val="21"/>
                <w:szCs w:val="21"/>
                <w:lang w:val="en-US" w:eastAsia="zh-CN"/>
              </w:rPr>
              <w:t>《大气污染物综合排放》（GB16297-1996）二级排放标准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restart"/>
            <w:noWrap w:val="0"/>
            <w:vAlign w:val="center"/>
          </w:tcPr>
          <w:p>
            <w:pPr>
              <w:adjustRightInd w:val="0"/>
              <w:snapToGrid w:val="0"/>
              <w:jc w:val="center"/>
              <w:rPr>
                <w:sz w:val="21"/>
                <w:szCs w:val="21"/>
                <w:u w:val="none"/>
              </w:rPr>
            </w:pPr>
            <w:r>
              <w:rPr>
                <w:rFonts w:hAnsi="宋体"/>
                <w:sz w:val="21"/>
                <w:szCs w:val="21"/>
                <w:u w:val="none"/>
              </w:rPr>
              <w:t>地表水环境</w:t>
            </w:r>
          </w:p>
        </w:tc>
        <w:tc>
          <w:tcPr>
            <w:tcW w:w="1517" w:type="dxa"/>
            <w:noWrap w:val="0"/>
            <w:vAlign w:val="center"/>
          </w:tcPr>
          <w:p>
            <w:pPr>
              <w:adjustRightInd w:val="0"/>
              <w:snapToGrid w:val="0"/>
              <w:jc w:val="center"/>
              <w:rPr>
                <w:sz w:val="21"/>
                <w:szCs w:val="21"/>
                <w:u w:val="none"/>
              </w:rPr>
            </w:pPr>
            <w:r>
              <w:rPr>
                <w:rFonts w:hint="eastAsia"/>
                <w:bCs/>
                <w:sz w:val="21"/>
                <w:szCs w:val="21"/>
                <w:u w:val="single"/>
                <w:lang w:val="en-US" w:eastAsia="zh-CN"/>
              </w:rPr>
              <w:t>DW001（</w:t>
            </w:r>
            <w:r>
              <w:rPr>
                <w:rFonts w:hint="eastAsia"/>
                <w:bCs/>
                <w:sz w:val="21"/>
                <w:szCs w:val="21"/>
                <w:u w:val="single"/>
              </w:rPr>
              <w:t>拆解车间地面</w:t>
            </w:r>
            <w:r>
              <w:rPr>
                <w:rFonts w:hint="eastAsia"/>
                <w:bCs/>
                <w:sz w:val="21"/>
                <w:szCs w:val="21"/>
                <w:u w:val="single"/>
                <w:lang w:val="en-US" w:eastAsia="zh-CN"/>
              </w:rPr>
              <w:t>清洁</w:t>
            </w:r>
            <w:r>
              <w:rPr>
                <w:rFonts w:hint="eastAsia"/>
                <w:bCs/>
                <w:sz w:val="21"/>
                <w:szCs w:val="21"/>
                <w:u w:val="single"/>
              </w:rPr>
              <w:t>废水</w:t>
            </w:r>
            <w:r>
              <w:rPr>
                <w:rFonts w:hint="eastAsia"/>
                <w:bCs/>
                <w:sz w:val="21"/>
                <w:szCs w:val="21"/>
                <w:u w:val="single"/>
                <w:lang w:val="en-US" w:eastAsia="zh-CN"/>
              </w:rPr>
              <w:t>+初期雨水）</w:t>
            </w:r>
          </w:p>
        </w:tc>
        <w:tc>
          <w:tcPr>
            <w:tcW w:w="1289" w:type="dxa"/>
            <w:noWrap w:val="0"/>
            <w:vAlign w:val="center"/>
          </w:tcPr>
          <w:p>
            <w:pPr>
              <w:adjustRightInd w:val="0"/>
              <w:snapToGrid w:val="0"/>
              <w:jc w:val="center"/>
              <w:rPr>
                <w:sz w:val="21"/>
                <w:szCs w:val="21"/>
                <w:u w:val="none"/>
              </w:rPr>
            </w:pPr>
            <w:r>
              <w:rPr>
                <w:rFonts w:hint="eastAsia"/>
                <w:bCs/>
                <w:sz w:val="21"/>
                <w:szCs w:val="21"/>
                <w:u w:val="none"/>
              </w:rPr>
              <w:t>COD、SS、石油类等</w:t>
            </w:r>
          </w:p>
        </w:tc>
        <w:tc>
          <w:tcPr>
            <w:tcW w:w="2261" w:type="dxa"/>
            <w:noWrap w:val="0"/>
            <w:vAlign w:val="center"/>
          </w:tcPr>
          <w:p>
            <w:pPr>
              <w:adjustRightInd w:val="0"/>
              <w:snapToGrid w:val="0"/>
              <w:jc w:val="center"/>
              <w:rPr>
                <w:sz w:val="21"/>
                <w:szCs w:val="21"/>
                <w:u w:val="none"/>
              </w:rPr>
            </w:pPr>
            <w:r>
              <w:rPr>
                <w:rFonts w:hint="eastAsia"/>
                <w:sz w:val="21"/>
                <w:szCs w:val="21"/>
                <w:lang w:eastAsia="zh-CN"/>
              </w:rPr>
              <w:t>通过</w:t>
            </w:r>
            <w:r>
              <w:rPr>
                <w:rFonts w:hint="eastAsia" w:ascii="Calibri" w:hAnsi="Calibri" w:eastAsia="宋体" w:cs="Times New Roman"/>
                <w:sz w:val="21"/>
                <w:szCs w:val="21"/>
                <w:lang w:eastAsia="zh-CN"/>
              </w:rPr>
              <w:t>废水处理</w:t>
            </w:r>
            <w:r>
              <w:rPr>
                <w:rFonts w:hint="eastAsia" w:ascii="Calibri" w:hAnsi="Calibri" w:eastAsia="宋体" w:cs="Times New Roman"/>
                <w:sz w:val="21"/>
                <w:szCs w:val="21"/>
                <w:lang w:val="en-US" w:eastAsia="zh-CN"/>
              </w:rPr>
              <w:t>设施（隔油池+气浮机）</w:t>
            </w:r>
            <w:r>
              <w:rPr>
                <w:rFonts w:hint="eastAsia" w:ascii="Calibri" w:hAnsi="Calibri" w:eastAsia="宋体" w:cs="Times New Roman"/>
                <w:sz w:val="21"/>
                <w:szCs w:val="21"/>
              </w:rPr>
              <w:t>处理后</w:t>
            </w:r>
            <w:r>
              <w:rPr>
                <w:rFonts w:hint="eastAsia" w:ascii="Calibri" w:hAnsi="Calibri" w:eastAsia="宋体" w:cs="Times New Roman"/>
                <w:sz w:val="21"/>
                <w:szCs w:val="21"/>
                <w:lang w:eastAsia="zh-CN"/>
              </w:rPr>
              <w:t>进入</w:t>
            </w:r>
            <w:r>
              <w:rPr>
                <w:rFonts w:hint="eastAsia" w:ascii="Calibri" w:hAnsi="Calibri" w:eastAsia="宋体" w:cs="Times New Roman"/>
                <w:sz w:val="21"/>
                <w:szCs w:val="21"/>
                <w:lang w:val="en-US" w:eastAsia="zh-CN"/>
              </w:rPr>
              <w:t>靖州县工业集中区甘太污水处理厂</w:t>
            </w:r>
            <w:r>
              <w:rPr>
                <w:rFonts w:hint="eastAsia" w:ascii="Calibri" w:hAnsi="Calibri" w:eastAsia="宋体" w:cs="Times New Roman"/>
                <w:sz w:val="21"/>
                <w:szCs w:val="21"/>
                <w:lang w:eastAsia="zh-CN"/>
              </w:rPr>
              <w:t>处理后外排入渠水</w:t>
            </w:r>
          </w:p>
        </w:tc>
        <w:tc>
          <w:tcPr>
            <w:tcW w:w="2654" w:type="dxa"/>
            <w:noWrap w:val="0"/>
            <w:vAlign w:val="center"/>
          </w:tcPr>
          <w:p>
            <w:pPr>
              <w:adjustRightInd w:val="0"/>
              <w:snapToGrid w:val="0"/>
              <w:jc w:val="center"/>
              <w:rPr>
                <w:sz w:val="21"/>
                <w:szCs w:val="21"/>
                <w:u w:val="none"/>
              </w:rPr>
            </w:pPr>
            <w:r>
              <w:rPr>
                <w:rFonts w:hint="eastAsia"/>
                <w:sz w:val="21"/>
                <w:szCs w:val="21"/>
                <w:u w:val="none"/>
                <w:lang w:bidi="en-US"/>
              </w:rPr>
              <w:t>执行《污水综合排放标准》（GB8978-1996）三级标准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vMerge w:val="continue"/>
            <w:noWrap w:val="0"/>
            <w:vAlign w:val="center"/>
          </w:tcPr>
          <w:p>
            <w:pPr>
              <w:adjustRightInd w:val="0"/>
              <w:snapToGrid w:val="0"/>
              <w:jc w:val="center"/>
              <w:rPr>
                <w:sz w:val="21"/>
                <w:szCs w:val="21"/>
                <w:u w:val="none"/>
              </w:rPr>
            </w:pPr>
          </w:p>
        </w:tc>
        <w:tc>
          <w:tcPr>
            <w:tcW w:w="1517" w:type="dxa"/>
            <w:noWrap w:val="0"/>
            <w:vAlign w:val="center"/>
          </w:tcPr>
          <w:p>
            <w:pPr>
              <w:adjustRightInd w:val="0"/>
              <w:snapToGrid w:val="0"/>
              <w:jc w:val="center"/>
              <w:rPr>
                <w:sz w:val="21"/>
                <w:szCs w:val="21"/>
                <w:u w:val="none"/>
              </w:rPr>
            </w:pPr>
            <w:r>
              <w:rPr>
                <w:rFonts w:hint="eastAsia"/>
                <w:bCs/>
                <w:sz w:val="21"/>
                <w:szCs w:val="21"/>
                <w:u w:val="none"/>
                <w:lang w:val="en-US" w:eastAsia="zh-CN"/>
              </w:rPr>
              <w:t>DW001（</w:t>
            </w:r>
            <w:r>
              <w:rPr>
                <w:rFonts w:hint="eastAsia"/>
                <w:sz w:val="21"/>
                <w:szCs w:val="21"/>
                <w:u w:val="none"/>
              </w:rPr>
              <w:t>生活污水</w:t>
            </w:r>
            <w:r>
              <w:rPr>
                <w:rFonts w:hint="eastAsia"/>
                <w:bCs/>
                <w:sz w:val="21"/>
                <w:szCs w:val="21"/>
                <w:u w:val="none"/>
                <w:lang w:val="en-US" w:eastAsia="zh-CN"/>
              </w:rPr>
              <w:t>）</w:t>
            </w:r>
          </w:p>
        </w:tc>
        <w:tc>
          <w:tcPr>
            <w:tcW w:w="1289" w:type="dxa"/>
            <w:noWrap w:val="0"/>
            <w:vAlign w:val="center"/>
          </w:tcPr>
          <w:p>
            <w:pPr>
              <w:adjustRightInd w:val="0"/>
              <w:snapToGrid w:val="0"/>
              <w:jc w:val="center"/>
              <w:rPr>
                <w:sz w:val="21"/>
                <w:szCs w:val="21"/>
                <w:u w:val="none"/>
              </w:rPr>
            </w:pPr>
            <w:r>
              <w:rPr>
                <w:rFonts w:hint="eastAsia"/>
                <w:bCs/>
                <w:sz w:val="21"/>
                <w:szCs w:val="21"/>
                <w:u w:val="none"/>
              </w:rPr>
              <w:t>COD、BOD</w:t>
            </w:r>
            <w:r>
              <w:rPr>
                <w:rFonts w:hint="eastAsia"/>
                <w:bCs/>
                <w:sz w:val="21"/>
                <w:szCs w:val="21"/>
                <w:u w:val="none"/>
                <w:vertAlign w:val="subscript"/>
              </w:rPr>
              <w:t>5</w:t>
            </w:r>
            <w:r>
              <w:rPr>
                <w:rFonts w:hint="eastAsia"/>
                <w:bCs/>
                <w:sz w:val="21"/>
                <w:szCs w:val="21"/>
                <w:u w:val="none"/>
              </w:rPr>
              <w:t>、SS、氨氮等</w:t>
            </w:r>
          </w:p>
        </w:tc>
        <w:tc>
          <w:tcPr>
            <w:tcW w:w="2261" w:type="dxa"/>
            <w:noWrap w:val="0"/>
            <w:vAlign w:val="center"/>
          </w:tcPr>
          <w:p>
            <w:pPr>
              <w:adjustRightInd w:val="0"/>
              <w:snapToGrid w:val="0"/>
              <w:jc w:val="center"/>
              <w:rPr>
                <w:rFonts w:hint="default" w:eastAsia="宋体"/>
                <w:sz w:val="21"/>
                <w:szCs w:val="21"/>
                <w:u w:val="none"/>
                <w:lang w:val="en-US" w:eastAsia="zh-CN"/>
              </w:rPr>
            </w:pPr>
            <w:r>
              <w:rPr>
                <w:rFonts w:hint="default" w:ascii="Times New Roman" w:hAnsi="Times New Roman" w:eastAsia="宋体" w:cs="Times New Roman"/>
                <w:color w:val="auto"/>
                <w:sz w:val="21"/>
                <w:szCs w:val="21"/>
                <w:highlight w:val="none"/>
                <w:u w:val="none"/>
                <w:lang w:eastAsia="zh-CN"/>
              </w:rPr>
              <w:t>经化粪池</w:t>
            </w:r>
            <w:r>
              <w:rPr>
                <w:rFonts w:hint="default" w:ascii="Times New Roman" w:hAnsi="Times New Roman" w:eastAsia="宋体" w:cs="Times New Roman"/>
                <w:color w:val="auto"/>
                <w:sz w:val="21"/>
                <w:szCs w:val="21"/>
                <w:highlight w:val="none"/>
                <w:u w:val="none"/>
              </w:rPr>
              <w:t>收集</w:t>
            </w:r>
            <w:r>
              <w:rPr>
                <w:rFonts w:hint="default" w:ascii="Times New Roman" w:hAnsi="Times New Roman" w:eastAsia="宋体" w:cs="Times New Roman"/>
                <w:color w:val="auto"/>
                <w:sz w:val="21"/>
                <w:szCs w:val="21"/>
                <w:highlight w:val="none"/>
                <w:u w:val="none"/>
                <w:lang w:eastAsia="zh-CN"/>
              </w:rPr>
              <w:t>处理</w:t>
            </w:r>
            <w:r>
              <w:rPr>
                <w:rFonts w:hint="default" w:ascii="Times New Roman" w:hAnsi="Times New Roman" w:eastAsia="宋体" w:cs="Times New Roman"/>
                <w:color w:val="auto"/>
                <w:sz w:val="21"/>
                <w:szCs w:val="21"/>
                <w:highlight w:val="none"/>
                <w:u w:val="none"/>
              </w:rPr>
              <w:t>后，</w:t>
            </w:r>
            <w:r>
              <w:rPr>
                <w:rFonts w:hint="default" w:ascii="Times New Roman" w:hAnsi="Times New Roman" w:eastAsia="宋体" w:cs="Times New Roman"/>
                <w:color w:val="auto"/>
                <w:sz w:val="21"/>
                <w:szCs w:val="21"/>
                <w:highlight w:val="none"/>
                <w:u w:val="none"/>
                <w:lang w:eastAsia="zh-CN"/>
              </w:rPr>
              <w:t>进入</w:t>
            </w:r>
            <w:r>
              <w:rPr>
                <w:rFonts w:hint="default" w:ascii="Times New Roman" w:hAnsi="Times New Roman" w:eastAsia="宋体" w:cs="Times New Roman"/>
                <w:color w:val="auto"/>
                <w:sz w:val="21"/>
                <w:szCs w:val="21"/>
                <w:highlight w:val="none"/>
                <w:u w:val="none"/>
                <w:lang w:val="en-US" w:eastAsia="zh-CN"/>
              </w:rPr>
              <w:t>靖州县工业集中区甘太污水处理厂</w:t>
            </w:r>
            <w:r>
              <w:rPr>
                <w:rFonts w:hint="eastAsia" w:ascii="Calibri" w:hAnsi="Calibri" w:eastAsia="宋体" w:cs="Times New Roman"/>
                <w:sz w:val="21"/>
                <w:szCs w:val="21"/>
                <w:lang w:eastAsia="zh-CN"/>
              </w:rPr>
              <w:t>处理后外排入渠水</w:t>
            </w:r>
          </w:p>
        </w:tc>
        <w:tc>
          <w:tcPr>
            <w:tcW w:w="2654" w:type="dxa"/>
            <w:noWrap w:val="0"/>
            <w:vAlign w:val="center"/>
          </w:tcPr>
          <w:p>
            <w:pPr>
              <w:adjustRightInd w:val="0"/>
              <w:snapToGrid w:val="0"/>
              <w:jc w:val="center"/>
              <w:rPr>
                <w:rFonts w:hint="eastAsia" w:eastAsia="宋体"/>
                <w:sz w:val="21"/>
                <w:szCs w:val="21"/>
                <w:u w:val="none"/>
                <w:lang w:val="en-US" w:eastAsia="zh-CN"/>
              </w:rPr>
            </w:pPr>
            <w:r>
              <w:rPr>
                <w:rFonts w:hint="eastAsia"/>
                <w:sz w:val="21"/>
                <w:szCs w:val="21"/>
                <w:u w:val="none"/>
                <w:lang w:bidi="en-US"/>
              </w:rPr>
              <w:t>氨氮执行《污水排入城镇下水道水质标准》（GB/T31962-2015）B等级标准，</w:t>
            </w:r>
            <w:r>
              <w:rPr>
                <w:rFonts w:hint="eastAsia"/>
                <w:sz w:val="21"/>
                <w:szCs w:val="21"/>
                <w:u w:val="none"/>
                <w:lang w:val="en-US" w:eastAsia="zh-CN" w:bidi="en-US"/>
              </w:rPr>
              <w:t>其他因子</w:t>
            </w:r>
            <w:r>
              <w:rPr>
                <w:rFonts w:hint="default" w:ascii="Times New Roman" w:hAnsi="Times New Roman" w:eastAsia="宋体" w:cs="Times New Roman"/>
                <w:bCs/>
                <w:color w:val="auto"/>
                <w:sz w:val="21"/>
                <w:szCs w:val="21"/>
                <w:u w:val="none"/>
                <w:lang w:eastAsia="zh-CN"/>
              </w:rPr>
              <w:t>执行</w:t>
            </w:r>
            <w:r>
              <w:rPr>
                <w:rFonts w:hint="default" w:ascii="Times New Roman" w:hAnsi="Times New Roman" w:eastAsia="宋体" w:cs="Times New Roman"/>
                <w:bCs/>
                <w:color w:val="auto"/>
                <w:sz w:val="21"/>
                <w:szCs w:val="21"/>
                <w:u w:val="none"/>
              </w:rPr>
              <w:t>《污水综合排放标准》（GB8976-1996）</w:t>
            </w:r>
            <w:r>
              <w:rPr>
                <w:rFonts w:hint="default" w:ascii="Times New Roman" w:hAnsi="Times New Roman" w:eastAsia="宋体" w:cs="Times New Roman"/>
                <w:bCs/>
                <w:color w:val="auto"/>
                <w:sz w:val="21"/>
                <w:szCs w:val="21"/>
                <w:u w:val="none"/>
                <w:lang w:eastAsia="zh-CN"/>
              </w:rPr>
              <w:t>三</w:t>
            </w:r>
            <w:r>
              <w:rPr>
                <w:rFonts w:hint="default" w:ascii="Times New Roman" w:hAnsi="Times New Roman" w:eastAsia="宋体" w:cs="Times New Roman"/>
                <w:bCs/>
                <w:color w:val="auto"/>
                <w:sz w:val="21"/>
                <w:szCs w:val="21"/>
                <w:u w:val="none"/>
              </w:rPr>
              <w:t>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29" w:type="dxa"/>
            <w:noWrap w:val="0"/>
            <w:vAlign w:val="center"/>
          </w:tcPr>
          <w:p>
            <w:pPr>
              <w:adjustRightInd w:val="0"/>
              <w:snapToGrid w:val="0"/>
              <w:jc w:val="center"/>
              <w:rPr>
                <w:sz w:val="21"/>
                <w:szCs w:val="21"/>
                <w:u w:val="none"/>
              </w:rPr>
            </w:pPr>
            <w:r>
              <w:rPr>
                <w:rFonts w:hAnsi="宋体"/>
                <w:sz w:val="21"/>
                <w:szCs w:val="21"/>
                <w:u w:val="none"/>
              </w:rPr>
              <w:t>声环境</w:t>
            </w:r>
          </w:p>
        </w:tc>
        <w:tc>
          <w:tcPr>
            <w:tcW w:w="1517" w:type="dxa"/>
            <w:noWrap w:val="0"/>
            <w:vAlign w:val="center"/>
          </w:tcPr>
          <w:p>
            <w:pPr>
              <w:adjustRightInd w:val="0"/>
              <w:snapToGrid w:val="0"/>
              <w:jc w:val="center"/>
              <w:rPr>
                <w:sz w:val="21"/>
                <w:szCs w:val="21"/>
                <w:u w:val="none"/>
              </w:rPr>
            </w:pPr>
            <w:r>
              <w:rPr>
                <w:rFonts w:hint="eastAsia"/>
                <w:sz w:val="21"/>
                <w:szCs w:val="21"/>
                <w:u w:val="none"/>
                <w:lang w:eastAsia="zh-CN"/>
              </w:rPr>
              <w:t>机械</w:t>
            </w:r>
            <w:r>
              <w:rPr>
                <w:sz w:val="21"/>
                <w:szCs w:val="21"/>
                <w:u w:val="none"/>
              </w:rPr>
              <w:t>设备噪声</w:t>
            </w:r>
          </w:p>
        </w:tc>
        <w:tc>
          <w:tcPr>
            <w:tcW w:w="1289" w:type="dxa"/>
            <w:noWrap w:val="0"/>
            <w:vAlign w:val="center"/>
          </w:tcPr>
          <w:p>
            <w:pPr>
              <w:adjustRightInd w:val="0"/>
              <w:snapToGrid w:val="0"/>
              <w:jc w:val="center"/>
              <w:rPr>
                <w:sz w:val="21"/>
                <w:szCs w:val="21"/>
                <w:u w:val="none"/>
              </w:rPr>
            </w:pPr>
            <w:r>
              <w:rPr>
                <w:rFonts w:hint="eastAsia"/>
                <w:sz w:val="21"/>
                <w:szCs w:val="21"/>
                <w:u w:val="none"/>
              </w:rPr>
              <w:t>等效连续A声级</w:t>
            </w:r>
          </w:p>
        </w:tc>
        <w:tc>
          <w:tcPr>
            <w:tcW w:w="2261" w:type="dxa"/>
            <w:noWrap w:val="0"/>
            <w:vAlign w:val="center"/>
          </w:tcPr>
          <w:p>
            <w:pPr>
              <w:adjustRightInd w:val="0"/>
              <w:snapToGrid w:val="0"/>
              <w:jc w:val="center"/>
              <w:rPr>
                <w:sz w:val="21"/>
                <w:szCs w:val="21"/>
                <w:u w:val="none"/>
              </w:rPr>
            </w:pPr>
            <w:r>
              <w:rPr>
                <w:rFonts w:hAnsi="宋体"/>
                <w:sz w:val="21"/>
                <w:szCs w:val="21"/>
                <w:u w:val="none"/>
              </w:rPr>
              <w:t>基础减振、厂房隔声</w:t>
            </w:r>
            <w:r>
              <w:rPr>
                <w:rFonts w:hint="eastAsia" w:hAnsi="宋体"/>
                <w:sz w:val="21"/>
                <w:szCs w:val="21"/>
                <w:u w:val="none"/>
              </w:rPr>
              <w:t>、距离衰减</w:t>
            </w:r>
          </w:p>
        </w:tc>
        <w:tc>
          <w:tcPr>
            <w:tcW w:w="2654" w:type="dxa"/>
            <w:noWrap w:val="0"/>
            <w:vAlign w:val="center"/>
          </w:tcPr>
          <w:p>
            <w:pPr>
              <w:adjustRightInd w:val="0"/>
              <w:snapToGrid w:val="0"/>
              <w:jc w:val="center"/>
              <w:rPr>
                <w:sz w:val="21"/>
                <w:szCs w:val="21"/>
                <w:u w:val="none"/>
              </w:rPr>
            </w:pPr>
            <w:r>
              <w:rPr>
                <w:rFonts w:hint="eastAsia"/>
                <w:sz w:val="21"/>
                <w:szCs w:val="21"/>
                <w:u w:val="none"/>
                <w:lang w:eastAsia="zh-CN"/>
              </w:rPr>
              <w:t>厂界东、西、北侧</w:t>
            </w:r>
            <w:r>
              <w:rPr>
                <w:sz w:val="21"/>
                <w:szCs w:val="21"/>
                <w:u w:val="none"/>
              </w:rPr>
              <w:t>执行《工业企业厂界环境噪声排放标准》（GB12348-2008）</w:t>
            </w:r>
            <w:r>
              <w:rPr>
                <w:rFonts w:hint="eastAsia"/>
                <w:sz w:val="21"/>
                <w:szCs w:val="21"/>
                <w:u w:val="none"/>
                <w:lang w:val="en-US" w:eastAsia="zh-CN"/>
              </w:rPr>
              <w:t>3</w:t>
            </w:r>
            <w:r>
              <w:rPr>
                <w:rFonts w:hint="eastAsia"/>
                <w:sz w:val="21"/>
                <w:szCs w:val="21"/>
                <w:u w:val="none"/>
              </w:rPr>
              <w:t>类</w:t>
            </w:r>
            <w:r>
              <w:rPr>
                <w:sz w:val="21"/>
                <w:szCs w:val="21"/>
                <w:u w:val="none"/>
              </w:rPr>
              <w:t>标准</w:t>
            </w:r>
            <w:r>
              <w:rPr>
                <w:rFonts w:hint="eastAsia"/>
                <w:sz w:val="21"/>
                <w:szCs w:val="21"/>
                <w:u w:val="none"/>
                <w:lang w:eastAsia="zh-CN"/>
              </w:rPr>
              <w:t>，南侧执行</w:t>
            </w:r>
            <w:r>
              <w:rPr>
                <w:sz w:val="21"/>
                <w:szCs w:val="21"/>
                <w:u w:val="none"/>
              </w:rPr>
              <w:t>《工业企业厂界环境噪声排放标准》（GB12348-2008）</w:t>
            </w:r>
            <w:r>
              <w:rPr>
                <w:rFonts w:hint="eastAsia"/>
                <w:sz w:val="21"/>
                <w:szCs w:val="21"/>
                <w:u w:val="none"/>
                <w:lang w:val="en-US" w:eastAsia="zh-CN"/>
              </w:rPr>
              <w:t>2</w:t>
            </w:r>
            <w:r>
              <w:rPr>
                <w:rFonts w:hint="eastAsia"/>
                <w:sz w:val="21"/>
                <w:szCs w:val="21"/>
                <w:u w:val="none"/>
              </w:rPr>
              <w:t>类</w:t>
            </w:r>
            <w:r>
              <w:rPr>
                <w:sz w:val="21"/>
                <w:szCs w:val="21"/>
                <w:u w:val="none"/>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9" w:type="dxa"/>
            <w:noWrap w:val="0"/>
            <w:vAlign w:val="center"/>
          </w:tcPr>
          <w:p>
            <w:pPr>
              <w:adjustRightInd w:val="0"/>
              <w:snapToGrid w:val="0"/>
              <w:jc w:val="center"/>
              <w:rPr>
                <w:sz w:val="21"/>
                <w:szCs w:val="21"/>
                <w:u w:val="none"/>
              </w:rPr>
            </w:pPr>
            <w:r>
              <w:rPr>
                <w:rFonts w:hAnsi="宋体"/>
                <w:sz w:val="21"/>
                <w:szCs w:val="21"/>
                <w:u w:val="none"/>
              </w:rPr>
              <w:t>固体废物</w:t>
            </w:r>
          </w:p>
        </w:tc>
        <w:tc>
          <w:tcPr>
            <w:tcW w:w="7721" w:type="dxa"/>
            <w:gridSpan w:val="4"/>
            <w:noWrap w:val="0"/>
            <w:vAlign w:val="center"/>
          </w:tcPr>
          <w:p>
            <w:pPr>
              <w:adjustRightInd w:val="0"/>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一般工业</w:t>
            </w:r>
            <w:r>
              <w:rPr>
                <w:rFonts w:hint="default" w:ascii="Times New Roman" w:hAnsi="Times New Roman" w:eastAsia="宋体" w:cs="Times New Roman"/>
                <w:b w:val="0"/>
                <w:bCs w:val="0"/>
                <w:color w:val="auto"/>
                <w:sz w:val="21"/>
                <w:szCs w:val="21"/>
                <w:lang w:eastAsia="zh-CN"/>
              </w:rPr>
              <w:t>固体废物：暂存于</w:t>
            </w:r>
            <w:r>
              <w:rPr>
                <w:rFonts w:hint="default" w:ascii="Times New Roman" w:hAnsi="Times New Roman" w:eastAsia="宋体" w:cs="Times New Roman"/>
                <w:b w:val="0"/>
                <w:bCs w:val="0"/>
                <w:color w:val="auto"/>
                <w:sz w:val="21"/>
                <w:szCs w:val="21"/>
              </w:rPr>
              <w:t>一般固废暂存</w:t>
            </w:r>
            <w:r>
              <w:rPr>
                <w:rFonts w:hint="eastAsia" w:ascii="Times New Roman" w:hAnsi="Times New Roman" w:eastAsia="宋体" w:cs="Times New Roman"/>
                <w:b w:val="0"/>
                <w:bCs w:val="0"/>
                <w:color w:val="auto"/>
                <w:sz w:val="21"/>
                <w:szCs w:val="21"/>
                <w:lang w:eastAsia="zh-CN"/>
              </w:rPr>
              <w:t>区</w:t>
            </w:r>
            <w:r>
              <w:rPr>
                <w:rFonts w:hint="default" w:ascii="Times New Roman" w:hAnsi="Times New Roman" w:eastAsia="宋体" w:cs="Times New Roman"/>
                <w:b w:val="0"/>
                <w:bCs w:val="0"/>
                <w:color w:val="auto"/>
                <w:sz w:val="21"/>
                <w:szCs w:val="21"/>
              </w:rPr>
              <w:t>，</w:t>
            </w:r>
            <w:r>
              <w:rPr>
                <w:rFonts w:hint="default" w:ascii="Times New Roman" w:hAnsi="Times New Roman" w:eastAsia="宋体" w:cs="Times New Roman"/>
                <w:b w:val="0"/>
                <w:bCs w:val="0"/>
                <w:color w:val="auto"/>
                <w:sz w:val="21"/>
                <w:szCs w:val="21"/>
                <w:lang w:eastAsia="zh-CN"/>
              </w:rPr>
              <w:t>收集后外售</w:t>
            </w:r>
            <w:r>
              <w:rPr>
                <w:rFonts w:hint="default" w:ascii="Times New Roman" w:hAnsi="Times New Roman" w:eastAsia="宋体" w:cs="Times New Roman"/>
                <w:color w:val="auto"/>
                <w:sz w:val="21"/>
                <w:szCs w:val="21"/>
                <w:highlight w:val="none"/>
                <w:u w:val="none" w:color="auto"/>
                <w:lang w:eastAsia="zh-CN"/>
              </w:rPr>
              <w:t>；</w:t>
            </w:r>
          </w:p>
          <w:p>
            <w:pPr>
              <w:adjustRightInd w:val="0"/>
              <w:snapToGrid w:val="0"/>
              <w:jc w:val="left"/>
              <w:rPr>
                <w:rFonts w:hint="default"/>
                <w:lang w:eastAsia="zh-CN"/>
              </w:rPr>
            </w:pPr>
            <w:r>
              <w:rPr>
                <w:rFonts w:hint="default" w:ascii="Times New Roman" w:hAnsi="Times New Roman" w:eastAsia="宋体" w:cs="Times New Roman"/>
                <w:b w:val="0"/>
                <w:bCs w:val="0"/>
                <w:color w:val="auto"/>
                <w:sz w:val="21"/>
                <w:szCs w:val="21"/>
                <w:lang w:eastAsia="zh-CN"/>
              </w:rPr>
              <w:t>危险废物</w:t>
            </w:r>
            <w:r>
              <w:rPr>
                <w:rFonts w:hint="eastAsia"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eastAsia="zh-CN"/>
              </w:rPr>
              <w:t>设置危险废物暂存间</w:t>
            </w:r>
            <w:r>
              <w:rPr>
                <w:rFonts w:hint="eastAsia"/>
                <w:sz w:val="21"/>
                <w:szCs w:val="21"/>
                <w:lang w:val="en-US" w:eastAsia="zh-CN"/>
              </w:rPr>
              <w:t>271.82</w:t>
            </w:r>
            <w:r>
              <w:rPr>
                <w:rFonts w:hint="eastAsia"/>
                <w:sz w:val="21"/>
                <w:szCs w:val="21"/>
                <w:vertAlign w:val="baseline"/>
                <w:lang w:val="en-US" w:eastAsia="zh-CN"/>
              </w:rPr>
              <w:t>m</w:t>
            </w:r>
            <w:r>
              <w:rPr>
                <w:rFonts w:hint="eastAsia"/>
                <w:sz w:val="21"/>
                <w:szCs w:val="21"/>
                <w:vertAlign w:val="superscript"/>
                <w:lang w:val="en-US" w:eastAsia="zh-CN"/>
              </w:rPr>
              <w:t>2</w:t>
            </w:r>
            <w:r>
              <w:rPr>
                <w:rFonts w:hint="eastAsia" w:ascii="Times New Roman" w:hAnsi="Times New Roman" w:eastAsia="宋体" w:cs="Times New Roman"/>
                <w:b w:val="0"/>
                <w:bCs w:val="0"/>
                <w:color w:val="auto"/>
                <w:sz w:val="21"/>
                <w:szCs w:val="21"/>
                <w:lang w:eastAsia="zh-CN"/>
              </w:rPr>
              <w:t>、</w:t>
            </w:r>
            <w:r>
              <w:rPr>
                <w:rFonts w:hint="eastAsia"/>
                <w:sz w:val="21"/>
                <w:szCs w:val="21"/>
              </w:rPr>
              <w:t>按GB18597-2011的要求建设，做到防腐防渗防雨防风</w:t>
            </w:r>
            <w:r>
              <w:rPr>
                <w:rFonts w:hint="eastAsia"/>
                <w:sz w:val="21"/>
                <w:szCs w:val="21"/>
                <w:lang w:eastAsia="zh-CN"/>
              </w:rPr>
              <w:t>，</w:t>
            </w:r>
            <w:r>
              <w:rPr>
                <w:rFonts w:hint="eastAsia" w:ascii="Times New Roman" w:hAnsi="Times New Roman" w:eastAsia="宋体" w:cs="Times New Roman"/>
                <w:b w:val="0"/>
                <w:bCs w:val="0"/>
                <w:color w:val="auto"/>
                <w:sz w:val="21"/>
                <w:szCs w:val="21"/>
                <w:lang w:eastAsia="zh-CN"/>
              </w:rPr>
              <w:t>分类收集后暂存于危废暂存间，交由具有危险废物处理资质的单位处理，</w:t>
            </w:r>
            <w:r>
              <w:rPr>
                <w:rFonts w:hint="eastAsia"/>
                <w:sz w:val="21"/>
                <w:szCs w:val="21"/>
                <w:lang w:val="en-US" w:eastAsia="zh-CN"/>
              </w:rPr>
              <w:t>废油液</w:t>
            </w:r>
            <w:r>
              <w:rPr>
                <w:rFonts w:hint="eastAsia"/>
                <w:sz w:val="21"/>
                <w:szCs w:val="21"/>
                <w:lang w:eastAsia="zh-CN"/>
              </w:rPr>
              <w:t>暂存间地面四周设置导流沟和收集池等。</w:t>
            </w:r>
            <w:r>
              <w:rPr>
                <w:rFonts w:hint="eastAsia" w:ascii="Times New Roman" w:hAnsi="Times New Roman" w:eastAsia="宋体" w:cs="Times New Roman"/>
                <w:b w:val="0"/>
                <w:bCs w:val="0"/>
                <w:color w:val="auto"/>
                <w:sz w:val="21"/>
                <w:szCs w:val="21"/>
                <w:lang w:eastAsia="zh-CN"/>
              </w:rPr>
              <w:t>危险废物暂存间按要求设置标识牌、管理台账等，</w:t>
            </w:r>
          </w:p>
          <w:p>
            <w:pPr>
              <w:adjustRightInd w:val="0"/>
              <w:snapToGrid w:val="0"/>
              <w:jc w:val="left"/>
              <w:rPr>
                <w:rFonts w:hint="eastAsia" w:eastAsia="宋体"/>
                <w:sz w:val="21"/>
                <w:szCs w:val="21"/>
                <w:highlight w:val="none"/>
                <w:u w:val="none"/>
                <w:lang w:eastAsia="zh-CN"/>
              </w:rPr>
            </w:pPr>
            <w:r>
              <w:rPr>
                <w:rFonts w:hint="default" w:ascii="Times New Roman" w:hAnsi="Times New Roman" w:eastAsia="宋体" w:cs="Times New Roman"/>
                <w:b w:val="0"/>
                <w:bCs w:val="0"/>
                <w:color w:val="auto"/>
                <w:sz w:val="21"/>
                <w:szCs w:val="21"/>
                <w:lang w:eastAsia="zh-CN"/>
              </w:rPr>
              <w:t>生活垃圾：</w:t>
            </w:r>
            <w:r>
              <w:rPr>
                <w:rFonts w:hint="default" w:ascii="Times New Roman" w:hAnsi="Times New Roman" w:eastAsia="宋体" w:cs="Times New Roman"/>
                <w:b w:val="0"/>
                <w:bCs w:val="0"/>
                <w:color w:val="auto"/>
                <w:sz w:val="21"/>
                <w:szCs w:val="21"/>
              </w:rPr>
              <w:t>生活垃圾</w:t>
            </w:r>
            <w:r>
              <w:rPr>
                <w:rFonts w:hint="default" w:ascii="Times New Roman" w:hAnsi="Times New Roman" w:eastAsia="宋体" w:cs="Times New Roman"/>
                <w:b w:val="0"/>
                <w:bCs w:val="0"/>
                <w:color w:val="auto"/>
                <w:sz w:val="21"/>
                <w:szCs w:val="21"/>
                <w:lang w:eastAsia="zh-CN"/>
              </w:rPr>
              <w:t>设置垃圾桶</w:t>
            </w:r>
            <w:r>
              <w:rPr>
                <w:rFonts w:hint="default" w:ascii="Times New Roman" w:hAnsi="Times New Roman" w:eastAsia="宋体" w:cs="Times New Roman"/>
                <w:b w:val="0"/>
                <w:bCs w:val="0"/>
                <w:color w:val="auto"/>
                <w:sz w:val="21"/>
                <w:szCs w:val="21"/>
              </w:rPr>
              <w:t>收集，定期由环卫部门清运</w:t>
            </w:r>
            <w:r>
              <w:rPr>
                <w:rFonts w:hint="eastAsia" w:ascii="Times New Roman" w:hAnsi="Times New Roman" w:eastAsia="宋体" w:cs="Times New Roman"/>
                <w:b w:val="0"/>
                <w:bCs w:val="0"/>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329" w:type="dxa"/>
            <w:noWrap w:val="0"/>
            <w:vAlign w:val="center"/>
          </w:tcPr>
          <w:p>
            <w:pPr>
              <w:adjustRightInd w:val="0"/>
              <w:snapToGrid w:val="0"/>
              <w:jc w:val="center"/>
              <w:rPr>
                <w:sz w:val="21"/>
                <w:szCs w:val="21"/>
                <w:u w:val="none"/>
              </w:rPr>
            </w:pPr>
            <w:r>
              <w:rPr>
                <w:rFonts w:hAnsi="宋体"/>
                <w:sz w:val="21"/>
                <w:szCs w:val="21"/>
                <w:u w:val="none"/>
              </w:rPr>
              <w:t>土壤及地下水污染防治措施</w:t>
            </w:r>
          </w:p>
        </w:tc>
        <w:tc>
          <w:tcPr>
            <w:tcW w:w="7721" w:type="dxa"/>
            <w:gridSpan w:val="4"/>
            <w:noWrap w:val="0"/>
            <w:vAlign w:val="center"/>
          </w:tcPr>
          <w:p>
            <w:pPr>
              <w:adjustRightInd w:val="0"/>
              <w:snapToGrid w:val="0"/>
              <w:ind w:firstLine="420" w:firstLineChars="200"/>
              <w:rPr>
                <w:rFonts w:hint="default" w:eastAsia="宋体"/>
                <w:sz w:val="21"/>
                <w:szCs w:val="21"/>
                <w:u w:val="none"/>
                <w:lang w:val="en-US" w:eastAsia="zh-CN"/>
              </w:rPr>
            </w:pPr>
            <w:r>
              <w:rPr>
                <w:sz w:val="21"/>
                <w:szCs w:val="21"/>
              </w:rPr>
              <w:t>拟对厂区地面进行水泥固化防渗处理生产车间地面、危废暂存间地面等均按设计要求进行防渗处理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329" w:type="dxa"/>
            <w:noWrap w:val="0"/>
            <w:vAlign w:val="center"/>
          </w:tcPr>
          <w:p>
            <w:pPr>
              <w:adjustRightInd w:val="0"/>
              <w:snapToGrid w:val="0"/>
              <w:jc w:val="center"/>
              <w:rPr>
                <w:sz w:val="21"/>
                <w:szCs w:val="21"/>
                <w:u w:val="none"/>
              </w:rPr>
            </w:pPr>
            <w:r>
              <w:rPr>
                <w:rFonts w:hAnsi="宋体"/>
                <w:sz w:val="21"/>
                <w:szCs w:val="21"/>
                <w:u w:val="none"/>
              </w:rPr>
              <w:t>环境风险</w:t>
            </w:r>
          </w:p>
          <w:p>
            <w:pPr>
              <w:adjustRightInd w:val="0"/>
              <w:snapToGrid w:val="0"/>
              <w:jc w:val="center"/>
              <w:rPr>
                <w:sz w:val="21"/>
                <w:szCs w:val="21"/>
                <w:u w:val="none"/>
              </w:rPr>
            </w:pPr>
            <w:r>
              <w:rPr>
                <w:rFonts w:hAnsi="宋体"/>
                <w:sz w:val="21"/>
                <w:szCs w:val="21"/>
                <w:u w:val="none"/>
              </w:rPr>
              <w:t>防范措施</w:t>
            </w:r>
          </w:p>
        </w:tc>
        <w:tc>
          <w:tcPr>
            <w:tcW w:w="7721" w:type="dxa"/>
            <w:gridSpan w:val="4"/>
            <w:noWrap w:val="0"/>
            <w:vAlign w:val="center"/>
          </w:tcPr>
          <w:p>
            <w:pPr>
              <w:adjustRightInd w:val="0"/>
              <w:snapToGrid w:val="0"/>
              <w:jc w:val="left"/>
              <w:rPr>
                <w:rFonts w:hint="eastAsia"/>
                <w:sz w:val="21"/>
                <w:szCs w:val="21"/>
              </w:rPr>
            </w:pPr>
            <w:r>
              <w:rPr>
                <w:rFonts w:hint="eastAsia"/>
                <w:sz w:val="21"/>
                <w:szCs w:val="21"/>
              </w:rPr>
              <w:t>（1）项目涉及有毒有害、易燃易爆物质，生产设备处在常温常压条件下，具有一定的潜在危险性。</w:t>
            </w:r>
          </w:p>
          <w:p>
            <w:pPr>
              <w:adjustRightInd w:val="0"/>
              <w:snapToGrid w:val="0"/>
              <w:jc w:val="left"/>
              <w:rPr>
                <w:rFonts w:hint="eastAsia"/>
                <w:sz w:val="21"/>
                <w:szCs w:val="21"/>
              </w:rPr>
            </w:pPr>
            <w:r>
              <w:rPr>
                <w:rFonts w:hint="eastAsia"/>
                <w:sz w:val="21"/>
                <w:szCs w:val="21"/>
              </w:rPr>
              <w:t>（2）项目在生产、储存、运输等过程存在泄漏和燃烧、爆炸等事故风险，在采取严格的防护措施后，事故发生概率很小。</w:t>
            </w:r>
          </w:p>
          <w:p>
            <w:pPr>
              <w:adjustRightInd w:val="0"/>
              <w:snapToGrid w:val="0"/>
              <w:jc w:val="left"/>
              <w:rPr>
                <w:rFonts w:hint="eastAsia"/>
                <w:sz w:val="21"/>
                <w:szCs w:val="21"/>
              </w:rPr>
            </w:pPr>
            <w:r>
              <w:rPr>
                <w:rFonts w:hint="eastAsia"/>
                <w:sz w:val="21"/>
                <w:szCs w:val="21"/>
              </w:rPr>
              <w:t>（3）项目由于使用和储存的有毒有害、易燃易爆的数量很小，对环境的风险影响也很小。</w:t>
            </w:r>
          </w:p>
          <w:p>
            <w:pPr>
              <w:adjustRightInd w:val="0"/>
              <w:snapToGrid w:val="0"/>
              <w:jc w:val="left"/>
              <w:rPr>
                <w:rFonts w:hint="eastAsia"/>
                <w:sz w:val="21"/>
                <w:szCs w:val="21"/>
              </w:rPr>
            </w:pPr>
            <w:r>
              <w:rPr>
                <w:rFonts w:hint="eastAsia"/>
                <w:sz w:val="21"/>
                <w:szCs w:val="21"/>
              </w:rPr>
              <w:t>（4）项目具有潜在的事故风险，应从建设、生产、储运等方面积极采取防护措施。如车间应安装通风设施、采用防火、防爆的灯具、电器等。为了防范事故和减少危害， 需根据企业实际情况制定灾害事故的应急预案。当出现事故时，采取紧急的工程应急措施，以控制事故和减少对环境造成的危害。</w:t>
            </w:r>
          </w:p>
          <w:p>
            <w:pPr>
              <w:adjustRightInd w:val="0"/>
              <w:snapToGrid w:val="0"/>
              <w:jc w:val="left"/>
              <w:rPr>
                <w:rFonts w:hint="eastAsia"/>
                <w:sz w:val="21"/>
                <w:szCs w:val="21"/>
              </w:rPr>
            </w:pPr>
            <w:r>
              <w:rPr>
                <w:rFonts w:hint="eastAsia"/>
                <w:sz w:val="21"/>
                <w:szCs w:val="21"/>
              </w:rPr>
              <w:t>（5）建议建设方合理安排合理的安排购买-使用-储存-出售的关系，减少有毒有害、易燃易爆物质在场内的数量，进一步降低环境风险。</w:t>
            </w:r>
          </w:p>
          <w:p>
            <w:pPr>
              <w:adjustRightInd w:val="0"/>
              <w:snapToGrid w:val="0"/>
              <w:jc w:val="left"/>
              <w:rPr>
                <w:rFonts w:hint="eastAsia"/>
                <w:sz w:val="21"/>
                <w:szCs w:val="21"/>
              </w:rPr>
            </w:pPr>
            <w:r>
              <w:rPr>
                <w:rFonts w:hint="eastAsia"/>
                <w:sz w:val="21"/>
                <w:szCs w:val="21"/>
              </w:rPr>
              <w:t>（6）建议建设方委托有资质的单位作好项目安全评价，并落实其安全防范措施和消防措施。</w:t>
            </w:r>
          </w:p>
          <w:p>
            <w:pPr>
              <w:adjustRightInd w:val="0"/>
              <w:snapToGrid w:val="0"/>
              <w:jc w:val="left"/>
              <w:rPr>
                <w:sz w:val="21"/>
                <w:szCs w:val="21"/>
                <w:highlight w:val="none"/>
                <w:u w:val="none"/>
              </w:rPr>
            </w:pPr>
            <w:r>
              <w:rPr>
                <w:rFonts w:hint="eastAsia"/>
                <w:sz w:val="21"/>
                <w:szCs w:val="21"/>
              </w:rPr>
              <w:t>（7）建议企业编制环境风险应急预案。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29" w:type="dxa"/>
            <w:noWrap w:val="0"/>
            <w:vAlign w:val="center"/>
          </w:tcPr>
          <w:p>
            <w:pPr>
              <w:adjustRightInd w:val="0"/>
              <w:snapToGrid w:val="0"/>
              <w:jc w:val="center"/>
              <w:rPr>
                <w:sz w:val="21"/>
                <w:szCs w:val="21"/>
                <w:u w:val="none"/>
              </w:rPr>
            </w:pPr>
            <w:r>
              <w:rPr>
                <w:rFonts w:hAnsi="宋体"/>
                <w:sz w:val="21"/>
                <w:szCs w:val="21"/>
                <w:u w:val="none"/>
              </w:rPr>
              <w:t>其他环境</w:t>
            </w:r>
          </w:p>
          <w:p>
            <w:pPr>
              <w:adjustRightInd w:val="0"/>
              <w:snapToGrid w:val="0"/>
              <w:jc w:val="center"/>
              <w:rPr>
                <w:sz w:val="21"/>
                <w:szCs w:val="21"/>
                <w:u w:val="none"/>
              </w:rPr>
            </w:pPr>
            <w:r>
              <w:rPr>
                <w:rFonts w:hAnsi="宋体"/>
                <w:sz w:val="21"/>
                <w:szCs w:val="21"/>
                <w:u w:val="none"/>
              </w:rPr>
              <w:t>管理要求</w:t>
            </w:r>
          </w:p>
        </w:tc>
        <w:tc>
          <w:tcPr>
            <w:tcW w:w="7721" w:type="dxa"/>
            <w:gridSpan w:val="4"/>
            <w:noWrap w:val="0"/>
            <w:vAlign w:val="center"/>
          </w:tcPr>
          <w:p>
            <w:pPr>
              <w:adjustRightInd w:val="0"/>
              <w:snapToGrid w:val="0"/>
              <w:jc w:val="left"/>
              <w:rPr>
                <w:rFonts w:hint="eastAsia"/>
                <w:sz w:val="21"/>
                <w:szCs w:val="21"/>
                <w:u w:val="none"/>
              </w:rPr>
            </w:pPr>
            <w:r>
              <w:rPr>
                <w:rFonts w:hint="eastAsia"/>
                <w:sz w:val="21"/>
                <w:szCs w:val="21"/>
                <w:u w:val="none"/>
                <w:lang w:eastAsia="zh-CN"/>
              </w:rPr>
              <w:t>（</w:t>
            </w:r>
            <w:r>
              <w:rPr>
                <w:rFonts w:hint="eastAsia"/>
                <w:sz w:val="21"/>
                <w:szCs w:val="21"/>
                <w:u w:val="none"/>
                <w:lang w:val="en-US" w:eastAsia="zh-CN"/>
              </w:rPr>
              <w:t>1</w:t>
            </w:r>
            <w:r>
              <w:rPr>
                <w:rFonts w:hint="eastAsia"/>
                <w:sz w:val="21"/>
                <w:szCs w:val="21"/>
                <w:u w:val="none"/>
                <w:lang w:eastAsia="zh-CN"/>
              </w:rPr>
              <w:t>）</w:t>
            </w:r>
            <w:r>
              <w:rPr>
                <w:rFonts w:hint="eastAsia"/>
                <w:sz w:val="21"/>
                <w:szCs w:val="21"/>
                <w:u w:val="none"/>
              </w:rPr>
              <w:t>根据《</w:t>
            </w:r>
            <w:r>
              <w:rPr>
                <w:rFonts w:hint="eastAsia"/>
                <w:sz w:val="21"/>
                <w:szCs w:val="21"/>
                <w:u w:val="none"/>
              </w:rPr>
              <w:fldChar w:fldCharType="begin"/>
            </w:r>
            <w:r>
              <w:rPr>
                <w:rFonts w:hint="eastAsia"/>
                <w:sz w:val="21"/>
                <w:szCs w:val="21"/>
                <w:u w:val="none"/>
              </w:rPr>
              <w:instrText xml:space="preserve"> HYPERLINK "http://www.mee.gov.cn/xxgk2018/xxgk/xxgk02/202001/t20200103_757178.html" </w:instrText>
            </w:r>
            <w:r>
              <w:rPr>
                <w:rFonts w:hint="eastAsia"/>
                <w:sz w:val="21"/>
                <w:szCs w:val="21"/>
                <w:u w:val="none"/>
              </w:rPr>
              <w:fldChar w:fldCharType="separate"/>
            </w:r>
            <w:r>
              <w:rPr>
                <w:rFonts w:hint="eastAsia"/>
                <w:sz w:val="21"/>
                <w:szCs w:val="21"/>
                <w:u w:val="none"/>
              </w:rPr>
              <w:t>固定污染源排污许可分类管理名录（2019年版）</w:t>
            </w:r>
            <w:r>
              <w:rPr>
                <w:rFonts w:hint="eastAsia"/>
                <w:sz w:val="21"/>
                <w:szCs w:val="21"/>
                <w:u w:val="none"/>
              </w:rPr>
              <w:fldChar w:fldCharType="end"/>
            </w:r>
            <w:r>
              <w:rPr>
                <w:rFonts w:hint="eastAsia"/>
                <w:sz w:val="21"/>
                <w:szCs w:val="21"/>
                <w:u w:val="none"/>
              </w:rPr>
              <w:t>》办理排污许可证；</w:t>
            </w:r>
          </w:p>
          <w:p>
            <w:pPr>
              <w:adjustRightInd w:val="0"/>
              <w:snapToGrid w:val="0"/>
              <w:jc w:val="left"/>
              <w:rPr>
                <w:rFonts w:hint="eastAsia"/>
                <w:sz w:val="21"/>
                <w:szCs w:val="21"/>
                <w:u w:val="none"/>
              </w:rPr>
            </w:pPr>
            <w:r>
              <w:rPr>
                <w:rFonts w:hint="eastAsia"/>
                <w:sz w:val="21"/>
                <w:szCs w:val="21"/>
                <w:u w:val="none"/>
              </w:rPr>
              <w:t>（</w:t>
            </w:r>
            <w:r>
              <w:rPr>
                <w:rFonts w:hint="eastAsia"/>
                <w:sz w:val="21"/>
                <w:szCs w:val="21"/>
                <w:u w:val="none"/>
                <w:lang w:val="en-US" w:eastAsia="zh-CN"/>
              </w:rPr>
              <w:t>2</w:t>
            </w:r>
            <w:r>
              <w:rPr>
                <w:rFonts w:hint="eastAsia"/>
                <w:sz w:val="21"/>
                <w:szCs w:val="21"/>
                <w:u w:val="none"/>
              </w:rPr>
              <w:t>）</w:t>
            </w:r>
            <w:r>
              <w:rPr>
                <w:sz w:val="21"/>
                <w:szCs w:val="21"/>
                <w:u w:val="none"/>
              </w:rPr>
              <w:t>排污口实行规范化管理，按照《环境保护图形标志</w:t>
            </w:r>
            <w:r>
              <w:rPr>
                <w:sz w:val="21"/>
                <w:szCs w:val="21"/>
                <w:u w:val="none"/>
              </w:rPr>
              <w:softHyphen/>
            </w:r>
            <w:r>
              <w:rPr>
                <w:sz w:val="21"/>
                <w:szCs w:val="21"/>
                <w:u w:val="none"/>
              </w:rPr>
              <w:softHyphen/>
            </w:r>
            <w:r>
              <w:rPr>
                <w:sz w:val="21"/>
                <w:szCs w:val="21"/>
                <w:u w:val="none"/>
              </w:rPr>
              <w:t>—排放口》规定的图形，在废水</w:t>
            </w:r>
            <w:r>
              <w:rPr>
                <w:rFonts w:hint="eastAsia"/>
                <w:sz w:val="21"/>
                <w:szCs w:val="21"/>
                <w:u w:val="none"/>
                <w:lang w:eastAsia="zh-CN"/>
              </w:rPr>
              <w:t>、废气</w:t>
            </w:r>
            <w:r>
              <w:rPr>
                <w:sz w:val="21"/>
                <w:szCs w:val="21"/>
                <w:u w:val="none"/>
              </w:rPr>
              <w:t>排放口挂牌标志，并使用《中华人民共和国规范化排污口标志登记证》填写相关内容，建立排污台账，供上级部门检查</w:t>
            </w:r>
            <w:r>
              <w:rPr>
                <w:rFonts w:hint="eastAsia"/>
                <w:sz w:val="21"/>
                <w:szCs w:val="21"/>
                <w:u w:val="none"/>
              </w:rPr>
              <w:t>；</w:t>
            </w:r>
          </w:p>
          <w:p>
            <w:pPr>
              <w:adjustRightInd w:val="0"/>
              <w:snapToGrid w:val="0"/>
              <w:jc w:val="left"/>
              <w:rPr>
                <w:rFonts w:hint="eastAsia"/>
                <w:sz w:val="21"/>
                <w:szCs w:val="21"/>
                <w:u w:val="none"/>
              </w:rPr>
            </w:pPr>
            <w:r>
              <w:rPr>
                <w:rFonts w:hint="eastAsia"/>
                <w:sz w:val="21"/>
                <w:szCs w:val="21"/>
                <w:u w:val="none"/>
                <w:lang w:eastAsia="zh-CN"/>
              </w:rPr>
              <w:t>（</w:t>
            </w:r>
            <w:r>
              <w:rPr>
                <w:rFonts w:hint="eastAsia"/>
                <w:sz w:val="21"/>
                <w:szCs w:val="21"/>
                <w:u w:val="none"/>
                <w:lang w:val="en-US" w:eastAsia="zh-CN"/>
              </w:rPr>
              <w:t>3</w:t>
            </w:r>
            <w:r>
              <w:rPr>
                <w:rFonts w:hint="eastAsia"/>
                <w:sz w:val="21"/>
                <w:szCs w:val="21"/>
                <w:u w:val="none"/>
                <w:lang w:eastAsia="zh-CN"/>
              </w:rPr>
              <w:t>）</w:t>
            </w:r>
            <w:r>
              <w:rPr>
                <w:rFonts w:hint="eastAsia"/>
                <w:sz w:val="21"/>
                <w:szCs w:val="21"/>
                <w:u w:val="none"/>
              </w:rPr>
              <w:t>根据《建设项目环境保护验收暂行办法》，项目主体工程和环保设施正常运</w:t>
            </w:r>
          </w:p>
          <w:p>
            <w:pPr>
              <w:adjustRightInd w:val="0"/>
              <w:snapToGrid w:val="0"/>
              <w:jc w:val="left"/>
              <w:rPr>
                <w:rFonts w:hint="eastAsia"/>
                <w:sz w:val="21"/>
                <w:szCs w:val="21"/>
                <w:u w:val="none"/>
              </w:rPr>
            </w:pPr>
            <w:r>
              <w:rPr>
                <w:rFonts w:hint="eastAsia"/>
                <w:sz w:val="21"/>
                <w:szCs w:val="21"/>
                <w:u w:val="none"/>
              </w:rPr>
              <w:t>行情况下，企业可自行申请竣工验收，由于本项目属于污染影响型项目，故验收时</w:t>
            </w:r>
          </w:p>
          <w:p>
            <w:pPr>
              <w:adjustRightInd w:val="0"/>
              <w:snapToGrid w:val="0"/>
              <w:jc w:val="left"/>
              <w:rPr>
                <w:rFonts w:hint="eastAsia" w:eastAsia="宋体"/>
                <w:sz w:val="21"/>
                <w:szCs w:val="21"/>
                <w:u w:val="none"/>
                <w:lang w:eastAsia="zh-CN"/>
              </w:rPr>
            </w:pPr>
            <w:r>
              <w:rPr>
                <w:rFonts w:hint="eastAsia"/>
                <w:sz w:val="21"/>
                <w:szCs w:val="21"/>
                <w:u w:val="none"/>
              </w:rPr>
              <w:t>按照《建设项目竣工环境保护验收技术指南 污染影响类》进行验收</w:t>
            </w:r>
            <w:r>
              <w:rPr>
                <w:rFonts w:hint="eastAsia"/>
                <w:sz w:val="21"/>
                <w:szCs w:val="21"/>
                <w:u w:val="none"/>
                <w:lang w:eastAsia="zh-CN"/>
              </w:rPr>
              <w:t>。</w:t>
            </w:r>
          </w:p>
          <w:p>
            <w:pPr>
              <w:adjustRightInd w:val="0"/>
              <w:snapToGrid w:val="0"/>
              <w:jc w:val="left"/>
              <w:rPr>
                <w:sz w:val="21"/>
                <w:szCs w:val="21"/>
                <w:u w:val="none"/>
              </w:rPr>
            </w:pPr>
            <w:r>
              <w:rPr>
                <w:rFonts w:hint="eastAsia"/>
                <w:sz w:val="21"/>
                <w:szCs w:val="21"/>
                <w:u w:val="none"/>
                <w:lang w:eastAsia="zh-CN"/>
              </w:rPr>
              <w:t>（</w:t>
            </w:r>
            <w:r>
              <w:rPr>
                <w:rFonts w:hint="eastAsia"/>
                <w:sz w:val="21"/>
                <w:szCs w:val="21"/>
                <w:u w:val="none"/>
                <w:lang w:val="en-US" w:eastAsia="zh-CN"/>
              </w:rPr>
              <w:t>4</w:t>
            </w:r>
            <w:r>
              <w:rPr>
                <w:rFonts w:hint="eastAsia"/>
                <w:sz w:val="21"/>
                <w:szCs w:val="21"/>
                <w:u w:val="none"/>
                <w:lang w:eastAsia="zh-CN"/>
              </w:rPr>
              <w:t>）</w:t>
            </w:r>
            <w:r>
              <w:rPr>
                <w:rFonts w:hint="eastAsia"/>
                <w:sz w:val="21"/>
                <w:szCs w:val="21"/>
                <w:u w:val="none"/>
              </w:rPr>
              <w:t>安排专人对环保设施进行日常管理和维护，建立设施运行台账、对</w:t>
            </w:r>
            <w:r>
              <w:rPr>
                <w:rFonts w:hint="eastAsia"/>
                <w:sz w:val="21"/>
                <w:szCs w:val="21"/>
                <w:u w:val="none"/>
                <w:lang w:eastAsia="zh-CN"/>
              </w:rPr>
              <w:t>危险废物</w:t>
            </w:r>
            <w:r>
              <w:rPr>
                <w:rFonts w:hint="eastAsia"/>
                <w:sz w:val="21"/>
                <w:szCs w:val="21"/>
                <w:u w:val="none"/>
              </w:rPr>
              <w:t>的</w:t>
            </w:r>
            <w:r>
              <w:rPr>
                <w:rFonts w:hint="eastAsia"/>
                <w:sz w:val="21"/>
                <w:szCs w:val="21"/>
                <w:u w:val="none"/>
                <w:lang w:eastAsia="zh-CN"/>
              </w:rPr>
              <w:t>暂存</w:t>
            </w:r>
            <w:r>
              <w:rPr>
                <w:rFonts w:hint="eastAsia"/>
                <w:sz w:val="21"/>
                <w:szCs w:val="21"/>
                <w:u w:val="none"/>
              </w:rPr>
              <w:t>和转移做好台账建设管理</w:t>
            </w:r>
            <w:r>
              <w:rPr>
                <w:rFonts w:hint="eastAsia"/>
                <w:sz w:val="21"/>
                <w:szCs w:val="21"/>
                <w:u w:val="none"/>
                <w:lang w:eastAsia="zh-CN"/>
              </w:rPr>
              <w:t>。</w:t>
            </w:r>
          </w:p>
        </w:tc>
      </w:tr>
    </w:tbl>
    <w:p>
      <w:pPr>
        <w:pStyle w:val="13"/>
        <w:keepNext w:val="0"/>
        <w:keepLines w:val="0"/>
        <w:pageBreakBefore w:val="0"/>
        <w:widowControl/>
        <w:kinsoku/>
        <w:wordWrap/>
        <w:overflowPunct/>
        <w:topLinePunct w:val="0"/>
        <w:autoSpaceDE/>
        <w:autoSpaceDN/>
        <w:bidi w:val="0"/>
        <w:adjustRightInd/>
        <w:snapToGrid/>
        <w:spacing w:before="0" w:beforeAutospacing="0" w:after="157" w:afterLines="50" w:afterAutospacing="0" w:line="360" w:lineRule="auto"/>
        <w:jc w:val="center"/>
        <w:textAlignment w:val="auto"/>
        <w:outlineLvl w:val="0"/>
        <w:rPr>
          <w:rFonts w:ascii="Times New Roman" w:hAnsi="Times New Roman" w:eastAsia="黑体"/>
          <w:snapToGrid w:val="0"/>
          <w:sz w:val="30"/>
          <w:szCs w:val="30"/>
        </w:rPr>
      </w:pPr>
      <w:r>
        <w:rPr>
          <w:rFonts w:ascii="Times New Roman" w:hAnsi="Times New Roman"/>
          <w:snapToGrid w:val="0"/>
        </w:rPr>
        <w:br w:type="page"/>
      </w:r>
      <w:bookmarkStart w:id="10" w:name="_Toc78811939"/>
      <w:r>
        <w:rPr>
          <w:rFonts w:ascii="Times New Roman" w:hAnsi="黑体" w:eastAsia="黑体"/>
          <w:snapToGrid w:val="0"/>
          <w:sz w:val="30"/>
          <w:szCs w:val="30"/>
        </w:rPr>
        <w:t>六、结论</w:t>
      </w:r>
      <w:bookmarkEnd w:id="10"/>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kern w:val="0"/>
                <w:sz w:val="24"/>
                <w:szCs w:val="24"/>
              </w:rPr>
            </w:pPr>
            <w:r>
              <w:rPr>
                <w:rFonts w:hint="eastAsia"/>
                <w:sz w:val="24"/>
                <w:szCs w:val="24"/>
                <w:lang w:eastAsia="zh-CN"/>
              </w:rPr>
              <w:t>综上所述，项目符合国家相关产业政策，符合“三线一单”管理及相关环保规划要求，项目建设产生的污染物可以通过相应的污染防治措施进行削减，达到排放标准的要求，只要加强环境管理，落实好相关的环境保护和治理措施，确保污染物达标排放，则项目在正常运营状况下不会对周边环境产生明显污染影响。从环保角度分析，项目的建设是合理可行的。</w:t>
            </w: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rPr>
                <w:rFonts w:hint="eastAsia"/>
                <w:kern w:val="0"/>
              </w:rPr>
            </w:pPr>
          </w:p>
          <w:p>
            <w:pPr>
              <w:spacing w:line="360" w:lineRule="auto"/>
            </w:pP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end"/>
    </w:r>
  </w:p>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Axy7so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zpM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yAxy7soBAACbAwAADgAAAAAAAAABACAAAAAeAQAAZHJzL2Uyb0Rv&#10;Yy54bWxQSwUGAAAAAAYABgBZAQAAWgU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2586D4"/>
    <w:multiLevelType w:val="singleLevel"/>
    <w:tmpl w:val="832586D4"/>
    <w:lvl w:ilvl="0" w:tentative="0">
      <w:start w:val="2"/>
      <w:numFmt w:val="chineseCounting"/>
      <w:suff w:val="nothing"/>
      <w:lvlText w:val="%1、"/>
      <w:lvlJc w:val="left"/>
      <w:rPr>
        <w:rFonts w:hint="eastAsia"/>
      </w:rPr>
    </w:lvl>
  </w:abstractNum>
  <w:abstractNum w:abstractNumId="1">
    <w:nsid w:val="A587589B"/>
    <w:multiLevelType w:val="singleLevel"/>
    <w:tmpl w:val="A587589B"/>
    <w:lvl w:ilvl="0" w:tentative="0">
      <w:start w:val="1"/>
      <w:numFmt w:val="decimal"/>
      <w:suff w:val="nothing"/>
      <w:lvlText w:val="（%1）"/>
      <w:lvlJc w:val="left"/>
    </w:lvl>
  </w:abstractNum>
  <w:abstractNum w:abstractNumId="2">
    <w:nsid w:val="B75C5481"/>
    <w:multiLevelType w:val="singleLevel"/>
    <w:tmpl w:val="B75C5481"/>
    <w:lvl w:ilvl="0" w:tentative="0">
      <w:start w:val="1"/>
      <w:numFmt w:val="decimal"/>
      <w:suff w:val="nothing"/>
      <w:lvlText w:val="（%1）"/>
      <w:lvlJc w:val="left"/>
      <w:pPr>
        <w:ind w:left="360"/>
      </w:pPr>
    </w:lvl>
  </w:abstractNum>
  <w:abstractNum w:abstractNumId="3">
    <w:nsid w:val="BCBB819E"/>
    <w:multiLevelType w:val="singleLevel"/>
    <w:tmpl w:val="BCBB819E"/>
    <w:lvl w:ilvl="0" w:tentative="0">
      <w:start w:val="7"/>
      <w:numFmt w:val="decimal"/>
      <w:suff w:val="nothing"/>
      <w:lvlText w:val="%1、"/>
      <w:lvlJc w:val="left"/>
      <w:pPr>
        <w:ind w:left="420"/>
      </w:pPr>
    </w:lvl>
  </w:abstractNum>
  <w:abstractNum w:abstractNumId="4">
    <w:nsid w:val="E84D55F6"/>
    <w:multiLevelType w:val="singleLevel"/>
    <w:tmpl w:val="E84D55F6"/>
    <w:lvl w:ilvl="0" w:tentative="0">
      <w:start w:val="1"/>
      <w:numFmt w:val="decimal"/>
      <w:suff w:val="nothing"/>
      <w:lvlText w:val="（%1）"/>
      <w:lvlJc w:val="left"/>
    </w:lvl>
  </w:abstractNum>
  <w:abstractNum w:abstractNumId="5">
    <w:nsid w:val="160D12BA"/>
    <w:multiLevelType w:val="multilevel"/>
    <w:tmpl w:val="160D12BA"/>
    <w:lvl w:ilvl="0" w:tentative="0">
      <w:start w:val="1"/>
      <w:numFmt w:val="decimal"/>
      <w:pStyle w:val="23"/>
      <w:lvlText w:val="%1、"/>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ind w:left="708" w:hanging="425"/>
      </w:pPr>
      <w:rPr>
        <w:rFonts w:hint="eastAsia"/>
      </w:rPr>
    </w:lvl>
    <w:lvl w:ilvl="2" w:tentative="0">
      <w:start w:val="1"/>
      <w:numFmt w:val="decimal"/>
      <w:pStyle w:val="22"/>
      <w:lvlText w:val="%1.%2.%3"/>
      <w:lvlJc w:val="left"/>
      <w:pPr>
        <w:ind w:left="425" w:hanging="198"/>
      </w:pPr>
      <w:rPr>
        <w:rFonts w:hint="eastAsia"/>
      </w:rPr>
    </w:lvl>
    <w:lvl w:ilvl="3" w:tentative="0">
      <w:start w:val="1"/>
      <w:numFmt w:val="decimal"/>
      <w:lvlText w:val="%1.%2.%3.%4"/>
      <w:lvlJc w:val="left"/>
      <w:pPr>
        <w:tabs>
          <w:tab w:val="left" w:pos="454"/>
        </w:tabs>
        <w:ind w:left="425" w:firstLine="2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5CF47EA5"/>
    <w:multiLevelType w:val="singleLevel"/>
    <w:tmpl w:val="5CF47EA5"/>
    <w:lvl w:ilvl="0" w:tentative="0">
      <w:start w:val="1"/>
      <w:numFmt w:val="decimal"/>
      <w:suff w:val="nothing"/>
      <w:lvlText w:val="%1、"/>
      <w:lvlJc w:val="left"/>
    </w:lvl>
  </w:abstractNum>
  <w:num w:numId="1">
    <w:abstractNumId w:val="5"/>
  </w:num>
  <w:num w:numId="2">
    <w:abstractNumId w:val="0"/>
  </w:num>
  <w:num w:numId="3">
    <w:abstractNumId w:val="3"/>
  </w:num>
  <w:num w:numId="4">
    <w:abstractNumId w:val="6"/>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yNzBiYTc4ZGExZDcyMjQwYjhmYWI0NGIzNzMwN2QifQ=="/>
  </w:docVars>
  <w:rsids>
    <w:rsidRoot w:val="56357AF6"/>
    <w:rsid w:val="26900E0A"/>
    <w:rsid w:val="33111B54"/>
    <w:rsid w:val="56357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semiHidden/>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2"/>
    <w:basedOn w:val="1"/>
    <w:unhideWhenUsed/>
    <w:qFormat/>
    <w:uiPriority w:val="99"/>
    <w:pPr>
      <w:spacing w:after="120" w:line="480" w:lineRule="auto"/>
    </w:pPr>
  </w:style>
  <w:style w:type="paragraph" w:styleId="3">
    <w:name w:val="annotation text"/>
    <w:basedOn w:val="1"/>
    <w:qFormat/>
    <w:uiPriority w:val="0"/>
    <w:pPr>
      <w:jc w:val="left"/>
    </w:pPr>
    <w:rPr>
      <w:kern w:val="0"/>
      <w:sz w:val="24"/>
      <w:szCs w:val="20"/>
    </w:rPr>
  </w:style>
  <w:style w:type="paragraph" w:styleId="4">
    <w:name w:val="Body Text"/>
    <w:basedOn w:val="1"/>
    <w:next w:val="5"/>
    <w:qFormat/>
    <w:uiPriority w:val="0"/>
    <w:pPr>
      <w:widowControl/>
      <w:snapToGrid w:val="0"/>
      <w:spacing w:before="60" w:after="160" w:line="259" w:lineRule="auto"/>
      <w:ind w:right="113"/>
    </w:pPr>
    <w:rPr>
      <w:kern w:val="0"/>
      <w:sz w:val="18"/>
      <w:szCs w:val="20"/>
    </w:rPr>
  </w:style>
  <w:style w:type="paragraph" w:customStyle="1" w:styleId="5">
    <w:name w:val="xl27"/>
    <w:basedOn w:val="1"/>
    <w:qFormat/>
    <w:uiPriority w:val="0"/>
    <w:pPr>
      <w:widowControl/>
      <w:pBdr>
        <w:bottom w:val="single" w:color="auto" w:sz="12" w:space="0"/>
      </w:pBdr>
      <w:spacing w:before="100" w:after="100"/>
      <w:jc w:val="center"/>
    </w:pPr>
    <w:rPr>
      <w:rFonts w:ascii="宋体" w:hAnsi="宋体"/>
      <w:kern w:val="0"/>
    </w:rPr>
  </w:style>
  <w:style w:type="paragraph" w:styleId="6">
    <w:name w:val="Body Text Indent"/>
    <w:basedOn w:val="1"/>
    <w:next w:val="7"/>
    <w:qFormat/>
    <w:uiPriority w:val="0"/>
    <w:pPr>
      <w:spacing w:after="120"/>
      <w:ind w:left="420" w:leftChars="200"/>
    </w:pPr>
    <w:rPr>
      <w:kern w:val="0"/>
      <w:sz w:val="24"/>
      <w:szCs w:val="20"/>
    </w:rPr>
  </w:style>
  <w:style w:type="paragraph" w:customStyle="1" w:styleId="7">
    <w:name w:val="样式 正文文本缩进 + 行距: 1.5 倍行距"/>
    <w:basedOn w:val="8"/>
    <w:qFormat/>
    <w:uiPriority w:val="0"/>
    <w:pPr>
      <w:spacing w:line="400" w:lineRule="exact"/>
      <w:ind w:left="90" w:leftChars="32" w:firstLine="560" w:firstLineChars="200"/>
    </w:pPr>
    <w:rPr>
      <w:rFonts w:ascii="黑体" w:hAnsi="黑体" w:cs="仿宋_GB2312"/>
      <w:sz w:val="22"/>
      <w:szCs w:val="22"/>
    </w:rPr>
  </w:style>
  <w:style w:type="paragraph" w:customStyle="1" w:styleId="8">
    <w:name w:val="Body Text Indent"/>
    <w:basedOn w:val="1"/>
    <w:next w:val="7"/>
    <w:qFormat/>
    <w:uiPriority w:val="0"/>
    <w:pPr>
      <w:spacing w:after="120" w:afterLines="0"/>
      <w:ind w:left="420" w:leftChars="200"/>
    </w:pPr>
    <w:rPr>
      <w:rFonts w:ascii="Times New Roman" w:hAnsi="Times New Roman" w:eastAsia="宋体"/>
      <w:sz w:val="24"/>
    </w:rPr>
  </w:style>
  <w:style w:type="paragraph" w:styleId="9">
    <w:name w:val="Plain Text"/>
    <w:basedOn w:val="1"/>
    <w:qFormat/>
    <w:uiPriority w:val="0"/>
    <w:rPr>
      <w:rFonts w:ascii="宋体" w:hAnsi="Courier New"/>
    </w:rPr>
  </w:style>
  <w:style w:type="paragraph" w:styleId="10">
    <w:name w:val="footer"/>
    <w:basedOn w:val="1"/>
    <w:qFormat/>
    <w:uiPriority w:val="99"/>
    <w:pPr>
      <w:tabs>
        <w:tab w:val="center" w:pos="4153"/>
        <w:tab w:val="right" w:pos="8306"/>
      </w:tabs>
      <w:snapToGrid w:val="0"/>
      <w:jc w:val="left"/>
    </w:pPr>
    <w:rPr>
      <w:kern w:val="0"/>
      <w:sz w:val="18"/>
      <w:szCs w:val="20"/>
    </w:rPr>
  </w:style>
  <w:style w:type="paragraph" w:styleId="11">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2">
    <w:name w:val="toc 1"/>
    <w:basedOn w:val="1"/>
    <w:next w:val="1"/>
    <w:qFormat/>
    <w:uiPriority w:val="39"/>
  </w:style>
  <w:style w:type="paragraph" w:styleId="1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4">
    <w:name w:val="Body Text First Indent"/>
    <w:basedOn w:val="4"/>
    <w:next w:val="1"/>
    <w:unhideWhenUsed/>
    <w:qFormat/>
    <w:uiPriority w:val="99"/>
    <w:pPr>
      <w:overflowPunct w:val="0"/>
      <w:autoSpaceDE w:val="0"/>
      <w:autoSpaceDN w:val="0"/>
      <w:adjustRightInd w:val="0"/>
      <w:spacing w:line="360" w:lineRule="auto"/>
      <w:ind w:firstLine="539"/>
      <w:textAlignment w:val="baseline"/>
    </w:pPr>
    <w:rPr>
      <w:kern w:val="0"/>
      <w:sz w:val="28"/>
      <w:szCs w:val="20"/>
    </w:rPr>
  </w:style>
  <w:style w:type="paragraph" w:styleId="15">
    <w:name w:val="Body Text First Indent 2"/>
    <w:basedOn w:val="6"/>
    <w:next w:val="14"/>
    <w:qFormat/>
    <w:uiPriority w:val="0"/>
    <w:pPr>
      <w:spacing w:line="240" w:lineRule="auto"/>
      <w:ind w:firstLine="420"/>
    </w:pPr>
    <w:rPr>
      <w:sz w:val="21"/>
    </w:rPr>
  </w:style>
  <w:style w:type="table" w:styleId="17">
    <w:name w:val="Table Grid"/>
    <w:basedOn w:val="16"/>
    <w:qFormat/>
    <w:uiPriority w:val="3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unhideWhenUsed/>
    <w:qFormat/>
    <w:uiPriority w:val="99"/>
    <w:rPr>
      <w:color w:val="0000FF"/>
      <w:u w:val="single"/>
    </w:rPr>
  </w:style>
  <w:style w:type="paragraph" w:customStyle="1" w:styleId="21">
    <w:name w:val="样式5"/>
    <w:basedOn w:val="1"/>
    <w:qFormat/>
    <w:uiPriority w:val="0"/>
    <w:pPr>
      <w:adjustRightInd w:val="0"/>
      <w:snapToGrid w:val="0"/>
      <w:spacing w:line="360" w:lineRule="auto"/>
      <w:ind w:firstLine="480" w:firstLineChars="200"/>
    </w:pPr>
    <w:rPr>
      <w:rFonts w:ascii="宋体" w:hAnsi="宋体"/>
      <w:bCs/>
      <w:color w:val="000000"/>
      <w:sz w:val="24"/>
    </w:rPr>
  </w:style>
  <w:style w:type="paragraph" w:customStyle="1" w:styleId="22">
    <w:name w:val="3"/>
    <w:basedOn w:val="23"/>
    <w:qFormat/>
    <w:uiPriority w:val="0"/>
    <w:pPr>
      <w:numPr>
        <w:ilvl w:val="2"/>
      </w:numPr>
    </w:pPr>
  </w:style>
  <w:style w:type="paragraph" w:customStyle="1" w:styleId="23">
    <w:name w:val="1"/>
    <w:basedOn w:val="1"/>
    <w:qFormat/>
    <w:uiPriority w:val="0"/>
    <w:pPr>
      <w:numPr>
        <w:ilvl w:val="0"/>
        <w:numId w:val="1"/>
      </w:numPr>
      <w:jc w:val="left"/>
      <w:outlineLvl w:val="0"/>
    </w:pPr>
    <w:rPr>
      <w:b/>
    </w:rPr>
  </w:style>
  <w:style w:type="table" w:customStyle="1" w:styleId="24">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25">
    <w:name w:val="Default"/>
    <w:basedOn w:val="26"/>
    <w:next w:val="1"/>
    <w:qFormat/>
    <w:uiPriority w:val="0"/>
    <w:pPr>
      <w:tabs>
        <w:tab w:val="left" w:pos="315"/>
        <w:tab w:val="left" w:pos="360"/>
      </w:tabs>
      <w:autoSpaceDE w:val="0"/>
      <w:autoSpaceDN w:val="0"/>
      <w:jc w:val="left"/>
    </w:pPr>
    <w:rPr>
      <w:color w:val="000000"/>
      <w:kern w:val="0"/>
      <w:sz w:val="24"/>
      <w:szCs w:val="24"/>
    </w:rPr>
  </w:style>
  <w:style w:type="paragraph" w:customStyle="1" w:styleId="26">
    <w:name w:val="纯文本1"/>
    <w:basedOn w:val="1"/>
    <w:qFormat/>
    <w:uiPriority w:val="0"/>
    <w:pPr>
      <w:adjustRightInd w:val="0"/>
    </w:pPr>
    <w:rPr>
      <w:rFonts w:hAnsi="Courier New"/>
      <w:szCs w:val="20"/>
    </w:rPr>
  </w:style>
  <w:style w:type="character" w:customStyle="1" w:styleId="27">
    <w:name w:val="fontstyle01"/>
    <w:basedOn w:val="18"/>
    <w:qFormat/>
    <w:uiPriority w:val="0"/>
    <w:rPr>
      <w:rFonts w:hint="eastAsia" w:ascii="宋体" w:hAnsi="宋体" w:eastAsia="宋体" w:cs="宋体"/>
      <w:color w:val="000000"/>
      <w:sz w:val="24"/>
      <w:szCs w:val="24"/>
    </w:rPr>
  </w:style>
  <w:style w:type="paragraph" w:customStyle="1" w:styleId="28">
    <w:name w:val="列出段落1"/>
    <w:basedOn w:val="1"/>
    <w:qFormat/>
    <w:uiPriority w:val="34"/>
    <w:pPr>
      <w:spacing w:line="480" w:lineRule="exact"/>
      <w:ind w:firstLine="420" w:firstLineChars="200"/>
      <w:jc w:val="left"/>
    </w:pPr>
    <w:rPr>
      <w:rFonts w:ascii="Calibri" w:hAnsi="Calibri" w:eastAsia="仿宋_GB2312"/>
      <w:sz w:val="28"/>
      <w:szCs w:val="22"/>
    </w:rPr>
  </w:style>
  <w:style w:type="paragraph" w:customStyle="1" w:styleId="29">
    <w:name w:val="00表内字体"/>
    <w:basedOn w:val="1"/>
    <w:qFormat/>
    <w:uiPriority w:val="0"/>
    <w:pPr>
      <w:adjustRightInd/>
      <w:snapToGrid/>
      <w:spacing w:line="240" w:lineRule="auto"/>
      <w:ind w:firstLine="0" w:firstLineChars="0"/>
      <w:jc w:val="center"/>
    </w:pPr>
    <w:rPr>
      <w:sz w:val="21"/>
      <w:szCs w:val="22"/>
    </w:rPr>
  </w:style>
  <w:style w:type="paragraph" w:customStyle="1" w:styleId="30">
    <w:name w:val="表格内容"/>
    <w:basedOn w:val="1"/>
    <w:next w:val="1"/>
    <w:qFormat/>
    <w:uiPriority w:val="0"/>
    <w:pPr>
      <w:spacing w:line="240" w:lineRule="atLeast"/>
      <w:ind w:left="-31" w:right="120" w:firstLine="435"/>
      <w:jc w:val="center"/>
    </w:pPr>
    <w:rPr>
      <w:kern w:val="0"/>
      <w:sz w:val="24"/>
    </w:rPr>
  </w:style>
  <w:style w:type="paragraph" w:customStyle="1" w:styleId="31">
    <w:name w:val="表头"/>
    <w:basedOn w:val="9"/>
    <w:next w:val="1"/>
    <w:qFormat/>
    <w:uiPriority w:val="0"/>
    <w:pPr>
      <w:adjustRightInd w:val="0"/>
      <w:spacing w:before="120" w:after="120" w:line="360" w:lineRule="atLeast"/>
      <w:jc w:val="center"/>
    </w:pPr>
    <w:rPr>
      <w:rFonts w:ascii="Arial" w:eastAsia="黑体" w:cs="Arial"/>
      <w:color w:val="000000"/>
      <w:kern w:val="0"/>
      <w:szCs w:val="21"/>
    </w:rPr>
  </w:style>
  <w:style w:type="paragraph" w:customStyle="1" w:styleId="32">
    <w:name w:val="正文表格"/>
    <w:basedOn w:val="1"/>
    <w:next w:val="1"/>
    <w:qFormat/>
    <w:uiPriority w:val="0"/>
    <w:pPr>
      <w:keepNext/>
      <w:keepLines/>
      <w:spacing w:beforeLines="0" w:afterLines="0" w:line="360" w:lineRule="exact"/>
      <w:ind w:firstLine="0" w:firstLineChars="0"/>
      <w:jc w:val="center"/>
      <w:outlineLvl w:val="2"/>
    </w:pPr>
    <w:rPr>
      <w:rFonts w:hint="eastAsia"/>
      <w:kern w:val="0"/>
      <w:sz w:val="21"/>
      <w:szCs w:val="20"/>
    </w:rPr>
  </w:style>
  <w:style w:type="paragraph" w:customStyle="1" w:styleId="33">
    <w:name w:val="UserStyle_0"/>
    <w:basedOn w:val="1"/>
    <w:qFormat/>
    <w:uiPriority w:val="0"/>
    <w:pPr>
      <w:snapToGrid w:val="0"/>
      <w:spacing w:line="480" w:lineRule="exact"/>
    </w:pPr>
    <w:rPr>
      <w:sz w:val="24"/>
      <w:szCs w:val="22"/>
    </w:rPr>
  </w:style>
  <w:style w:type="character" w:customStyle="1" w:styleId="34">
    <w:name w:val="标题 2 字符"/>
    <w:qFormat/>
    <w:uiPriority w:val="0"/>
    <w:rPr>
      <w:rFonts w:ascii="Times New Roman" w:hAnsi="Times New Roman" w:eastAsia="黑体" w:cs="Times New Roman"/>
      <w:b/>
      <w:bCs/>
      <w:sz w:val="28"/>
      <w:szCs w:val="32"/>
    </w:rPr>
  </w:style>
  <w:style w:type="paragraph" w:customStyle="1" w:styleId="35">
    <w:name w:val="表格第一行"/>
    <w:qFormat/>
    <w:uiPriority w:val="0"/>
    <w:pPr>
      <w:jc w:val="center"/>
    </w:pPr>
    <w:rPr>
      <w:rFonts w:ascii="Calibri" w:hAnsi="Calibri" w:eastAsia="宋体" w:cs="Times New Roman"/>
      <w:kern w:val="2"/>
      <w:sz w:val="24"/>
      <w:szCs w:val="24"/>
      <w:lang w:val="en-US" w:eastAsia="zh-CN" w:bidi="ar-SA"/>
    </w:rPr>
  </w:style>
  <w:style w:type="paragraph" w:customStyle="1" w:styleId="36">
    <w:name w:val="11111"/>
    <w:basedOn w:val="1"/>
    <w:next w:val="1"/>
    <w:qFormat/>
    <w:uiPriority w:val="0"/>
    <w:pPr>
      <w:spacing w:line="360" w:lineRule="auto"/>
      <w:ind w:firstLine="200" w:firstLineChars="200"/>
    </w:pPr>
    <w:rPr>
      <w:rFonts w:ascii="宋体" w:hAnsi="宋体" w:cs="宋体"/>
      <w:sz w:val="24"/>
    </w:rPr>
  </w:style>
  <w:style w:type="paragraph" w:customStyle="1" w:styleId="37">
    <w:name w:val="表格--叶子"/>
    <w:basedOn w:val="1"/>
    <w:qFormat/>
    <w:uiPriority w:val="0"/>
    <w:pPr>
      <w:jc w:val="center"/>
    </w:pPr>
    <w:rPr>
      <w:kern w:val="24"/>
      <w:szCs w:val="21"/>
    </w:rPr>
  </w:style>
  <w:style w:type="character" w:customStyle="1" w:styleId="38">
    <w:name w:val="fontstyle21"/>
    <w:basedOn w:val="18"/>
    <w:qFormat/>
    <w:uiPriority w:val="0"/>
    <w:rPr>
      <w:rFonts w:ascii="Arial" w:hAnsi="Arial" w:cs="Arial"/>
      <w:color w:val="000000"/>
      <w:sz w:val="24"/>
      <w:szCs w:val="24"/>
    </w:rPr>
  </w:style>
  <w:style w:type="paragraph" w:customStyle="1" w:styleId="39">
    <w:name w:val="标准正文"/>
    <w:basedOn w:val="1"/>
    <w:qFormat/>
    <w:uiPriority w:val="0"/>
    <w:pPr>
      <w:spacing w:line="540" w:lineRule="exact"/>
      <w:ind w:firstLine="480" w:firstLineChars="200"/>
    </w:pPr>
    <w:rPr>
      <w:bC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emf"/><Relationship Id="rId24" Type="http://schemas.openxmlformats.org/officeDocument/2006/relationships/oleObject" Target="embeddings/oleObject2.bin"/><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1.bin"/><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62050</Words>
  <Characters>68852</Characters>
  <Lines>0</Lines>
  <Paragraphs>0</Paragraphs>
  <TotalTime>1</TotalTime>
  <ScaleCrop>false</ScaleCrop>
  <LinksUpToDate>false</LinksUpToDate>
  <CharactersWithSpaces>69204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2022-11-21T07:24:00Z</dcterms:created>
  <dc:creator>Administrator</dc:creator>
  <cp:lastModifiedBy>Administrator</cp:lastModifiedBy>
  <dcterms:modified xsi:type="dcterms:W3CDTF">2022-11-21T07:31:39Z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0D86F30046294CC8AFA646DD96929F4B</vt:lpwstr>
  </property>
</Properties>
</file>