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72"/>
          <w:szCs w:val="20"/>
        </w:rPr>
      </w:pPr>
      <w:r>
        <w:rPr>
          <w:b/>
          <w:bCs/>
          <w:sz w:val="72"/>
          <w:szCs w:val="20"/>
        </w:rPr>
        <w:t>建设项目环境影响报告表</w:t>
      </w:r>
    </w:p>
    <w:p>
      <w:pPr>
        <w:pStyle w:val="21"/>
        <w:rPr>
          <w:rFonts w:ascii="宋体" w:cs="宋体"/>
          <w:kern w:val="0"/>
          <w:sz w:val="24"/>
          <w:szCs w:val="24"/>
        </w:rPr>
      </w:pPr>
    </w:p>
    <w:p>
      <w:pPr>
        <w:jc w:val="center"/>
        <w:rPr>
          <w:rFonts w:hint="eastAsia" w:eastAsia="宋体"/>
          <w:lang w:eastAsia="zh-CN"/>
        </w:rPr>
      </w:pPr>
      <w:r>
        <w:rPr>
          <w:rFonts w:hint="eastAsia"/>
          <w:b/>
          <w:bCs/>
          <w:sz w:val="44"/>
          <w:szCs w:val="44"/>
          <w:lang w:eastAsia="zh-CN"/>
        </w:rPr>
        <w:t>（</w:t>
      </w:r>
      <w:r>
        <w:rPr>
          <w:rFonts w:hint="eastAsia"/>
          <w:b/>
          <w:bCs/>
          <w:sz w:val="44"/>
          <w:szCs w:val="44"/>
          <w:lang w:val="en-US" w:eastAsia="zh-CN"/>
        </w:rPr>
        <w:t>污染影响类</w:t>
      </w:r>
      <w:r>
        <w:rPr>
          <w:rFonts w:hint="eastAsia"/>
          <w:b/>
          <w:bCs/>
          <w:sz w:val="44"/>
          <w:szCs w:val="44"/>
          <w:lang w:eastAsia="zh-CN"/>
        </w:rPr>
        <w:t>）</w:t>
      </w:r>
    </w:p>
    <w:p>
      <w:pPr>
        <w:rPr>
          <w:rFonts w:ascii="宋体" w:cs="宋体"/>
          <w:kern w:val="0"/>
          <w:sz w:val="24"/>
          <w:szCs w:val="24"/>
        </w:rPr>
      </w:pPr>
      <w:r>
        <w:rPr>
          <w:rFonts w:hint="eastAsia" w:ascii="宋体" w:eastAsia="宋体" w:cs="宋体"/>
          <w:kern w:val="0"/>
          <w:sz w:val="24"/>
          <w:szCs w:val="24"/>
          <w:lang w:eastAsia="zh-CN"/>
        </w:rPr>
        <w:drawing>
          <wp:anchor distT="0" distB="0" distL="114935" distR="114935" simplePos="0" relativeHeight="251666432" behindDoc="0" locked="0" layoutInCell="1" allowOverlap="1">
            <wp:simplePos x="0" y="0"/>
            <wp:positionH relativeFrom="column">
              <wp:posOffset>-241300</wp:posOffset>
            </wp:positionH>
            <wp:positionV relativeFrom="paragraph">
              <wp:posOffset>174625</wp:posOffset>
            </wp:positionV>
            <wp:extent cx="5479415" cy="3836035"/>
            <wp:effectExtent l="0" t="0" r="6985" b="12065"/>
            <wp:wrapTopAndBottom/>
            <wp:docPr id="2" name="图片 2" descr="e1dc843940cbaa50dc1765a15cda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dc843940cbaa50dc1765a15cdadcd"/>
                    <pic:cNvPicPr>
                      <a:picLocks noChangeAspect="1"/>
                    </pic:cNvPicPr>
                  </pic:nvPicPr>
                  <pic:blipFill>
                    <a:blip r:embed="rId7"/>
                    <a:stretch>
                      <a:fillRect/>
                    </a:stretch>
                  </pic:blipFill>
                  <pic:spPr>
                    <a:xfrm>
                      <a:off x="0" y="0"/>
                      <a:ext cx="5479415" cy="3836035"/>
                    </a:xfrm>
                    <a:prstGeom prst="rect">
                      <a:avLst/>
                    </a:prstGeom>
                  </pic:spPr>
                </pic:pic>
              </a:graphicData>
            </a:graphic>
          </wp:anchor>
        </w:drawing>
      </w:r>
    </w:p>
    <w:p>
      <w:pPr>
        <w:pStyle w:val="21"/>
        <w:rPr>
          <w:rFonts w:ascii="宋体" w:cs="宋体"/>
          <w:kern w:val="0"/>
          <w:sz w:val="24"/>
          <w:szCs w:val="24"/>
        </w:rPr>
      </w:pPr>
    </w:p>
    <w:p>
      <w:pPr>
        <w:adjustRightInd w:val="0"/>
        <w:snapToGrid w:val="0"/>
        <w:spacing w:line="480" w:lineRule="auto"/>
        <w:ind w:left="3855" w:hanging="3855" w:hangingChars="1200"/>
        <w:jc w:val="center"/>
        <w:rPr>
          <w:rFonts w:hint="eastAsia" w:ascii="宋体" w:hAnsi="宋体"/>
          <w:b/>
          <w:sz w:val="32"/>
          <w:szCs w:val="32"/>
        </w:rPr>
      </w:pPr>
    </w:p>
    <w:p>
      <w:pPr>
        <w:pStyle w:val="21"/>
        <w:rPr>
          <w:rFonts w:hint="eastAsia"/>
        </w:rPr>
      </w:pPr>
    </w:p>
    <w:p>
      <w:pPr>
        <w:adjustRightInd w:val="0"/>
        <w:snapToGrid w:val="0"/>
        <w:spacing w:line="480" w:lineRule="auto"/>
        <w:ind w:left="3855" w:hanging="3855" w:hangingChars="1200"/>
        <w:jc w:val="center"/>
        <w:rPr>
          <w:rFonts w:hint="eastAsia" w:ascii="宋体" w:hAnsi="宋体"/>
          <w:b/>
          <w:sz w:val="32"/>
          <w:szCs w:val="32"/>
        </w:rPr>
      </w:pPr>
      <w:r>
        <w:rPr>
          <w:rFonts w:hint="eastAsia" w:ascii="宋体" w:hAnsi="宋体"/>
          <w:b/>
          <w:sz w:val="32"/>
          <w:szCs w:val="32"/>
        </w:rPr>
        <w:t>项目名称：靖州县疾病预防控制中心检验检测及应急医疗物</w:t>
      </w:r>
    </w:p>
    <w:p>
      <w:pPr>
        <w:adjustRightInd w:val="0"/>
        <w:snapToGrid w:val="0"/>
        <w:spacing w:line="480" w:lineRule="auto"/>
        <w:ind w:left="3855" w:hanging="3855" w:hangingChars="1200"/>
        <w:jc w:val="center"/>
        <w:rPr>
          <w:rFonts w:hint="eastAsia" w:ascii="宋体" w:hAnsi="宋体"/>
          <w:b/>
          <w:sz w:val="32"/>
          <w:szCs w:val="32"/>
        </w:rPr>
      </w:pPr>
      <w:r>
        <w:rPr>
          <w:rFonts w:hint="eastAsia" w:ascii="宋体" w:hAnsi="宋体"/>
          <w:b/>
          <w:sz w:val="32"/>
          <w:szCs w:val="32"/>
        </w:rPr>
        <w:t>资储备楼改造工程项目</w:t>
      </w:r>
    </w:p>
    <w:p>
      <w:pPr>
        <w:adjustRightInd w:val="0"/>
        <w:snapToGrid w:val="0"/>
        <w:spacing w:line="480" w:lineRule="auto"/>
        <w:ind w:left="3855" w:hanging="3855" w:hangingChars="1200"/>
        <w:jc w:val="center"/>
        <w:rPr>
          <w:rFonts w:hint="eastAsia"/>
          <w:b/>
          <w:sz w:val="32"/>
          <w:szCs w:val="32"/>
        </w:rPr>
      </w:pPr>
      <w:r>
        <w:rPr>
          <w:rFonts w:hint="eastAsia" w:ascii="宋体" w:hAnsi="宋体"/>
          <w:b/>
          <w:sz w:val="32"/>
          <w:szCs w:val="32"/>
        </w:rPr>
        <w:t>建设单位（盖章）：靖州苗族</w:t>
      </w:r>
      <w:r>
        <w:rPr>
          <w:rFonts w:hint="eastAsia" w:ascii="宋体" w:hAnsi="宋体"/>
          <w:b/>
          <w:sz w:val="32"/>
          <w:szCs w:val="32"/>
          <w:lang w:val="en-US" w:eastAsia="zh-CN"/>
        </w:rPr>
        <w:t>侗族</w:t>
      </w:r>
      <w:r>
        <w:rPr>
          <w:rFonts w:hint="eastAsia" w:ascii="宋体" w:hAnsi="宋体"/>
          <w:b/>
          <w:sz w:val="32"/>
          <w:szCs w:val="32"/>
        </w:rPr>
        <w:t>自治县疾病预防控制中心</w:t>
      </w:r>
    </w:p>
    <w:p>
      <w:pPr>
        <w:spacing w:line="480" w:lineRule="auto"/>
        <w:jc w:val="left"/>
        <w:rPr>
          <w:rFonts w:hint="eastAsia" w:hAnsi="宋体"/>
          <w:b/>
          <w:sz w:val="30"/>
          <w:szCs w:val="30"/>
        </w:rPr>
      </w:pPr>
      <w:r>
        <w:rPr>
          <w:rFonts w:hint="eastAsia" w:ascii="宋体" w:hAnsi="宋体"/>
          <w:b/>
          <w:sz w:val="32"/>
          <w:szCs w:val="32"/>
          <w:lang w:val="en-US" w:eastAsia="zh-CN"/>
        </w:rPr>
        <w:t>编制单位</w:t>
      </w:r>
      <w:r>
        <w:rPr>
          <w:rFonts w:hint="eastAsia" w:ascii="宋体" w:hAnsi="宋体"/>
          <w:b/>
          <w:sz w:val="32"/>
          <w:szCs w:val="32"/>
        </w:rPr>
        <w:t>（盖章）</w:t>
      </w:r>
      <w:r>
        <w:rPr>
          <w:rFonts w:hint="eastAsia" w:ascii="宋体" w:hAnsi="宋体"/>
          <w:b/>
          <w:sz w:val="32"/>
          <w:szCs w:val="32"/>
          <w:lang w:val="en-US" w:eastAsia="zh-CN"/>
        </w:rPr>
        <w:t>：</w:t>
      </w:r>
      <w:r>
        <w:rPr>
          <w:rFonts w:hint="eastAsia" w:hAnsi="宋体"/>
          <w:b/>
          <w:sz w:val="30"/>
          <w:szCs w:val="30"/>
        </w:rPr>
        <w:t>怀化环诚环保科技有限公司</w:t>
      </w:r>
    </w:p>
    <w:p>
      <w:pPr>
        <w:spacing w:line="480" w:lineRule="auto"/>
        <w:jc w:val="center"/>
        <w:rPr>
          <w:rFonts w:hint="eastAsia" w:ascii="宋体" w:hAnsi="宋体"/>
          <w:b/>
          <w:sz w:val="30"/>
          <w:szCs w:val="30"/>
        </w:rPr>
      </w:pPr>
      <w:r>
        <w:rPr>
          <w:rFonts w:hint="eastAsia" w:ascii="宋体" w:hAnsi="宋体"/>
          <w:b/>
          <w:sz w:val="30"/>
          <w:szCs w:val="30"/>
        </w:rPr>
        <w:t>编制日期：202</w:t>
      </w:r>
      <w:r>
        <w:rPr>
          <w:rFonts w:hint="eastAsia" w:ascii="宋体" w:hAnsi="宋体"/>
          <w:b/>
          <w:sz w:val="30"/>
          <w:szCs w:val="30"/>
          <w:lang w:val="en-US" w:eastAsia="zh-CN"/>
        </w:rPr>
        <w:t>2</w:t>
      </w:r>
      <w:r>
        <w:rPr>
          <w:rFonts w:hint="eastAsia" w:ascii="宋体" w:hAnsi="宋体"/>
          <w:b/>
          <w:sz w:val="30"/>
          <w:szCs w:val="30"/>
        </w:rPr>
        <w:t>年</w:t>
      </w:r>
      <w:r>
        <w:rPr>
          <w:rFonts w:hint="eastAsia" w:ascii="宋体" w:hAnsi="宋体"/>
          <w:b/>
          <w:sz w:val="30"/>
          <w:szCs w:val="30"/>
          <w:lang w:val="en-US" w:eastAsia="zh-CN"/>
        </w:rPr>
        <w:t>5</w:t>
      </w:r>
      <w:r>
        <w:rPr>
          <w:rFonts w:hint="eastAsia" w:ascii="宋体" w:hAnsi="宋体"/>
          <w:b/>
          <w:sz w:val="30"/>
          <w:szCs w:val="30"/>
        </w:rPr>
        <w:t>月</w:t>
      </w:r>
    </w:p>
    <w:p>
      <w:pPr>
        <w:widowControl/>
        <w:jc w:val="center"/>
        <w:rPr>
          <w:b/>
          <w:sz w:val="24"/>
          <w:szCs w:val="24"/>
        </w:rPr>
        <w:sectPr>
          <w:headerReference r:id="rId3" w:type="default"/>
          <w:footerReference r:id="rId4" w:type="default"/>
          <w:pgSz w:w="11906" w:h="16838"/>
          <w:pgMar w:top="1418" w:right="1797" w:bottom="1418"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tabs>
          <w:tab w:val="left" w:pos="14"/>
        </w:tabs>
        <w:suppressAutoHyphens/>
        <w:topLinePunct/>
        <w:spacing w:line="360" w:lineRule="auto"/>
        <w:jc w:val="center"/>
        <w:rPr>
          <w:rFonts w:hint="eastAsia"/>
          <w:b/>
          <w:bCs/>
          <w:lang w:val="en-US" w:eastAsia="zh-CN"/>
        </w:rPr>
      </w:pPr>
      <w:r>
        <w:rPr>
          <w:rFonts w:hint="eastAsia"/>
          <w:b/>
          <w:bCs/>
          <w:lang w:val="en-US" w:eastAsia="zh-CN"/>
        </w:rPr>
        <w:t>目录</w:t>
      </w:r>
    </w:p>
    <w:p>
      <w:pPr>
        <w:pStyle w:val="12"/>
        <w:tabs>
          <w:tab w:val="right" w:leader="dot" w:pos="8312"/>
        </w:tabs>
      </w:pPr>
      <w:r>
        <w:rPr>
          <w:rFonts w:hint="default"/>
          <w:lang w:val="en-US" w:eastAsia="zh-CN"/>
        </w:rPr>
        <w:fldChar w:fldCharType="begin"/>
      </w:r>
      <w:r>
        <w:rPr>
          <w:rFonts w:hint="default"/>
          <w:lang w:val="en-US" w:eastAsia="zh-CN"/>
        </w:rPr>
        <w:instrText xml:space="preserve">TOC \o "1-3"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_Toc18254 </w:instrText>
      </w:r>
      <w:r>
        <w:rPr>
          <w:rFonts w:hint="default"/>
          <w:lang w:val="en-US" w:eastAsia="zh-CN"/>
        </w:rPr>
        <w:fldChar w:fldCharType="separate"/>
      </w:r>
      <w:r>
        <w:rPr>
          <w:rFonts w:hint="eastAsia"/>
        </w:rPr>
        <w:t>一、建设项目基本情况</w:t>
      </w:r>
      <w:r>
        <w:tab/>
      </w:r>
      <w:r>
        <w:fldChar w:fldCharType="begin"/>
      </w:r>
      <w:r>
        <w:instrText xml:space="preserve"> PAGEREF _Toc18254 \h </w:instrText>
      </w:r>
      <w:r>
        <w:fldChar w:fldCharType="separate"/>
      </w:r>
      <w:r>
        <w:t>2</w:t>
      </w:r>
      <w:r>
        <w:fldChar w:fldCharType="end"/>
      </w:r>
      <w:r>
        <w:rPr>
          <w:rFonts w:hint="default"/>
          <w:lang w:val="en-US" w:eastAsia="zh-CN"/>
        </w:rPr>
        <w:fldChar w:fldCharType="end"/>
      </w:r>
    </w:p>
    <w:p>
      <w:pPr>
        <w:pStyle w:val="12"/>
        <w:tabs>
          <w:tab w:val="right" w:leader="dot" w:pos="8312"/>
        </w:tabs>
      </w:pPr>
      <w:r>
        <w:rPr>
          <w:rFonts w:hint="default"/>
          <w:lang w:val="en-US" w:eastAsia="zh-CN"/>
        </w:rPr>
        <w:fldChar w:fldCharType="begin"/>
      </w:r>
      <w:r>
        <w:rPr>
          <w:rFonts w:hint="default"/>
          <w:lang w:val="en-US" w:eastAsia="zh-CN"/>
        </w:rPr>
        <w:instrText xml:space="preserve"> HYPERLINK \l _Toc9207 </w:instrText>
      </w:r>
      <w:r>
        <w:rPr>
          <w:rFonts w:hint="default"/>
          <w:lang w:val="en-US" w:eastAsia="zh-CN"/>
        </w:rPr>
        <w:fldChar w:fldCharType="separate"/>
      </w:r>
      <w:r>
        <w:rPr>
          <w:rFonts w:hint="eastAsia"/>
        </w:rPr>
        <w:t>二、建设项目工程分析</w:t>
      </w:r>
      <w:r>
        <w:tab/>
      </w:r>
      <w:r>
        <w:fldChar w:fldCharType="begin"/>
      </w:r>
      <w:r>
        <w:instrText xml:space="preserve"> PAGEREF _Toc9207 \h </w:instrText>
      </w:r>
      <w:r>
        <w:fldChar w:fldCharType="separate"/>
      </w:r>
      <w:r>
        <w:t>9</w:t>
      </w:r>
      <w:r>
        <w:fldChar w:fldCharType="end"/>
      </w:r>
      <w:r>
        <w:rPr>
          <w:rFonts w:hint="default"/>
          <w:lang w:val="en-US" w:eastAsia="zh-CN"/>
        </w:rPr>
        <w:fldChar w:fldCharType="end"/>
      </w:r>
    </w:p>
    <w:p>
      <w:pPr>
        <w:pStyle w:val="13"/>
        <w:tabs>
          <w:tab w:val="right" w:leader="dot" w:pos="8312"/>
        </w:tabs>
      </w:pPr>
      <w:r>
        <w:rPr>
          <w:rFonts w:hint="eastAsia"/>
          <w:lang w:val="en-US" w:eastAsia="zh-CN"/>
        </w:rPr>
        <w:t>1、</w:t>
      </w:r>
      <w:r>
        <w:rPr>
          <w:rFonts w:hint="default"/>
          <w:lang w:val="en-US" w:eastAsia="zh-CN"/>
        </w:rPr>
        <w:fldChar w:fldCharType="begin"/>
      </w:r>
      <w:r>
        <w:rPr>
          <w:rFonts w:hint="default"/>
          <w:lang w:val="en-US" w:eastAsia="zh-CN"/>
        </w:rPr>
        <w:instrText xml:space="preserve"> HYPERLINK \l _Toc12394 </w:instrText>
      </w:r>
      <w:r>
        <w:rPr>
          <w:rFonts w:hint="default"/>
          <w:lang w:val="en-US" w:eastAsia="zh-CN"/>
        </w:rPr>
        <w:fldChar w:fldCharType="separate"/>
      </w:r>
      <w:r>
        <w:rPr>
          <w:rFonts w:hint="eastAsia"/>
          <w:lang w:val="en-US" w:eastAsia="zh-CN"/>
        </w:rPr>
        <w:t>建设内容</w:t>
      </w:r>
      <w:r>
        <w:tab/>
      </w:r>
      <w:r>
        <w:fldChar w:fldCharType="begin"/>
      </w:r>
      <w:r>
        <w:instrText xml:space="preserve"> PAGEREF _Toc12394 \h </w:instrText>
      </w:r>
      <w:r>
        <w:fldChar w:fldCharType="separate"/>
      </w:r>
      <w:r>
        <w:t>9</w:t>
      </w:r>
      <w:r>
        <w:fldChar w:fldCharType="end"/>
      </w:r>
      <w:r>
        <w:rPr>
          <w:rFonts w:hint="default"/>
          <w:lang w:val="en-US" w:eastAsia="zh-CN"/>
        </w:rPr>
        <w:fldChar w:fldCharType="end"/>
      </w:r>
    </w:p>
    <w:p>
      <w:pPr>
        <w:pStyle w:val="13"/>
        <w:tabs>
          <w:tab w:val="right" w:leader="dot" w:pos="8312"/>
        </w:tabs>
      </w:pPr>
      <w:r>
        <w:rPr>
          <w:rFonts w:hint="eastAsia"/>
          <w:lang w:val="en-US" w:eastAsia="zh-CN"/>
        </w:rPr>
        <w:t>2、</w:t>
      </w:r>
      <w:r>
        <w:rPr>
          <w:rFonts w:hint="default"/>
          <w:lang w:val="en-US" w:eastAsia="zh-CN"/>
        </w:rPr>
        <w:fldChar w:fldCharType="begin"/>
      </w:r>
      <w:r>
        <w:rPr>
          <w:rFonts w:hint="default"/>
          <w:lang w:val="en-US" w:eastAsia="zh-CN"/>
        </w:rPr>
        <w:instrText xml:space="preserve"> HYPERLINK \l _Toc8763 </w:instrText>
      </w:r>
      <w:r>
        <w:rPr>
          <w:rFonts w:hint="default"/>
          <w:lang w:val="en-US" w:eastAsia="zh-CN"/>
        </w:rPr>
        <w:fldChar w:fldCharType="separate"/>
      </w:r>
      <w:r>
        <w:rPr>
          <w:rFonts w:hint="eastAsia"/>
        </w:rPr>
        <w:t>工艺流程和产排污环节</w:t>
      </w:r>
      <w:r>
        <w:tab/>
      </w:r>
      <w:r>
        <w:fldChar w:fldCharType="begin"/>
      </w:r>
      <w:r>
        <w:instrText xml:space="preserve"> PAGEREF _Toc8763 \h </w:instrText>
      </w:r>
      <w:r>
        <w:fldChar w:fldCharType="separate"/>
      </w:r>
      <w:r>
        <w:t>17</w:t>
      </w:r>
      <w:r>
        <w:fldChar w:fldCharType="end"/>
      </w:r>
      <w:r>
        <w:rPr>
          <w:rFonts w:hint="default"/>
          <w:lang w:val="en-US" w:eastAsia="zh-CN"/>
        </w:rPr>
        <w:fldChar w:fldCharType="end"/>
      </w:r>
    </w:p>
    <w:p>
      <w:pPr>
        <w:pStyle w:val="13"/>
        <w:tabs>
          <w:tab w:val="right" w:leader="dot" w:pos="8312"/>
        </w:tabs>
      </w:pPr>
      <w:r>
        <w:rPr>
          <w:rFonts w:hint="eastAsia"/>
          <w:lang w:val="en-US" w:eastAsia="zh-CN"/>
        </w:rPr>
        <w:t>3、</w:t>
      </w:r>
      <w:r>
        <w:rPr>
          <w:rFonts w:hint="default"/>
          <w:lang w:val="en-US" w:eastAsia="zh-CN"/>
        </w:rPr>
        <w:fldChar w:fldCharType="begin"/>
      </w:r>
      <w:r>
        <w:rPr>
          <w:rFonts w:hint="default"/>
          <w:lang w:val="en-US" w:eastAsia="zh-CN"/>
        </w:rPr>
        <w:instrText xml:space="preserve"> HYPERLINK \l _Toc19453 </w:instrText>
      </w:r>
      <w:r>
        <w:rPr>
          <w:rFonts w:hint="default"/>
          <w:lang w:val="en-US" w:eastAsia="zh-CN"/>
        </w:rPr>
        <w:fldChar w:fldCharType="separate"/>
      </w:r>
      <w:r>
        <w:rPr>
          <w:rFonts w:hint="eastAsia"/>
        </w:rPr>
        <w:t>与项目有关的原有环境污染问题</w:t>
      </w:r>
      <w:r>
        <w:tab/>
      </w:r>
      <w:r>
        <w:fldChar w:fldCharType="begin"/>
      </w:r>
      <w:r>
        <w:instrText xml:space="preserve"> PAGEREF _Toc19453 \h </w:instrText>
      </w:r>
      <w:r>
        <w:fldChar w:fldCharType="separate"/>
      </w:r>
      <w:r>
        <w:t>19</w:t>
      </w:r>
      <w:r>
        <w:fldChar w:fldCharType="end"/>
      </w:r>
      <w:r>
        <w:rPr>
          <w:rFonts w:hint="default"/>
          <w:lang w:val="en-US" w:eastAsia="zh-CN"/>
        </w:rPr>
        <w:fldChar w:fldCharType="end"/>
      </w:r>
    </w:p>
    <w:p>
      <w:pPr>
        <w:pStyle w:val="12"/>
        <w:tabs>
          <w:tab w:val="right" w:leader="dot" w:pos="8312"/>
        </w:tabs>
      </w:pPr>
      <w:r>
        <w:rPr>
          <w:rFonts w:hint="default"/>
          <w:lang w:val="en-US" w:eastAsia="zh-CN"/>
        </w:rPr>
        <w:fldChar w:fldCharType="begin"/>
      </w:r>
      <w:r>
        <w:rPr>
          <w:rFonts w:hint="default"/>
          <w:lang w:val="en-US" w:eastAsia="zh-CN"/>
        </w:rPr>
        <w:instrText xml:space="preserve"> HYPERLINK \l _Toc17162 </w:instrText>
      </w:r>
      <w:r>
        <w:rPr>
          <w:rFonts w:hint="default"/>
          <w:lang w:val="en-US" w:eastAsia="zh-CN"/>
        </w:rPr>
        <w:fldChar w:fldCharType="separate"/>
      </w:r>
      <w:r>
        <w:rPr>
          <w:rFonts w:hint="eastAsia"/>
        </w:rPr>
        <w:t>三、区域环境质量现状、环境保护目标及评价标准</w:t>
      </w:r>
      <w:r>
        <w:tab/>
      </w:r>
      <w:r>
        <w:fldChar w:fldCharType="begin"/>
      </w:r>
      <w:r>
        <w:instrText xml:space="preserve"> PAGEREF _Toc17162 \h </w:instrText>
      </w:r>
      <w:r>
        <w:fldChar w:fldCharType="separate"/>
      </w:r>
      <w:r>
        <w:t>21</w:t>
      </w:r>
      <w:r>
        <w:fldChar w:fldCharType="end"/>
      </w:r>
      <w:r>
        <w:rPr>
          <w:rFonts w:hint="default"/>
          <w:lang w:val="en-US" w:eastAsia="zh-CN"/>
        </w:rPr>
        <w:fldChar w:fldCharType="end"/>
      </w:r>
    </w:p>
    <w:p>
      <w:pPr>
        <w:pStyle w:val="13"/>
        <w:tabs>
          <w:tab w:val="right" w:leader="dot" w:pos="8312"/>
        </w:tabs>
      </w:pPr>
      <w:r>
        <w:rPr>
          <w:rFonts w:hint="eastAsia"/>
          <w:lang w:val="en-US" w:eastAsia="zh-CN"/>
        </w:rPr>
        <w:t>1、</w:t>
      </w:r>
      <w:r>
        <w:rPr>
          <w:rFonts w:hint="default"/>
          <w:lang w:val="en-US" w:eastAsia="zh-CN"/>
        </w:rPr>
        <w:fldChar w:fldCharType="begin"/>
      </w:r>
      <w:r>
        <w:rPr>
          <w:rFonts w:hint="default"/>
          <w:lang w:val="en-US" w:eastAsia="zh-CN"/>
        </w:rPr>
        <w:instrText xml:space="preserve"> HYPERLINK \l _Toc27413 </w:instrText>
      </w:r>
      <w:r>
        <w:rPr>
          <w:rFonts w:hint="default"/>
          <w:lang w:val="en-US" w:eastAsia="zh-CN"/>
        </w:rPr>
        <w:fldChar w:fldCharType="separate"/>
      </w:r>
      <w:r>
        <w:rPr>
          <w:rFonts w:hint="eastAsia"/>
        </w:rPr>
        <w:t>区域环境质量现状</w:t>
      </w:r>
      <w:r>
        <w:tab/>
      </w:r>
      <w:r>
        <w:fldChar w:fldCharType="begin"/>
      </w:r>
      <w:r>
        <w:instrText xml:space="preserve"> PAGEREF _Toc27413 \h </w:instrText>
      </w:r>
      <w:r>
        <w:fldChar w:fldCharType="separate"/>
      </w:r>
      <w:r>
        <w:t>21</w:t>
      </w:r>
      <w:r>
        <w:fldChar w:fldCharType="end"/>
      </w:r>
      <w:r>
        <w:rPr>
          <w:rFonts w:hint="default"/>
          <w:lang w:val="en-US" w:eastAsia="zh-CN"/>
        </w:rPr>
        <w:fldChar w:fldCharType="end"/>
      </w:r>
    </w:p>
    <w:p>
      <w:pPr>
        <w:pStyle w:val="13"/>
        <w:tabs>
          <w:tab w:val="right" w:leader="dot" w:pos="8312"/>
        </w:tabs>
      </w:pPr>
      <w:r>
        <w:rPr>
          <w:rFonts w:hint="eastAsia"/>
          <w:lang w:val="en-US" w:eastAsia="zh-CN"/>
        </w:rPr>
        <w:t>2、</w:t>
      </w:r>
      <w:r>
        <w:rPr>
          <w:rFonts w:hint="default"/>
          <w:lang w:val="en-US" w:eastAsia="zh-CN"/>
        </w:rPr>
        <w:fldChar w:fldCharType="begin"/>
      </w:r>
      <w:r>
        <w:rPr>
          <w:rFonts w:hint="default"/>
          <w:lang w:val="en-US" w:eastAsia="zh-CN"/>
        </w:rPr>
        <w:instrText xml:space="preserve"> HYPERLINK \l _Toc19664 </w:instrText>
      </w:r>
      <w:r>
        <w:rPr>
          <w:rFonts w:hint="default"/>
          <w:lang w:val="en-US" w:eastAsia="zh-CN"/>
        </w:rPr>
        <w:fldChar w:fldCharType="separate"/>
      </w:r>
      <w:r>
        <w:rPr>
          <w:rFonts w:hint="eastAsia"/>
        </w:rPr>
        <w:t>环境保护目标</w:t>
      </w:r>
      <w:r>
        <w:tab/>
      </w:r>
      <w:r>
        <w:fldChar w:fldCharType="begin"/>
      </w:r>
      <w:r>
        <w:instrText xml:space="preserve"> PAGEREF _Toc19664 \h </w:instrText>
      </w:r>
      <w:r>
        <w:fldChar w:fldCharType="separate"/>
      </w:r>
      <w:r>
        <w:t>25</w:t>
      </w:r>
      <w:r>
        <w:fldChar w:fldCharType="end"/>
      </w:r>
      <w:r>
        <w:rPr>
          <w:rFonts w:hint="default"/>
          <w:lang w:val="en-US" w:eastAsia="zh-CN"/>
        </w:rPr>
        <w:fldChar w:fldCharType="end"/>
      </w:r>
    </w:p>
    <w:p>
      <w:pPr>
        <w:pStyle w:val="13"/>
        <w:tabs>
          <w:tab w:val="right" w:leader="dot" w:pos="8312"/>
        </w:tabs>
      </w:pPr>
      <w:r>
        <w:rPr>
          <w:rFonts w:hint="eastAsia"/>
          <w:lang w:val="en-US" w:eastAsia="zh-CN"/>
        </w:rPr>
        <w:t>3、</w:t>
      </w:r>
      <w:r>
        <w:rPr>
          <w:rFonts w:hint="default"/>
          <w:lang w:val="en-US" w:eastAsia="zh-CN"/>
        </w:rPr>
        <w:fldChar w:fldCharType="begin"/>
      </w:r>
      <w:r>
        <w:rPr>
          <w:rFonts w:hint="default"/>
          <w:lang w:val="en-US" w:eastAsia="zh-CN"/>
        </w:rPr>
        <w:instrText xml:space="preserve"> HYPERLINK \l _Toc21948 </w:instrText>
      </w:r>
      <w:r>
        <w:rPr>
          <w:rFonts w:hint="default"/>
          <w:lang w:val="en-US" w:eastAsia="zh-CN"/>
        </w:rPr>
        <w:fldChar w:fldCharType="separate"/>
      </w:r>
      <w:r>
        <w:rPr>
          <w:rFonts w:hint="eastAsia"/>
        </w:rPr>
        <w:t>污染物排放控制标准</w:t>
      </w:r>
      <w:r>
        <w:tab/>
      </w:r>
      <w:r>
        <w:fldChar w:fldCharType="begin"/>
      </w:r>
      <w:r>
        <w:instrText xml:space="preserve"> PAGEREF _Toc21948 \h </w:instrText>
      </w:r>
      <w:r>
        <w:fldChar w:fldCharType="separate"/>
      </w:r>
      <w:r>
        <w:t>26</w:t>
      </w:r>
      <w:r>
        <w:fldChar w:fldCharType="end"/>
      </w:r>
      <w:r>
        <w:rPr>
          <w:rFonts w:hint="default"/>
          <w:lang w:val="en-US" w:eastAsia="zh-CN"/>
        </w:rPr>
        <w:fldChar w:fldCharType="end"/>
      </w:r>
    </w:p>
    <w:p>
      <w:pPr>
        <w:pStyle w:val="13"/>
        <w:tabs>
          <w:tab w:val="right" w:leader="dot" w:pos="8312"/>
        </w:tabs>
      </w:pPr>
      <w:r>
        <w:rPr>
          <w:rFonts w:hint="eastAsia"/>
          <w:lang w:val="en-US" w:eastAsia="zh-CN"/>
        </w:rPr>
        <w:t>4、</w:t>
      </w:r>
      <w:r>
        <w:rPr>
          <w:rFonts w:hint="default"/>
          <w:lang w:val="en-US" w:eastAsia="zh-CN"/>
        </w:rPr>
        <w:fldChar w:fldCharType="begin"/>
      </w:r>
      <w:r>
        <w:rPr>
          <w:rFonts w:hint="default"/>
          <w:lang w:val="en-US" w:eastAsia="zh-CN"/>
        </w:rPr>
        <w:instrText xml:space="preserve"> HYPERLINK \l _Toc15758 </w:instrText>
      </w:r>
      <w:r>
        <w:rPr>
          <w:rFonts w:hint="default"/>
          <w:lang w:val="en-US" w:eastAsia="zh-CN"/>
        </w:rPr>
        <w:fldChar w:fldCharType="separate"/>
      </w:r>
      <w:r>
        <w:rPr>
          <w:rFonts w:hint="eastAsia"/>
        </w:rPr>
        <w:t>总量控制指标</w:t>
      </w:r>
      <w:r>
        <w:tab/>
      </w:r>
      <w:r>
        <w:fldChar w:fldCharType="begin"/>
      </w:r>
      <w:r>
        <w:instrText xml:space="preserve"> PAGEREF _Toc15758 \h </w:instrText>
      </w:r>
      <w:r>
        <w:fldChar w:fldCharType="separate"/>
      </w:r>
      <w:r>
        <w:t>29</w:t>
      </w:r>
      <w:r>
        <w:fldChar w:fldCharType="end"/>
      </w:r>
      <w:r>
        <w:rPr>
          <w:rFonts w:hint="default"/>
          <w:lang w:val="en-US" w:eastAsia="zh-CN"/>
        </w:rPr>
        <w:fldChar w:fldCharType="end"/>
      </w:r>
    </w:p>
    <w:p>
      <w:pPr>
        <w:pStyle w:val="12"/>
        <w:tabs>
          <w:tab w:val="right" w:leader="dot" w:pos="8312"/>
        </w:tabs>
      </w:pPr>
      <w:r>
        <w:rPr>
          <w:rFonts w:hint="default"/>
          <w:lang w:val="en-US" w:eastAsia="zh-CN"/>
        </w:rPr>
        <w:fldChar w:fldCharType="begin"/>
      </w:r>
      <w:r>
        <w:rPr>
          <w:rFonts w:hint="default"/>
          <w:lang w:val="en-US" w:eastAsia="zh-CN"/>
        </w:rPr>
        <w:instrText xml:space="preserve"> HYPERLINK \l _Toc6027 </w:instrText>
      </w:r>
      <w:r>
        <w:rPr>
          <w:rFonts w:hint="default"/>
          <w:lang w:val="en-US" w:eastAsia="zh-CN"/>
        </w:rPr>
        <w:fldChar w:fldCharType="separate"/>
      </w:r>
      <w:r>
        <w:rPr>
          <w:rFonts w:hint="eastAsia"/>
        </w:rPr>
        <w:t>四、主要环境影响和保护措施</w:t>
      </w:r>
      <w:r>
        <w:tab/>
      </w:r>
      <w:r>
        <w:fldChar w:fldCharType="begin"/>
      </w:r>
      <w:r>
        <w:instrText xml:space="preserve"> PAGEREF _Toc6027 \h </w:instrText>
      </w:r>
      <w:r>
        <w:fldChar w:fldCharType="separate"/>
      </w:r>
      <w:r>
        <w:t>30</w:t>
      </w:r>
      <w:r>
        <w:fldChar w:fldCharType="end"/>
      </w:r>
      <w:r>
        <w:rPr>
          <w:rFonts w:hint="default"/>
          <w:lang w:val="en-US" w:eastAsia="zh-CN"/>
        </w:rPr>
        <w:fldChar w:fldCharType="end"/>
      </w:r>
    </w:p>
    <w:p>
      <w:pPr>
        <w:pStyle w:val="13"/>
        <w:tabs>
          <w:tab w:val="right" w:leader="dot" w:pos="8312"/>
        </w:tabs>
      </w:pPr>
      <w:r>
        <w:rPr>
          <w:rFonts w:hint="eastAsia"/>
          <w:lang w:val="en-US" w:eastAsia="zh-CN"/>
        </w:rPr>
        <w:t>1、</w:t>
      </w:r>
      <w:r>
        <w:rPr>
          <w:rFonts w:hint="default"/>
          <w:lang w:val="en-US" w:eastAsia="zh-CN"/>
        </w:rPr>
        <w:fldChar w:fldCharType="begin"/>
      </w:r>
      <w:r>
        <w:rPr>
          <w:rFonts w:hint="default"/>
          <w:lang w:val="en-US" w:eastAsia="zh-CN"/>
        </w:rPr>
        <w:instrText xml:space="preserve"> HYPERLINK \l _Toc18860 </w:instrText>
      </w:r>
      <w:r>
        <w:rPr>
          <w:rFonts w:hint="default"/>
          <w:lang w:val="en-US" w:eastAsia="zh-CN"/>
        </w:rPr>
        <w:fldChar w:fldCharType="separate"/>
      </w:r>
      <w:r>
        <w:rPr>
          <w:rFonts w:hint="eastAsia"/>
        </w:rPr>
        <w:t>施工期环境保护措施</w:t>
      </w:r>
      <w:r>
        <w:tab/>
      </w:r>
      <w:r>
        <w:fldChar w:fldCharType="begin"/>
      </w:r>
      <w:r>
        <w:instrText xml:space="preserve"> PAGEREF _Toc18860 \h </w:instrText>
      </w:r>
      <w:r>
        <w:fldChar w:fldCharType="separate"/>
      </w:r>
      <w:r>
        <w:t>30</w:t>
      </w:r>
      <w:r>
        <w:fldChar w:fldCharType="end"/>
      </w:r>
      <w:r>
        <w:rPr>
          <w:rFonts w:hint="default"/>
          <w:lang w:val="en-US" w:eastAsia="zh-CN"/>
        </w:rPr>
        <w:fldChar w:fldCharType="end"/>
      </w:r>
    </w:p>
    <w:p>
      <w:pPr>
        <w:pStyle w:val="13"/>
        <w:tabs>
          <w:tab w:val="right" w:leader="dot" w:pos="8312"/>
        </w:tabs>
      </w:pPr>
      <w:r>
        <w:rPr>
          <w:rFonts w:hint="eastAsia"/>
          <w:lang w:val="en-US" w:eastAsia="zh-CN"/>
        </w:rPr>
        <w:t>2、</w:t>
      </w:r>
      <w:r>
        <w:rPr>
          <w:rFonts w:hint="default"/>
          <w:lang w:val="en-US" w:eastAsia="zh-CN"/>
        </w:rPr>
        <w:fldChar w:fldCharType="begin"/>
      </w:r>
      <w:r>
        <w:rPr>
          <w:rFonts w:hint="default"/>
          <w:lang w:val="en-US" w:eastAsia="zh-CN"/>
        </w:rPr>
        <w:instrText xml:space="preserve"> HYPERLINK \l _Toc21935 </w:instrText>
      </w:r>
      <w:r>
        <w:rPr>
          <w:rFonts w:hint="default"/>
          <w:lang w:val="en-US" w:eastAsia="zh-CN"/>
        </w:rPr>
        <w:fldChar w:fldCharType="separate"/>
      </w:r>
      <w:r>
        <w:rPr>
          <w:rFonts w:hint="eastAsia"/>
        </w:rPr>
        <w:t>运营期环境影响和保护措施</w:t>
      </w:r>
      <w:r>
        <w:tab/>
      </w:r>
      <w:r>
        <w:fldChar w:fldCharType="begin"/>
      </w:r>
      <w:r>
        <w:instrText xml:space="preserve"> PAGEREF _Toc21935 \h </w:instrText>
      </w:r>
      <w:r>
        <w:fldChar w:fldCharType="separate"/>
      </w:r>
      <w:r>
        <w:t>33</w:t>
      </w:r>
      <w:r>
        <w:fldChar w:fldCharType="end"/>
      </w:r>
      <w:r>
        <w:rPr>
          <w:rFonts w:hint="default"/>
          <w:lang w:val="en-US" w:eastAsia="zh-CN"/>
        </w:rPr>
        <w:fldChar w:fldCharType="end"/>
      </w:r>
    </w:p>
    <w:p>
      <w:pPr>
        <w:pStyle w:val="12"/>
        <w:tabs>
          <w:tab w:val="right" w:leader="dot" w:pos="8312"/>
        </w:tabs>
      </w:pPr>
      <w:r>
        <w:rPr>
          <w:rFonts w:hint="default"/>
          <w:lang w:val="en-US" w:eastAsia="zh-CN"/>
        </w:rPr>
        <w:fldChar w:fldCharType="begin"/>
      </w:r>
      <w:r>
        <w:rPr>
          <w:rFonts w:hint="default"/>
          <w:lang w:val="en-US" w:eastAsia="zh-CN"/>
        </w:rPr>
        <w:instrText xml:space="preserve"> HYPERLINK \l _Toc25188 </w:instrText>
      </w:r>
      <w:r>
        <w:rPr>
          <w:rFonts w:hint="default"/>
          <w:lang w:val="en-US" w:eastAsia="zh-CN"/>
        </w:rPr>
        <w:fldChar w:fldCharType="separate"/>
      </w:r>
      <w:r>
        <w:rPr>
          <w:rFonts w:hint="eastAsia"/>
        </w:rPr>
        <w:t>五、环境保护措施监督检查清单</w:t>
      </w:r>
      <w:r>
        <w:tab/>
      </w:r>
      <w:r>
        <w:fldChar w:fldCharType="begin"/>
      </w:r>
      <w:r>
        <w:instrText xml:space="preserve"> PAGEREF _Toc25188 \h </w:instrText>
      </w:r>
      <w:r>
        <w:fldChar w:fldCharType="separate"/>
      </w:r>
      <w:r>
        <w:t>52</w:t>
      </w:r>
      <w:r>
        <w:fldChar w:fldCharType="end"/>
      </w:r>
      <w:r>
        <w:rPr>
          <w:rFonts w:hint="default"/>
          <w:lang w:val="en-US" w:eastAsia="zh-CN"/>
        </w:rPr>
        <w:fldChar w:fldCharType="end"/>
      </w:r>
    </w:p>
    <w:p>
      <w:pPr>
        <w:pStyle w:val="12"/>
        <w:tabs>
          <w:tab w:val="right" w:leader="dot" w:pos="8312"/>
        </w:tabs>
      </w:pPr>
      <w:r>
        <w:rPr>
          <w:rFonts w:hint="default"/>
          <w:lang w:val="en-US" w:eastAsia="zh-CN"/>
        </w:rPr>
        <w:fldChar w:fldCharType="begin"/>
      </w:r>
      <w:r>
        <w:rPr>
          <w:rFonts w:hint="default"/>
          <w:lang w:val="en-US" w:eastAsia="zh-CN"/>
        </w:rPr>
        <w:instrText xml:space="preserve"> HYPERLINK \l _Toc8756 </w:instrText>
      </w:r>
      <w:r>
        <w:rPr>
          <w:rFonts w:hint="default"/>
          <w:lang w:val="en-US" w:eastAsia="zh-CN"/>
        </w:rPr>
        <w:fldChar w:fldCharType="separate"/>
      </w:r>
      <w:r>
        <w:rPr>
          <w:rFonts w:hint="eastAsia"/>
        </w:rPr>
        <w:t>六、结论</w:t>
      </w:r>
      <w:r>
        <w:tab/>
      </w:r>
      <w:r>
        <w:fldChar w:fldCharType="begin"/>
      </w:r>
      <w:r>
        <w:instrText xml:space="preserve"> PAGEREF _Toc8756 \h </w:instrText>
      </w:r>
      <w:r>
        <w:fldChar w:fldCharType="separate"/>
      </w:r>
      <w:r>
        <w:t>53</w:t>
      </w:r>
      <w:r>
        <w:fldChar w:fldCharType="end"/>
      </w:r>
      <w:r>
        <w:rPr>
          <w:rFonts w:hint="default"/>
          <w:lang w:val="en-US" w:eastAsia="zh-CN"/>
        </w:rPr>
        <w:fldChar w:fldCharType="end"/>
      </w:r>
    </w:p>
    <w:p>
      <w:pPr>
        <w:pStyle w:val="21"/>
        <w:keepNext w:val="0"/>
        <w:keepLines w:val="0"/>
        <w:pageBreakBefore w:val="0"/>
        <w:widowControl w:val="0"/>
        <w:kinsoku/>
        <w:wordWrap/>
        <w:overflowPunct/>
        <w:topLinePunct w:val="0"/>
        <w:autoSpaceDE w:val="0"/>
        <w:autoSpaceDN w:val="0"/>
        <w:bidi w:val="0"/>
        <w:adjustRightInd w:val="0"/>
        <w:snapToGrid/>
        <w:textAlignment w:val="auto"/>
        <w:rPr>
          <w:rFonts w:hint="default"/>
          <w:b/>
          <w:bCs/>
          <w:lang w:val="en-US" w:eastAsia="zh-CN"/>
        </w:rPr>
      </w:pPr>
      <w:r>
        <w:rPr>
          <w:rFonts w:hint="default"/>
          <w:lang w:val="en-US" w:eastAsia="zh-CN"/>
        </w:rPr>
        <w:fldChar w:fldCharType="end"/>
      </w:r>
      <w:r>
        <w:rPr>
          <w:rFonts w:hint="eastAsia"/>
          <w:b/>
          <w:bCs/>
          <w:lang w:val="en-US" w:eastAsia="zh-CN"/>
        </w:rPr>
        <w:t>附表</w:t>
      </w:r>
    </w:p>
    <w:p>
      <w:pPr>
        <w:pStyle w:val="13"/>
        <w:tabs>
          <w:tab w:val="right" w:leader="dot" w:pos="8312"/>
        </w:tabs>
        <w:rPr>
          <w:rFonts w:hint="default"/>
          <w:lang w:val="en-US" w:eastAsia="zh-CN"/>
        </w:rPr>
      </w:pPr>
      <w:r>
        <w:rPr>
          <w:rFonts w:hint="eastAsia"/>
          <w:lang w:val="en-US" w:eastAsia="zh-CN"/>
        </w:rPr>
        <w:t>附表  建设项目污染物排放量汇总表</w:t>
      </w:r>
    </w:p>
    <w:p>
      <w:pPr>
        <w:pStyle w:val="13"/>
        <w:tabs>
          <w:tab w:val="right" w:leader="dot" w:pos="8312"/>
        </w:tabs>
        <w:rPr>
          <w:rFonts w:hint="default"/>
          <w:lang w:val="en-US" w:eastAsia="zh-CN"/>
        </w:rPr>
      </w:pPr>
      <w:r>
        <w:rPr>
          <w:rFonts w:hint="eastAsia"/>
          <w:b/>
          <w:bCs/>
          <w:lang w:val="en-US" w:eastAsia="zh-CN"/>
        </w:rPr>
        <w:t>附图</w:t>
      </w:r>
    </w:p>
    <w:p>
      <w:pPr>
        <w:pStyle w:val="13"/>
        <w:tabs>
          <w:tab w:val="right" w:leader="dot" w:pos="8312"/>
        </w:tabs>
        <w:rPr>
          <w:rFonts w:hint="eastAsia"/>
          <w:lang w:val="en-US" w:eastAsia="zh-CN"/>
        </w:rPr>
      </w:pPr>
      <w:r>
        <w:rPr>
          <w:rFonts w:hint="eastAsia"/>
          <w:lang w:val="en-US" w:eastAsia="zh-CN"/>
        </w:rPr>
        <w:t>附图一  平面布置图</w:t>
      </w:r>
    </w:p>
    <w:p>
      <w:pPr>
        <w:pStyle w:val="13"/>
        <w:tabs>
          <w:tab w:val="right" w:leader="dot" w:pos="8312"/>
        </w:tabs>
        <w:rPr>
          <w:rFonts w:hint="eastAsia"/>
          <w:lang w:val="en-US" w:eastAsia="zh-CN"/>
        </w:rPr>
      </w:pPr>
      <w:r>
        <w:rPr>
          <w:rFonts w:hint="eastAsia"/>
          <w:lang w:val="en-US" w:eastAsia="zh-CN"/>
        </w:rPr>
        <w:t>附图二  项目位置及</w:t>
      </w:r>
      <w:bookmarkStart w:id="21" w:name="_GoBack"/>
      <w:bookmarkEnd w:id="21"/>
      <w:r>
        <w:rPr>
          <w:rFonts w:hint="eastAsia"/>
          <w:lang w:val="en-US" w:eastAsia="zh-CN"/>
        </w:rPr>
        <w:t>靖州苗族侗族自治县总体规划图</w:t>
      </w:r>
    </w:p>
    <w:p>
      <w:pPr>
        <w:pStyle w:val="13"/>
        <w:tabs>
          <w:tab w:val="right" w:leader="dot" w:pos="8312"/>
        </w:tabs>
        <w:rPr>
          <w:rFonts w:hint="eastAsia"/>
          <w:lang w:val="en-US" w:eastAsia="zh-CN"/>
        </w:rPr>
      </w:pPr>
      <w:r>
        <w:rPr>
          <w:rFonts w:hint="eastAsia"/>
          <w:lang w:val="en-US" w:eastAsia="zh-CN"/>
        </w:rPr>
        <w:t>附图三  靖州苗族侗族自治县污水管网规划图</w:t>
      </w:r>
    </w:p>
    <w:p>
      <w:pPr>
        <w:pStyle w:val="13"/>
        <w:tabs>
          <w:tab w:val="right" w:leader="dot" w:pos="8312"/>
        </w:tabs>
        <w:rPr>
          <w:rFonts w:hint="eastAsia"/>
          <w:lang w:val="en-US" w:eastAsia="zh-CN"/>
        </w:rPr>
      </w:pPr>
      <w:r>
        <w:rPr>
          <w:rFonts w:hint="eastAsia"/>
          <w:lang w:val="en-US" w:eastAsia="zh-CN"/>
        </w:rPr>
        <w:t>附图四  环境空气、水环境保护目标</w:t>
      </w:r>
    </w:p>
    <w:p>
      <w:pPr>
        <w:pStyle w:val="13"/>
        <w:tabs>
          <w:tab w:val="right" w:leader="dot" w:pos="8312"/>
        </w:tabs>
        <w:rPr>
          <w:rFonts w:hint="eastAsia"/>
          <w:lang w:val="en-US" w:eastAsia="zh-CN"/>
        </w:rPr>
      </w:pPr>
      <w:r>
        <w:rPr>
          <w:rFonts w:hint="eastAsia"/>
          <w:lang w:val="en-US" w:eastAsia="zh-CN"/>
        </w:rPr>
        <w:t>附图五  声环境保护目标</w:t>
      </w:r>
    </w:p>
    <w:p>
      <w:pPr>
        <w:pStyle w:val="13"/>
        <w:tabs>
          <w:tab w:val="right" w:leader="dot" w:pos="8312"/>
        </w:tabs>
      </w:pPr>
      <w:r>
        <w:rPr>
          <w:rFonts w:hint="eastAsia"/>
          <w:lang w:val="en-US" w:eastAsia="zh-CN"/>
        </w:rPr>
        <w:t>附图六  现场照片</w:t>
      </w:r>
    </w:p>
    <w:p>
      <w:pPr>
        <w:pStyle w:val="13"/>
        <w:tabs>
          <w:tab w:val="right" w:leader="dot" w:pos="8312"/>
        </w:tabs>
        <w:rPr>
          <w:rFonts w:hint="default"/>
          <w:lang w:val="en-US" w:eastAsia="zh-CN"/>
        </w:rPr>
      </w:pPr>
      <w:r>
        <w:rPr>
          <w:rFonts w:hint="eastAsia"/>
          <w:lang w:val="en-US" w:eastAsia="zh-CN"/>
        </w:rPr>
        <w:t>附图七  监测点位图</w:t>
      </w:r>
    </w:p>
    <w:p>
      <w:pPr>
        <w:pStyle w:val="13"/>
        <w:tabs>
          <w:tab w:val="right" w:leader="dot" w:pos="8312"/>
        </w:tabs>
        <w:rPr>
          <w:rFonts w:hint="eastAsia"/>
          <w:b/>
          <w:bCs/>
          <w:lang w:val="en-US" w:eastAsia="zh-CN"/>
        </w:rPr>
      </w:pPr>
      <w:r>
        <w:rPr>
          <w:rFonts w:hint="eastAsia"/>
          <w:b/>
          <w:bCs/>
          <w:lang w:val="en-US" w:eastAsia="zh-CN"/>
        </w:rPr>
        <w:t>附件</w:t>
      </w:r>
    </w:p>
    <w:p>
      <w:pPr>
        <w:pStyle w:val="13"/>
        <w:tabs>
          <w:tab w:val="right" w:leader="dot" w:pos="8312"/>
        </w:tabs>
        <w:rPr>
          <w:rFonts w:hint="eastAsia"/>
          <w:lang w:val="en-US" w:eastAsia="zh-CN"/>
        </w:rPr>
      </w:pPr>
      <w:r>
        <w:rPr>
          <w:rFonts w:hint="eastAsia"/>
          <w:lang w:val="en-US" w:eastAsia="zh-CN"/>
        </w:rPr>
        <w:t>附件一  关于项目可行性研究的批复（靖州苗族侗族自治县发改委）</w:t>
      </w:r>
    </w:p>
    <w:p>
      <w:pPr>
        <w:pStyle w:val="13"/>
        <w:tabs>
          <w:tab w:val="right" w:leader="dot" w:pos="8312"/>
        </w:tabs>
        <w:rPr>
          <w:rFonts w:hint="eastAsia"/>
          <w:lang w:val="en-US" w:eastAsia="zh-CN"/>
        </w:rPr>
      </w:pPr>
      <w:r>
        <w:rPr>
          <w:rFonts w:hint="eastAsia"/>
          <w:lang w:val="en-US" w:eastAsia="zh-CN"/>
        </w:rPr>
        <w:t>附件二  污水处理设备出水水质检测报告</w:t>
      </w:r>
    </w:p>
    <w:p>
      <w:pPr>
        <w:pStyle w:val="13"/>
        <w:tabs>
          <w:tab w:val="right" w:leader="dot" w:pos="8312"/>
        </w:tabs>
        <w:rPr>
          <w:rFonts w:hint="default"/>
          <w:lang w:val="en-US" w:eastAsia="zh-CN"/>
        </w:rPr>
      </w:pPr>
      <w:r>
        <w:rPr>
          <w:rFonts w:hint="eastAsia"/>
          <w:lang w:val="en-US" w:eastAsia="zh-CN"/>
        </w:rPr>
        <w:t>附件三  声环境质量监测报告</w:t>
      </w:r>
    </w:p>
    <w:p>
      <w:pPr>
        <w:pStyle w:val="13"/>
        <w:tabs>
          <w:tab w:val="right" w:leader="dot" w:pos="8312"/>
        </w:tabs>
        <w:rPr>
          <w:rFonts w:hint="eastAsia"/>
          <w:lang w:val="en-US" w:eastAsia="zh-CN"/>
        </w:rPr>
      </w:pPr>
      <w:r>
        <w:rPr>
          <w:rFonts w:hint="eastAsia"/>
          <w:lang w:val="en-US" w:eastAsia="zh-CN"/>
        </w:rPr>
        <w:t>附件四  项目与</w:t>
      </w:r>
      <w:r>
        <w:rPr>
          <w:rFonts w:hint="eastAsia" w:ascii="Times New Roman" w:hAnsi="Times New Roman" w:eastAsia="宋体" w:cs="Times New Roman"/>
          <w:lang w:val="en-US" w:eastAsia="zh-CN"/>
        </w:rPr>
        <w:t>湖南瀚邦环境科技有限公司</w:t>
      </w:r>
      <w:r>
        <w:rPr>
          <w:rFonts w:hint="eastAsia" w:cs="Times New Roman"/>
          <w:lang w:val="en-US" w:eastAsia="zh-CN"/>
        </w:rPr>
        <w:t>签订的</w:t>
      </w:r>
      <w:r>
        <w:rPr>
          <w:rFonts w:hint="eastAsia"/>
          <w:lang w:val="en-US" w:eastAsia="zh-CN"/>
        </w:rPr>
        <w:t>危废处置合同</w:t>
      </w:r>
    </w:p>
    <w:p>
      <w:pPr>
        <w:pStyle w:val="13"/>
        <w:tabs>
          <w:tab w:val="right" w:leader="dot" w:pos="8312"/>
        </w:tabs>
        <w:rPr>
          <w:rFonts w:hint="default"/>
          <w:lang w:val="en-US" w:eastAsia="zh-CN"/>
        </w:rPr>
      </w:pPr>
      <w:r>
        <w:rPr>
          <w:rFonts w:hint="eastAsia"/>
          <w:lang w:val="en-US" w:eastAsia="zh-CN"/>
        </w:rPr>
        <w:t>附件五  靖州县卫生健康局与</w:t>
      </w:r>
      <w:r>
        <w:rPr>
          <w:rFonts w:hint="eastAsia" w:ascii="Times New Roman" w:hAnsi="Times New Roman" w:eastAsia="宋体" w:cs="Times New Roman"/>
          <w:lang w:val="en-US" w:eastAsia="zh-CN"/>
        </w:rPr>
        <w:t>怀化市天源环保科技有限责任公司</w:t>
      </w:r>
      <w:r>
        <w:rPr>
          <w:rFonts w:hint="eastAsia" w:cs="Times New Roman"/>
          <w:lang w:val="en-US" w:eastAsia="zh-CN"/>
        </w:rPr>
        <w:t>签订的</w:t>
      </w:r>
      <w:r>
        <w:rPr>
          <w:rFonts w:hint="eastAsia"/>
          <w:lang w:val="en-US" w:eastAsia="zh-CN"/>
        </w:rPr>
        <w:t>危废处置合同</w:t>
      </w:r>
    </w:p>
    <w:p>
      <w:pPr>
        <w:pStyle w:val="13"/>
        <w:tabs>
          <w:tab w:val="right" w:leader="dot" w:pos="8312"/>
        </w:tabs>
        <w:rPr>
          <w:rFonts w:hint="eastAsia"/>
          <w:lang w:val="en-US" w:eastAsia="zh-CN"/>
        </w:rPr>
      </w:pPr>
      <w:r>
        <w:rPr>
          <w:rFonts w:hint="eastAsia"/>
          <w:lang w:val="en-US" w:eastAsia="zh-CN"/>
        </w:rPr>
        <w:t>附件六  项目与</w:t>
      </w:r>
      <w:r>
        <w:rPr>
          <w:rFonts w:hint="eastAsia" w:ascii="Times New Roman" w:hAnsi="Times New Roman" w:eastAsia="宋体" w:cs="Times New Roman"/>
          <w:lang w:val="en-US" w:eastAsia="zh-CN"/>
        </w:rPr>
        <w:t>怀化市天源环保科技有限责任公司</w:t>
      </w:r>
      <w:r>
        <w:rPr>
          <w:rFonts w:hint="eastAsia" w:cs="Times New Roman"/>
          <w:lang w:val="en-US" w:eastAsia="zh-CN"/>
        </w:rPr>
        <w:t>的</w:t>
      </w:r>
      <w:r>
        <w:rPr>
          <w:rFonts w:hint="eastAsia"/>
          <w:lang w:val="en-US" w:eastAsia="zh-CN"/>
        </w:rPr>
        <w:t>危废转运联单</w:t>
      </w:r>
    </w:p>
    <w:p>
      <w:pPr>
        <w:pStyle w:val="13"/>
        <w:tabs>
          <w:tab w:val="right" w:leader="dot" w:pos="8312"/>
        </w:tabs>
        <w:rPr>
          <w:rFonts w:hint="eastAsia"/>
          <w:lang w:val="en-US" w:eastAsia="zh-CN"/>
        </w:rPr>
      </w:pPr>
      <w:r>
        <w:rPr>
          <w:rFonts w:hint="eastAsia"/>
          <w:lang w:val="en-US" w:eastAsia="zh-CN"/>
        </w:rPr>
        <w:t>附件七  事业单位法人证书</w:t>
      </w:r>
    </w:p>
    <w:p>
      <w:pPr>
        <w:pStyle w:val="13"/>
        <w:tabs>
          <w:tab w:val="right" w:leader="dot" w:pos="8312"/>
        </w:tabs>
        <w:rPr>
          <w:rFonts w:hint="default"/>
          <w:lang w:val="en-US" w:eastAsia="zh-CN"/>
        </w:rPr>
      </w:pPr>
      <w:r>
        <w:rPr>
          <w:rFonts w:hint="eastAsia"/>
          <w:lang w:val="en-US" w:eastAsia="zh-CN"/>
        </w:rPr>
        <w:t>附件八  靖州县疾控中心检验检测资质认定证书</w:t>
      </w:r>
    </w:p>
    <w:p>
      <w:pPr>
        <w:pStyle w:val="13"/>
        <w:tabs>
          <w:tab w:val="right" w:leader="dot" w:pos="8312"/>
        </w:tabs>
        <w:rPr>
          <w:rFonts w:hint="default"/>
          <w:lang w:val="en-US" w:eastAsia="zh-CN"/>
        </w:rPr>
      </w:pPr>
      <w:r>
        <w:rPr>
          <w:rFonts w:hint="eastAsia"/>
          <w:lang w:val="en-US" w:eastAsia="zh-CN"/>
        </w:rPr>
        <w:t>附件九  污水处理设备运行台账</w:t>
      </w:r>
    </w:p>
    <w:p>
      <w:pPr>
        <w:pStyle w:val="3"/>
        <w:bidi w:val="0"/>
        <w:rPr>
          <w:rFonts w:hint="eastAsia"/>
        </w:rPr>
      </w:pPr>
      <w:bookmarkStart w:id="0" w:name="_Toc18254"/>
      <w:r>
        <w:rPr>
          <w:rFonts w:hint="eastAsia"/>
        </w:rPr>
        <w:t>一、建设项目基本情况</w:t>
      </w:r>
      <w:bookmarkEnd w:id="0"/>
    </w:p>
    <w:tbl>
      <w:tblPr>
        <w:tblStyle w:val="16"/>
        <w:tblW w:w="95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81"/>
        <w:gridCol w:w="2767"/>
        <w:gridCol w:w="2160"/>
        <w:gridCol w:w="33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建设项目名称</w:t>
            </w:r>
          </w:p>
        </w:tc>
        <w:tc>
          <w:tcPr>
            <w:tcW w:w="8318" w:type="dxa"/>
            <w:gridSpan w:val="3"/>
            <w:noWrap w:val="0"/>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靖州县疾病预防控制中心检验检测及应急医疗物资储备楼改造工程项目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项目代码</w:t>
            </w:r>
          </w:p>
        </w:tc>
        <w:tc>
          <w:tcPr>
            <w:tcW w:w="8318" w:type="dxa"/>
            <w:gridSpan w:val="3"/>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2020-431229-84-01-012942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1281" w:type="dxa"/>
            <w:noWrap w:val="0"/>
            <w:tcMar>
              <w:top w:w="16" w:type="dxa"/>
              <w:left w:w="16" w:type="dxa"/>
              <w:right w:w="16" w:type="dxa"/>
            </w:tcMar>
            <w:vAlign w:val="center"/>
          </w:tcPr>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建设单位联系人</w:t>
            </w:r>
          </w:p>
        </w:tc>
        <w:tc>
          <w:tcPr>
            <w:tcW w:w="2767"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刘顺成</w:t>
            </w:r>
          </w:p>
        </w:tc>
        <w:tc>
          <w:tcPr>
            <w:tcW w:w="2160" w:type="dxa"/>
            <w:noWrap w:val="0"/>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联系方式</w:t>
            </w:r>
          </w:p>
        </w:tc>
        <w:tc>
          <w:tcPr>
            <w:tcW w:w="3391"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153 6756 3739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建设地点</w:t>
            </w:r>
          </w:p>
        </w:tc>
        <w:tc>
          <w:tcPr>
            <w:tcW w:w="8318" w:type="dxa"/>
            <w:gridSpan w:val="3"/>
            <w:noWrap w:val="0"/>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湖南省怀化市</w:t>
            </w:r>
            <w:r>
              <w:rPr>
                <w:rFonts w:hint="eastAsia" w:ascii="宋体" w:hAnsi="宋体" w:cs="宋体"/>
                <w:color w:val="000000" w:themeColor="text1"/>
                <w:sz w:val="21"/>
                <w:szCs w:val="21"/>
                <w14:textFill>
                  <w14:solidFill>
                    <w14:schemeClr w14:val="tx1"/>
                  </w14:solidFill>
                </w14:textFill>
              </w:rPr>
              <w:t>靖州</w:t>
            </w:r>
            <w:r>
              <w:rPr>
                <w:rFonts w:hint="eastAsia" w:ascii="宋体" w:hAnsi="宋体" w:cs="宋体"/>
                <w:color w:val="000000" w:themeColor="text1"/>
                <w:sz w:val="21"/>
                <w:szCs w:val="21"/>
                <w:lang w:val="en-US" w:eastAsia="zh-CN"/>
                <w14:textFill>
                  <w14:solidFill>
                    <w14:schemeClr w14:val="tx1"/>
                  </w14:solidFill>
                </w14:textFill>
              </w:rPr>
              <w:t>苗族侗族自治县</w:t>
            </w:r>
            <w:r>
              <w:rPr>
                <w:rFonts w:hint="eastAsia" w:ascii="宋体" w:hAnsi="宋体" w:cs="宋体"/>
                <w:color w:val="000000" w:themeColor="text1"/>
                <w:sz w:val="21"/>
                <w:szCs w:val="21"/>
                <w14:textFill>
                  <w14:solidFill>
                    <w14:schemeClr w14:val="tx1"/>
                  </w14:solidFill>
                </w14:textFill>
              </w:rPr>
              <w:t>渠阳镇江东街疾病预防控制中心院内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地理坐标</w:t>
            </w:r>
          </w:p>
        </w:tc>
        <w:tc>
          <w:tcPr>
            <w:tcW w:w="8318" w:type="dxa"/>
            <w:gridSpan w:val="3"/>
            <w:noWrap w:val="0"/>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东经</w:t>
            </w:r>
            <w:r>
              <w:rPr>
                <w:rFonts w:ascii="宋体" w:hAnsi="宋体" w:eastAsia="宋体" w:cs="宋体"/>
                <w:color w:val="67757C"/>
                <w:sz w:val="24"/>
                <w:szCs w:val="24"/>
                <w:shd w:val="clear" w:fill="E9ECEF"/>
              </w:rPr>
              <w:pict>
                <v:shape id="_x0000_i1025" o:spt="201" type="#_x0000_t201" style="height:0pt;width:0.05pt;" filled="f" coordsize="21600,21600">
                  <v:path/>
                  <v:fill on="f" focussize="0,0"/>
                  <v:stroke/>
                  <v:imagedata o:title=""/>
                  <o:lock v:ext="edit" aspectratio="t"/>
                  <w10:wrap type="none"/>
                  <w10:anchorlock/>
                </v:shape>
              </w:pict>
            </w:r>
            <w:r>
              <w:rPr>
                <w:rFonts w:ascii="宋体" w:hAnsi="宋体" w:eastAsia="宋体" w:cs="宋体"/>
                <w:color w:val="67757C"/>
                <w:sz w:val="24"/>
                <w:szCs w:val="24"/>
                <w:shd w:val="clear" w:fill="E9ECEF"/>
              </w:rPr>
              <w:pict>
                <v:shape id="_x0000_i1026" o:spt="201" type="#_x0000_t201" style="height:0pt;width:0.05pt;" filled="f" coordsize="21600,21600">
                  <v:path/>
                  <v:fill on="f" focussize="0,0"/>
                  <v:stroke/>
                  <v:imagedata o:title=""/>
                  <o:lock v:ext="edit" aspectratio="t"/>
                  <w10:wrap type="none"/>
                  <w10:anchorlock/>
                </v:shape>
              </w:pict>
            </w:r>
            <w:r>
              <w:rPr>
                <w:rFonts w:hint="eastAsia" w:ascii="宋体" w:hAnsi="宋体" w:cs="宋体"/>
                <w:color w:val="000000" w:themeColor="text1"/>
                <w:sz w:val="21"/>
                <w:szCs w:val="21"/>
                <w14:textFill>
                  <w14:solidFill>
                    <w14:schemeClr w14:val="tx1"/>
                  </w14:solidFill>
                </w14:textFill>
              </w:rPr>
              <w:t>109°41′47.387″</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北纬26°34′38.178″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1281" w:type="dxa"/>
            <w:noWrap w:val="0"/>
            <w:tcMar>
              <w:top w:w="16" w:type="dxa"/>
              <w:left w:w="16" w:type="dxa"/>
              <w:right w:w="16" w:type="dxa"/>
            </w:tcMar>
            <w:vAlign w:val="center"/>
          </w:tcPr>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国民经济</w:t>
            </w:r>
          </w:p>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行业类别</w:t>
            </w:r>
          </w:p>
        </w:tc>
        <w:tc>
          <w:tcPr>
            <w:tcW w:w="2767" w:type="dxa"/>
            <w:noWrap w:val="0"/>
            <w:vAlign w:val="center"/>
          </w:tcPr>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Q843</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疾病预防控制中心</w:t>
            </w:r>
          </w:p>
        </w:tc>
        <w:tc>
          <w:tcPr>
            <w:tcW w:w="2160" w:type="dxa"/>
            <w:noWrap w:val="0"/>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bookmarkStart w:id="1" w:name="_Hlk49843745"/>
            <w:r>
              <w:rPr>
                <w:rFonts w:hint="eastAsia" w:ascii="宋体" w:hAnsi="宋体" w:eastAsia="宋体" w:cs="宋体"/>
                <w:color w:val="000000" w:themeColor="text1"/>
                <w:sz w:val="21"/>
                <w:szCs w:val="21"/>
                <w14:textFill>
                  <w14:solidFill>
                    <w14:schemeClr w14:val="tx1"/>
                  </w14:solidFill>
                </w14:textFill>
              </w:rPr>
              <w:t>建设项目</w:t>
            </w:r>
          </w:p>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行业类别</w:t>
            </w:r>
            <w:bookmarkEnd w:id="1"/>
          </w:p>
        </w:tc>
        <w:tc>
          <w:tcPr>
            <w:tcW w:w="3391" w:type="dxa"/>
            <w:noWrap w:val="0"/>
            <w:vAlign w:val="center"/>
          </w:tcPr>
          <w:p>
            <w:pPr>
              <w:adjustRightInd w:val="0"/>
              <w:snapToGrid w:val="0"/>
              <w:jc w:val="center"/>
              <w:rPr>
                <w:rFonts w:hint="eastAsia" w:ascii="宋体" w:hAnsi="宋体" w:eastAsia="宋体" w:cs="宋体"/>
                <w:color w:val="000000" w:themeColor="text1"/>
                <w:sz w:val="21"/>
                <w:szCs w:val="21"/>
                <w:lang w:eastAsia="en-US"/>
                <w14:textFill>
                  <w14:solidFill>
                    <w14:schemeClr w14:val="tx1"/>
                  </w14:solidFill>
                </w14:textFill>
              </w:rPr>
            </w:pPr>
            <w:r>
              <w:rPr>
                <w:rFonts w:hint="eastAsia" w:ascii="宋体" w:hAnsi="宋体" w:eastAsia="宋体" w:cs="宋体"/>
                <w:color w:val="000000" w:themeColor="text1"/>
                <w:sz w:val="21"/>
                <w:szCs w:val="21"/>
                <w:lang w:eastAsia="en-US"/>
                <w14:textFill>
                  <w14:solidFill>
                    <w14:schemeClr w14:val="tx1"/>
                  </w14:solidFill>
                </w14:textFill>
              </w:rPr>
              <w:t>四十九、卫生84</w:t>
            </w:r>
          </w:p>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lang w:val="en-US" w:eastAsia="zh-CN"/>
              </w:rPr>
              <w:t>109</w:t>
            </w:r>
            <w:r>
              <w:rPr>
                <w:rFonts w:hint="eastAsia" w:ascii="宋体" w:hAnsi="宋体" w:eastAsia="宋体" w:cs="宋体"/>
                <w:color w:val="000000" w:themeColor="text1"/>
                <w:sz w:val="21"/>
                <w:szCs w:val="21"/>
                <w:lang w:eastAsia="en-US"/>
                <w14:textFill>
                  <w14:solidFill>
                    <w14:schemeClr w14:val="tx1"/>
                  </w14:solidFill>
                </w14:textFill>
              </w:rPr>
              <w:t>疾病预防控制中心8431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建设性质</w:t>
            </w:r>
          </w:p>
        </w:tc>
        <w:tc>
          <w:tcPr>
            <w:tcW w:w="2767" w:type="dxa"/>
            <w:noWrap w:val="0"/>
            <w:vAlign w:val="center"/>
          </w:tcPr>
          <w:p>
            <w:pPr>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新建（迁建）</w:t>
            </w:r>
          </w:p>
          <w:p>
            <w:pPr>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改建</w:t>
            </w:r>
          </w:p>
          <w:p>
            <w:pPr>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扩建</w:t>
            </w:r>
          </w:p>
          <w:p>
            <w:pPr>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技术改造</w:t>
            </w:r>
          </w:p>
        </w:tc>
        <w:tc>
          <w:tcPr>
            <w:tcW w:w="2160" w:type="dxa"/>
            <w:noWrap w:val="0"/>
            <w:vAlign w:val="center"/>
          </w:tcPr>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建设项目</w:t>
            </w:r>
          </w:p>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申报情形</w:t>
            </w:r>
          </w:p>
        </w:tc>
        <w:tc>
          <w:tcPr>
            <w:tcW w:w="3391" w:type="dxa"/>
            <w:noWrap w:val="0"/>
            <w:vAlign w:val="center"/>
          </w:tcPr>
          <w:p>
            <w:pPr>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首次申报项目</w:t>
            </w:r>
            <w:r>
              <w:rPr>
                <w:rFonts w:ascii="宋体" w:hAnsi="宋体" w:cs="宋体"/>
                <w:color w:val="000000" w:themeColor="text1"/>
                <w:sz w:val="21"/>
                <w:szCs w:val="21"/>
                <w14:textFill>
                  <w14:solidFill>
                    <w14:schemeClr w14:val="tx1"/>
                  </w14:solidFill>
                </w14:textFill>
              </w:rPr>
              <w:t xml:space="preserve">             </w:t>
            </w:r>
          </w:p>
          <w:p>
            <w:pPr>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不予批准后再次申报项目</w:t>
            </w:r>
          </w:p>
          <w:p>
            <w:pPr>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超五年重新审核项目</w:t>
            </w:r>
            <w:r>
              <w:rPr>
                <w:rFonts w:ascii="宋体" w:hAnsi="宋体" w:cs="宋体"/>
                <w:color w:val="000000" w:themeColor="text1"/>
                <w:sz w:val="21"/>
                <w:szCs w:val="21"/>
                <w14:textFill>
                  <w14:solidFill>
                    <w14:schemeClr w14:val="tx1"/>
                  </w14:solidFill>
                </w14:textFill>
              </w:rPr>
              <w:t xml:space="preserve">     </w:t>
            </w:r>
          </w:p>
          <w:p>
            <w:pPr>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5" w:hRule="atLeast"/>
          <w:jc w:val="center"/>
        </w:trPr>
        <w:tc>
          <w:tcPr>
            <w:tcW w:w="1281" w:type="dxa"/>
            <w:noWrap w:val="0"/>
            <w:tcMar>
              <w:top w:w="16" w:type="dxa"/>
              <w:left w:w="16" w:type="dxa"/>
              <w:right w:w="16" w:type="dxa"/>
            </w:tcMar>
            <w:vAlign w:val="center"/>
          </w:tcPr>
          <w:p>
            <w:pPr>
              <w:adjustRightInd w:val="0"/>
              <w:snapToGrid w:val="0"/>
              <w:jc w:val="center"/>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项目审批（核准</w:t>
            </w:r>
            <w:r>
              <w:rPr>
                <w:rFonts w:ascii="宋体" w:hAnsi="宋体" w:cs="宋体"/>
                <w:color w:val="000000" w:themeColor="text1"/>
                <w:sz w:val="21"/>
                <w:szCs w:val="21"/>
                <w:highlight w:val="none"/>
                <w14:textFill>
                  <w14:solidFill>
                    <w14:schemeClr w14:val="tx1"/>
                  </w14:solidFill>
                </w14:textFill>
              </w:rPr>
              <w:t>/</w:t>
            </w:r>
          </w:p>
          <w:p>
            <w:pPr>
              <w:adjustRightInd w:val="0"/>
              <w:snapToGrid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备案）部门（选填）</w:t>
            </w:r>
          </w:p>
        </w:tc>
        <w:tc>
          <w:tcPr>
            <w:tcW w:w="2767" w:type="dxa"/>
            <w:noWrap w:val="0"/>
            <w:vAlign w:val="center"/>
          </w:tcPr>
          <w:p>
            <w:pPr>
              <w:adjustRightInd w:val="0"/>
              <w:snapToGrid w:val="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靖州苗族侗族自治县发展和改革局</w:t>
            </w:r>
          </w:p>
        </w:tc>
        <w:tc>
          <w:tcPr>
            <w:tcW w:w="2160" w:type="dxa"/>
            <w:noWrap w:val="0"/>
            <w:vAlign w:val="center"/>
          </w:tcPr>
          <w:p>
            <w:pPr>
              <w:adjustRightInd w:val="0"/>
              <w:snapToGrid w:val="0"/>
              <w:jc w:val="center"/>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项目审批（核准</w:t>
            </w:r>
            <w:r>
              <w:rPr>
                <w:rFonts w:ascii="宋体" w:hAnsi="宋体" w:cs="宋体"/>
                <w:color w:val="000000" w:themeColor="text1"/>
                <w:sz w:val="21"/>
                <w:szCs w:val="21"/>
                <w:highlight w:val="none"/>
                <w14:textFill>
                  <w14:solidFill>
                    <w14:schemeClr w14:val="tx1"/>
                  </w14:solidFill>
                </w14:textFill>
              </w:rPr>
              <w:t>/</w:t>
            </w:r>
          </w:p>
          <w:p>
            <w:pPr>
              <w:adjustRightInd w:val="0"/>
              <w:snapToGrid w:val="0"/>
              <w:jc w:val="center"/>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备案）文号（选填）</w:t>
            </w:r>
          </w:p>
        </w:tc>
        <w:tc>
          <w:tcPr>
            <w:tcW w:w="3391" w:type="dxa"/>
            <w:noWrap w:val="0"/>
            <w:vAlign w:val="center"/>
          </w:tcPr>
          <w:p>
            <w:pPr>
              <w:adjustRightInd w:val="0"/>
              <w:snapToGrid w:val="0"/>
              <w:jc w:val="center"/>
              <w:rPr>
                <w:rFonts w:hint="default" w:ascii="宋体" w:hAnsi="宋体" w:eastAsia="微软雅黑"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靖发改审〔2022〕1号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总投资（万元）</w:t>
            </w:r>
          </w:p>
        </w:tc>
        <w:tc>
          <w:tcPr>
            <w:tcW w:w="2767"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1198.00</w:t>
            </w:r>
          </w:p>
        </w:tc>
        <w:tc>
          <w:tcPr>
            <w:tcW w:w="2160"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环保投资（万元）</w:t>
            </w:r>
          </w:p>
        </w:tc>
        <w:tc>
          <w:tcPr>
            <w:tcW w:w="3391"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1281"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环保投资占比（</w:t>
            </w:r>
            <w:r>
              <w:rPr>
                <w:rFonts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w:t>
            </w:r>
          </w:p>
        </w:tc>
        <w:tc>
          <w:tcPr>
            <w:tcW w:w="2767"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0.98</w:t>
            </w:r>
          </w:p>
        </w:tc>
        <w:tc>
          <w:tcPr>
            <w:tcW w:w="2160" w:type="dxa"/>
            <w:noWrap w:val="0"/>
            <w:tcMar>
              <w:top w:w="16" w:type="dxa"/>
              <w:left w:w="16" w:type="dxa"/>
              <w:right w:w="16" w:type="dxa"/>
            </w:tcMar>
            <w:vAlign w:val="center"/>
          </w:tcPr>
          <w:p>
            <w:pPr>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施工工期</w:t>
            </w:r>
          </w:p>
        </w:tc>
        <w:tc>
          <w:tcPr>
            <w:tcW w:w="3391"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lang w:val="en-US" w:eastAsia="zh-CN"/>
              </w:rPr>
              <w:t>共3个月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1281" w:type="dxa"/>
            <w:noWrap w:val="0"/>
            <w:tcMar>
              <w:top w:w="16" w:type="dxa"/>
              <w:left w:w="16" w:type="dxa"/>
              <w:right w:w="16" w:type="dxa"/>
            </w:tcMar>
            <w:vAlign w:val="center"/>
          </w:tcPr>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是否开工建设</w:t>
            </w:r>
          </w:p>
        </w:tc>
        <w:tc>
          <w:tcPr>
            <w:tcW w:w="2767" w:type="dxa"/>
            <w:noWrap w:val="0"/>
            <w:vAlign w:val="center"/>
          </w:tcPr>
          <w:p>
            <w:pPr>
              <w:adjustRightInd w:val="0"/>
              <w:snapToGrid w:val="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sym w:font="Wingdings 2" w:char="0052"/>
            </w:r>
            <w:r>
              <w:rPr>
                <w:rFonts w:hint="eastAsia" w:ascii="宋体" w:hAnsi="宋体" w:cs="宋体"/>
                <w:color w:val="000000" w:themeColor="text1"/>
                <w:sz w:val="21"/>
                <w:szCs w:val="21"/>
                <w14:textFill>
                  <w14:solidFill>
                    <w14:schemeClr w14:val="tx1"/>
                  </w14:solidFill>
                </w14:textFill>
              </w:rPr>
              <w:t>否</w:t>
            </w:r>
          </w:p>
          <w:p>
            <w:pPr>
              <w:adjustRightInd w:val="0"/>
              <w:snapToGrid w:val="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sym w:font="Wingdings 2" w:char="00A3"/>
            </w:r>
            <w:r>
              <w:rPr>
                <w:rFonts w:hint="eastAsia" w:ascii="宋体" w:hAnsi="宋体" w:cs="宋体"/>
                <w:color w:val="000000" w:themeColor="text1"/>
                <w:sz w:val="21"/>
                <w:szCs w:val="21"/>
                <w14:textFill>
                  <w14:solidFill>
                    <w14:schemeClr w14:val="tx1"/>
                  </w14:solidFill>
                </w14:textFill>
              </w:rPr>
              <w:t>是：</w:t>
            </w:r>
          </w:p>
        </w:tc>
        <w:tc>
          <w:tcPr>
            <w:tcW w:w="2160" w:type="dxa"/>
            <w:noWrap w:val="0"/>
            <w:tcMar>
              <w:top w:w="16" w:type="dxa"/>
              <w:left w:w="16" w:type="dxa"/>
              <w:right w:w="16" w:type="dxa"/>
            </w:tcMar>
            <w:vAlign w:val="center"/>
          </w:tcPr>
          <w:p>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pacing w:val="-6"/>
                <w:sz w:val="21"/>
                <w:szCs w:val="21"/>
                <w:lang w:val="en-US" w:eastAsia="zh-CN"/>
                <w14:textFill>
                  <w14:solidFill>
                    <w14:schemeClr w14:val="tx1"/>
                  </w14:solidFill>
                </w14:textFill>
              </w:rPr>
              <w:t>改造</w:t>
            </w:r>
            <w:r>
              <w:rPr>
                <w:rFonts w:hint="eastAsia" w:ascii="宋体" w:hAnsi="宋体" w:cs="宋体"/>
                <w:color w:val="000000" w:themeColor="text1"/>
                <w:spacing w:val="-6"/>
                <w:sz w:val="21"/>
                <w:szCs w:val="21"/>
                <w14:textFill>
                  <w14:solidFill>
                    <w14:schemeClr w14:val="tx1"/>
                  </w14:solidFill>
                </w14:textFill>
              </w:rPr>
              <w:t>面积（</w:t>
            </w:r>
            <w:r>
              <w:rPr>
                <w:rFonts w:ascii="宋体" w:hAnsi="宋体" w:cs="宋体"/>
                <w:color w:val="000000" w:themeColor="text1"/>
                <w:spacing w:val="-6"/>
                <w:sz w:val="21"/>
                <w:szCs w:val="21"/>
                <w14:textFill>
                  <w14:solidFill>
                    <w14:schemeClr w14:val="tx1"/>
                  </w14:solidFill>
                </w14:textFill>
              </w:rPr>
              <w:t>m</w:t>
            </w:r>
            <w:r>
              <w:rPr>
                <w:rFonts w:ascii="宋体" w:hAnsi="宋体" w:cs="宋体"/>
                <w:color w:val="000000" w:themeColor="text1"/>
                <w:spacing w:val="-6"/>
                <w:sz w:val="21"/>
                <w:szCs w:val="21"/>
                <w:vertAlign w:val="superscript"/>
                <w14:textFill>
                  <w14:solidFill>
                    <w14:schemeClr w14:val="tx1"/>
                  </w14:solidFill>
                </w14:textFill>
              </w:rPr>
              <w:t>2</w:t>
            </w:r>
            <w:r>
              <w:rPr>
                <w:rFonts w:hint="eastAsia" w:ascii="宋体" w:hAnsi="宋体" w:cs="宋体"/>
                <w:color w:val="000000" w:themeColor="text1"/>
                <w:spacing w:val="-6"/>
                <w:sz w:val="21"/>
                <w:szCs w:val="21"/>
                <w14:textFill>
                  <w14:solidFill>
                    <w14:schemeClr w14:val="tx1"/>
                  </w14:solidFill>
                </w14:textFill>
              </w:rPr>
              <w:t>）</w:t>
            </w:r>
          </w:p>
        </w:tc>
        <w:tc>
          <w:tcPr>
            <w:tcW w:w="3391" w:type="dxa"/>
            <w:noWrap w:val="0"/>
            <w:vAlign w:val="center"/>
          </w:tcPr>
          <w:p>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1313.96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281" w:type="dxa"/>
            <w:noWrap w:val="0"/>
            <w:vAlign w:val="center"/>
          </w:tcPr>
          <w:p>
            <w:pPr>
              <w:autoSpaceDE w:val="0"/>
              <w:autoSpaceDN w:val="0"/>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专项评价设置情况</w:t>
            </w:r>
          </w:p>
        </w:tc>
        <w:tc>
          <w:tcPr>
            <w:tcW w:w="8318" w:type="dxa"/>
            <w:gridSpan w:val="3"/>
            <w:noWrap w:val="0"/>
            <w:vAlign w:val="center"/>
          </w:tcPr>
          <w:p>
            <w:pPr>
              <w:autoSpaceDE w:val="0"/>
              <w:autoSpaceDN w:val="0"/>
              <w:adjustRightInd w:val="0"/>
              <w:snapToGrid w:val="0"/>
              <w:jc w:val="center"/>
              <w:rPr>
                <w:rFonts w:hint="eastAsia" w:ascii="宋体" w:hAnsi="宋体" w:eastAsia="宋体" w:cs="宋体"/>
                <w:color w:val="000000" w:themeColor="text1"/>
                <w:ker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81" w:type="dxa"/>
            <w:noWrap w:val="0"/>
            <w:vAlign w:val="center"/>
          </w:tcPr>
          <w:p>
            <w:pPr>
              <w:autoSpaceDE w:val="0"/>
              <w:autoSpaceDN w:val="0"/>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规划情况</w:t>
            </w:r>
          </w:p>
        </w:tc>
        <w:tc>
          <w:tcPr>
            <w:tcW w:w="8318" w:type="dxa"/>
            <w:gridSpan w:val="3"/>
            <w:noWrap w:val="0"/>
            <w:vAlign w:val="center"/>
          </w:tcPr>
          <w:p>
            <w:pPr>
              <w:autoSpaceDE w:val="0"/>
              <w:autoSpaceDN w:val="0"/>
              <w:adjustRightInd w:val="0"/>
              <w:snapToGrid w:val="0"/>
              <w:jc w:val="center"/>
              <w:rPr>
                <w:rFonts w:ascii="宋体" w:hAnsi="宋体" w:cs="宋体"/>
                <w:color w:val="000000" w:themeColor="text1"/>
                <w:kern w:val="0"/>
                <w:sz w:val="21"/>
                <w:szCs w:val="21"/>
                <w:highlight w:val="red"/>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依据</w:t>
            </w:r>
            <w:r>
              <w:rPr>
                <w:rFonts w:hint="eastAsia" w:ascii="宋体" w:hAnsi="宋体" w:cs="宋体"/>
                <w:color w:val="000000" w:themeColor="text1"/>
                <w:kern w:val="0"/>
                <w:sz w:val="21"/>
                <w:szCs w:val="21"/>
                <w14:textFill>
                  <w14:solidFill>
                    <w14:schemeClr w14:val="tx1"/>
                  </w14:solidFill>
                </w14:textFill>
              </w:rPr>
              <w:t>《靖州苗族侗族自治县县城总体规划(2009-2030)》</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lang w:val="en-US" w:eastAsia="zh-CN"/>
                <w14:textFill>
                  <w14:solidFill>
                    <w14:schemeClr w14:val="tx1"/>
                  </w14:solidFill>
                </w14:textFill>
              </w:rPr>
              <w:t>项目所处地为卫生防疫用地，项目符合规划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281" w:type="dxa"/>
            <w:noWrap w:val="0"/>
            <w:vAlign w:val="center"/>
          </w:tcPr>
          <w:p>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规划环境影响评价情况</w:t>
            </w:r>
          </w:p>
        </w:tc>
        <w:tc>
          <w:tcPr>
            <w:tcW w:w="8318" w:type="dxa"/>
            <w:gridSpan w:val="3"/>
            <w:noWrap w:val="0"/>
            <w:vAlign w:val="center"/>
          </w:tcPr>
          <w:p>
            <w:pPr>
              <w:autoSpaceDE w:val="0"/>
              <w:autoSpaceDN w:val="0"/>
              <w:adjustRightInd w:val="0"/>
              <w:snapToGrid w:val="0"/>
              <w:jc w:val="center"/>
              <w:rPr>
                <w:rFonts w:ascii="宋体" w:hAnsi="宋体" w:cs="宋体"/>
                <w:color w:val="000000" w:themeColor="text1"/>
                <w:kern w:val="0"/>
                <w:sz w:val="21"/>
                <w:szCs w:val="21"/>
                <w:highlight w:val="red"/>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noWrap w:val="0"/>
            <w:vAlign w:val="center"/>
          </w:tcPr>
          <w:p>
            <w:pPr>
              <w:autoSpaceDE w:val="0"/>
              <w:autoSpaceDN w:val="0"/>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规划及规划环境影响评价符合性分析</w:t>
            </w:r>
          </w:p>
        </w:tc>
        <w:tc>
          <w:tcPr>
            <w:tcW w:w="8318" w:type="dxa"/>
            <w:gridSpan w:val="3"/>
            <w:noWrap w:val="0"/>
            <w:vAlign w:val="center"/>
          </w:tcPr>
          <w:p>
            <w:pPr>
              <w:autoSpaceDE w:val="0"/>
              <w:autoSpaceDN w:val="0"/>
              <w:adjustRightInd w:val="0"/>
              <w:snapToGrid w:val="0"/>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无</w:t>
            </w:r>
          </w:p>
        </w:tc>
      </w:tr>
    </w:tbl>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1"/>
      </w:pPr>
    </w:p>
    <w:tbl>
      <w:tblPr>
        <w:tblStyle w:val="16"/>
        <w:tblW w:w="9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392" w:type="dxa"/>
            <w:noWrap w:val="0"/>
            <w:vAlign w:val="center"/>
          </w:tcPr>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其他</w:t>
            </w:r>
            <w:r>
              <w:rPr>
                <w:rFonts w:hint="eastAsia" w:ascii="宋体" w:hAnsi="宋体" w:cs="宋体"/>
                <w:color w:val="000000" w:themeColor="text1"/>
                <w:kern w:val="0"/>
                <w:sz w:val="24"/>
                <w:szCs w:val="24"/>
                <w14:textFill>
                  <w14:solidFill>
                    <w14:schemeClr w14:val="tx1"/>
                  </w14:solidFill>
                </w14:textFill>
              </w:rPr>
              <w:t>符合性分析</w:t>
            </w:r>
          </w:p>
        </w:tc>
        <w:tc>
          <w:tcPr>
            <w:tcW w:w="880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u w:val="none"/>
                <w:lang w:eastAsia="zh-CN"/>
                <w14:textFill>
                  <w14:solidFill>
                    <w14:schemeClr w14:val="tx1"/>
                  </w14:solidFill>
                </w14:textFill>
              </w:rPr>
            </w:pPr>
            <w:r>
              <w:rPr>
                <w:rFonts w:hint="eastAsia" w:cs="Times New Roman"/>
                <w:b/>
                <w:bCs/>
                <w:color w:val="000000" w:themeColor="text1"/>
                <w:kern w:val="0"/>
                <w:sz w:val="24"/>
                <w:szCs w:val="24"/>
                <w:highlight w:val="none"/>
                <w:u w:val="none"/>
                <w:lang w:val="en-US" w:eastAsia="zh-CN"/>
                <w14:textFill>
                  <w14:solidFill>
                    <w14:schemeClr w14:val="tx1"/>
                  </w14:solidFill>
                </w14:textFill>
              </w:rPr>
              <w:t>一</w:t>
            </w:r>
            <w:r>
              <w:rPr>
                <w:rFonts w:hint="default" w:ascii="Times New Roman" w:hAnsi="Times New Roman" w:cs="Times New Roman"/>
                <w:b/>
                <w:bCs/>
                <w:color w:val="000000" w:themeColor="text1"/>
                <w:kern w:val="0"/>
                <w:sz w:val="24"/>
                <w:szCs w:val="24"/>
                <w:highlight w:val="none"/>
                <w:u w:val="none"/>
                <w:lang w:val="en-US" w:eastAsia="zh-CN"/>
                <w14:textFill>
                  <w14:solidFill>
                    <w14:schemeClr w14:val="tx1"/>
                  </w14:solidFill>
                </w14:textFill>
              </w:rPr>
              <w:t>、</w:t>
            </w:r>
            <w:r>
              <w:rPr>
                <w:rFonts w:hint="default" w:ascii="Times New Roman" w:hAnsi="Times New Roman" w:cs="Times New Roman"/>
                <w:b/>
                <w:bCs/>
                <w:color w:val="000000" w:themeColor="text1"/>
                <w:kern w:val="0"/>
                <w:sz w:val="24"/>
                <w:szCs w:val="24"/>
                <w:highlight w:val="none"/>
                <w:u w:val="none"/>
                <w:lang w:eastAsia="zh-CN"/>
                <w14:textFill>
                  <w14:solidFill>
                    <w14:schemeClr w14:val="tx1"/>
                  </w14:solidFill>
                </w14:textFill>
              </w:rPr>
              <w:t>项目与产业政策符合性分析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本项目</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从事</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疾病预防与控制</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，根据中华人民共和国国家发展和改革委员会</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颁布</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的2019年令第29号《产业结构调整指导目录（2019年本</w:t>
            </w:r>
            <w:r>
              <w:rPr>
                <w:rFonts w:hint="eastAsia"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2021年修订</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）》，本项目</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属于“三十七、卫生健康”中“</w:t>
            </w:r>
            <w:r>
              <w:rPr>
                <w:rFonts w:hint="default"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1、预防保健、卫生应急、卫生监督服务设施建设</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”；为鼓励类，符合产业结构调整政策。</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u w:val="none"/>
                <w:lang w:val="en-US" w:eastAsia="zh-CN"/>
                <w14:textFill>
                  <w14:solidFill>
                    <w14:schemeClr w14:val="tx1"/>
                  </w14:solidFill>
                </w14:textFill>
              </w:rPr>
            </w:pPr>
            <w:r>
              <w:rPr>
                <w:rFonts w:hint="eastAsia" w:cs="Times New Roman"/>
                <w:b/>
                <w:bCs/>
                <w:color w:val="000000" w:themeColor="text1"/>
                <w:kern w:val="0"/>
                <w:sz w:val="24"/>
                <w:szCs w:val="24"/>
                <w:u w:val="none"/>
                <w:lang w:val="en-US" w:eastAsia="zh-CN"/>
                <w14:textFill>
                  <w14:solidFill>
                    <w14:schemeClr w14:val="tx1"/>
                  </w14:solidFill>
                </w14:textFill>
              </w:rPr>
              <w:t>二</w:t>
            </w:r>
            <w:r>
              <w:rPr>
                <w:rFonts w:hint="default" w:ascii="Times New Roman" w:hAnsi="Times New Roman" w:cs="Times New Roman"/>
                <w:b/>
                <w:bCs/>
                <w:color w:val="000000" w:themeColor="text1"/>
                <w:kern w:val="0"/>
                <w:sz w:val="24"/>
                <w:szCs w:val="24"/>
                <w:u w:val="none"/>
                <w:lang w:val="en-US" w:eastAsia="zh-CN"/>
                <w14:textFill>
                  <w14:solidFill>
                    <w14:schemeClr w14:val="tx1"/>
                  </w14:solidFill>
                </w14:textFill>
              </w:rPr>
              <w:t>、项目与“三线一单”符合性分析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color w:val="000000" w:themeColor="text1"/>
                <w:kern w:val="0"/>
                <w:sz w:val="24"/>
                <w:szCs w:val="24"/>
                <w:u w:val="none"/>
                <w14:textFill>
                  <w14:solidFill>
                    <w14:schemeClr w14:val="tx1"/>
                  </w14:solidFill>
                </w14:textFill>
              </w:rPr>
            </w:pPr>
            <w:r>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t>（</w:t>
            </w:r>
            <w:r>
              <w:rPr>
                <w:rFonts w:hint="default" w:ascii="Times New Roman" w:hAnsi="Times New Roman" w:cs="Times New Roman"/>
                <w:b/>
                <w:bCs/>
                <w:color w:val="000000" w:themeColor="text1"/>
                <w:kern w:val="0"/>
                <w:sz w:val="24"/>
                <w:szCs w:val="24"/>
                <w:u w:val="none"/>
                <w:lang w:val="en-US" w:eastAsia="zh-CN"/>
                <w14:textFill>
                  <w14:solidFill>
                    <w14:schemeClr w14:val="tx1"/>
                  </w14:solidFill>
                </w14:textFill>
              </w:rPr>
              <w:t>1</w:t>
            </w:r>
            <w:r>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t>）</w:t>
            </w:r>
            <w:r>
              <w:rPr>
                <w:rFonts w:hint="default" w:ascii="Times New Roman" w:hAnsi="Times New Roman" w:cs="Times New Roman"/>
                <w:b/>
                <w:bCs/>
                <w:color w:val="000000" w:themeColor="text1"/>
                <w:kern w:val="0"/>
                <w:sz w:val="24"/>
                <w:szCs w:val="24"/>
                <w:u w:val="none"/>
                <w14:textFill>
                  <w14:solidFill>
                    <w14:schemeClr w14:val="tx1"/>
                  </w14:solidFill>
                </w14:textFill>
              </w:rPr>
              <w:t>生态</w:t>
            </w:r>
            <w:r>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t>保护</w:t>
            </w:r>
            <w:r>
              <w:rPr>
                <w:rFonts w:hint="default" w:ascii="Times New Roman" w:hAnsi="Times New Roman" w:cs="Times New Roman"/>
                <w:b/>
                <w:bCs/>
                <w:color w:val="000000" w:themeColor="text1"/>
                <w:kern w:val="0"/>
                <w:sz w:val="24"/>
                <w:szCs w:val="24"/>
                <w:u w:val="none"/>
                <w14:textFill>
                  <w14:solidFill>
                    <w14:schemeClr w14:val="tx1"/>
                  </w14:solidFill>
                </w14:textFill>
              </w:rPr>
              <w:t>红线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本项目</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位于湖南省怀化市</w:t>
            </w:r>
            <w:r>
              <w:rPr>
                <w:rFonts w:hint="eastAsia"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靖州</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苗族侗族自治县</w:t>
            </w:r>
            <w:r>
              <w:rPr>
                <w:rFonts w:hint="eastAsia"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渠阳镇江东街疾病预防控制中心院内，</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不涉及生态保护红线，不涉及自然保护区、风景名胜区、森林公园、地质公园、生态核心区及重要水生生物的自然产卵场、索饵场、越冬场和洄游通道等生态敏感区。</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000000" w:themeColor="text1"/>
                <w:kern w:val="0"/>
                <w:sz w:val="24"/>
                <w:szCs w:val="24"/>
                <w:u w:val="none"/>
                <w14:textFill>
                  <w14:solidFill>
                    <w14:schemeClr w14:val="tx1"/>
                  </w14:solidFill>
                </w14:textFill>
              </w:rPr>
            </w:pPr>
            <w:r>
              <w:rPr>
                <w:rFonts w:hint="default" w:ascii="Times New Roman" w:hAnsi="Times New Roman" w:cs="Times New Roman"/>
                <w:b/>
                <w:bCs/>
                <w:color w:val="000000" w:themeColor="text1"/>
                <w:kern w:val="0"/>
                <w:sz w:val="24"/>
                <w:szCs w:val="24"/>
                <w:u w:val="none"/>
                <w14:textFill>
                  <w14:solidFill>
                    <w14:schemeClr w14:val="tx1"/>
                  </w14:solidFill>
                </w14:textFill>
              </w:rPr>
              <w:t>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大气：</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项目</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所在区域属于</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《环境空气质量标准》（GB3095-2012）</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划定的</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二类功能区</w:t>
            </w:r>
            <w:r>
              <w:rPr>
                <w:rFonts w:hint="eastAsia" w:cs="Times New Roman"/>
                <w:b w:val="0"/>
                <w:bCs w:val="0"/>
                <w:color w:val="000000" w:themeColor="text1"/>
                <w:kern w:val="0"/>
                <w:sz w:val="24"/>
                <w:szCs w:val="24"/>
                <w:highlight w:val="none"/>
                <w:u w:val="none"/>
                <w:lang w:eastAsia="zh-CN"/>
                <w14:textFill>
                  <w14:solidFill>
                    <w14:schemeClr w14:val="tx1"/>
                  </w14:solidFill>
                </w14:textFill>
              </w:rPr>
              <w:t>；</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依据《怀化市城市环境空气质量年报（2021年）》，区域内各污染物年平均浓度均未出现超标现象，</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环境空气质量良好</w:t>
            </w:r>
            <w:r>
              <w:rPr>
                <w:rFonts w:hint="eastAsia" w:cs="Times New Roman"/>
                <w:b w:val="0"/>
                <w:bCs w:val="0"/>
                <w:color w:val="000000" w:themeColor="text1"/>
                <w:kern w:val="0"/>
                <w:sz w:val="24"/>
                <w:szCs w:val="24"/>
                <w:highlight w:val="none"/>
                <w:u w:val="none"/>
                <w:lang w:eastAsia="zh-CN"/>
                <w14:textFill>
                  <w14:solidFill>
                    <w14:schemeClr w14:val="tx1"/>
                  </w14:solidFill>
                </w14:textFill>
              </w:rPr>
              <w:t>。</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本项目主要废气为实验室废气、食堂油烟、污水处理站恶臭气。其中，实验室废气中消解废气由风机引至楼顶经15m排气口排放，试剂挥发废气无组织排放，微生物实验废气由生物安全柜处理后外排或内循环；食堂油烟由抽油烟机抽至室外无组织排</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放</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污水处理站恶臭气体产生量较小，以无组织形式排放</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综合来看，本项目废气对周围环境影响较小。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废水：</w:t>
            </w:r>
            <w:r>
              <w:rPr>
                <w:rFonts w:hint="default" w:ascii="Times New Roman" w:hAnsi="Times New Roman" w:eastAsia="宋体" w:cs="Times New Roman"/>
                <w:b w:val="0"/>
                <w:bCs w:val="0"/>
                <w:color w:val="000000" w:themeColor="text1"/>
                <w:kern w:val="0"/>
                <w:sz w:val="24"/>
                <w:szCs w:val="24"/>
                <w:highlight w:val="none"/>
                <w:u w:val="none"/>
                <w:lang w:eastAsia="zh-CN"/>
                <w14:textFill>
                  <w14:solidFill>
                    <w14:schemeClr w14:val="tx1"/>
                  </w14:solidFill>
                </w14:textFill>
              </w:rPr>
              <w:t>项目所在区域</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主要地表水为渠水、文昌溪，渠水中“县水厂取水口上游1000米至下游200米”流域执行《地表水环境质量标准》(GB3838-2002)Ⅱ类标准，“县水厂取水口下游200米至马鞍洞电站大坝”流域执行《地表水环境质量标准》(GB3838-2002)Ⅲ类标准，文昌溪执行《地表水环境质量标准》(GB3838-2002)Ⅲ类标准；依据《怀化市水环境质量年报（2021年）》，靖州县自来水厂范围内（县水厂取水口上游1000米至下游200米流域）地表水各污染浓度均满足相应标准限值，区域地表水质量良好。本项目实验室废水（医疗废水）经污水处理设备净化后达《医疗机构水污染物排放标准》（GB18466—2005）之表2限值后排入文昌溪，再汇入渠水（排放口下游750m处）；</w:t>
            </w:r>
            <w:r>
              <w:rPr>
                <w:rFonts w:hint="eastAsia" w:cs="Times New Roman"/>
                <w:b w:val="0"/>
                <w:bCs w:val="0"/>
                <w:color w:val="000000" w:themeColor="text1"/>
                <w:kern w:val="0"/>
                <w:sz w:val="24"/>
                <w:szCs w:val="24"/>
                <w:highlight w:val="none"/>
                <w:u w:val="single"/>
                <w:lang w:val="en-US" w:eastAsia="zh-CN"/>
                <w14:textFill>
                  <w14:solidFill>
                    <w14:schemeClr w14:val="tx1"/>
                  </w14:solidFill>
                </w14:textFill>
              </w:rPr>
              <w:t>生活污水由化粪池收集后定期由清粪车转运至靖州县县城污水处理，深度处理后排污异溪河。</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项目废水可得到合理处置，</w:t>
            </w:r>
            <w:r>
              <w:rPr>
                <w:rFonts w:hint="eastAsia"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t>对周围环境影响较小</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s="Times New Roman"/>
                <w:b w:val="0"/>
                <w:bCs w:val="0"/>
                <w:color w:val="000000" w:themeColor="text1"/>
                <w:ker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固体废物：项目产生的固体废物主要为生活垃圾、医疗废物、废试剂、废试剂瓶、废美沙酮桶。生活垃圾交由靖州苗族侗族自治县环卫部门集中处置。医疗废物、废试剂瓶、废试剂、废试剂瓶、废美沙酮桶、污水处理站污泥属于危废。目前，医疗废物由靖州苗族侗族自治县卫生健康局统一收集后交给“怀化市天源环保科技有限责任公司”处置；废试剂瓶、废试剂、废美沙酮桶、污水处理站污泥、污水处理站废活性炭交由“湖南瀚邦环境科技有限公司”处置。综合来看，项目在落实好环评提出的要求后，固体废物均可得到有效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s="Times New Roman"/>
                <w:b w:val="0"/>
                <w:bCs w:val="0"/>
                <w:color w:val="000000" w:themeColor="text1"/>
                <w:ker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噪声：项目为疾控中心，不涉及高噪声污染的设备，主要噪声来源为冷库噪声、风机噪声与实验仪器噪声，源强约60~75db（A），经采取减震隔声措施衰减后，对周围环境贡献值基本可忽略。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0000FF"/>
                <w:kern w:val="0"/>
                <w:sz w:val="24"/>
                <w:szCs w:val="24"/>
                <w:u w:val="none"/>
              </w:rPr>
            </w:pPr>
            <w:r>
              <w:rPr>
                <w:rFonts w:hint="default" w:ascii="Times New Roman" w:hAnsi="Times New Roman" w:cs="Times New Roman"/>
                <w:b/>
                <w:bCs/>
                <w:color w:val="000000" w:themeColor="text1"/>
                <w:kern w:val="0"/>
                <w:sz w:val="24"/>
                <w:szCs w:val="24"/>
                <w:u w:val="none"/>
                <w14:textFill>
                  <w14:solidFill>
                    <w14:schemeClr w14:val="tx1"/>
                  </w14:solidFill>
                </w14:textFill>
              </w:rPr>
              <w:t>（</w:t>
            </w:r>
            <w:r>
              <w:rPr>
                <w:rFonts w:hint="default" w:ascii="Times New Roman" w:hAnsi="Times New Roman" w:cs="Times New Roman"/>
                <w:b/>
                <w:bCs/>
                <w:color w:val="000000" w:themeColor="text1"/>
                <w:kern w:val="0"/>
                <w:sz w:val="24"/>
                <w:szCs w:val="24"/>
                <w:u w:val="none"/>
                <w:lang w:val="en-US" w:eastAsia="zh-CN"/>
                <w14:textFill>
                  <w14:solidFill>
                    <w14:schemeClr w14:val="tx1"/>
                  </w14:solidFill>
                </w14:textFill>
              </w:rPr>
              <w:t>3</w:t>
            </w:r>
            <w:r>
              <w:rPr>
                <w:rFonts w:hint="default" w:ascii="Times New Roman" w:hAnsi="Times New Roman" w:cs="Times New Roman"/>
                <w:b/>
                <w:bCs/>
                <w:color w:val="000000" w:themeColor="text1"/>
                <w:kern w:val="0"/>
                <w:sz w:val="24"/>
                <w:szCs w:val="24"/>
                <w:u w:val="none"/>
                <w14:textFill>
                  <w14:solidFill>
                    <w14:schemeClr w14:val="tx1"/>
                  </w14:solidFill>
                </w14:textFill>
              </w:rPr>
              <w:t>）资源利用上线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u w:val="none"/>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lang w:val="en-US" w:eastAsia="zh-CN"/>
                <w14:textFill>
                  <w14:solidFill>
                    <w14:schemeClr w14:val="tx1"/>
                  </w14:solidFill>
                </w14:textFill>
              </w:rPr>
              <w:t>本项目</w:t>
            </w:r>
            <w:r>
              <w:rPr>
                <w:rFonts w:hint="eastAsia" w:ascii="Times New Roman" w:hAnsi="Times New Roman" w:cs="Times New Roman"/>
                <w:color w:val="000000" w:themeColor="text1"/>
                <w:kern w:val="0"/>
                <w:sz w:val="24"/>
                <w:szCs w:val="24"/>
                <w:u w:val="none"/>
                <w:lang w:val="en-US" w:eastAsia="zh-CN"/>
                <w14:textFill>
                  <w14:solidFill>
                    <w14:schemeClr w14:val="tx1"/>
                  </w14:solidFill>
                </w14:textFill>
              </w:rPr>
              <w:t>属于疾病</w:t>
            </w:r>
            <w:r>
              <w:rPr>
                <w:rFonts w:hint="eastAsia" w:cs="Times New Roman"/>
                <w:color w:val="000000" w:themeColor="text1"/>
                <w:kern w:val="0"/>
                <w:sz w:val="24"/>
                <w:szCs w:val="24"/>
                <w:u w:val="none"/>
                <w:lang w:val="en-US" w:eastAsia="zh-CN"/>
                <w14:textFill>
                  <w14:solidFill>
                    <w14:schemeClr w14:val="tx1"/>
                  </w14:solidFill>
                </w14:textFill>
              </w:rPr>
              <w:t>预防</w:t>
            </w:r>
            <w:r>
              <w:rPr>
                <w:rFonts w:hint="eastAsia" w:ascii="Times New Roman" w:hAnsi="Times New Roman" w:cs="Times New Roman"/>
                <w:color w:val="000000" w:themeColor="text1"/>
                <w:kern w:val="0"/>
                <w:sz w:val="24"/>
                <w:szCs w:val="24"/>
                <w:u w:val="none"/>
                <w:lang w:val="en-US" w:eastAsia="zh-CN"/>
                <w14:textFill>
                  <w14:solidFill>
                    <w14:schemeClr w14:val="tx1"/>
                  </w14:solidFill>
                </w14:textFill>
              </w:rPr>
              <w:t>控制类项目，主要用水为实验用水、生活用水；改建后年总耗水量</w:t>
            </w:r>
            <w:r>
              <w:rPr>
                <w:rFonts w:hint="eastAsia" w:cs="Times New Roman"/>
                <w:color w:val="000000" w:themeColor="text1"/>
                <w:kern w:val="0"/>
                <w:sz w:val="24"/>
                <w:szCs w:val="24"/>
                <w:u w:val="none"/>
                <w:lang w:val="en-US" w:eastAsia="zh-CN"/>
                <w14:textFill>
                  <w14:solidFill>
                    <w14:schemeClr w14:val="tx1"/>
                  </w14:solidFill>
                </w14:textFill>
              </w:rPr>
              <w:t>561.97</w:t>
            </w:r>
            <w:r>
              <w:rPr>
                <w:rFonts w:hint="eastAsia" w:ascii="Times New Roman" w:hAnsi="Times New Roman" w:cs="Times New Roman"/>
                <w:color w:val="000000" w:themeColor="text1"/>
                <w:kern w:val="0"/>
                <w:sz w:val="24"/>
                <w:szCs w:val="24"/>
                <w:u w:val="none"/>
                <w:lang w:val="en-US" w:eastAsia="zh-CN"/>
                <w14:textFill>
                  <w14:solidFill>
                    <w14:schemeClr w14:val="tx1"/>
                  </w14:solidFill>
                </w14:textFill>
              </w:rPr>
              <w:t>t。项目主要用电为设备用电与照明用电，改建后年用电量约</w:t>
            </w:r>
            <w:r>
              <w:rPr>
                <w:rFonts w:hint="default" w:ascii="Times New Roman" w:hAnsi="Times New Roman" w:cs="Times New Roman"/>
                <w:color w:val="000000" w:themeColor="text1"/>
                <w:kern w:val="0"/>
                <w:sz w:val="24"/>
                <w:szCs w:val="24"/>
                <w:u w:val="none"/>
                <w:lang w:val="en-US" w:eastAsia="zh-CN"/>
                <w14:textFill>
                  <w14:solidFill>
                    <w14:schemeClr w14:val="tx1"/>
                  </w14:solidFill>
                </w14:textFill>
              </w:rPr>
              <w:t>50724.00</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000000" w:themeColor="text1"/>
                <w:kern w:val="0"/>
                <w:sz w:val="24"/>
                <w:szCs w:val="24"/>
                <w:u w:val="none"/>
                <w:lang w:val="en-US" w:eastAsia="zh-CN"/>
                <w14:textFill>
                  <w14:solidFill>
                    <w14:schemeClr w14:val="tx1"/>
                  </w14:solidFill>
                </w14:textFill>
              </w:rPr>
            </w:pPr>
            <w:r>
              <w:rPr>
                <w:rFonts w:hint="eastAsia" w:ascii="Times New Roman" w:hAnsi="Times New Roman" w:cs="Times New Roman"/>
                <w:color w:val="000000" w:themeColor="text1"/>
                <w:kern w:val="0"/>
                <w:sz w:val="24"/>
                <w:szCs w:val="24"/>
                <w:u w:val="none"/>
                <w:lang w:val="en-US" w:eastAsia="zh-CN"/>
                <w14:textFill>
                  <w14:solidFill>
                    <w14:schemeClr w14:val="tx1"/>
                  </w14:solidFill>
                </w14:textFill>
              </w:rPr>
              <w:t>K</w:t>
            </w:r>
            <w:r>
              <w:rPr>
                <w:rFonts w:hint="eastAsia" w:cs="Times New Roman"/>
                <w:color w:val="000000" w:themeColor="text1"/>
                <w:kern w:val="0"/>
                <w:sz w:val="24"/>
                <w:szCs w:val="24"/>
                <w:u w:val="none"/>
                <w:lang w:val="en-US" w:eastAsia="zh-CN"/>
                <w14:textFill>
                  <w14:solidFill>
                    <w14:schemeClr w14:val="tx1"/>
                  </w14:solidFill>
                </w14:textFill>
              </w:rPr>
              <w:t>w</w:t>
            </w:r>
            <w:r>
              <w:rPr>
                <w:rFonts w:hint="eastAsia" w:ascii="微软雅黑" w:hAnsi="微软雅黑" w:eastAsia="微软雅黑" w:cs="微软雅黑"/>
                <w:color w:val="000000" w:themeColor="text1"/>
                <w:kern w:val="0"/>
                <w:sz w:val="24"/>
                <w:szCs w:val="24"/>
                <w:u w:val="none"/>
                <w:lang w:val="en-US" w:eastAsia="zh-CN"/>
                <w14:textFill>
                  <w14:solidFill>
                    <w14:schemeClr w14:val="tx1"/>
                  </w14:solidFill>
                </w14:textFill>
              </w:rPr>
              <w:t>∙</w:t>
            </w:r>
            <w:r>
              <w:rPr>
                <w:rFonts w:hint="eastAsia" w:ascii="Times New Roman" w:hAnsi="Times New Roman" w:cs="Times New Roman"/>
                <w:color w:val="000000" w:themeColor="text1"/>
                <w:kern w:val="0"/>
                <w:sz w:val="24"/>
                <w:szCs w:val="24"/>
                <w:u w:val="none"/>
                <w:lang w:val="en-US" w:eastAsia="zh-CN"/>
                <w14:textFill>
                  <w14:solidFill>
                    <w14:schemeClr w14:val="tx1"/>
                  </w14:solidFill>
                </w14:textFill>
              </w:rPr>
              <w:t>h。项目用水用电量不大，满足</w:t>
            </w:r>
            <w:r>
              <w:rPr>
                <w:rFonts w:hint="default" w:ascii="Times New Roman" w:hAnsi="Times New Roman" w:cs="Times New Roman"/>
                <w:color w:val="000000" w:themeColor="text1"/>
                <w:kern w:val="0"/>
                <w:sz w:val="24"/>
                <w:szCs w:val="24"/>
                <w:u w:val="none"/>
                <w:lang w:val="en-US" w:eastAsia="zh-CN"/>
                <w14:textFill>
                  <w14:solidFill>
                    <w14:schemeClr w14:val="tx1"/>
                  </w14:solidFill>
                </w14:textFill>
              </w:rPr>
              <w:t>资源利用</w:t>
            </w:r>
            <w:r>
              <w:rPr>
                <w:rFonts w:hint="eastAsia" w:ascii="Times New Roman" w:hAnsi="Times New Roman" w:cs="Times New Roman"/>
                <w:color w:val="000000" w:themeColor="text1"/>
                <w:kern w:val="0"/>
                <w:sz w:val="24"/>
                <w:szCs w:val="24"/>
                <w:u w:val="none"/>
                <w:lang w:val="en-US" w:eastAsia="zh-CN"/>
                <w14:textFill>
                  <w14:solidFill>
                    <w14:schemeClr w14:val="tx1"/>
                  </w14:solidFill>
                </w14:textFill>
              </w:rPr>
              <w:t>上限要求。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000000" w:themeColor="text1"/>
                <w:kern w:val="0"/>
                <w:sz w:val="24"/>
                <w:szCs w:val="24"/>
                <w:u w:val="none"/>
                <w14:textFill>
                  <w14:solidFill>
                    <w14:schemeClr w14:val="tx1"/>
                  </w14:solidFill>
                </w14:textFill>
              </w:rPr>
            </w:pPr>
            <w:r>
              <w:rPr>
                <w:rFonts w:hint="default" w:ascii="Times New Roman" w:hAnsi="Times New Roman" w:cs="Times New Roman"/>
                <w:b/>
                <w:bCs/>
                <w:color w:val="000000" w:themeColor="text1"/>
                <w:kern w:val="0"/>
                <w:sz w:val="24"/>
                <w:szCs w:val="24"/>
                <w:u w:val="none"/>
                <w14:textFill>
                  <w14:solidFill>
                    <w14:schemeClr w14:val="tx1"/>
                  </w14:solidFill>
                </w14:textFill>
              </w:rPr>
              <w:t>（</w:t>
            </w:r>
            <w:r>
              <w:rPr>
                <w:rFonts w:hint="default" w:ascii="Times New Roman" w:hAnsi="Times New Roman" w:cs="Times New Roman"/>
                <w:b/>
                <w:bCs/>
                <w:color w:val="000000" w:themeColor="text1"/>
                <w:kern w:val="0"/>
                <w:sz w:val="24"/>
                <w:szCs w:val="24"/>
                <w:u w:val="none"/>
                <w:lang w:val="en-US" w:eastAsia="zh-CN"/>
                <w14:textFill>
                  <w14:solidFill>
                    <w14:schemeClr w14:val="tx1"/>
                  </w14:solidFill>
                </w14:textFill>
              </w:rPr>
              <w:t>4</w:t>
            </w:r>
            <w:r>
              <w:rPr>
                <w:rFonts w:hint="default" w:ascii="Times New Roman" w:hAnsi="Times New Roman" w:cs="Times New Roman"/>
                <w:b/>
                <w:bCs/>
                <w:color w:val="000000" w:themeColor="text1"/>
                <w:kern w:val="0"/>
                <w:sz w:val="24"/>
                <w:szCs w:val="24"/>
                <w:u w:val="none"/>
                <w14:textFill>
                  <w14:solidFill>
                    <w14:schemeClr w14:val="tx1"/>
                  </w14:solidFill>
                </w14:textFill>
              </w:rPr>
              <w:t>）环境负面准入清单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u w:val="none"/>
                <w:lang w:eastAsia="zh-CN"/>
                <w14:textFill>
                  <w14:solidFill>
                    <w14:schemeClr w14:val="tx1"/>
                  </w14:solidFill>
                </w14:textFill>
              </w:rPr>
              <w:t>对比《湖南省国家重点生态功能区产业准入负面清单（试行）》（</w:t>
            </w:r>
            <w:r>
              <w:rPr>
                <w:rFonts w:hint="default" w:ascii="Times New Roman" w:hAnsi="Times New Roman" w:cs="Times New Roman"/>
                <w:color w:val="000000" w:themeColor="text1"/>
                <w:kern w:val="0"/>
                <w:sz w:val="24"/>
                <w:szCs w:val="24"/>
                <w:u w:val="none"/>
                <w:lang w:val="en-US" w:eastAsia="zh-CN"/>
                <w14:textFill>
                  <w14:solidFill>
                    <w14:schemeClr w14:val="tx1"/>
                  </w14:solidFill>
                </w14:textFill>
              </w:rPr>
              <w:t>2016年8月</w:t>
            </w:r>
            <w:r>
              <w:rPr>
                <w:rFonts w:hint="default" w:ascii="Times New Roman" w:hAnsi="Times New Roman" w:cs="Times New Roman"/>
                <w:color w:val="000000" w:themeColor="text1"/>
                <w:kern w:val="0"/>
                <w:sz w:val="24"/>
                <w:szCs w:val="24"/>
                <w:u w:val="none"/>
                <w:lang w:eastAsia="zh-CN"/>
                <w14:textFill>
                  <w14:solidFill>
                    <w14:schemeClr w14:val="tx1"/>
                  </w14:solidFill>
                </w14:textFill>
              </w:rPr>
              <w:t>）</w:t>
            </w:r>
            <w:r>
              <w:rPr>
                <w:rFonts w:hint="eastAsia"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lang w:eastAsia="zh-CN"/>
                <w14:textFill>
                  <w14:solidFill>
                    <w14:schemeClr w14:val="tx1"/>
                  </w14:solidFill>
                </w14:textFill>
              </w:rPr>
              <w:t>《湖南省新增19个国家重点生态功能区产业准入负面清单》</w:t>
            </w:r>
            <w:r>
              <w:rPr>
                <w:rFonts w:hint="eastAsia"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lang w:eastAsia="zh-CN"/>
                <w14:textFill>
                  <w14:solidFill>
                    <w14:schemeClr w14:val="tx1"/>
                  </w14:solidFill>
                </w14:textFill>
              </w:rPr>
              <w:t>试行</w:t>
            </w:r>
            <w:r>
              <w:rPr>
                <w:rFonts w:hint="eastAsia"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cs="Times New Roman"/>
                <w:color w:val="000000" w:themeColor="text1"/>
                <w:sz w:val="24"/>
                <w:szCs w:val="24"/>
                <w:u w:val="none"/>
                <w14:textFill>
                  <w14:solidFill>
                    <w14:schemeClr w14:val="tx1"/>
                  </w14:solidFill>
                </w14:textFill>
              </w:rPr>
              <w:t>本项目为</w:t>
            </w:r>
            <w:r>
              <w:rPr>
                <w:rFonts w:hint="eastAsia" w:cs="Times New Roman"/>
                <w:color w:val="000000" w:themeColor="text1"/>
                <w:sz w:val="24"/>
                <w:szCs w:val="24"/>
                <w:u w:val="none"/>
                <w:lang w:val="en-US" w:eastAsia="zh-CN"/>
                <w14:textFill>
                  <w14:solidFill>
                    <w14:schemeClr w14:val="tx1"/>
                  </w14:solidFill>
                </w14:textFill>
              </w:rPr>
              <w:t>疾病控制预防类型</w:t>
            </w:r>
            <w:r>
              <w:rPr>
                <w:rFonts w:hint="default" w:ascii="Times New Roman" w:hAnsi="Times New Roman" w:cs="Times New Roman"/>
                <w:color w:val="000000" w:themeColor="text1"/>
                <w:sz w:val="24"/>
                <w:szCs w:val="24"/>
                <w:u w:val="none"/>
                <w14:textFill>
                  <w14:solidFill>
                    <w14:schemeClr w14:val="tx1"/>
                  </w14:solidFill>
                </w14:textFill>
              </w:rPr>
              <w:t>项目</w:t>
            </w:r>
            <w:r>
              <w:rPr>
                <w:rFonts w:hint="default" w:ascii="Times New Roman" w:hAnsi="Times New Roman" w:cs="Times New Roman"/>
                <w:color w:val="000000" w:themeColor="text1"/>
                <w:sz w:val="24"/>
                <w:szCs w:val="24"/>
                <w:u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14:textFill>
                  <w14:solidFill>
                    <w14:schemeClr w14:val="tx1"/>
                  </w14:solidFill>
                </w14:textFill>
              </w:rPr>
              <w:t>不属于其中的限制类和禁止类</w:t>
            </w:r>
            <w:r>
              <w:rPr>
                <w:rFonts w:hint="default" w:ascii="Times New Roman" w:hAnsi="Times New Roman" w:cs="Times New Roman"/>
                <w:color w:val="000000" w:themeColor="text1"/>
                <w:kern w:val="0"/>
                <w:sz w:val="24"/>
                <w:szCs w:val="24"/>
                <w:u w:val="none"/>
                <w:lang w:eastAsia="zh-CN"/>
                <w14:textFill>
                  <w14:solidFill>
                    <w14:schemeClr w14:val="tx1"/>
                  </w14:solidFill>
                </w14:textFill>
              </w:rPr>
              <w:t>，本项目不在负面清单内，符合规定。</w:t>
            </w:r>
          </w:p>
          <w:p>
            <w:pPr>
              <w:widowControl w:val="0"/>
              <w:autoSpaceDE w:val="0"/>
              <w:autoSpaceDN w:val="0"/>
              <w:adjustRightInd w:val="0"/>
              <w:snapToGrid w:val="0"/>
              <w:spacing w:line="360" w:lineRule="auto"/>
              <w:ind w:firstLine="480" w:firstLineChars="200"/>
              <w:jc w:val="both"/>
              <w:rPr>
                <w:rFonts w:hint="eastAsia" w:eastAsia="宋体" w:cs="Times New Roman"/>
                <w:color w:val="000000" w:themeColor="text1"/>
                <w:sz w:val="24"/>
                <w:szCs w:val="24"/>
                <w:u w:val="none"/>
                <w:lang w:eastAsia="zh-CN"/>
                <w14:textFill>
                  <w14:solidFill>
                    <w14:schemeClr w14:val="tx1"/>
                  </w14:solidFill>
                </w14:textFill>
              </w:rPr>
            </w:pPr>
            <w:r>
              <w:rPr>
                <w:rFonts w:hint="eastAsia" w:ascii="Times New Roman" w:hAnsi="Times New Roman" w:cs="Times New Roman"/>
                <w:b w:val="0"/>
                <w:bCs w:val="0"/>
                <w:color w:val="000000" w:themeColor="text1"/>
                <w:kern w:val="0"/>
                <w:sz w:val="24"/>
                <w:szCs w:val="24"/>
                <w:u w:val="none"/>
                <w:lang w:val="en-US" w:eastAsia="zh-CN"/>
                <w14:textFill>
                  <w14:solidFill>
                    <w14:schemeClr w14:val="tx1"/>
                  </w14:solidFill>
                </w14:textFill>
              </w:rPr>
              <w:t>（</w:t>
            </w:r>
            <w:r>
              <w:rPr>
                <w:rFonts w:hint="eastAsia" w:cs="Times New Roman"/>
                <w:b w:val="0"/>
                <w:bCs w:val="0"/>
                <w:color w:val="000000" w:themeColor="text1"/>
                <w:kern w:val="0"/>
                <w:sz w:val="24"/>
                <w:szCs w:val="24"/>
                <w:u w:val="none"/>
                <w:lang w:val="en-US" w:eastAsia="zh-CN"/>
                <w14:textFill>
                  <w14:solidFill>
                    <w14:schemeClr w14:val="tx1"/>
                  </w14:solidFill>
                </w14:textFill>
              </w:rPr>
              <w:t>1</w:t>
            </w:r>
            <w:r>
              <w:rPr>
                <w:rFonts w:hint="eastAsia" w:ascii="Times New Roman" w:hAnsi="Times New Roman" w:cs="Times New Roman"/>
                <w:b w:val="0"/>
                <w:bCs w:val="0"/>
                <w:color w:val="000000" w:themeColor="text1"/>
                <w:kern w:val="0"/>
                <w:sz w:val="24"/>
                <w:szCs w:val="24"/>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本项目与《怀化市“三线一单”生态环境管控基本要求暨环境管控单元（省级以上产业园区除外）生态环境准入清单》的符合性分析</w:t>
            </w:r>
            <w:r>
              <w:rPr>
                <w:rFonts w:hint="eastAsia" w:eastAsia="宋体" w:cs="Times New Roman"/>
                <w:color w:val="000000" w:themeColor="text1"/>
                <w:sz w:val="24"/>
                <w:szCs w:val="24"/>
                <w:u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eastAsia="宋体" w:cs="Times New Roman"/>
                <w:color w:val="000000" w:themeColor="text1"/>
                <w:sz w:val="24"/>
                <w:szCs w:val="24"/>
                <w:u w:val="none"/>
                <w:lang w:val="en-US" w:eastAsia="zh-CN"/>
                <w14:textFill>
                  <w14:solidFill>
                    <w14:schemeClr w14:val="tx1"/>
                  </w14:solidFill>
                </w14:textFill>
              </w:rPr>
            </w:pPr>
            <w:r>
              <w:rPr>
                <w:rFonts w:hint="eastAsia" w:eastAsia="宋体" w:cs="Times New Roman"/>
                <w:color w:val="000000" w:themeColor="text1"/>
                <w:sz w:val="24"/>
                <w:szCs w:val="24"/>
                <w:u w:val="none"/>
                <w:lang w:val="en-US" w:eastAsia="zh-CN"/>
                <w14:textFill>
                  <w14:solidFill>
                    <w14:schemeClr w14:val="tx1"/>
                  </w14:solidFill>
                </w14:textFill>
              </w:rPr>
              <w:t>项目位于靖州县渠阳镇江东街；</w:t>
            </w:r>
            <w:r>
              <w:rPr>
                <w:rFonts w:hint="default" w:eastAsia="宋体" w:cs="Times New Roman"/>
                <w:color w:val="000000" w:themeColor="text1"/>
                <w:sz w:val="24"/>
                <w:szCs w:val="24"/>
                <w:u w:val="none"/>
                <w:lang w:val="en-US" w:eastAsia="zh-CN"/>
                <w14:textFill>
                  <w14:solidFill>
                    <w14:schemeClr w14:val="tx1"/>
                  </w14:solidFill>
                </w14:textFill>
              </w:rPr>
              <w:t>环境管控单元编码</w:t>
            </w:r>
            <w:r>
              <w:rPr>
                <w:rFonts w:hint="eastAsia" w:eastAsia="宋体" w:cs="Times New Roman"/>
                <w:color w:val="000000" w:themeColor="text1"/>
                <w:sz w:val="24"/>
                <w:szCs w:val="24"/>
                <w:u w:val="none"/>
                <w:lang w:val="en-US" w:eastAsia="zh-CN"/>
                <w14:textFill>
                  <w14:solidFill>
                    <w14:schemeClr w14:val="tx1"/>
                  </w14:solidFill>
                </w14:textFill>
              </w:rPr>
              <w:t>：ZH43122920002，单元分类：重点管控单元，主体功能定位：国家级重点生态功能区，经济产业布局：农副产品加工、竹木加工、建材制造、矿产开发、农业、养殖业、旅游业、茯苓特色小镇、砂石矿</w:t>
            </w:r>
            <w:r>
              <w:rPr>
                <w:rFonts w:hint="eastAsia" w:cs="Times New Roman"/>
                <w:color w:val="000000" w:themeColor="text1"/>
                <w:sz w:val="24"/>
                <w:szCs w:val="24"/>
                <w:u w:val="none"/>
                <w:lang w:val="en-US" w:eastAsia="zh-CN"/>
                <w14:textFill>
                  <w14:solidFill>
                    <w14:schemeClr w14:val="tx1"/>
                  </w14:solidFill>
                </w14:textFill>
              </w:rPr>
              <w:t>；</w:t>
            </w:r>
            <w:r>
              <w:rPr>
                <w:rFonts w:hint="eastAsia" w:eastAsia="宋体" w:cs="Times New Roman"/>
                <w:color w:val="000000" w:themeColor="text1"/>
                <w:sz w:val="24"/>
                <w:szCs w:val="24"/>
                <w:u w:val="none"/>
                <w:lang w:val="en-US" w:eastAsia="zh-CN"/>
                <w14:textFill>
                  <w14:solidFill>
                    <w14:schemeClr w14:val="tx1"/>
                  </w14:solidFill>
                </w14:textFill>
              </w:rPr>
              <w:t>主要环境问题：建材制造行业大气点源较多、碳质板岩开采遗留环境问题、采石场环境问题、畜禽养殖污染、污水管网不完善，渠阳镇砂石矿环境破坏问题。</w:t>
            </w:r>
          </w:p>
          <w:p>
            <w:pPr>
              <w:pStyle w:val="21"/>
              <w:rPr>
                <w:rFonts w:hint="eastAsia" w:eastAsia="宋体" w:cs="Times New Roman"/>
                <w:color w:val="000000" w:themeColor="text1"/>
                <w:sz w:val="24"/>
                <w:szCs w:val="24"/>
                <w:u w:val="none"/>
                <w:lang w:val="en-US" w:eastAsia="zh-CN"/>
                <w14:textFill>
                  <w14:solidFill>
                    <w14:schemeClr w14:val="tx1"/>
                  </w14:solidFill>
                </w14:textFill>
              </w:rPr>
            </w:pPr>
          </w:p>
          <w:p>
            <w:pPr>
              <w:rPr>
                <w:rFonts w:hint="eastAsia"/>
                <w:lang w:val="en-US" w:eastAsia="zh-CN"/>
              </w:rPr>
            </w:pPr>
          </w:p>
          <w:p>
            <w:pPr>
              <w:rPr>
                <w:rFonts w:hint="eastAsia" w:eastAsia="宋体" w:cs="Times New Roman"/>
                <w:color w:val="000000" w:themeColor="text1"/>
                <w:sz w:val="24"/>
                <w:szCs w:val="24"/>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center"/>
              <w:textAlignment w:val="auto"/>
              <w:rPr>
                <w:rFonts w:hint="default" w:eastAsia="宋体" w:cs="Times New Roman"/>
                <w:b/>
                <w:bCs/>
                <w:color w:val="000000" w:themeColor="text1"/>
                <w:sz w:val="24"/>
                <w:szCs w:val="24"/>
                <w:u w:val="none"/>
                <w:lang w:val="en-US" w:eastAsia="zh-CN"/>
                <w14:textFill>
                  <w14:solidFill>
                    <w14:schemeClr w14:val="tx1"/>
                  </w14:solidFill>
                </w14:textFill>
              </w:rPr>
            </w:pPr>
            <w:r>
              <w:rPr>
                <w:rFonts w:hint="eastAsia" w:eastAsia="宋体" w:cs="Times New Roman"/>
                <w:b/>
                <w:bCs/>
                <w:color w:val="000000" w:themeColor="text1"/>
                <w:sz w:val="24"/>
                <w:szCs w:val="24"/>
                <w:u w:val="none"/>
                <w:lang w:val="en-US" w:eastAsia="zh-CN"/>
                <w14:textFill>
                  <w14:solidFill>
                    <w14:schemeClr w14:val="tx1"/>
                  </w14:solidFill>
                </w14:textFill>
              </w:rPr>
              <w:t>表1-1  项目与怀化市“三线一单”符合性分析</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750"/>
              <w:gridCol w:w="1888"/>
              <w:gridCol w:w="9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4640" w:type="dxa"/>
                  <w:gridSpan w:val="2"/>
                  <w:tcBorders>
                    <w:tl2br w:val="nil"/>
                    <w:tr2bl w:val="nil"/>
                  </w:tcBorders>
                  <w:vAlign w:val="center"/>
                </w:tcPr>
                <w:p>
                  <w:pPr>
                    <w:rPr>
                      <w:rFonts w:hint="eastAsia"/>
                      <w:sz w:val="21"/>
                      <w:szCs w:val="21"/>
                      <w:lang w:val="en-US" w:eastAsia="zh-CN"/>
                    </w:rPr>
                  </w:pPr>
                  <w:r>
                    <w:rPr>
                      <w:rFonts w:hint="eastAsia"/>
                      <w:sz w:val="21"/>
                      <w:szCs w:val="21"/>
                    </w:rPr>
                    <w:t>《怀化市“三线一单”生态环境管控基本要求暨环境管控单元（省级以上产业园区除外）生态环境准入清单》相关要求</w:t>
                  </w:r>
                </w:p>
              </w:tc>
              <w:tc>
                <w:tcPr>
                  <w:tcW w:w="1888" w:type="dxa"/>
                  <w:tcBorders>
                    <w:tl2br w:val="nil"/>
                    <w:tr2bl w:val="nil"/>
                  </w:tcBorders>
                  <w:vAlign w:val="center"/>
                </w:tcPr>
                <w:p>
                  <w:pPr>
                    <w:rPr>
                      <w:rFonts w:hint="eastAsia"/>
                      <w:sz w:val="21"/>
                      <w:szCs w:val="21"/>
                      <w:lang w:val="en-US" w:eastAsia="zh-CN"/>
                    </w:rPr>
                  </w:pPr>
                  <w:r>
                    <w:rPr>
                      <w:rFonts w:hint="eastAsia"/>
                      <w:sz w:val="21"/>
                      <w:szCs w:val="21"/>
                    </w:rPr>
                    <w:t>本项目采取的措施</w:t>
                  </w:r>
                </w:p>
              </w:tc>
              <w:tc>
                <w:tcPr>
                  <w:tcW w:w="928" w:type="dxa"/>
                  <w:tcBorders>
                    <w:tl2br w:val="nil"/>
                    <w:tr2bl w:val="nil"/>
                  </w:tcBorders>
                  <w:vAlign w:val="center"/>
                </w:tcPr>
                <w:p>
                  <w:pPr>
                    <w:rPr>
                      <w:rFonts w:hint="eastAsia"/>
                      <w:sz w:val="21"/>
                      <w:szCs w:val="21"/>
                      <w:lang w:val="en-US" w:eastAsia="zh-CN"/>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0" w:type="dxa"/>
                  <w:tcBorders>
                    <w:tl2br w:val="nil"/>
                    <w:tr2bl w:val="nil"/>
                  </w:tcBorders>
                  <w:vAlign w:val="center"/>
                </w:tcPr>
                <w:p>
                  <w:pPr>
                    <w:rPr>
                      <w:rFonts w:hint="eastAsia"/>
                      <w:sz w:val="21"/>
                      <w:szCs w:val="21"/>
                    </w:rPr>
                  </w:pPr>
                  <w:r>
                    <w:rPr>
                      <w:sz w:val="21"/>
                      <w:szCs w:val="21"/>
                    </w:rPr>
                    <w:t>空间布局约束</w:t>
                  </w:r>
                </w:p>
              </w:tc>
              <w:tc>
                <w:tcPr>
                  <w:tcW w:w="3750" w:type="dxa"/>
                  <w:tcBorders>
                    <w:tl2br w:val="nil"/>
                    <w:tr2bl w:val="nil"/>
                  </w:tcBorders>
                  <w:vAlign w:val="center"/>
                </w:tcPr>
                <w:p>
                  <w:pPr>
                    <w:rPr>
                      <w:sz w:val="21"/>
                      <w:szCs w:val="21"/>
                    </w:rPr>
                  </w:pPr>
                  <w:r>
                    <w:rPr>
                      <w:rFonts w:hint="eastAsia"/>
                      <w:sz w:val="21"/>
                      <w:szCs w:val="21"/>
                    </w:rPr>
                    <w:t>（1.1）禁止开采、加工石煤或炭质页岩、炭质板页岩等对生态环境有严重污染或对身体健康有严重危害的矿产。禁止以探代采。</w:t>
                  </w:r>
                </w:p>
                <w:p>
                  <w:pPr>
                    <w:rPr>
                      <w:sz w:val="21"/>
                      <w:szCs w:val="21"/>
                    </w:rPr>
                  </w:pPr>
                  <w:r>
                    <w:rPr>
                      <w:rFonts w:hint="eastAsia"/>
                      <w:sz w:val="21"/>
                      <w:szCs w:val="21"/>
                    </w:rPr>
                    <w:t>（1.2）省级园区核准范围外部分，参照省级以上园区清单执行。</w:t>
                  </w:r>
                </w:p>
                <w:p>
                  <w:pPr>
                    <w:rPr>
                      <w:rFonts w:hint="eastAsia"/>
                      <w:sz w:val="21"/>
                      <w:szCs w:val="21"/>
                    </w:rPr>
                  </w:pPr>
                  <w:r>
                    <w:rPr>
                      <w:rFonts w:hint="eastAsia"/>
                      <w:sz w:val="21"/>
                      <w:szCs w:val="21"/>
                    </w:rPr>
                    <w:t>（1.</w:t>
                  </w:r>
                  <w:r>
                    <w:rPr>
                      <w:sz w:val="21"/>
                      <w:szCs w:val="21"/>
                    </w:rPr>
                    <w:t>3</w:t>
                  </w:r>
                  <w:r>
                    <w:rPr>
                      <w:rFonts w:hint="eastAsia"/>
                      <w:sz w:val="21"/>
                      <w:szCs w:val="21"/>
                    </w:rPr>
                    <w:t>）按省级、市级生态环境准入总体清单中相关条文执行。</w:t>
                  </w:r>
                </w:p>
              </w:tc>
              <w:tc>
                <w:tcPr>
                  <w:tcW w:w="1888" w:type="dxa"/>
                  <w:tcBorders>
                    <w:tl2br w:val="nil"/>
                    <w:tr2bl w:val="nil"/>
                  </w:tcBorders>
                  <w:vAlign w:val="center"/>
                </w:tcPr>
                <w:p>
                  <w:pPr>
                    <w:rPr>
                      <w:rFonts w:hint="default"/>
                      <w:sz w:val="21"/>
                      <w:szCs w:val="21"/>
                      <w:lang w:val="en-US" w:eastAsia="zh-CN"/>
                    </w:rPr>
                  </w:pPr>
                  <w:r>
                    <w:rPr>
                      <w:rFonts w:hint="eastAsia"/>
                      <w:sz w:val="21"/>
                      <w:szCs w:val="21"/>
                      <w:lang w:eastAsia="zh-CN"/>
                    </w:rPr>
                    <w:t>（</w:t>
                  </w:r>
                  <w:r>
                    <w:rPr>
                      <w:rFonts w:hint="eastAsia"/>
                      <w:sz w:val="21"/>
                      <w:szCs w:val="21"/>
                      <w:lang w:val="en-US" w:eastAsia="zh-CN"/>
                    </w:rPr>
                    <w:t>1.1</w:t>
                  </w:r>
                  <w:r>
                    <w:rPr>
                      <w:rFonts w:hint="eastAsia"/>
                      <w:sz w:val="21"/>
                      <w:szCs w:val="21"/>
                      <w:lang w:eastAsia="zh-CN"/>
                    </w:rPr>
                    <w:t>）</w:t>
                  </w:r>
                  <w:r>
                    <w:rPr>
                      <w:sz w:val="21"/>
                      <w:szCs w:val="21"/>
                    </w:rPr>
                    <w:t>项目</w:t>
                  </w:r>
                  <w:r>
                    <w:rPr>
                      <w:rFonts w:hint="eastAsia"/>
                      <w:sz w:val="21"/>
                      <w:szCs w:val="21"/>
                      <w:lang w:val="en-US" w:eastAsia="zh-CN"/>
                    </w:rPr>
                    <w:t>不涉及</w:t>
                  </w:r>
                  <w:r>
                    <w:rPr>
                      <w:rFonts w:hint="eastAsia"/>
                      <w:sz w:val="21"/>
                      <w:szCs w:val="21"/>
                    </w:rPr>
                    <w:t>石煤</w:t>
                  </w:r>
                  <w:r>
                    <w:rPr>
                      <w:rFonts w:hint="eastAsia"/>
                      <w:sz w:val="21"/>
                      <w:szCs w:val="21"/>
                      <w:lang w:eastAsia="zh-CN"/>
                    </w:rPr>
                    <w:t>、</w:t>
                  </w:r>
                  <w:r>
                    <w:rPr>
                      <w:rFonts w:hint="eastAsia"/>
                      <w:sz w:val="21"/>
                      <w:szCs w:val="21"/>
                    </w:rPr>
                    <w:t>炭质页岩、炭质板页岩</w:t>
                  </w:r>
                  <w:r>
                    <w:rPr>
                      <w:rFonts w:hint="eastAsia"/>
                      <w:sz w:val="21"/>
                      <w:szCs w:val="21"/>
                      <w:lang w:val="en-US" w:eastAsia="zh-CN"/>
                    </w:rPr>
                    <w:t>等矿物开采。</w:t>
                  </w:r>
                </w:p>
                <w:p>
                  <w:pPr>
                    <w:rPr>
                      <w:rFonts w:hint="default"/>
                      <w:sz w:val="21"/>
                      <w:szCs w:val="21"/>
                      <w:lang w:val="en-US" w:eastAsia="zh-CN"/>
                    </w:rPr>
                  </w:pPr>
                  <w:r>
                    <w:rPr>
                      <w:rFonts w:hint="eastAsia"/>
                      <w:sz w:val="21"/>
                      <w:szCs w:val="21"/>
                      <w:lang w:val="en-US" w:eastAsia="zh-CN"/>
                    </w:rPr>
                    <w:t>（1.2、1.3）符合性分析见下表1-2、表1-3。</w:t>
                  </w:r>
                </w:p>
              </w:tc>
              <w:tc>
                <w:tcPr>
                  <w:tcW w:w="928" w:type="dxa"/>
                  <w:tcBorders>
                    <w:tl2br w:val="nil"/>
                    <w:tr2bl w:val="nil"/>
                  </w:tcBorders>
                  <w:vAlign w:val="center"/>
                </w:tcPr>
                <w:p>
                  <w:pPr>
                    <w:rPr>
                      <w:rFonts w:hint="eastAsia"/>
                      <w:sz w:val="21"/>
                      <w:szCs w:val="21"/>
                      <w:lang w:val="en-US" w:eastAsia="zh-CN"/>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0" w:type="dxa"/>
                  <w:tcBorders>
                    <w:tl2br w:val="nil"/>
                    <w:tr2bl w:val="nil"/>
                  </w:tcBorders>
                  <w:vAlign w:val="center"/>
                </w:tcPr>
                <w:p>
                  <w:pPr>
                    <w:rPr>
                      <w:sz w:val="21"/>
                      <w:szCs w:val="21"/>
                    </w:rPr>
                  </w:pPr>
                  <w:r>
                    <w:rPr>
                      <w:sz w:val="21"/>
                      <w:szCs w:val="21"/>
                    </w:rPr>
                    <w:t>污染物排放</w:t>
                  </w:r>
                </w:p>
                <w:p>
                  <w:pPr>
                    <w:rPr>
                      <w:sz w:val="21"/>
                      <w:szCs w:val="21"/>
                    </w:rPr>
                  </w:pPr>
                  <w:r>
                    <w:rPr>
                      <w:sz w:val="21"/>
                      <w:szCs w:val="21"/>
                    </w:rPr>
                    <w:t>管控</w:t>
                  </w:r>
                </w:p>
              </w:tc>
              <w:tc>
                <w:tcPr>
                  <w:tcW w:w="3750" w:type="dxa"/>
                  <w:tcBorders>
                    <w:tl2br w:val="nil"/>
                    <w:tr2bl w:val="nil"/>
                  </w:tcBorders>
                  <w:vAlign w:val="center"/>
                </w:tcPr>
                <w:p>
                  <w:pPr>
                    <w:rPr>
                      <w:rFonts w:hint="eastAsia"/>
                      <w:sz w:val="21"/>
                      <w:szCs w:val="21"/>
                    </w:rPr>
                  </w:pPr>
                  <w:r>
                    <w:rPr>
                      <w:rFonts w:hint="eastAsia"/>
                      <w:sz w:val="21"/>
                      <w:szCs w:val="21"/>
                    </w:rPr>
                    <w:t>（2.1）健全农业面源污染监测与治理体系，实施源头控制、过程拦截、末端治理与循环利用相结合的综合防治。实施畜禽养殖污染治理工程，严格执行畜禽养殖场环境准入与退出制度，推动污染治理设施提标改造，提升畜禽排泄物资源化利用水平。</w:t>
                  </w:r>
                </w:p>
              </w:tc>
              <w:tc>
                <w:tcPr>
                  <w:tcW w:w="1888" w:type="dxa"/>
                  <w:tcBorders>
                    <w:tl2br w:val="nil"/>
                    <w:tr2bl w:val="nil"/>
                  </w:tcBorders>
                  <w:vAlign w:val="center"/>
                </w:tcPr>
                <w:p>
                  <w:pPr>
                    <w:rPr>
                      <w:rFonts w:hint="default"/>
                      <w:sz w:val="21"/>
                      <w:szCs w:val="21"/>
                      <w:lang w:val="en-US" w:eastAsia="zh-CN"/>
                    </w:rPr>
                  </w:pPr>
                  <w:r>
                    <w:rPr>
                      <w:rFonts w:hint="eastAsia"/>
                      <w:sz w:val="21"/>
                      <w:szCs w:val="21"/>
                      <w:lang w:val="en-US" w:eastAsia="zh-CN"/>
                    </w:rPr>
                    <w:t>（2.1）本项目为疾控中心，不涉及农牧业。</w:t>
                  </w:r>
                </w:p>
              </w:tc>
              <w:tc>
                <w:tcPr>
                  <w:tcW w:w="928" w:type="dxa"/>
                  <w:tcBorders>
                    <w:tl2br w:val="nil"/>
                    <w:tr2bl w:val="nil"/>
                  </w:tcBorders>
                  <w:vAlign w:val="center"/>
                </w:tcPr>
                <w:p>
                  <w:pPr>
                    <w:rPr>
                      <w:rFonts w:hint="eastAsia" w:eastAsia="宋体"/>
                      <w:sz w:val="21"/>
                      <w:szCs w:val="21"/>
                      <w:lang w:val="en-US" w:eastAsia="zh-CN"/>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0" w:type="dxa"/>
                  <w:tcBorders>
                    <w:tl2br w:val="nil"/>
                    <w:tr2bl w:val="nil"/>
                  </w:tcBorders>
                  <w:vAlign w:val="center"/>
                </w:tcPr>
                <w:p>
                  <w:pPr>
                    <w:rPr>
                      <w:sz w:val="21"/>
                      <w:szCs w:val="21"/>
                      <w:lang w:val="en-US" w:eastAsia="zh-CN"/>
                    </w:rPr>
                  </w:pPr>
                  <w:r>
                    <w:rPr>
                      <w:sz w:val="21"/>
                      <w:szCs w:val="21"/>
                    </w:rPr>
                    <w:t>环境风险防控</w:t>
                  </w:r>
                </w:p>
              </w:tc>
              <w:tc>
                <w:tcPr>
                  <w:tcW w:w="3750" w:type="dxa"/>
                  <w:tcBorders>
                    <w:tl2br w:val="nil"/>
                    <w:tr2bl w:val="nil"/>
                  </w:tcBorders>
                  <w:vAlign w:val="center"/>
                </w:tcPr>
                <w:p>
                  <w:pPr>
                    <w:rPr>
                      <w:rFonts w:hint="eastAsia"/>
                      <w:sz w:val="21"/>
                      <w:szCs w:val="21"/>
                      <w:lang w:val="en-US" w:eastAsia="zh-CN"/>
                    </w:rPr>
                  </w:pPr>
                  <w:r>
                    <w:rPr>
                      <w:rFonts w:hint="eastAsia"/>
                      <w:sz w:val="21"/>
                      <w:szCs w:val="21"/>
                    </w:rPr>
                    <w:t>（3.1）按省级、市级生态环境准入总体清单中与环境风险防控相关条文执行。</w:t>
                  </w:r>
                </w:p>
              </w:tc>
              <w:tc>
                <w:tcPr>
                  <w:tcW w:w="1888" w:type="dxa"/>
                  <w:tcBorders>
                    <w:tl2br w:val="nil"/>
                    <w:tr2bl w:val="nil"/>
                  </w:tcBorders>
                  <w:vAlign w:val="center"/>
                </w:tcPr>
                <w:p>
                  <w:pPr>
                    <w:rPr>
                      <w:rFonts w:hint="default"/>
                      <w:sz w:val="21"/>
                      <w:szCs w:val="21"/>
                      <w:lang w:val="en-US"/>
                    </w:rPr>
                  </w:pPr>
                  <w:r>
                    <w:rPr>
                      <w:rFonts w:hint="eastAsia"/>
                      <w:sz w:val="21"/>
                      <w:szCs w:val="21"/>
                      <w:lang w:val="en-US" w:eastAsia="zh-CN"/>
                    </w:rPr>
                    <w:t>（3.1）项目与</w:t>
                  </w:r>
                  <w:r>
                    <w:rPr>
                      <w:rFonts w:hint="eastAsia"/>
                      <w:sz w:val="21"/>
                      <w:szCs w:val="21"/>
                    </w:rPr>
                    <w:t>省级、市级</w:t>
                  </w:r>
                  <w:r>
                    <w:rPr>
                      <w:rFonts w:hint="eastAsia"/>
                      <w:sz w:val="21"/>
                      <w:szCs w:val="21"/>
                      <w:lang w:val="en-US" w:eastAsia="zh-CN"/>
                    </w:rPr>
                    <w:t>清单符合性见下表1-2、表1-3。</w:t>
                  </w:r>
                </w:p>
              </w:tc>
              <w:tc>
                <w:tcPr>
                  <w:tcW w:w="928" w:type="dxa"/>
                  <w:tcBorders>
                    <w:tl2br w:val="nil"/>
                    <w:tr2bl w:val="nil"/>
                  </w:tcBorders>
                  <w:vAlign w:val="center"/>
                </w:tcPr>
                <w:p>
                  <w:pPr>
                    <w:rPr>
                      <w:rFonts w:hint="eastAsia"/>
                      <w:sz w:val="21"/>
                      <w:szCs w:val="21"/>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0" w:type="dxa"/>
                  <w:tcBorders>
                    <w:tl2br w:val="nil"/>
                    <w:tr2bl w:val="nil"/>
                  </w:tcBorders>
                  <w:vAlign w:val="center"/>
                </w:tcPr>
                <w:p>
                  <w:pPr>
                    <w:rPr>
                      <w:sz w:val="21"/>
                      <w:szCs w:val="21"/>
                      <w:lang w:val="en-US" w:eastAsia="zh-CN"/>
                    </w:rPr>
                  </w:pPr>
                  <w:r>
                    <w:rPr>
                      <w:sz w:val="21"/>
                      <w:szCs w:val="21"/>
                    </w:rPr>
                    <w:t>资源开发效率要求</w:t>
                  </w:r>
                </w:p>
              </w:tc>
              <w:tc>
                <w:tcPr>
                  <w:tcW w:w="3750" w:type="dxa"/>
                  <w:tcBorders>
                    <w:tl2br w:val="nil"/>
                    <w:tr2bl w:val="nil"/>
                  </w:tcBorders>
                  <w:vAlign w:val="center"/>
                </w:tcPr>
                <w:p>
                  <w:pPr>
                    <w:rPr>
                      <w:rFonts w:hint="eastAsia"/>
                      <w:sz w:val="21"/>
                      <w:szCs w:val="21"/>
                      <w:lang w:val="en-US" w:eastAsia="zh-CN"/>
                    </w:rPr>
                  </w:pPr>
                  <w:r>
                    <w:rPr>
                      <w:rFonts w:hint="eastAsia"/>
                      <w:sz w:val="21"/>
                      <w:szCs w:val="21"/>
                    </w:rPr>
                    <w:t>（4.1）坚持种养结合，完善农牧对接机制，推进畜禽粪污资源化高效利用。坚持疏堵结合、用禁互促，大力推进秸秆、尾菜和农产品加工副产物资源化利用。</w:t>
                  </w:r>
                </w:p>
              </w:tc>
              <w:tc>
                <w:tcPr>
                  <w:tcW w:w="1888" w:type="dxa"/>
                  <w:tcBorders>
                    <w:tl2br w:val="nil"/>
                    <w:tr2bl w:val="nil"/>
                  </w:tcBorders>
                  <w:vAlign w:val="center"/>
                </w:tcPr>
                <w:p>
                  <w:pPr>
                    <w:rPr>
                      <w:rFonts w:hint="default"/>
                      <w:sz w:val="21"/>
                      <w:szCs w:val="21"/>
                      <w:lang w:val="en-US" w:eastAsia="zh-CN"/>
                    </w:rPr>
                  </w:pPr>
                  <w:r>
                    <w:rPr>
                      <w:rFonts w:hint="eastAsia"/>
                      <w:sz w:val="21"/>
                      <w:szCs w:val="21"/>
                      <w:lang w:val="en-US" w:eastAsia="zh-CN"/>
                    </w:rPr>
                    <w:t>（4.1）同上，项目不涉及农牧业。</w:t>
                  </w:r>
                </w:p>
              </w:tc>
              <w:tc>
                <w:tcPr>
                  <w:tcW w:w="928" w:type="dxa"/>
                  <w:tcBorders>
                    <w:tl2br w:val="nil"/>
                    <w:tr2bl w:val="nil"/>
                  </w:tcBorders>
                  <w:vAlign w:val="center"/>
                </w:tcPr>
                <w:p>
                  <w:pPr>
                    <w:rPr>
                      <w:rFonts w:hint="eastAsia"/>
                      <w:sz w:val="21"/>
                      <w:szCs w:val="21"/>
                    </w:rPr>
                  </w:pPr>
                  <w:r>
                    <w:rPr>
                      <w:rFonts w:hint="eastAsia"/>
                      <w:sz w:val="21"/>
                      <w:szCs w:val="21"/>
                      <w:lang w:val="en-US" w:eastAsia="zh-CN"/>
                    </w:rPr>
                    <w:t>符合</w:t>
                  </w:r>
                </w:p>
              </w:tc>
            </w:tr>
          </w:tbl>
          <w:p>
            <w:pPr>
              <w:pStyle w:val="1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lang w:val="en-US" w:eastAsia="zh-CN"/>
              </w:rPr>
            </w:pPr>
            <w:r>
              <w:rPr>
                <w:rFonts w:hint="eastAsia" w:cs="Times New Roman"/>
                <w:b/>
                <w:bCs/>
                <w:color w:val="000000" w:themeColor="text1"/>
                <w:sz w:val="24"/>
                <w:szCs w:val="24"/>
                <w:u w:val="none"/>
                <w:lang w:val="en-US" w:eastAsia="zh-CN"/>
                <w14:textFill>
                  <w14:solidFill>
                    <w14:schemeClr w14:val="tx1"/>
                  </w14:solidFill>
                </w14:textFill>
              </w:rPr>
              <w:t>表1-2  项目与</w:t>
            </w:r>
            <w:r>
              <w:rPr>
                <w:rFonts w:hint="default" w:cs="Times New Roman"/>
                <w:b/>
                <w:bCs/>
                <w:color w:val="000000" w:themeColor="text1"/>
                <w:sz w:val="24"/>
                <w:szCs w:val="24"/>
                <w:u w:val="none"/>
                <w:lang w:val="en-US" w:eastAsia="zh-CN"/>
                <w14:textFill>
                  <w14:solidFill>
                    <w14:schemeClr w14:val="tx1"/>
                  </w14:solidFill>
                </w14:textFill>
              </w:rPr>
              <w:t>怀化市“三线一单”生态环境准入清单</w:t>
            </w:r>
            <w:r>
              <w:rPr>
                <w:rFonts w:hint="eastAsia" w:cs="Times New Roman"/>
                <w:b/>
                <w:bCs/>
                <w:color w:val="000000" w:themeColor="text1"/>
                <w:sz w:val="24"/>
                <w:szCs w:val="24"/>
                <w:u w:val="none"/>
                <w:lang w:val="en-US" w:eastAsia="zh-CN"/>
                <w14:textFill>
                  <w14:solidFill>
                    <w14:schemeClr w14:val="tx1"/>
                  </w14:solidFill>
                </w14:textFill>
              </w:rPr>
              <w:t>符合性分析</w:t>
            </w:r>
          </w:p>
          <w:tbl>
            <w:tblPr>
              <w:tblStyle w:val="16"/>
              <w:tblW w:w="8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38"/>
              <w:gridCol w:w="4421"/>
              <w:gridCol w:w="1906"/>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5" w:type="dxa"/>
                  <w:gridSpan w:val="3"/>
                  <w:tcBorders>
                    <w:tl2br w:val="nil"/>
                    <w:tr2bl w:val="nil"/>
                  </w:tcBorders>
                  <w:noWrap w:val="0"/>
                  <w:vAlign w:val="center"/>
                </w:tcPr>
                <w:p>
                  <w:pPr>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怀化市生态环境管控基本要求（仅列举与本项目有关）</w:t>
                  </w:r>
                </w:p>
              </w:tc>
              <w:tc>
                <w:tcPr>
                  <w:tcW w:w="1906" w:type="dxa"/>
                  <w:tcBorders>
                    <w:tl2br w:val="nil"/>
                    <w:tr2bl w:val="nil"/>
                  </w:tcBorders>
                  <w:noWrap w:val="0"/>
                  <w:vAlign w:val="center"/>
                </w:tcPr>
                <w:p>
                  <w:pPr>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本项目采取的措施</w:t>
                  </w:r>
                </w:p>
              </w:tc>
              <w:tc>
                <w:tcPr>
                  <w:tcW w:w="707" w:type="dxa"/>
                  <w:tcBorders>
                    <w:tl2br w:val="nil"/>
                    <w:tr2bl w:val="nil"/>
                  </w:tcBorders>
                  <w:noWrap w:val="0"/>
                  <w:vAlign w:val="center"/>
                </w:tcPr>
                <w:p>
                  <w:pPr>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restart"/>
                  <w:tcBorders>
                    <w:tl2br w:val="nil"/>
                    <w:tr2bl w:val="nil"/>
                  </w:tcBorders>
                  <w:noWrap w:val="0"/>
                  <w:vAlign w:val="center"/>
                </w:tcPr>
                <w:p>
                  <w:pPr>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通用</w:t>
                  </w:r>
                </w:p>
              </w:tc>
              <w:tc>
                <w:tcPr>
                  <w:tcW w:w="638" w:type="dxa"/>
                  <w:tcBorders>
                    <w:tl2br w:val="nil"/>
                    <w:tr2bl w:val="nil"/>
                  </w:tcBorders>
                  <w:noWrap w:val="0"/>
                  <w:vAlign w:val="center"/>
                </w:tcPr>
                <w:p>
                  <w:pPr>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空间布局约束</w:t>
                  </w:r>
                </w:p>
              </w:tc>
              <w:tc>
                <w:tcPr>
                  <w:tcW w:w="4421" w:type="dxa"/>
                  <w:tcBorders>
                    <w:tl2br w:val="nil"/>
                    <w:tr2bl w:val="nil"/>
                  </w:tcBorders>
                  <w:noWrap w:val="0"/>
                  <w:vAlign w:val="center"/>
                </w:tcPr>
                <w:p>
                  <w:pPr>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（1.1）加大沅水、</w:t>
                  </w:r>
                  <w:r>
                    <w:rPr>
                      <w:rFonts w:hint="eastAsia" w:ascii="Times New Roman" w:hAnsi="Times New Roman" w:eastAsia="宋体" w:cs="Times New Roman"/>
                      <w:bCs/>
                      <w:color w:val="auto"/>
                      <w:sz w:val="21"/>
                      <w:szCs w:val="21"/>
                      <w:u w:val="none"/>
                      <w:lang w:eastAsia="zh-CN"/>
                    </w:rPr>
                    <w:t>沅水</w:t>
                  </w:r>
                  <w:r>
                    <w:rPr>
                      <w:rFonts w:hint="default" w:ascii="Times New Roman" w:hAnsi="Times New Roman" w:eastAsia="宋体" w:cs="Times New Roman"/>
                      <w:bCs/>
                      <w:color w:val="auto"/>
                      <w:sz w:val="21"/>
                      <w:szCs w:val="21"/>
                      <w:u w:val="none"/>
                    </w:rPr>
                    <w:t>、渠水、巫水、溆水、辰水、酉水等主要河流及五强溪、托口、大洑潭、凤滩、蟒塘溪等湖泊（库区）的保护力度。加强河道综合整治、水面保洁及水环境生态修复，重点抓好</w:t>
                  </w:r>
                  <w:r>
                    <w:rPr>
                      <w:rFonts w:hint="eastAsia" w:ascii="Times New Roman" w:hAnsi="Times New Roman" w:eastAsia="宋体" w:cs="Times New Roman"/>
                      <w:bCs/>
                      <w:color w:val="auto"/>
                      <w:sz w:val="21"/>
                      <w:szCs w:val="21"/>
                      <w:u w:val="none"/>
                      <w:lang w:eastAsia="zh-CN"/>
                    </w:rPr>
                    <w:t>沅水</w:t>
                  </w:r>
                  <w:r>
                    <w:rPr>
                      <w:rFonts w:hint="default" w:ascii="Times New Roman" w:hAnsi="Times New Roman" w:eastAsia="宋体" w:cs="Times New Roman"/>
                      <w:bCs/>
                      <w:color w:val="auto"/>
                      <w:sz w:val="21"/>
                      <w:szCs w:val="21"/>
                      <w:u w:val="none"/>
                    </w:rPr>
                    <w:t>河芷江段环境综合治理、洪江区沅水城区段水环境生态修复和蟒塘溪水库、五强溪水库、清江湖良好湖泊水库综合治理等项目；推进重点流域污染治理，重点抓好沅水洪江市段雪峰金矿区综合治理等项目；提高城区水环境质量，重点抓好</w:t>
                  </w:r>
                  <w:r>
                    <w:rPr>
                      <w:rFonts w:hint="eastAsia" w:ascii="Times New Roman" w:hAnsi="Times New Roman" w:eastAsia="宋体" w:cs="Times New Roman"/>
                      <w:bCs/>
                      <w:color w:val="auto"/>
                      <w:sz w:val="21"/>
                      <w:szCs w:val="21"/>
                      <w:u w:val="none"/>
                      <w:lang w:eastAsia="zh-CN"/>
                    </w:rPr>
                    <w:t>沅水</w:t>
                  </w:r>
                  <w:r>
                    <w:rPr>
                      <w:rFonts w:hint="default" w:ascii="Times New Roman" w:hAnsi="Times New Roman" w:eastAsia="宋体" w:cs="Times New Roman"/>
                      <w:bCs/>
                      <w:color w:val="auto"/>
                      <w:sz w:val="21"/>
                      <w:szCs w:val="21"/>
                      <w:u w:val="none"/>
                    </w:rPr>
                    <w:t>河怀化城区段综合治理、太平溪综合治理、岩堰溪综合治理等项目，加快推进城市黑臭水体治理，按照公布的全省黑臭水体名称、达标期限要求按成整治任务，并按规定向社会公布治理情况。</w:t>
                  </w:r>
                </w:p>
                <w:p>
                  <w:pPr>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1.8）将建设用地土壤环境管理要求纳入城市规划和供地管理，土地开发利用必须符合土壤环境质量要求。各级国土资源、城乡规划等部门在编制土地利用总体规划、城市总体规划、控制性详细规划等相关规划时，应充分考虑污染地块的环境风险，合理确定土地用途。已经制定的规划应当根据土壤污染防治要求作出相应调整。</w:t>
                  </w:r>
                </w:p>
              </w:tc>
              <w:tc>
                <w:tcPr>
                  <w:tcW w:w="1906" w:type="dxa"/>
                  <w:tcBorders>
                    <w:tl2br w:val="nil"/>
                    <w:tr2bl w:val="nil"/>
                  </w:tcBorders>
                  <w:noWrap w:val="0"/>
                  <w:vAlign w:val="center"/>
                </w:tcPr>
                <w:p>
                  <w:pPr>
                    <w:spacing w:line="240" w:lineRule="auto"/>
                    <w:ind w:firstLine="0" w:firstLineChars="0"/>
                    <w:textAlignment w:val="auto"/>
                    <w:rPr>
                      <w:rFonts w:hint="default"/>
                      <w:highlight w:val="yellow"/>
                      <w:lang w:val="en-US" w:eastAsia="zh-CN"/>
                    </w:rPr>
                  </w:pPr>
                  <w:r>
                    <w:rPr>
                      <w:rFonts w:hint="default" w:ascii="Times New Roman" w:hAnsi="Times New Roman" w:eastAsia="宋体" w:cs="Times New Roman"/>
                      <w:bCs/>
                      <w:color w:val="auto"/>
                      <w:sz w:val="21"/>
                      <w:szCs w:val="21"/>
                      <w:u w:val="none"/>
                    </w:rPr>
                    <w:t>（1.1）</w:t>
                  </w:r>
                  <w:r>
                    <w:rPr>
                      <w:rFonts w:hint="eastAsia" w:ascii="Times New Roman" w:hAnsi="Times New Roman" w:eastAsia="宋体" w:cs="Times New Roman"/>
                      <w:bCs/>
                      <w:color w:val="auto"/>
                      <w:sz w:val="21"/>
                      <w:szCs w:val="21"/>
                      <w:u w:val="none"/>
                      <w:lang w:eastAsia="zh-CN"/>
                    </w:rPr>
                    <w:t>本项目</w:t>
                  </w:r>
                  <w:r>
                    <w:rPr>
                      <w:rFonts w:hint="eastAsia" w:cs="Times New Roman"/>
                      <w:bCs/>
                      <w:color w:val="auto"/>
                      <w:sz w:val="21"/>
                      <w:szCs w:val="21"/>
                      <w:u w:val="none"/>
                      <w:lang w:val="en-US" w:eastAsia="zh-CN"/>
                    </w:rPr>
                    <w:t>主要水环境保护目标为文昌溪、渠水，项目所处流域可达</w:t>
                  </w:r>
                  <w:r>
                    <w:rPr>
                      <w:rFonts w:hint="default" w:ascii="Times New Roman" w:hAnsi="Times New Roman" w:eastAsia="宋体" w:cs="Times New Roman"/>
                      <w:bCs/>
                      <w:color w:val="auto"/>
                      <w:sz w:val="21"/>
                      <w:szCs w:val="21"/>
                      <w:u w:val="none"/>
                    </w:rPr>
                    <w:t>Ⅲ</w:t>
                  </w:r>
                  <w:r>
                    <w:rPr>
                      <w:rFonts w:hint="eastAsia" w:cs="Times New Roman"/>
                      <w:bCs/>
                      <w:color w:val="auto"/>
                      <w:sz w:val="21"/>
                      <w:szCs w:val="21"/>
                      <w:u w:val="none"/>
                      <w:lang w:val="en-US" w:eastAsia="zh-CN"/>
                    </w:rPr>
                    <w:t>类标准。项目实验室</w:t>
                  </w:r>
                  <w:r>
                    <w:rPr>
                      <w:rFonts w:hint="eastAsia" w:eastAsia="宋体" w:cs="Times New Roman"/>
                      <w:bCs/>
                      <w:color w:val="auto"/>
                      <w:sz w:val="21"/>
                      <w:szCs w:val="21"/>
                      <w:u w:val="none"/>
                      <w:lang w:val="en-US" w:eastAsia="zh-CN"/>
                    </w:rPr>
                    <w:t>废水</w:t>
                  </w:r>
                  <w:r>
                    <w:rPr>
                      <w:rFonts w:hint="eastAsia" w:cs="Times New Roman"/>
                      <w:bCs/>
                      <w:color w:val="auto"/>
                      <w:sz w:val="21"/>
                      <w:szCs w:val="21"/>
                      <w:u w:val="none"/>
                      <w:lang w:val="en-US" w:eastAsia="zh-CN"/>
                    </w:rPr>
                    <w:t>（医疗废水）经</w:t>
                  </w:r>
                  <w:r>
                    <w:rPr>
                      <w:rFonts w:hint="eastAsia" w:eastAsia="宋体" w:cs="Times New Roman"/>
                      <w:bCs/>
                      <w:color w:val="auto"/>
                      <w:sz w:val="21"/>
                      <w:szCs w:val="21"/>
                      <w:u w:val="none"/>
                      <w:lang w:val="en-US" w:eastAsia="zh-CN"/>
                    </w:rPr>
                    <w:t>污水处理设备处理达标后排入</w:t>
                  </w:r>
                  <w:r>
                    <w:rPr>
                      <w:rFonts w:hint="eastAsia" w:cs="Times New Roman"/>
                      <w:bCs/>
                      <w:color w:val="auto"/>
                      <w:sz w:val="21"/>
                      <w:szCs w:val="21"/>
                      <w:u w:val="none"/>
                      <w:lang w:val="en-US" w:eastAsia="zh-CN"/>
                    </w:rPr>
                    <w:t>文昌溪；</w:t>
                  </w:r>
                  <w:r>
                    <w:rPr>
                      <w:rFonts w:hint="eastAsia" w:eastAsia="宋体" w:cs="Times New Roman"/>
                      <w:bCs/>
                      <w:color w:val="auto"/>
                      <w:sz w:val="21"/>
                      <w:szCs w:val="21"/>
                      <w:u w:val="single"/>
                      <w:lang w:val="en-US" w:eastAsia="zh-CN"/>
                    </w:rPr>
                    <w:t>生活</w:t>
                  </w:r>
                  <w:r>
                    <w:rPr>
                      <w:rFonts w:hint="eastAsia" w:cs="Times New Roman"/>
                      <w:bCs/>
                      <w:color w:val="auto"/>
                      <w:sz w:val="21"/>
                      <w:szCs w:val="21"/>
                      <w:u w:val="single"/>
                      <w:lang w:val="en-US" w:eastAsia="zh-CN"/>
                    </w:rPr>
                    <w:t>污水经化粪池预处理后由清粪车转运至靖州县县城污水处理厂。</w:t>
                  </w:r>
                </w:p>
                <w:p>
                  <w:pPr>
                    <w:spacing w:line="240" w:lineRule="auto"/>
                    <w:ind w:firstLine="0" w:firstLineChars="0"/>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rPr>
                    <w:t>（</w:t>
                  </w:r>
                  <w:r>
                    <w:rPr>
                      <w:rFonts w:hint="default" w:eastAsia="宋体" w:cs="Times New Roman"/>
                      <w:bCs/>
                      <w:color w:val="auto"/>
                      <w:sz w:val="21"/>
                      <w:szCs w:val="21"/>
                      <w:u w:val="none"/>
                      <w:lang w:val="en-US" w:eastAsia="zh-CN"/>
                    </w:rPr>
                    <w:t>1.8</w:t>
                  </w:r>
                  <w:r>
                    <w:rPr>
                      <w:rFonts w:hint="eastAsia" w:eastAsia="宋体" w:cs="Times New Roman"/>
                      <w:bCs/>
                      <w:color w:val="auto"/>
                      <w:sz w:val="21"/>
                      <w:szCs w:val="21"/>
                      <w:u w:val="none"/>
                      <w:lang w:val="en-US" w:eastAsia="zh-CN"/>
                    </w:rPr>
                    <w:t>）依据《靖州苗族侗族自治县县城总体规划（2009-2030）》</w:t>
                  </w:r>
                  <w:r>
                    <w:rPr>
                      <w:rFonts w:hint="eastAsia" w:cs="Times New Roman"/>
                      <w:bCs/>
                      <w:color w:val="auto"/>
                      <w:sz w:val="21"/>
                      <w:szCs w:val="21"/>
                      <w:u w:val="none"/>
                      <w:lang w:val="en-US" w:eastAsia="zh-CN"/>
                    </w:rPr>
                    <w:t>项目</w:t>
                  </w:r>
                  <w:r>
                    <w:rPr>
                      <w:rFonts w:hint="eastAsia" w:eastAsia="宋体" w:cs="Times New Roman"/>
                      <w:bCs/>
                      <w:color w:val="auto"/>
                      <w:sz w:val="21"/>
                      <w:szCs w:val="21"/>
                      <w:u w:val="none"/>
                      <w:lang w:val="en-US" w:eastAsia="zh-CN"/>
                    </w:rPr>
                    <w:t>所处地属于卫生防疫用地，符合土地利用规划</w:t>
                  </w:r>
                  <w:r>
                    <w:rPr>
                      <w:rFonts w:hint="eastAsia" w:cs="Times New Roman"/>
                      <w:bCs/>
                      <w:color w:val="auto"/>
                      <w:sz w:val="21"/>
                      <w:szCs w:val="21"/>
                      <w:u w:val="none"/>
                      <w:lang w:val="en-US" w:eastAsia="zh-CN"/>
                    </w:rPr>
                    <w:t>，运营期基本不造成土壤影响。</w:t>
                  </w:r>
                </w:p>
              </w:tc>
              <w:tc>
                <w:tcPr>
                  <w:tcW w:w="707" w:type="dxa"/>
                  <w:tcBorders>
                    <w:tl2br w:val="nil"/>
                    <w:tr2bl w:val="nil"/>
                  </w:tcBorders>
                  <w:noWrap w:val="0"/>
                  <w:vAlign w:val="center"/>
                </w:tcPr>
                <w:p>
                  <w:pPr>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p>
              </w:tc>
              <w:tc>
                <w:tcPr>
                  <w:tcW w:w="638"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污染物排放管控</w:t>
                  </w:r>
                </w:p>
              </w:tc>
              <w:tc>
                <w:tcPr>
                  <w:tcW w:w="4421"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2.4）减少生活污染。实行城乡环卫一体化，积极推进垃圾分类，建设覆盖城乡的垃圾收运体系和垃圾分类收集系统。完善生活垃圾处理设施建设、运营和排放监管体系，加强垃圾处理监管能力。以整县推进为主要方式，推进农村环境综合整治全市域覆盖。在有条件的县市区推行水泥窑协同处置，加强生活垃圾处理区域统筹，努力实现生活垃圾的减量化、资源化。</w:t>
                  </w:r>
                </w:p>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（2.9）“一江六水”联治。完善以河（湖）长制为统领的水治理体系，系统推进沅江和</w:t>
                  </w:r>
                  <w:r>
                    <w:rPr>
                      <w:rFonts w:hint="eastAsia" w:ascii="Times New Roman" w:hAnsi="Times New Roman" w:eastAsia="宋体" w:cs="Times New Roman"/>
                      <w:bCs/>
                      <w:color w:val="auto"/>
                      <w:sz w:val="21"/>
                      <w:szCs w:val="21"/>
                      <w:u w:val="none"/>
                      <w:lang w:eastAsia="zh-CN"/>
                    </w:rPr>
                    <w:t>沅水</w:t>
                  </w:r>
                  <w:r>
                    <w:rPr>
                      <w:rFonts w:hint="default" w:ascii="Times New Roman" w:hAnsi="Times New Roman" w:eastAsia="宋体" w:cs="Times New Roman"/>
                      <w:bCs/>
                      <w:color w:val="auto"/>
                      <w:sz w:val="21"/>
                      <w:szCs w:val="21"/>
                      <w:u w:val="none"/>
                    </w:rPr>
                    <w:t>、渠水、巫水、溆水、辰水、酉水的水污染防治、水生态修复、水资源管理、水安全保障。到2022年，沅江干流及一级支流出境断面水质为优，稳定在Ⅲ类标准以内。</w:t>
                  </w:r>
                </w:p>
              </w:tc>
              <w:tc>
                <w:tcPr>
                  <w:tcW w:w="1906" w:type="dxa"/>
                  <w:tcBorders>
                    <w:tl2br w:val="nil"/>
                    <w:tr2bl w:val="nil"/>
                  </w:tcBorders>
                  <w:noWrap w:val="0"/>
                  <w:vAlign w:val="center"/>
                </w:tcPr>
                <w:p>
                  <w:pPr>
                    <w:snapToGrid/>
                    <w:spacing w:line="240" w:lineRule="auto"/>
                    <w:ind w:firstLine="0" w:firstLineChars="0"/>
                    <w:textAlignment w:val="auto"/>
                    <w:rPr>
                      <w:rFonts w:hint="default"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rPr>
                    <w:t>（2.4</w:t>
                  </w:r>
                  <w:r>
                    <w:rPr>
                      <w:rFonts w:hint="default" w:eastAsia="宋体" w:cs="Times New Roman"/>
                      <w:bCs/>
                      <w:color w:val="auto"/>
                      <w:sz w:val="21"/>
                      <w:szCs w:val="21"/>
                      <w:u w:val="none"/>
                      <w:lang w:val="en-US" w:eastAsia="zh-CN"/>
                    </w:rPr>
                    <w:t>）本项目</w:t>
                  </w:r>
                  <w:r>
                    <w:rPr>
                      <w:rFonts w:hint="eastAsia" w:eastAsia="宋体" w:cs="Times New Roman"/>
                      <w:bCs/>
                      <w:color w:val="auto"/>
                      <w:sz w:val="21"/>
                      <w:szCs w:val="21"/>
                      <w:u w:val="none"/>
                      <w:lang w:val="en-US" w:eastAsia="zh-CN"/>
                    </w:rPr>
                    <w:t>生活垃圾集中收集</w:t>
                  </w:r>
                  <w:r>
                    <w:rPr>
                      <w:rFonts w:hint="eastAsia" w:cs="Times New Roman"/>
                      <w:bCs/>
                      <w:color w:val="auto"/>
                      <w:sz w:val="21"/>
                      <w:szCs w:val="21"/>
                      <w:u w:val="none"/>
                      <w:lang w:val="en-US" w:eastAsia="zh-CN"/>
                    </w:rPr>
                    <w:t>后</w:t>
                  </w:r>
                  <w:r>
                    <w:rPr>
                      <w:rFonts w:hint="eastAsia" w:eastAsia="宋体" w:cs="Times New Roman"/>
                      <w:bCs/>
                      <w:color w:val="auto"/>
                      <w:sz w:val="21"/>
                      <w:szCs w:val="21"/>
                      <w:u w:val="none"/>
                      <w:lang w:val="en-US" w:eastAsia="zh-CN"/>
                    </w:rPr>
                    <w:t>定期交由当地环卫部门集中处置。</w:t>
                  </w:r>
                </w:p>
                <w:p>
                  <w:pPr>
                    <w:snapToGrid/>
                    <w:spacing w:line="240" w:lineRule="auto"/>
                    <w:ind w:firstLine="0" w:firstLineChars="0"/>
                    <w:textAlignment w:val="auto"/>
                    <w:rPr>
                      <w:rFonts w:hint="default" w:ascii="Times New Roman" w:hAnsi="Times New Roman" w:eastAsia="宋体" w:cs="Times New Roman"/>
                      <w:bCs/>
                      <w:color w:val="auto"/>
                      <w:sz w:val="21"/>
                      <w:szCs w:val="21"/>
                      <w:u w:val="none"/>
                      <w:lang w:val="en-US"/>
                    </w:rPr>
                  </w:pPr>
                  <w:r>
                    <w:rPr>
                      <w:rFonts w:hint="default" w:eastAsia="宋体" w:cs="Times New Roman"/>
                      <w:bCs/>
                      <w:color w:val="auto"/>
                      <w:sz w:val="21"/>
                      <w:szCs w:val="21"/>
                      <w:u w:val="none"/>
                      <w:lang w:val="en-US" w:eastAsia="zh-CN"/>
                    </w:rPr>
                    <w:t>（2.9）</w:t>
                  </w:r>
                  <w:r>
                    <w:rPr>
                      <w:rFonts w:hint="eastAsia" w:eastAsia="宋体" w:cs="Times New Roman"/>
                      <w:bCs/>
                      <w:color w:val="auto"/>
                      <w:sz w:val="21"/>
                      <w:szCs w:val="21"/>
                      <w:u w:val="none"/>
                      <w:lang w:val="en-US" w:eastAsia="zh-CN"/>
                    </w:rPr>
                    <w:t>本项目</w:t>
                  </w:r>
                  <w:r>
                    <w:rPr>
                      <w:rFonts w:hint="eastAsia" w:cs="Times New Roman"/>
                      <w:bCs/>
                      <w:color w:val="auto"/>
                      <w:sz w:val="21"/>
                      <w:szCs w:val="21"/>
                      <w:u w:val="none"/>
                      <w:lang w:val="en-US" w:eastAsia="zh-CN"/>
                    </w:rPr>
                    <w:t>所处地主要水系为渠水，可达</w:t>
                  </w:r>
                  <w:r>
                    <w:rPr>
                      <w:rFonts w:hint="default" w:ascii="Times New Roman" w:hAnsi="Times New Roman" w:eastAsia="宋体" w:cs="Times New Roman"/>
                      <w:bCs/>
                      <w:color w:val="auto"/>
                      <w:sz w:val="21"/>
                      <w:szCs w:val="21"/>
                      <w:u w:val="none"/>
                    </w:rPr>
                    <w:t>Ⅲ</w:t>
                  </w:r>
                  <w:r>
                    <w:rPr>
                      <w:rFonts w:hint="eastAsia" w:cs="Times New Roman"/>
                      <w:bCs/>
                      <w:color w:val="auto"/>
                      <w:sz w:val="21"/>
                      <w:szCs w:val="21"/>
                      <w:u w:val="none"/>
                      <w:lang w:val="en-US" w:eastAsia="zh-CN"/>
                    </w:rPr>
                    <w:t>类功能区标准；项目实验室</w:t>
                  </w:r>
                  <w:r>
                    <w:rPr>
                      <w:rFonts w:hint="eastAsia" w:eastAsia="宋体" w:cs="Times New Roman"/>
                      <w:bCs/>
                      <w:color w:val="auto"/>
                      <w:sz w:val="21"/>
                      <w:szCs w:val="21"/>
                      <w:u w:val="none"/>
                      <w:lang w:val="en-US" w:eastAsia="zh-CN"/>
                    </w:rPr>
                    <w:t>废水</w:t>
                  </w:r>
                  <w:r>
                    <w:rPr>
                      <w:rFonts w:hint="eastAsia" w:cs="Times New Roman"/>
                      <w:bCs/>
                      <w:color w:val="auto"/>
                      <w:sz w:val="21"/>
                      <w:szCs w:val="21"/>
                      <w:u w:val="none"/>
                      <w:lang w:val="en-US" w:eastAsia="zh-CN"/>
                    </w:rPr>
                    <w:t>（医疗废水）经</w:t>
                  </w:r>
                  <w:r>
                    <w:rPr>
                      <w:rFonts w:hint="eastAsia" w:eastAsia="宋体" w:cs="Times New Roman"/>
                      <w:bCs/>
                      <w:color w:val="auto"/>
                      <w:sz w:val="21"/>
                      <w:szCs w:val="21"/>
                      <w:u w:val="none"/>
                      <w:lang w:val="en-US" w:eastAsia="zh-CN"/>
                    </w:rPr>
                    <w:t>污水处理设备处理达标后排入</w:t>
                  </w:r>
                  <w:r>
                    <w:rPr>
                      <w:rFonts w:hint="eastAsia" w:cs="Times New Roman"/>
                      <w:bCs/>
                      <w:color w:val="auto"/>
                      <w:sz w:val="21"/>
                      <w:szCs w:val="21"/>
                      <w:u w:val="none"/>
                      <w:lang w:val="en-US" w:eastAsia="zh-CN"/>
                    </w:rPr>
                    <w:t>文昌溪</w:t>
                  </w:r>
                  <w:r>
                    <w:rPr>
                      <w:rFonts w:hint="eastAsia" w:eastAsia="宋体" w:cs="Times New Roman"/>
                      <w:bCs/>
                      <w:color w:val="auto"/>
                      <w:sz w:val="21"/>
                      <w:szCs w:val="21"/>
                      <w:u w:val="none"/>
                      <w:lang w:val="en-US" w:eastAsia="zh-CN"/>
                    </w:rPr>
                    <w:t>；</w:t>
                  </w:r>
                  <w:r>
                    <w:rPr>
                      <w:rFonts w:hint="eastAsia" w:eastAsia="宋体" w:cs="Times New Roman"/>
                      <w:bCs/>
                      <w:color w:val="auto"/>
                      <w:sz w:val="21"/>
                      <w:szCs w:val="21"/>
                      <w:u w:val="single"/>
                      <w:lang w:val="en-US" w:eastAsia="zh-CN"/>
                    </w:rPr>
                    <w:t>生活废水</w:t>
                  </w:r>
                  <w:r>
                    <w:rPr>
                      <w:rFonts w:hint="eastAsia" w:cs="Times New Roman"/>
                      <w:bCs/>
                      <w:color w:val="auto"/>
                      <w:sz w:val="21"/>
                      <w:szCs w:val="21"/>
                      <w:u w:val="single"/>
                      <w:lang w:val="en-US" w:eastAsia="zh-CN"/>
                    </w:rPr>
                    <w:t>经化粪池初步处理后由清粪车收集，转运至靖州县县城污水处理厂，深度处理后排入异溪河</w:t>
                  </w:r>
                  <w:r>
                    <w:rPr>
                      <w:rFonts w:hint="eastAsia" w:cs="Times New Roman"/>
                      <w:bCs/>
                      <w:color w:val="auto"/>
                      <w:sz w:val="21"/>
                      <w:szCs w:val="21"/>
                      <w:highlight w:val="none"/>
                      <w:u w:val="single"/>
                      <w:lang w:val="en-US" w:eastAsia="zh-CN"/>
                    </w:rPr>
                    <w:t>。</w:t>
                  </w:r>
                  <w:r>
                    <w:rPr>
                      <w:rFonts w:hint="eastAsia" w:cs="Times New Roman"/>
                      <w:bCs/>
                      <w:color w:val="auto"/>
                      <w:sz w:val="21"/>
                      <w:szCs w:val="21"/>
                      <w:highlight w:val="none"/>
                      <w:u w:val="none"/>
                      <w:lang w:val="en-US" w:eastAsia="zh-CN"/>
                    </w:rPr>
                    <w:t>对周围环境影响较小</w:t>
                  </w:r>
                </w:p>
              </w:tc>
              <w:tc>
                <w:tcPr>
                  <w:tcW w:w="707" w:type="dxa"/>
                  <w:tcBorders>
                    <w:tl2br w:val="nil"/>
                    <w:tr2bl w:val="nil"/>
                  </w:tcBorders>
                  <w:noWrap w:val="0"/>
                  <w:vAlign w:val="center"/>
                </w:tcPr>
                <w:p>
                  <w:pPr>
                    <w:snapToGrid/>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26" w:type="dxa"/>
                  <w:vMerge w:val="continue"/>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p>
              </w:tc>
              <w:tc>
                <w:tcPr>
                  <w:tcW w:w="638"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资源开发效率要求</w:t>
                  </w:r>
                </w:p>
              </w:tc>
              <w:tc>
                <w:tcPr>
                  <w:tcW w:w="4421"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（4.2）水资源指标：</w:t>
                  </w:r>
                </w:p>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用水总量：到2020年，全市水资源开发利用控制红线18.8亿立方米，到2030年，全市水资源开发利用控制红线19.2亿立方米。</w:t>
                  </w:r>
                </w:p>
              </w:tc>
              <w:tc>
                <w:tcPr>
                  <w:tcW w:w="1906" w:type="dxa"/>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eastAsia="zh-CN"/>
                    </w:rPr>
                    <w:t>（4.2）本项目</w:t>
                  </w:r>
                  <w:r>
                    <w:rPr>
                      <w:rFonts w:hint="eastAsia" w:ascii="Times New Roman" w:hAnsi="Times New Roman" w:eastAsia="宋体" w:cs="Times New Roman"/>
                      <w:bCs/>
                      <w:color w:val="auto"/>
                      <w:sz w:val="21"/>
                      <w:szCs w:val="21"/>
                      <w:highlight w:val="none"/>
                      <w:u w:val="none"/>
                      <w:lang w:eastAsia="zh-CN"/>
                    </w:rPr>
                    <w:t>用水主要为</w:t>
                  </w:r>
                  <w:r>
                    <w:rPr>
                      <w:rFonts w:hint="eastAsia" w:ascii="Times New Roman" w:hAnsi="Times New Roman" w:eastAsia="宋体" w:cs="Times New Roman"/>
                      <w:bCs/>
                      <w:color w:val="auto"/>
                      <w:sz w:val="21"/>
                      <w:szCs w:val="21"/>
                      <w:highlight w:val="none"/>
                      <w:u w:val="none"/>
                      <w:lang w:val="en-US" w:eastAsia="zh-CN"/>
                    </w:rPr>
                    <w:t>生活用水及实验室</w:t>
                  </w:r>
                  <w:r>
                    <w:rPr>
                      <w:rFonts w:hint="eastAsia" w:ascii="Times New Roman" w:hAnsi="Times New Roman" w:eastAsia="宋体" w:cs="Times New Roman"/>
                      <w:bCs/>
                      <w:color w:val="auto"/>
                      <w:sz w:val="21"/>
                      <w:szCs w:val="21"/>
                      <w:highlight w:val="none"/>
                      <w:u w:val="none"/>
                      <w:lang w:eastAsia="zh-CN"/>
                    </w:rPr>
                    <w:t>用水，用</w:t>
                  </w:r>
                  <w:r>
                    <w:rPr>
                      <w:rFonts w:hint="default" w:ascii="Times New Roman" w:hAnsi="Times New Roman" w:eastAsia="宋体" w:cs="Times New Roman"/>
                      <w:bCs/>
                      <w:color w:val="auto"/>
                      <w:sz w:val="21"/>
                      <w:szCs w:val="21"/>
                      <w:highlight w:val="none"/>
                      <w:u w:val="none"/>
                      <w:lang w:eastAsia="zh-CN"/>
                    </w:rPr>
                    <w:t>水</w:t>
                  </w:r>
                  <w:r>
                    <w:rPr>
                      <w:rFonts w:hint="eastAsia" w:ascii="Times New Roman" w:hAnsi="Times New Roman" w:eastAsia="宋体" w:cs="Times New Roman"/>
                      <w:bCs/>
                      <w:color w:val="auto"/>
                      <w:sz w:val="21"/>
                      <w:szCs w:val="21"/>
                      <w:highlight w:val="none"/>
                      <w:u w:val="none"/>
                      <w:lang w:eastAsia="zh-CN"/>
                    </w:rPr>
                    <w:t>量不大，</w:t>
                  </w:r>
                  <w:r>
                    <w:rPr>
                      <w:rFonts w:hint="eastAsia" w:ascii="Times New Roman" w:hAnsi="Times New Roman" w:eastAsia="宋体" w:cs="Times New Roman"/>
                      <w:bCs/>
                      <w:color w:val="auto"/>
                      <w:sz w:val="21"/>
                      <w:szCs w:val="21"/>
                      <w:highlight w:val="none"/>
                      <w:u w:val="none"/>
                      <w:lang w:val="en-US" w:eastAsia="zh-CN"/>
                    </w:rPr>
                    <w:t>约561.97t/a。</w:t>
                  </w:r>
                </w:p>
              </w:tc>
              <w:tc>
                <w:tcPr>
                  <w:tcW w:w="707"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农村地区</w:t>
                  </w:r>
                </w:p>
              </w:tc>
              <w:tc>
                <w:tcPr>
                  <w:tcW w:w="638" w:type="dxa"/>
                  <w:tcBorders>
                    <w:tl2br w:val="nil"/>
                    <w:tr2bl w:val="nil"/>
                  </w:tcBorders>
                  <w:noWrap w:val="0"/>
                  <w:vAlign w:val="center"/>
                </w:tcPr>
                <w:p>
                  <w:pPr>
                    <w:snapToGrid/>
                    <w:spacing w:line="240" w:lineRule="auto"/>
                    <w:ind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环境风险防控</w:t>
                  </w:r>
                </w:p>
              </w:tc>
              <w:tc>
                <w:tcPr>
                  <w:tcW w:w="4421" w:type="dxa"/>
                  <w:tcBorders>
                    <w:tl2br w:val="nil"/>
                    <w:tr2bl w:val="nil"/>
                  </w:tcBorders>
                  <w:noWrap w:val="0"/>
                  <w:vAlign w:val="center"/>
                </w:tcPr>
                <w:p>
                  <w:pPr>
                    <w:rPr>
                      <w:rFonts w:ascii="Times New Roman" w:hAnsi="Times New Roman" w:eastAsia="宋体" w:cs="Times New Roman"/>
                      <w:szCs w:val="21"/>
                    </w:rPr>
                  </w:pPr>
                  <w:r>
                    <w:rPr>
                      <w:rFonts w:ascii="Times New Roman" w:hAnsi="Times New Roman" w:eastAsia="宋体" w:cs="Times New Roman"/>
                      <w:szCs w:val="21"/>
                    </w:rPr>
                    <w:t>（3.1）推进怀化生态中心城市建设，保护和修复自然生态系统。加强生态功能区保护和管理。对重点生态功能区实行产业准入负面清单管理，结合资源环境承载能力综合评价，制定区域限制和禁止发展的产业目录。严格落实《关于贯彻实施国家主体功能区环境政策的若干意见》，进一步扩大我市武陵山重点生态功能区天然林保护范围，巩固退耕还林成果，恢复植被和生物多样性。统筹推进山水林田湖生态环境保护与修复工程，构建生态安全屏障。</w:t>
                  </w:r>
                </w:p>
                <w:p>
                  <w:pPr>
                    <w:rPr>
                      <w:rFonts w:hint="default" w:ascii="Times New Roman" w:hAnsi="Times New Roman" w:eastAsia="宋体" w:cs="Times New Roman"/>
                      <w:bCs/>
                      <w:color w:val="auto"/>
                      <w:sz w:val="21"/>
                      <w:szCs w:val="21"/>
                      <w:u w:val="none"/>
                    </w:rPr>
                  </w:pPr>
                  <w:r>
                    <w:rPr>
                      <w:rFonts w:ascii="Times New Roman" w:hAnsi="Times New Roman" w:eastAsia="宋体" w:cs="Times New Roman"/>
                      <w:szCs w:val="21"/>
                    </w:rPr>
                    <w:t>（3.2）石化生产存贮销售企业和工业园区、矿山开采区、垃圾填埋场等区域应进行必要的防渗处理。加快推动加油站地下油罐的双层罐更新或完成防渗池设置，中石油怀化分公司和中石化怀化分公司要编制加油站地下油罐防治改造工作方案。</w:t>
                  </w:r>
                </w:p>
              </w:tc>
              <w:tc>
                <w:tcPr>
                  <w:tcW w:w="1906" w:type="dxa"/>
                  <w:tcBorders>
                    <w:tl2br w:val="nil"/>
                    <w:tr2bl w:val="nil"/>
                  </w:tcBorders>
                  <w:noWrap w:val="0"/>
                  <w:vAlign w:val="center"/>
                </w:tcPr>
                <w:p>
                  <w:pPr>
                    <w:snapToGrid/>
                    <w:spacing w:line="240" w:lineRule="auto"/>
                    <w:ind w:firstLine="0" w:firstLineChars="0"/>
                    <w:textAlignment w:val="auto"/>
                    <w:rPr>
                      <w:rFonts w:hint="eastAsia" w:eastAsia="宋体"/>
                      <w:lang w:val="en-US" w:eastAsia="zh-CN"/>
                    </w:rPr>
                  </w:pPr>
                  <w:r>
                    <w:rPr>
                      <w:rFonts w:hint="default"/>
                    </w:rPr>
                    <w:t>（3.1）</w:t>
                  </w:r>
                  <w:r>
                    <w:rPr>
                      <w:rFonts w:hint="eastAsia"/>
                      <w:lang w:val="en-US" w:eastAsia="zh-CN"/>
                    </w:rPr>
                    <w:t>项目不在“</w:t>
                  </w:r>
                  <w:r>
                    <w:t>负面清单</w:t>
                  </w:r>
                  <w:r>
                    <w:rPr>
                      <w:rFonts w:hint="eastAsia"/>
                      <w:lang w:val="en-US" w:eastAsia="zh-CN"/>
                    </w:rPr>
                    <w:t>”内，建设运营不影响生态多样</w:t>
                  </w:r>
                  <w:r>
                    <w:rPr>
                      <w:rFonts w:hint="eastAsia" w:eastAsia="宋体"/>
                      <w:lang w:val="en-US" w:eastAsia="zh-CN"/>
                    </w:rPr>
                    <w:t>性及生态修复。</w:t>
                  </w:r>
                </w:p>
                <w:p>
                  <w:pPr>
                    <w:snapToGrid/>
                    <w:spacing w:line="240" w:lineRule="auto"/>
                    <w:ind w:firstLine="0" w:firstLineChars="0"/>
                    <w:jc w:val="both"/>
                    <w:textAlignment w:val="auto"/>
                    <w:rPr>
                      <w:rFonts w:hint="default"/>
                      <w:lang w:val="en-US" w:eastAsia="zh-CN"/>
                    </w:rPr>
                  </w:pPr>
                  <w:r>
                    <w:rPr>
                      <w:rFonts w:hint="eastAsia" w:eastAsia="宋体"/>
                      <w:lang w:val="en-US" w:eastAsia="zh-CN"/>
                    </w:rPr>
                    <w:t>（3.2）项目不涉及表中所列明的内容。</w:t>
                  </w:r>
                </w:p>
              </w:tc>
              <w:tc>
                <w:tcPr>
                  <w:tcW w:w="707" w:type="dxa"/>
                  <w:tcBorders>
                    <w:tl2br w:val="nil"/>
                    <w:tr2bl w:val="nil"/>
                  </w:tcBorders>
                  <w:noWrap w:val="0"/>
                  <w:vAlign w:val="center"/>
                </w:tcPr>
                <w:p>
                  <w:pPr>
                    <w:snapToGrid/>
                    <w:spacing w:line="240" w:lineRule="auto"/>
                    <w:ind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bl>
          <w:p>
            <w:pPr>
              <w:rPr>
                <w:rFonts w:hint="default"/>
                <w:lang w:eastAsia="zh-CN"/>
              </w:rPr>
            </w:pPr>
          </w:p>
          <w:p>
            <w:pPr>
              <w:keepNext w:val="0"/>
              <w:keepLines w:val="0"/>
              <w:widowControl/>
              <w:suppressLineNumbers w:val="0"/>
              <w:jc w:val="center"/>
              <w:rPr>
                <w:rFonts w:hint="default" w:cs="Times New Roman"/>
                <w:b/>
                <w:bCs/>
                <w:color w:val="000000" w:themeColor="text1"/>
                <w:sz w:val="24"/>
                <w:szCs w:val="24"/>
                <w:u w:val="none"/>
                <w:lang w:val="en-US" w:eastAsia="zh-CN"/>
                <w14:textFill>
                  <w14:solidFill>
                    <w14:schemeClr w14:val="tx1"/>
                  </w14:solidFill>
                </w14:textFill>
              </w:rPr>
            </w:pPr>
            <w:r>
              <w:rPr>
                <w:rFonts w:hint="eastAsia" w:cs="Times New Roman"/>
                <w:b/>
                <w:bCs/>
                <w:color w:val="000000" w:themeColor="text1"/>
                <w:sz w:val="24"/>
                <w:szCs w:val="24"/>
                <w:u w:val="none"/>
                <w:lang w:val="en-US" w:eastAsia="zh-CN"/>
                <w14:textFill>
                  <w14:solidFill>
                    <w14:schemeClr w14:val="tx1"/>
                  </w14:solidFill>
                </w14:textFill>
              </w:rPr>
              <w:t>表1-3  项目与湖南省</w:t>
            </w:r>
            <w:r>
              <w:rPr>
                <w:rFonts w:hint="default" w:cs="Times New Roman"/>
                <w:b/>
                <w:bCs/>
                <w:color w:val="000000" w:themeColor="text1"/>
                <w:sz w:val="24"/>
                <w:szCs w:val="24"/>
                <w:u w:val="none"/>
                <w:lang w:val="en-US" w:eastAsia="zh-CN"/>
                <w14:textFill>
                  <w14:solidFill>
                    <w14:schemeClr w14:val="tx1"/>
                  </w14:solidFill>
                </w14:textFill>
              </w:rPr>
              <w:t>“三线一单”</w:t>
            </w:r>
            <w:r>
              <w:rPr>
                <w:rFonts w:hint="eastAsia" w:cs="Times New Roman"/>
                <w:b/>
                <w:bCs/>
                <w:color w:val="000000" w:themeColor="text1"/>
                <w:sz w:val="24"/>
                <w:szCs w:val="24"/>
                <w:u w:val="none"/>
                <w:lang w:val="en-US" w:eastAsia="zh-CN"/>
                <w14:textFill>
                  <w14:solidFill>
                    <w14:schemeClr w14:val="tx1"/>
                  </w14:solidFill>
                </w14:textFill>
              </w:rPr>
              <w:t>生态环境总体管控要求符合性分析（仅列举相关）</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154"/>
              <w:gridCol w:w="3969"/>
              <w:gridCol w:w="1708"/>
              <w:gridCol w:w="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管控对象</w:t>
                  </w:r>
                </w:p>
              </w:tc>
              <w:tc>
                <w:tcPr>
                  <w:tcW w:w="1154"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基本要求</w:t>
                  </w:r>
                </w:p>
              </w:tc>
              <w:tc>
                <w:tcPr>
                  <w:tcW w:w="3969"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管控要求</w:t>
                  </w:r>
                </w:p>
              </w:tc>
              <w:tc>
                <w:tcPr>
                  <w:tcW w:w="1708"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项目采取的措施</w:t>
                  </w:r>
                </w:p>
              </w:tc>
              <w:tc>
                <w:tcPr>
                  <w:tcW w:w="831"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水环重点管理区</w:t>
                  </w:r>
                </w:p>
              </w:tc>
              <w:tc>
                <w:tcPr>
                  <w:tcW w:w="1154"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城镇生活污染源所属水环境控制区域</w:t>
                  </w:r>
                </w:p>
              </w:tc>
              <w:tc>
                <w:tcPr>
                  <w:tcW w:w="3969" w:type="dxa"/>
                  <w:tcBorders>
                    <w:tl2br w:val="nil"/>
                    <w:tr2bl w:val="nil"/>
                  </w:tcBorders>
                  <w:vAlign w:val="center"/>
                </w:tcPr>
                <w:p>
                  <w:pPr>
                    <w:jc w:val="both"/>
                    <w:rPr>
                      <w:rFonts w:hint="eastAsia"/>
                      <w:sz w:val="21"/>
                      <w:szCs w:val="21"/>
                      <w:lang w:val="en-US" w:eastAsia="zh-CN"/>
                    </w:rPr>
                  </w:pPr>
                  <w:r>
                    <w:rPr>
                      <w:rFonts w:hint="eastAsia"/>
                      <w:sz w:val="21"/>
                      <w:szCs w:val="21"/>
                      <w:lang w:val="en-US" w:eastAsia="zh-CN"/>
                    </w:rPr>
                    <w:t>全面加强配套管网建设。强化城中村、老旧城区和城乡结合部污水截流、收集。现有合流制排水系统加快实施雨污分流改造，难以改造的应采取截流、调蓄和治理等措施处理。到</w:t>
                  </w:r>
                  <w:r>
                    <w:rPr>
                      <w:rFonts w:hint="default"/>
                      <w:sz w:val="21"/>
                      <w:szCs w:val="21"/>
                      <w:lang w:val="en-US" w:eastAsia="zh-CN"/>
                    </w:rPr>
                    <w:t>2020</w:t>
                  </w:r>
                  <w:r>
                    <w:rPr>
                      <w:rFonts w:hint="eastAsia"/>
                      <w:sz w:val="21"/>
                      <w:szCs w:val="21"/>
                      <w:lang w:val="en-US" w:eastAsia="zh-CN"/>
                    </w:rPr>
                    <w:t>年，全省地级城市及洞庭湖区域县级城市建成区基本实现污水全收集、全处理。</w:t>
                  </w:r>
                </w:p>
              </w:tc>
              <w:tc>
                <w:tcPr>
                  <w:tcW w:w="1708" w:type="dxa"/>
                  <w:tcBorders>
                    <w:tl2br w:val="nil"/>
                    <w:tr2bl w:val="nil"/>
                  </w:tcBorders>
                  <w:vAlign w:val="center"/>
                </w:tcPr>
                <w:p>
                  <w:pPr>
                    <w:jc w:val="center"/>
                    <w:rPr>
                      <w:rFonts w:hint="default"/>
                      <w:sz w:val="21"/>
                      <w:szCs w:val="21"/>
                      <w:lang w:val="en-US" w:eastAsia="zh-CN"/>
                    </w:rPr>
                  </w:pPr>
                  <w:r>
                    <w:rPr>
                      <w:rFonts w:hint="eastAsia"/>
                      <w:sz w:val="21"/>
                      <w:szCs w:val="21"/>
                      <w:u w:val="single"/>
                      <w:lang w:val="en-US" w:eastAsia="zh-CN"/>
                    </w:rPr>
                    <w:t>项目外委相关单位利用清粪车转运生活污水至县城污水处理厂</w:t>
                  </w:r>
                  <w:r>
                    <w:rPr>
                      <w:rFonts w:hint="eastAsia"/>
                      <w:sz w:val="21"/>
                      <w:szCs w:val="21"/>
                      <w:lang w:val="en-US" w:eastAsia="zh-CN"/>
                    </w:rPr>
                    <w:t>。</w:t>
                  </w:r>
                </w:p>
              </w:tc>
              <w:tc>
                <w:tcPr>
                  <w:tcW w:w="83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见</w:t>
                  </w:r>
                  <w:r>
                    <w:rPr>
                      <w:rFonts w:hint="eastAsia"/>
                      <w:b/>
                      <w:bCs/>
                      <w:sz w:val="21"/>
                      <w:szCs w:val="21"/>
                      <w:lang w:val="en-US" w:eastAsia="zh-CN"/>
                    </w:rPr>
                    <w:t>注解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大气环境</w:t>
                  </w:r>
                </w:p>
                <w:p>
                  <w:pPr>
                    <w:jc w:val="center"/>
                    <w:rPr>
                      <w:rFonts w:hint="eastAsia"/>
                      <w:sz w:val="21"/>
                      <w:szCs w:val="21"/>
                      <w:lang w:val="en-US" w:eastAsia="zh-CN"/>
                    </w:rPr>
                  </w:pPr>
                  <w:r>
                    <w:rPr>
                      <w:rFonts w:hint="eastAsia"/>
                      <w:sz w:val="21"/>
                      <w:szCs w:val="21"/>
                      <w:lang w:val="en-US" w:eastAsia="zh-CN"/>
                    </w:rPr>
                    <w:t>重点管控</w:t>
                  </w:r>
                </w:p>
                <w:p>
                  <w:pPr>
                    <w:jc w:val="center"/>
                    <w:rPr>
                      <w:rFonts w:hint="default"/>
                      <w:sz w:val="21"/>
                      <w:szCs w:val="21"/>
                      <w:lang w:val="en-US" w:eastAsia="zh-CN"/>
                    </w:rPr>
                  </w:pPr>
                  <w:r>
                    <w:rPr>
                      <w:rFonts w:hint="eastAsia"/>
                      <w:sz w:val="21"/>
                      <w:szCs w:val="21"/>
                      <w:lang w:val="en-US" w:eastAsia="zh-CN"/>
                    </w:rPr>
                    <w:t>区-受体敏感区</w:t>
                  </w:r>
                </w:p>
              </w:tc>
              <w:tc>
                <w:tcPr>
                  <w:tcW w:w="1154" w:type="dxa"/>
                  <w:tcBorders>
                    <w:tl2br w:val="nil"/>
                    <w:tr2bl w:val="nil"/>
                  </w:tcBorders>
                  <w:vAlign w:val="center"/>
                </w:tcPr>
                <w:p>
                  <w:pPr>
                    <w:jc w:val="both"/>
                    <w:rPr>
                      <w:rFonts w:hint="eastAsia"/>
                      <w:sz w:val="21"/>
                      <w:szCs w:val="21"/>
                      <w:lang w:val="en-US" w:eastAsia="zh-CN"/>
                    </w:rPr>
                  </w:pPr>
                  <w:r>
                    <w:rPr>
                      <w:rFonts w:hint="eastAsia"/>
                      <w:sz w:val="21"/>
                      <w:szCs w:val="21"/>
                      <w:lang w:val="en-US" w:eastAsia="zh-CN"/>
                    </w:rPr>
                    <w:t>城镇中心及集中居住、医疗、</w:t>
                  </w:r>
                </w:p>
                <w:p>
                  <w:pPr>
                    <w:jc w:val="both"/>
                    <w:rPr>
                      <w:rFonts w:hint="eastAsia"/>
                      <w:sz w:val="21"/>
                      <w:szCs w:val="21"/>
                      <w:lang w:val="en-US" w:eastAsia="zh-CN"/>
                    </w:rPr>
                  </w:pPr>
                  <w:r>
                    <w:rPr>
                      <w:rFonts w:hint="eastAsia"/>
                      <w:sz w:val="21"/>
                      <w:szCs w:val="21"/>
                      <w:lang w:val="en-US" w:eastAsia="zh-CN"/>
                    </w:rPr>
                    <w:t>教育等区域</w:t>
                  </w:r>
                </w:p>
              </w:tc>
              <w:tc>
                <w:tcPr>
                  <w:tcW w:w="3969" w:type="dxa"/>
                  <w:tcBorders>
                    <w:tl2br w:val="nil"/>
                    <w:tr2bl w:val="nil"/>
                  </w:tcBorders>
                  <w:vAlign w:val="center"/>
                </w:tcPr>
                <w:p>
                  <w:pPr>
                    <w:jc w:val="both"/>
                    <w:rPr>
                      <w:rFonts w:hint="eastAsia"/>
                      <w:sz w:val="21"/>
                      <w:szCs w:val="21"/>
                      <w:lang w:val="en-US" w:eastAsia="zh-CN"/>
                    </w:rPr>
                  </w:pPr>
                  <w:r>
                    <w:rPr>
                      <w:rFonts w:hint="default"/>
                      <w:sz w:val="21"/>
                      <w:szCs w:val="21"/>
                      <w:lang w:val="en-US" w:eastAsia="zh-CN"/>
                    </w:rPr>
                    <w:t>1.</w:t>
                  </w:r>
                  <w:r>
                    <w:rPr>
                      <w:rFonts w:hint="eastAsia"/>
                      <w:sz w:val="21"/>
                      <w:szCs w:val="21"/>
                      <w:lang w:val="en-US" w:eastAsia="zh-CN"/>
                    </w:rPr>
                    <w:t>禁止在人口集中地区和其他依法需要特殊保护的区域内焚烧沥青、油毡、橡胶、塑料、皮革、垃圾以及其他产生有毒有害</w:t>
                  </w:r>
                </w:p>
                <w:p>
                  <w:pPr>
                    <w:jc w:val="both"/>
                    <w:rPr>
                      <w:rFonts w:hint="eastAsia"/>
                      <w:sz w:val="21"/>
                      <w:szCs w:val="21"/>
                      <w:lang w:val="en-US" w:eastAsia="zh-CN"/>
                    </w:rPr>
                  </w:pPr>
                  <w:r>
                    <w:rPr>
                      <w:rFonts w:hint="eastAsia"/>
                      <w:sz w:val="21"/>
                      <w:szCs w:val="21"/>
                      <w:lang w:val="en-US" w:eastAsia="zh-CN"/>
                    </w:rPr>
                    <w:t>烟尘和恶臭气体的物质。</w:t>
                  </w:r>
                </w:p>
                <w:p>
                  <w:pPr>
                    <w:jc w:val="both"/>
                    <w:rPr>
                      <w:rFonts w:hint="eastAsia"/>
                      <w:sz w:val="21"/>
                      <w:szCs w:val="21"/>
                      <w:lang w:val="en-US" w:eastAsia="zh-CN"/>
                    </w:rPr>
                  </w:pPr>
                  <w:r>
                    <w:rPr>
                      <w:rFonts w:hint="default"/>
                      <w:sz w:val="21"/>
                      <w:szCs w:val="21"/>
                      <w:lang w:val="en-US" w:eastAsia="zh-CN"/>
                    </w:rPr>
                    <w:t>2.</w:t>
                  </w:r>
                  <w:r>
                    <w:rPr>
                      <w:rFonts w:hint="eastAsia"/>
                      <w:sz w:val="21"/>
                      <w:szCs w:val="21"/>
                      <w:lang w:val="en-US" w:eastAsia="zh-CN"/>
                    </w:rPr>
                    <w:t xml:space="preserve">鼓励城市建成区实行集中供热。在集中供热管网覆盖区域内，禁止新建、改建、扩建分散燃煤锅炉，集中供热管网覆盖前 </w:t>
                  </w:r>
                </w:p>
                <w:p>
                  <w:pPr>
                    <w:jc w:val="both"/>
                    <w:rPr>
                      <w:rFonts w:hint="eastAsia"/>
                      <w:sz w:val="21"/>
                      <w:szCs w:val="21"/>
                      <w:lang w:val="en-US" w:eastAsia="zh-CN"/>
                    </w:rPr>
                  </w:pPr>
                  <w:r>
                    <w:rPr>
                      <w:rFonts w:hint="eastAsia"/>
                      <w:sz w:val="21"/>
                      <w:szCs w:val="21"/>
                      <w:lang w:val="en-US" w:eastAsia="zh-CN"/>
                    </w:rPr>
                    <w:t>已建成使用的分散燃煤锅炉应当限期停止使用。</w:t>
                  </w:r>
                </w:p>
                <w:p>
                  <w:pPr>
                    <w:jc w:val="both"/>
                    <w:rPr>
                      <w:rFonts w:hint="default"/>
                      <w:sz w:val="21"/>
                      <w:szCs w:val="21"/>
                      <w:lang w:val="en-US" w:eastAsia="zh-CN"/>
                    </w:rPr>
                  </w:pPr>
                  <w:r>
                    <w:rPr>
                      <w:rFonts w:hint="default"/>
                      <w:sz w:val="21"/>
                      <w:szCs w:val="21"/>
                      <w:lang w:val="en-US" w:eastAsia="zh-CN"/>
                    </w:rPr>
                    <w:t>3.</w:t>
                  </w:r>
                  <w:r>
                    <w:rPr>
                      <w:rFonts w:hint="eastAsia"/>
                      <w:sz w:val="21"/>
                      <w:szCs w:val="21"/>
                      <w:lang w:val="en-US" w:eastAsia="zh-CN"/>
                    </w:rPr>
                    <w:t>在大气污染重点区域城市建成区内禁止新建、扩建钢铁、水泥、有色金属、石油、化工等重污染企业以及新增产能项目。</w:t>
                  </w:r>
                </w:p>
              </w:tc>
              <w:tc>
                <w:tcPr>
                  <w:tcW w:w="1708" w:type="dxa"/>
                  <w:tcBorders>
                    <w:tl2br w:val="nil"/>
                    <w:tr2bl w:val="nil"/>
                  </w:tcBorders>
                  <w:vAlign w:val="center"/>
                </w:tcPr>
                <w:p>
                  <w:pPr>
                    <w:jc w:val="both"/>
                    <w:rPr>
                      <w:rFonts w:hint="default"/>
                      <w:sz w:val="21"/>
                      <w:szCs w:val="21"/>
                      <w:lang w:val="en-US" w:eastAsia="zh-CN"/>
                    </w:rPr>
                  </w:pPr>
                  <w:r>
                    <w:rPr>
                      <w:rFonts w:hint="eastAsia"/>
                      <w:sz w:val="21"/>
                      <w:szCs w:val="21"/>
                      <w:lang w:val="en-US" w:eastAsia="zh-CN"/>
                    </w:rPr>
                    <w:t>项目属于疾控中心，不涉及有毒有害烟尘和恶臭气体的物质，不涉及锅炉，不属于钢铁、水泥、有色金属、石油、化工类型的项目</w:t>
                  </w:r>
                </w:p>
              </w:tc>
              <w:tc>
                <w:tcPr>
                  <w:tcW w:w="83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pPr>
                    <w:jc w:val="both"/>
                    <w:rPr>
                      <w:rFonts w:hint="eastAsia"/>
                      <w:sz w:val="21"/>
                      <w:szCs w:val="21"/>
                      <w:lang w:val="en-US" w:eastAsia="zh-CN"/>
                    </w:rPr>
                  </w:pPr>
                  <w:r>
                    <w:rPr>
                      <w:rFonts w:hint="eastAsia"/>
                      <w:sz w:val="21"/>
                      <w:szCs w:val="21"/>
                      <w:lang w:val="en-US" w:eastAsia="zh-CN"/>
                    </w:rPr>
                    <w:t>土壤污染风险一般管控区</w:t>
                  </w:r>
                </w:p>
              </w:tc>
              <w:tc>
                <w:tcPr>
                  <w:tcW w:w="1154" w:type="dxa"/>
                  <w:tcBorders>
                    <w:tl2br w:val="nil"/>
                    <w:tr2bl w:val="nil"/>
                  </w:tcBorders>
                  <w:vAlign w:val="center"/>
                </w:tcPr>
                <w:p>
                  <w:pPr>
                    <w:jc w:val="both"/>
                    <w:rPr>
                      <w:rFonts w:hint="eastAsia"/>
                      <w:sz w:val="21"/>
                      <w:szCs w:val="21"/>
                      <w:lang w:val="en-US" w:eastAsia="zh-CN"/>
                    </w:rPr>
                  </w:pPr>
                  <w:r>
                    <w:rPr>
                      <w:rFonts w:hint="eastAsia"/>
                      <w:sz w:val="21"/>
                      <w:szCs w:val="21"/>
                      <w:lang w:val="en-US" w:eastAsia="zh-CN"/>
                    </w:rPr>
                    <w:t>农用地优先保护区和土壤环境风险重点管控区之外的其他区域</w:t>
                  </w:r>
                </w:p>
              </w:tc>
              <w:tc>
                <w:tcPr>
                  <w:tcW w:w="3969" w:type="dxa"/>
                  <w:tcBorders>
                    <w:tl2br w:val="nil"/>
                    <w:tr2bl w:val="nil"/>
                  </w:tcBorders>
                  <w:vAlign w:val="center"/>
                </w:tcPr>
                <w:p>
                  <w:pPr>
                    <w:jc w:val="both"/>
                    <w:rPr>
                      <w:rFonts w:hint="eastAsia"/>
                      <w:sz w:val="21"/>
                      <w:szCs w:val="21"/>
                      <w:lang w:val="en-US" w:eastAsia="zh-CN"/>
                    </w:rPr>
                  </w:pPr>
                  <w:r>
                    <w:rPr>
                      <w:rFonts w:hint="default"/>
                      <w:sz w:val="21"/>
                      <w:szCs w:val="21"/>
                      <w:lang w:val="en-US" w:eastAsia="zh-CN"/>
                    </w:rPr>
                    <w:t>1.</w:t>
                  </w:r>
                  <w:r>
                    <w:rPr>
                      <w:rFonts w:hint="eastAsia"/>
                      <w:sz w:val="21"/>
                      <w:szCs w:val="21"/>
                      <w:lang w:val="en-US" w:eastAsia="zh-CN"/>
                    </w:rPr>
                    <w:t>对安全利用类农用地地块，地方人民政府农业农村、林业草原主管部门，应当结合主要作物品种和种植习惯等情况，制定并实施安全利用方案。</w:t>
                  </w:r>
                </w:p>
                <w:p>
                  <w:pPr>
                    <w:jc w:val="both"/>
                    <w:rPr>
                      <w:rFonts w:hint="eastAsia"/>
                      <w:sz w:val="21"/>
                      <w:szCs w:val="21"/>
                      <w:lang w:val="en-US" w:eastAsia="zh-CN"/>
                    </w:rPr>
                  </w:pPr>
                  <w:r>
                    <w:rPr>
                      <w:rFonts w:hint="default"/>
                      <w:sz w:val="21"/>
                      <w:szCs w:val="21"/>
                      <w:lang w:val="en-US" w:eastAsia="zh-CN"/>
                    </w:rPr>
                    <w:t>2.</w:t>
                  </w:r>
                  <w:r>
                    <w:rPr>
                      <w:rFonts w:hint="eastAsia"/>
                      <w:sz w:val="21"/>
                      <w:szCs w:val="21"/>
                      <w:lang w:val="en-US" w:eastAsia="zh-CN"/>
                    </w:rPr>
                    <w:t>根据土壤等环境承载能力，合理确定区域功能定位、空间布局，科学布局生活垃圾处理、危险废物处置、废旧资源再生利用等设施和场所，合理确定畜禽养殖布局和规模。</w:t>
                  </w:r>
                </w:p>
                <w:p>
                  <w:pPr>
                    <w:jc w:val="both"/>
                    <w:rPr>
                      <w:rFonts w:hint="eastAsia"/>
                      <w:sz w:val="21"/>
                      <w:szCs w:val="21"/>
                      <w:lang w:val="en-US" w:eastAsia="zh-CN"/>
                    </w:rPr>
                  </w:pPr>
                  <w:r>
                    <w:rPr>
                      <w:rFonts w:hint="default"/>
                      <w:sz w:val="21"/>
                      <w:szCs w:val="21"/>
                      <w:lang w:val="en-US" w:eastAsia="zh-CN"/>
                    </w:rPr>
                    <w:t>3.</w:t>
                  </w:r>
                  <w:r>
                    <w:rPr>
                      <w:rFonts w:hint="eastAsia"/>
                      <w:sz w:val="21"/>
                      <w:szCs w:val="21"/>
                      <w:lang w:val="en-US" w:eastAsia="zh-CN"/>
                    </w:rPr>
                    <w:t>控制农业面源污染，推进农业废弃物回收处理和测土配方施肥，源头减少农药、化肥、农膜等使用，加强畜禽养殖污染防治，严格管控污水灌溉。推进城乡生活污染防治，积极推进垃圾分类，完善生活垃圾收集处理设施。加强未利用地环境管理。</w:t>
                  </w:r>
                </w:p>
              </w:tc>
              <w:tc>
                <w:tcPr>
                  <w:tcW w:w="1708" w:type="dxa"/>
                  <w:tcBorders>
                    <w:tl2br w:val="nil"/>
                    <w:tr2bl w:val="nil"/>
                  </w:tcBorders>
                  <w:vAlign w:val="center"/>
                </w:tcPr>
                <w:p>
                  <w:pPr>
                    <w:jc w:val="center"/>
                    <w:rPr>
                      <w:rFonts w:hint="default"/>
                      <w:lang w:val="en-US" w:eastAsia="zh-CN"/>
                    </w:rPr>
                  </w:pPr>
                  <w:r>
                    <w:rPr>
                      <w:rFonts w:hint="eastAsia"/>
                      <w:lang w:val="en-US" w:eastAsia="zh-CN"/>
                    </w:rPr>
                    <w:t>项目为疾控中心，不涉及农业、林业、养殖业；项目位于卫生防疫用地，符合土地利用规划。项目不涉及农业用地。</w:t>
                  </w:r>
                </w:p>
              </w:tc>
              <w:tc>
                <w:tcPr>
                  <w:tcW w:w="83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pPr>
                    <w:jc w:val="both"/>
                    <w:rPr>
                      <w:rFonts w:hint="eastAsia"/>
                      <w:sz w:val="21"/>
                      <w:szCs w:val="21"/>
                      <w:lang w:val="en-US" w:eastAsia="zh-CN"/>
                    </w:rPr>
                  </w:pPr>
                  <w:r>
                    <w:rPr>
                      <w:rFonts w:hint="eastAsia"/>
                      <w:sz w:val="21"/>
                      <w:szCs w:val="21"/>
                      <w:lang w:val="en-US" w:eastAsia="zh-CN"/>
                    </w:rPr>
                    <w:t>空间布局约束</w:t>
                  </w:r>
                </w:p>
              </w:tc>
              <w:tc>
                <w:tcPr>
                  <w:tcW w:w="1154" w:type="dxa"/>
                  <w:tcBorders>
                    <w:tl2br w:val="nil"/>
                    <w:tr2bl w:val="nil"/>
                  </w:tcBorders>
                  <w:vAlign w:val="center"/>
                </w:tcPr>
                <w:p>
                  <w:pPr>
                    <w:jc w:val="both"/>
                    <w:rPr>
                      <w:rFonts w:hint="eastAsia"/>
                      <w:sz w:val="21"/>
                      <w:szCs w:val="21"/>
                      <w:lang w:val="en-US" w:eastAsia="zh-CN"/>
                    </w:rPr>
                  </w:pPr>
                  <w:r>
                    <w:rPr>
                      <w:rFonts w:hint="eastAsia"/>
                      <w:sz w:val="21"/>
                      <w:szCs w:val="21"/>
                      <w:lang w:val="en-US" w:eastAsia="zh-CN"/>
                    </w:rPr>
                    <w:t>限制、淘汰污染企业</w:t>
                  </w:r>
                </w:p>
              </w:tc>
              <w:tc>
                <w:tcPr>
                  <w:tcW w:w="3969" w:type="dxa"/>
                  <w:tcBorders>
                    <w:tl2br w:val="nil"/>
                    <w:tr2bl w:val="nil"/>
                  </w:tcBorders>
                  <w:vAlign w:val="center"/>
                </w:tcPr>
                <w:p>
                  <w:pPr>
                    <w:jc w:val="both"/>
                    <w:rPr>
                      <w:rFonts w:hint="default"/>
                      <w:sz w:val="21"/>
                      <w:szCs w:val="21"/>
                      <w:lang w:val="en-US" w:eastAsia="zh-CN"/>
                    </w:rPr>
                  </w:pPr>
                  <w:r>
                    <w:rPr>
                      <w:rFonts w:hint="eastAsia"/>
                      <w:sz w:val="21"/>
                      <w:szCs w:val="21"/>
                      <w:lang w:val="en-US" w:eastAsia="zh-CN"/>
                    </w:rPr>
                    <w:t>禁止新建、扩建法律法规和相关政策明令禁止的落后产能项目，对不符合要求的落后产能项目，依法依规退出。对最新版《产业结构调整指导目录》中限制类的新建项目禁止投资，对淘汰类项目禁止投资</w:t>
                  </w:r>
                </w:p>
              </w:tc>
              <w:tc>
                <w:tcPr>
                  <w:tcW w:w="1708" w:type="dxa"/>
                  <w:tcBorders>
                    <w:tl2br w:val="nil"/>
                    <w:tr2bl w:val="nil"/>
                  </w:tcBorders>
                  <w:vAlign w:val="top"/>
                </w:tcPr>
                <w:p>
                  <w:pPr>
                    <w:jc w:val="both"/>
                    <w:rPr>
                      <w:rFonts w:hint="default"/>
                      <w:sz w:val="21"/>
                      <w:szCs w:val="21"/>
                      <w:lang w:val="en-US" w:eastAsia="zh-CN"/>
                    </w:rPr>
                  </w:pPr>
                  <w:r>
                    <w:rPr>
                      <w:rFonts w:hint="eastAsia"/>
                      <w:sz w:val="21"/>
                      <w:szCs w:val="21"/>
                      <w:lang w:val="en-US" w:eastAsia="zh-CN"/>
                    </w:rPr>
                    <w:t>项目属于《产业结构调整指导目录》鼓励类，不属于落后产能项目。</w:t>
                  </w:r>
                </w:p>
              </w:tc>
              <w:tc>
                <w:tcPr>
                  <w:tcW w:w="83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7" w:type="dxa"/>
                  <w:gridSpan w:val="5"/>
                  <w:tcBorders>
                    <w:tl2br w:val="nil"/>
                    <w:tr2bl w:val="nil"/>
                  </w:tcBorders>
                  <w:vAlign w:val="center"/>
                </w:tcPr>
                <w:p>
                  <w:pPr>
                    <w:jc w:val="left"/>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b/>
                      <w:bCs/>
                      <w:color w:val="000000" w:themeColor="text1"/>
                      <w:sz w:val="18"/>
                      <w:szCs w:val="18"/>
                      <w:lang w:val="en-US" w:eastAsia="zh-CN"/>
                      <w14:textFill>
                        <w14:solidFill>
                          <w14:schemeClr w14:val="tx1"/>
                        </w14:solidFill>
                      </w14:textFill>
                    </w:rPr>
                    <w:t>注解：</w:t>
                  </w:r>
                  <w:r>
                    <w:rPr>
                      <w:rFonts w:hint="eastAsia" w:ascii="仿宋" w:hAnsi="仿宋" w:eastAsia="仿宋" w:cs="仿宋"/>
                      <w:color w:val="000000" w:themeColor="text1"/>
                      <w:sz w:val="18"/>
                      <w:szCs w:val="18"/>
                      <w:lang w:val="en-US" w:eastAsia="zh-CN"/>
                      <w14:textFill>
                        <w14:solidFill>
                          <w14:schemeClr w14:val="tx1"/>
                        </w14:solidFill>
                      </w14:textFill>
                    </w:rPr>
                    <w:t>项目位于湖南省怀化市靖州苗族侗族自治县渠阳镇江东街，截至目前，区域内未接入污水管网，项目与周边居民生活污水直排入文昌溪，对周围水环境质量有一定影响。靖州苗族侗族自治县县城污水处理厂远期计划在该片区内敷设污水管网（管网规划见附图4）；届时，区域内生活污水可得到有效处置。</w:t>
                  </w:r>
                </w:p>
                <w:p>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u w:val="single"/>
                      <w:lang w:val="en-US" w:eastAsia="zh-CN"/>
                      <w14:textFill>
                        <w14:solidFill>
                          <w14:schemeClr w14:val="tx1"/>
                        </w14:solidFill>
                      </w14:textFill>
                    </w:rPr>
                    <w:t>另外，项目计划在改建后，委托相应单位将原本直排入文昌溪的生活污水利用清粪车清运至靖州县县城污水处理厂，符合上表相关管控要求。</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b/>
                <w:bCs/>
                <w:color w:val="000000" w:themeColor="text1"/>
                <w:kern w:val="0"/>
                <w:sz w:val="24"/>
                <w:szCs w:val="24"/>
                <w:u w:val="none"/>
                <w:lang w:val="en-US" w:eastAsia="zh-CN"/>
                <w14:textFill>
                  <w14:solidFill>
                    <w14:schemeClr w14:val="tx1"/>
                  </w14:solidFill>
                </w14:textFill>
              </w:rPr>
            </w:pPr>
            <w:r>
              <w:rPr>
                <w:rFonts w:hint="eastAsia" w:cs="Times New Roman"/>
                <w:b/>
                <w:bCs/>
                <w:color w:val="000000" w:themeColor="text1"/>
                <w:sz w:val="24"/>
                <w:szCs w:val="24"/>
                <w:u w:val="none"/>
                <w:lang w:val="en-US" w:eastAsia="zh-CN"/>
                <w14:textFill>
                  <w14:solidFill>
                    <w14:schemeClr w14:val="tx1"/>
                  </w14:solidFill>
                </w14:textFill>
              </w:rPr>
              <w:t xml:space="preserve">表1-4  </w:t>
            </w:r>
            <w:r>
              <w:rPr>
                <w:rFonts w:hint="eastAsia" w:ascii="Times New Roman" w:hAnsi="Times New Roman" w:cs="Times New Roman"/>
                <w:b/>
                <w:bCs/>
                <w:color w:val="000000" w:themeColor="text1"/>
                <w:kern w:val="0"/>
                <w:sz w:val="24"/>
                <w:szCs w:val="24"/>
                <w:u w:val="none"/>
                <w:lang w:val="en-US" w:eastAsia="zh-CN"/>
                <w14:textFill>
                  <w14:solidFill>
                    <w14:schemeClr w14:val="tx1"/>
                  </w14:solidFill>
                </w14:textFill>
              </w:rPr>
              <w:t>项目与</w:t>
            </w:r>
            <w:r>
              <w:rPr>
                <w:rFonts w:hint="eastAsia" w:ascii="Times New Roman" w:hAnsi="Times New Roman" w:cs="Times New Roman"/>
                <w:b/>
                <w:bCs/>
                <w:color w:val="000000" w:themeColor="text1"/>
                <w:kern w:val="0"/>
                <w:sz w:val="24"/>
                <w:szCs w:val="24"/>
                <w:u w:val="none"/>
                <w:lang w:eastAsia="zh-CN"/>
                <w14:textFill>
                  <w14:solidFill>
                    <w14:schemeClr w14:val="tx1"/>
                  </w14:solidFill>
                </w14:textFill>
              </w:rPr>
              <w:t>《疾病预防控制中心建筑技术规范》</w:t>
            </w:r>
            <w:r>
              <w:rPr>
                <w:rFonts w:hint="eastAsia" w:cs="Times New Roman"/>
                <w:b/>
                <w:bCs/>
                <w:color w:val="000000" w:themeColor="text1"/>
                <w:kern w:val="0"/>
                <w:sz w:val="24"/>
                <w:szCs w:val="24"/>
                <w:u w:val="none"/>
                <w:lang w:eastAsia="zh-CN"/>
                <w14:textFill>
                  <w14:solidFill>
                    <w14:schemeClr w14:val="tx1"/>
                  </w14:solidFill>
                </w14:textFill>
              </w:rPr>
              <w:t>（GB 50881—2013）</w:t>
            </w:r>
            <w:r>
              <w:rPr>
                <w:rFonts w:hint="eastAsia" w:ascii="Times New Roman" w:hAnsi="Times New Roman" w:cs="Times New Roman"/>
                <w:b/>
                <w:bCs/>
                <w:color w:val="000000" w:themeColor="text1"/>
                <w:kern w:val="0"/>
                <w:sz w:val="24"/>
                <w:szCs w:val="24"/>
                <w:u w:val="none"/>
                <w:lang w:eastAsia="zh-CN"/>
                <w14:textFill>
                  <w14:solidFill>
                    <w14:schemeClr w14:val="tx1"/>
                  </w14:solidFill>
                </w14:textFill>
              </w:rPr>
              <w:t>符合性分析（</w:t>
            </w:r>
            <w:r>
              <w:rPr>
                <w:rFonts w:hint="eastAsia" w:ascii="Times New Roman" w:hAnsi="Times New Roman" w:cs="Times New Roman"/>
                <w:b/>
                <w:bCs/>
                <w:color w:val="000000" w:themeColor="text1"/>
                <w:kern w:val="0"/>
                <w:sz w:val="24"/>
                <w:szCs w:val="24"/>
                <w:u w:val="none"/>
                <w:lang w:val="en-US" w:eastAsia="zh-CN"/>
                <w14:textFill>
                  <w14:solidFill>
                    <w14:schemeClr w14:val="tx1"/>
                  </w14:solidFill>
                </w14:textFill>
              </w:rPr>
              <w:t>仅针对主要内容</w:t>
            </w:r>
            <w:r>
              <w:rPr>
                <w:rFonts w:hint="eastAsia" w:ascii="Times New Roman" w:hAnsi="Times New Roman" w:cs="Times New Roman"/>
                <w:b/>
                <w:bCs/>
                <w:color w:val="000000" w:themeColor="text1"/>
                <w:kern w:val="0"/>
                <w:sz w:val="24"/>
                <w:szCs w:val="24"/>
                <w:u w:val="none"/>
                <w:lang w:eastAsia="zh-CN"/>
                <w14:textFill>
                  <w14:solidFill>
                    <w14:schemeClr w14:val="tx1"/>
                  </w14:solidFill>
                </w14:textFill>
              </w:rPr>
              <w:t>）</w:t>
            </w:r>
          </w:p>
          <w:tbl>
            <w:tblPr>
              <w:tblStyle w:val="17"/>
              <w:tblW w:w="858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6"/>
              <w:gridCol w:w="3663"/>
              <w:gridCol w:w="3717"/>
              <w:gridCol w:w="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1"/>
                      <w:szCs w:val="21"/>
                      <w:lang w:val="en-US" w:eastAsia="zh-CN"/>
                    </w:rPr>
                  </w:pPr>
                  <w:r>
                    <w:rPr>
                      <w:rFonts w:hint="eastAsia"/>
                      <w:b/>
                      <w:bCs/>
                      <w:sz w:val="21"/>
                      <w:szCs w:val="21"/>
                      <w:lang w:val="en-US" w:eastAsia="zh-CN"/>
                    </w:rPr>
                    <w:t>类别</w:t>
                  </w: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1"/>
                      <w:szCs w:val="21"/>
                      <w:lang w:val="en-US" w:eastAsia="zh-CN"/>
                    </w:rPr>
                  </w:pPr>
                  <w:r>
                    <w:rPr>
                      <w:rFonts w:hint="eastAsia"/>
                      <w:b/>
                      <w:bCs/>
                      <w:sz w:val="21"/>
                      <w:szCs w:val="21"/>
                      <w:lang w:val="en-US" w:eastAsia="zh-CN"/>
                    </w:rPr>
                    <w:t>要求</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1"/>
                      <w:szCs w:val="21"/>
                      <w:lang w:val="en-US" w:eastAsia="zh-CN"/>
                    </w:rPr>
                  </w:pPr>
                  <w:r>
                    <w:rPr>
                      <w:rFonts w:hint="eastAsia"/>
                      <w:b/>
                      <w:bCs/>
                      <w:sz w:val="21"/>
                      <w:szCs w:val="21"/>
                      <w:lang w:val="en-US" w:eastAsia="zh-CN"/>
                    </w:rPr>
                    <w:t>本项目情况</w:t>
                  </w:r>
                </w:p>
              </w:tc>
              <w:tc>
                <w:tcPr>
                  <w:tcW w:w="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1"/>
                      <w:szCs w:val="21"/>
                      <w:lang w:val="en-US" w:eastAsia="zh-CN"/>
                    </w:rPr>
                  </w:pPr>
                  <w:r>
                    <w:rPr>
                      <w:rFonts w:hint="eastAsia"/>
                      <w:b/>
                      <w:bCs/>
                      <w:sz w:val="21"/>
                      <w:szCs w:val="21"/>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选址</w:t>
                  </w: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应具备较好的工程地质条件和水文地质条件。</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项目所处理地址稳定，具备较好的工程地质条件和水文地质条件。</w:t>
                  </w:r>
                </w:p>
              </w:tc>
              <w:tc>
                <w:tcPr>
                  <w:tcW w:w="6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周边宜有便利的水、电、路等公用基础设施。</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项目位于城区内，水、电、路等公用基础设施健全。</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应避让饮用水源保护区。</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项目位于渠水中“县水厂取水口下游200米至马鞍洞电站大坝”流域，功能区属于“景观娱乐用水”。位于水源保护区下游2600km处。</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总平面</w:t>
                  </w: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功能分区应合理，科学布置各类建筑物，交通便捷，管理方便。</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项目平面布局合理，划分为办公楼、检验楼、检验检测楼，各类建筑物，交通便捷，管理方便。</w:t>
                  </w:r>
                </w:p>
              </w:tc>
              <w:tc>
                <w:tcPr>
                  <w:tcW w:w="6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对生活和实验废弃物的处理，应符合有关环境保护法令、法规的规定。</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项目生活垃圾交由当地环卫部门，危险废物均交由有资质单位处理（见后文）。</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建筑</w:t>
                  </w: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疾控中心的建筑布局应与管理方式、功能要求、工艺流程相适应，合理安排实验、业务、保障、行政等用房，做到建筑功能分区明确。</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项目布局分为实验楼房、行政楼房，与管理方式、功能要求、工艺流程相适应建筑功能分区明确。</w:t>
                  </w:r>
                </w:p>
              </w:tc>
              <w:tc>
                <w:tcPr>
                  <w:tcW w:w="6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产生噪声和振动的设备机房，不宜与实验、业务、行政管理等用房相毗邻，并应采取有效的消声、隔声、减振措施。</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项目主要噪声源为冷库压缩机，位于改建的检验检测楼二楼，不宜与实验、业务、行政管理等用房相毗邻，并采取有效的消声、隔声、减振措施。</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各类实验用房宜按不同功能和类型相对集中设置，实验辅助用房应邻近相关实验室设置。</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项目实验用房布局合理，实验用房及配套的辅助用房分层分区建设，实验辅助用房应邻近相关实验室设置。</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疾控中心应根据业务需求和功能需要设置业务用房，可设置疾病防治、公共卫生、综合业务、培训、突发公共卫生事件应急处理等各类业务用房。</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b w:val="0"/>
                      <w:bCs w:val="0"/>
                      <w:sz w:val="21"/>
                      <w:szCs w:val="21"/>
                      <w:lang w:val="en-US" w:eastAsia="zh-CN"/>
                    </w:rPr>
                  </w:pPr>
                  <w:r>
                    <w:rPr>
                      <w:rFonts w:hint="eastAsia"/>
                      <w:b w:val="0"/>
                      <w:bCs w:val="0"/>
                      <w:sz w:val="21"/>
                      <w:szCs w:val="21"/>
                      <w:lang w:val="en-US" w:eastAsia="zh-CN"/>
                    </w:rPr>
                    <w:t>项目根据实际需求需要设置了实验用房、库房、冷库行政用房等用房。</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4" w:hRule="atLeast"/>
              </w:trPr>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给排水</w:t>
                  </w: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疾控中心建筑在新建、扩建和改建时，应对建设区域范围内的给水、排水和污水处理工程按现行国家标准《室外给水设计规范》GB50013、《室外排水设计规范》GB50014、《建筑给水排水设计规范》GB50015的有关规定统一规划设计。</w:t>
                  </w:r>
                </w:p>
              </w:tc>
              <w:tc>
                <w:tcPr>
                  <w:tcW w:w="371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项目改建后，由当地自来水管网供水，生活污水由清粪车定期转运至县城污水处理厂；实验室废水（医疗废水）经污水处理设备处理后排入文昌溪；雨水经市政雨水管网收集后排入周边水体。项目实行雨污分流制度，严格按照国家标准《室外给水设计规范》GB50013、《室外排水设计规范》GB50014、《建筑给水排水设计规范》GB50015的有关规定统一规划设计。</w:t>
                  </w:r>
                </w:p>
              </w:tc>
              <w:tc>
                <w:tcPr>
                  <w:tcW w:w="6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疾控中心排水系统应采用污废水与雨水分流制排水。</w:t>
                  </w:r>
                </w:p>
              </w:tc>
              <w:tc>
                <w:tcPr>
                  <w:tcW w:w="37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b w:val="0"/>
                      <w:bCs w:val="0"/>
                      <w:sz w:val="21"/>
                      <w:szCs w:val="21"/>
                      <w:lang w:val="en-US" w:eastAsia="zh-CN"/>
                    </w:rPr>
                    <w:t>通风空调</w:t>
                  </w: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各实验室实验工艺过程、设备仪器、实验用品等对室内环境的要求，应通过详细和认真调研，进行充分了解，包括室内温度、湿度、洁净度、新风量、相对压差、气流速度等;实验工艺过程、设备仪器、实验用品等对室内环境的影响，包括设备、仪器和实验过程的散热量、异味、刺激性气体、微生物、病毒等。</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b w:val="0"/>
                      <w:bCs w:val="0"/>
                      <w:sz w:val="21"/>
                      <w:szCs w:val="21"/>
                      <w:lang w:val="en-US" w:eastAsia="zh-CN"/>
                    </w:rPr>
                  </w:pPr>
                  <w:r>
                    <w:rPr>
                      <w:rFonts w:hint="eastAsia"/>
                      <w:b w:val="0"/>
                      <w:bCs w:val="0"/>
                      <w:sz w:val="21"/>
                      <w:szCs w:val="21"/>
                      <w:lang w:val="en-US" w:eastAsia="zh-CN"/>
                    </w:rPr>
                    <w:t>项目高温室消解废气经风机引至屋顶15m排气口排放，微生物实验废气经生物安全柜处理，并在各实验室之间均设置了通风装置</w:t>
                  </w:r>
                  <w:r>
                    <w:rPr>
                      <w:rFonts w:hint="eastAsia"/>
                      <w:sz w:val="21"/>
                      <w:szCs w:val="21"/>
                      <w:lang w:val="en-US" w:eastAsia="zh-CN"/>
                    </w:rPr>
                    <w:t>。</w:t>
                  </w:r>
                </w:p>
              </w:tc>
              <w:tc>
                <w:tcPr>
                  <w:tcW w:w="6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r>
                    <w:rPr>
                      <w:rFonts w:hint="eastAsia"/>
                      <w:b w:val="0"/>
                      <w:bCs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c>
                <w:tcPr>
                  <w:tcW w:w="3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疾控中心建筑的冷热源应根据内部功能要求、工程所在地的气候条件、能源状况，结合国家有关安全、环保、节能、卫生的相关规定确定，并应具有可靠性、安全性、经济性，方便维</w:t>
                  </w:r>
                </w:p>
                <w:p>
                  <w:pPr>
                    <w:keepNext w:val="0"/>
                    <w:keepLines w:val="0"/>
                    <w:pageBreakBefore w:val="0"/>
                    <w:widowControl w:val="0"/>
                    <w:kinsoku/>
                    <w:wordWrap/>
                    <w:overflowPunct/>
                    <w:topLinePunct w:val="0"/>
                    <w:autoSpaceDE/>
                    <w:autoSpaceDN/>
                    <w:bidi w:val="0"/>
                    <w:adjustRightInd/>
                    <w:snapToGrid/>
                    <w:jc w:val="both"/>
                    <w:textAlignment w:val="auto"/>
                    <w:rPr>
                      <w:rFonts w:hint="eastAsia"/>
                      <w:b w:val="0"/>
                      <w:bCs w:val="0"/>
                      <w:sz w:val="21"/>
                      <w:szCs w:val="21"/>
                      <w:lang w:val="en-US" w:eastAsia="zh-CN"/>
                    </w:rPr>
                  </w:pPr>
                  <w:r>
                    <w:rPr>
                      <w:rFonts w:hint="eastAsia"/>
                      <w:b w:val="0"/>
                      <w:bCs w:val="0"/>
                      <w:sz w:val="21"/>
                      <w:szCs w:val="21"/>
                      <w:lang w:val="en-US" w:eastAsia="zh-CN"/>
                    </w:rPr>
                    <w:t>护、管理。</w:t>
                  </w:r>
                </w:p>
              </w:tc>
              <w:tc>
                <w:tcPr>
                  <w:tcW w:w="3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sz w:val="21"/>
                      <w:szCs w:val="21"/>
                      <w:lang w:val="en-US" w:eastAsia="zh-CN"/>
                    </w:rPr>
                  </w:pPr>
                  <w:r>
                    <w:rPr>
                      <w:rFonts w:hint="eastAsia"/>
                      <w:sz w:val="21"/>
                      <w:szCs w:val="21"/>
                      <w:lang w:val="en-US" w:eastAsia="zh-CN"/>
                    </w:rPr>
                    <w:t>项目计划新建冷库1座，用于存放各类样品与试剂。项目</w:t>
                  </w:r>
                  <w:r>
                    <w:rPr>
                      <w:rFonts w:hint="eastAsia"/>
                      <w:b w:val="0"/>
                      <w:bCs w:val="0"/>
                      <w:sz w:val="21"/>
                      <w:szCs w:val="21"/>
                      <w:lang w:val="en-US" w:eastAsia="zh-CN"/>
                    </w:rPr>
                    <w:t>根据内部功能要求、工程所在地的气候条件、能源状况，结合国家有关安全、环保、节能、卫生的相关规定确定，并应具有可靠性、安全性、经济性，方便维护、管理。</w:t>
                  </w:r>
                </w:p>
              </w:tc>
              <w:tc>
                <w:tcPr>
                  <w:tcW w:w="6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1"/>
                      <w:szCs w:val="21"/>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pPr>
            <w:r>
              <w:rPr>
                <w:rFonts w:hint="eastAsia" w:cs="Times New Roman"/>
                <w:b/>
                <w:bCs/>
                <w:color w:val="000000" w:themeColor="text1"/>
                <w:kern w:val="0"/>
                <w:sz w:val="24"/>
                <w:szCs w:val="24"/>
                <w:u w:val="none"/>
                <w:lang w:val="en-US" w:eastAsia="zh-CN"/>
                <w14:textFill>
                  <w14:solidFill>
                    <w14:schemeClr w14:val="tx1"/>
                  </w14:solidFill>
                </w14:textFill>
              </w:rPr>
              <w:t>三、</w:t>
            </w:r>
            <w:r>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t>与生物安全相关规范的符合性分析</w:t>
            </w:r>
          </w:p>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根据《生物安全实验室建筑技术规范》(GB50346-2011)有关规定</w:t>
            </w:r>
            <w:r>
              <w:rPr>
                <w:rFonts w:hint="eastAsia"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根据实验室所处理的生物危害程度和采取的防护措施，生物安全实验室分为四级</w:t>
            </w:r>
            <w:r>
              <w:rPr>
                <w:rFonts w:hint="eastAsia"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微生物生物安全实验室可采用BSL-1</w:t>
            </w:r>
            <w:r>
              <w:rPr>
                <w:rFonts w:hint="eastAsia"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BSL-2、BSL-3、BSL-4表示相应级别的实验室</w:t>
            </w:r>
            <w:r>
              <w:rPr>
                <w:rFonts w:hint="eastAsia"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eastAsia" w:cs="Times New Roman"/>
                <w:color w:val="000000" w:themeColor="text1"/>
                <w:sz w:val="24"/>
                <w:szCs w:val="24"/>
                <w:u w:val="none"/>
                <w:lang w:val="en-US" w:eastAsia="zh-CN"/>
                <w14:textFill>
                  <w14:solidFill>
                    <w14:schemeClr w14:val="tx1"/>
                  </w14:solidFill>
                </w14:textFill>
              </w:rPr>
              <w:t>本实验室属于</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BSL-2</w:t>
            </w:r>
            <w:r>
              <w:rPr>
                <w:rFonts w:hint="eastAsia" w:cs="Times New Roman"/>
                <w:color w:val="000000" w:themeColor="text1"/>
                <w:sz w:val="24"/>
                <w:szCs w:val="24"/>
                <w:u w:val="none"/>
                <w:lang w:val="en-US" w:eastAsia="zh-CN"/>
                <w14:textFill>
                  <w14:solidFill>
                    <w14:schemeClr w14:val="tx1"/>
                  </w14:solidFill>
                </w14:textFill>
              </w:rPr>
              <w:t>等级，</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具体见</w:t>
            </w:r>
            <w:r>
              <w:rPr>
                <w:rFonts w:hint="eastAsia" w:cs="Times New Roman"/>
                <w:color w:val="000000" w:themeColor="text1"/>
                <w:sz w:val="24"/>
                <w:szCs w:val="24"/>
                <w:u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表。</w:t>
            </w:r>
          </w:p>
          <w:p>
            <w:pPr>
              <w:widowControl w:val="0"/>
              <w:autoSpaceDE w:val="0"/>
              <w:autoSpaceDN w:val="0"/>
              <w:adjustRightInd w:val="0"/>
              <w:snapToGrid w:val="0"/>
              <w:spacing w:line="360" w:lineRule="auto"/>
              <w:jc w:val="cente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表1-5  实验室生物安全等级划分</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154"/>
              <w:gridCol w:w="3916"/>
              <w:gridCol w:w="1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tcBorders>
                    <w:tl2br w:val="nil"/>
                    <w:tr2bl w:val="nil"/>
                  </w:tcBorders>
                  <w:vAlign w:val="center"/>
                </w:tcPr>
                <w:p>
                  <w:pPr>
                    <w:jc w:val="center"/>
                    <w:rPr>
                      <w:rFonts w:hint="default"/>
                      <w:b/>
                      <w:bCs/>
                      <w:sz w:val="21"/>
                      <w:szCs w:val="21"/>
                      <w:lang w:eastAsia="zh-CN"/>
                    </w:rPr>
                  </w:pPr>
                  <w:r>
                    <w:rPr>
                      <w:rFonts w:hint="default"/>
                      <w:b/>
                      <w:bCs/>
                      <w:sz w:val="21"/>
                      <w:szCs w:val="21"/>
                      <w:lang w:eastAsia="zh-CN"/>
                    </w:rPr>
                    <w:t>分级</w:t>
                  </w:r>
                </w:p>
              </w:tc>
              <w:tc>
                <w:tcPr>
                  <w:tcW w:w="2154" w:type="dxa"/>
                  <w:tcBorders>
                    <w:tl2br w:val="nil"/>
                    <w:tr2bl w:val="nil"/>
                  </w:tcBorders>
                  <w:vAlign w:val="center"/>
                </w:tcPr>
                <w:p>
                  <w:pPr>
                    <w:jc w:val="center"/>
                    <w:rPr>
                      <w:rFonts w:hint="default"/>
                      <w:b/>
                      <w:bCs/>
                      <w:sz w:val="21"/>
                      <w:szCs w:val="21"/>
                      <w:lang w:eastAsia="zh-CN"/>
                    </w:rPr>
                  </w:pPr>
                  <w:r>
                    <w:rPr>
                      <w:rFonts w:hint="default"/>
                      <w:b/>
                      <w:bCs/>
                      <w:sz w:val="21"/>
                      <w:szCs w:val="21"/>
                      <w:lang w:eastAsia="zh-CN"/>
                    </w:rPr>
                    <w:t>生物危害程度</w:t>
                  </w:r>
                </w:p>
              </w:tc>
              <w:tc>
                <w:tcPr>
                  <w:tcW w:w="3916" w:type="dxa"/>
                  <w:tcBorders>
                    <w:tl2br w:val="nil"/>
                    <w:tr2bl w:val="nil"/>
                  </w:tcBorders>
                  <w:vAlign w:val="center"/>
                </w:tcPr>
                <w:p>
                  <w:pPr>
                    <w:jc w:val="center"/>
                    <w:rPr>
                      <w:rFonts w:hint="default"/>
                      <w:b/>
                      <w:bCs/>
                      <w:sz w:val="21"/>
                      <w:szCs w:val="21"/>
                      <w:lang w:eastAsia="zh-CN"/>
                    </w:rPr>
                  </w:pPr>
                  <w:r>
                    <w:rPr>
                      <w:rFonts w:hint="default"/>
                      <w:b/>
                      <w:bCs/>
                      <w:sz w:val="21"/>
                      <w:szCs w:val="21"/>
                      <w:lang w:eastAsia="zh-CN"/>
                    </w:rPr>
                    <w:t>操作对象</w:t>
                  </w:r>
                </w:p>
              </w:tc>
              <w:tc>
                <w:tcPr>
                  <w:tcW w:w="1021" w:type="dxa"/>
                  <w:tcBorders>
                    <w:tl2br w:val="nil"/>
                    <w:tr2bl w:val="nil"/>
                  </w:tcBorders>
                  <w:vAlign w:val="center"/>
                </w:tcPr>
                <w:p>
                  <w:pPr>
                    <w:jc w:val="center"/>
                    <w:rPr>
                      <w:rFonts w:hint="default"/>
                      <w:b/>
                      <w:bCs/>
                      <w:sz w:val="21"/>
                      <w:szCs w:val="21"/>
                      <w:lang w:eastAsia="zh-CN"/>
                    </w:rPr>
                  </w:pPr>
                  <w:r>
                    <w:rPr>
                      <w:rFonts w:hint="eastAsia"/>
                      <w:b/>
                      <w:bCs/>
                      <w:sz w:val="21"/>
                      <w:szCs w:val="21"/>
                      <w:lang w:val="en-US" w:eastAsia="zh-CN"/>
                    </w:rPr>
                    <w:t>本</w:t>
                  </w:r>
                  <w:r>
                    <w:rPr>
                      <w:rFonts w:hint="default"/>
                      <w:b/>
                      <w:bCs/>
                      <w:sz w:val="21"/>
                      <w:szCs w:val="21"/>
                      <w:lang w:eastAsia="zh-CN"/>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tcBorders>
                    <w:tl2br w:val="nil"/>
                    <w:tr2bl w:val="nil"/>
                  </w:tcBorders>
                  <w:vAlign w:val="center"/>
                </w:tcPr>
                <w:p>
                  <w:pPr>
                    <w:jc w:val="center"/>
                    <w:rPr>
                      <w:rFonts w:hint="default"/>
                      <w:sz w:val="21"/>
                      <w:szCs w:val="21"/>
                      <w:lang w:eastAsia="zh-CN"/>
                    </w:rPr>
                  </w:pPr>
                  <w:r>
                    <w:rPr>
                      <w:rFonts w:hint="default"/>
                      <w:sz w:val="21"/>
                      <w:szCs w:val="21"/>
                      <w:lang w:eastAsia="zh-CN"/>
                    </w:rPr>
                    <w:t>BSL-1</w:t>
                  </w:r>
                </w:p>
              </w:tc>
              <w:tc>
                <w:tcPr>
                  <w:tcW w:w="2154" w:type="dxa"/>
                  <w:tcBorders>
                    <w:tl2br w:val="nil"/>
                    <w:tr2bl w:val="nil"/>
                  </w:tcBorders>
                  <w:vAlign w:val="center"/>
                </w:tcPr>
                <w:p>
                  <w:pPr>
                    <w:jc w:val="center"/>
                    <w:rPr>
                      <w:rFonts w:hint="default"/>
                      <w:sz w:val="21"/>
                      <w:szCs w:val="21"/>
                      <w:lang w:eastAsia="zh-CN"/>
                    </w:rPr>
                  </w:pPr>
                  <w:r>
                    <w:rPr>
                      <w:rFonts w:hint="default"/>
                      <w:sz w:val="21"/>
                      <w:szCs w:val="21"/>
                      <w:lang w:eastAsia="zh-CN"/>
                    </w:rPr>
                    <w:t>低个体危害、低群体危害</w:t>
                  </w:r>
                </w:p>
              </w:tc>
              <w:tc>
                <w:tcPr>
                  <w:tcW w:w="3916" w:type="dxa"/>
                  <w:tcBorders>
                    <w:tl2br w:val="nil"/>
                    <w:tr2bl w:val="nil"/>
                  </w:tcBorders>
                  <w:vAlign w:val="center"/>
                </w:tcPr>
                <w:p>
                  <w:pPr>
                    <w:jc w:val="both"/>
                    <w:rPr>
                      <w:rFonts w:hint="default"/>
                      <w:sz w:val="21"/>
                      <w:szCs w:val="21"/>
                      <w:lang w:eastAsia="zh-CN"/>
                    </w:rPr>
                  </w:pPr>
                  <w:r>
                    <w:rPr>
                      <w:rFonts w:hint="default"/>
                      <w:sz w:val="21"/>
                      <w:szCs w:val="21"/>
                      <w:lang w:eastAsia="zh-CN"/>
                    </w:rPr>
                    <w:t>对人体、动植物或环境危害较低，不具有对健康成人、动植物致病的致病因子</w:t>
                  </w:r>
                </w:p>
              </w:tc>
              <w:tc>
                <w:tcPr>
                  <w:tcW w:w="1021" w:type="dxa"/>
                  <w:vMerge w:val="restart"/>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default"/>
                      <w:sz w:val="21"/>
                      <w:szCs w:val="21"/>
                      <w:lang w:eastAsia="zh-CN"/>
                    </w:rPr>
                  </w:pPr>
                  <w:r>
                    <w:rPr>
                      <w:rFonts w:hint="eastAsia"/>
                      <w:sz w:val="21"/>
                      <w:szCs w:val="21"/>
                      <w:lang w:val="en-US" w:eastAsia="zh-CN"/>
                    </w:rPr>
                    <w:t>本</w:t>
                  </w:r>
                  <w:r>
                    <w:rPr>
                      <w:rFonts w:hint="default"/>
                      <w:sz w:val="21"/>
                      <w:szCs w:val="21"/>
                      <w:lang w:eastAsia="zh-CN"/>
                    </w:rPr>
                    <w:t>项目</w:t>
                  </w:r>
                  <w:r>
                    <w:rPr>
                      <w:rFonts w:hint="eastAsia"/>
                      <w:sz w:val="21"/>
                      <w:szCs w:val="21"/>
                      <w:lang w:val="en-US" w:eastAsia="zh-CN"/>
                    </w:rPr>
                    <w:t>属于</w:t>
                  </w:r>
                  <w:r>
                    <w:rPr>
                      <w:rFonts w:hint="default"/>
                      <w:sz w:val="21"/>
                      <w:szCs w:val="21"/>
                      <w:lang w:eastAsia="zh-CN"/>
                    </w:rPr>
                    <w:t>BSL-2级生物实验室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tcBorders>
                    <w:tl2br w:val="nil"/>
                    <w:tr2bl w:val="nil"/>
                  </w:tcBorders>
                  <w:vAlign w:val="center"/>
                </w:tcPr>
                <w:p>
                  <w:pPr>
                    <w:jc w:val="center"/>
                    <w:rPr>
                      <w:rFonts w:hint="default"/>
                      <w:sz w:val="21"/>
                      <w:szCs w:val="21"/>
                      <w:lang w:eastAsia="zh-CN"/>
                    </w:rPr>
                  </w:pPr>
                  <w:r>
                    <w:rPr>
                      <w:rFonts w:hint="default"/>
                      <w:sz w:val="21"/>
                      <w:szCs w:val="21"/>
                      <w:lang w:eastAsia="zh-CN"/>
                    </w:rPr>
                    <w:t>BSL-2</w:t>
                  </w:r>
                </w:p>
              </w:tc>
              <w:tc>
                <w:tcPr>
                  <w:tcW w:w="2154" w:type="dxa"/>
                  <w:tcBorders>
                    <w:tl2br w:val="nil"/>
                    <w:tr2bl w:val="nil"/>
                  </w:tcBorders>
                  <w:vAlign w:val="center"/>
                </w:tcPr>
                <w:p>
                  <w:pPr>
                    <w:jc w:val="center"/>
                    <w:rPr>
                      <w:rFonts w:hint="default"/>
                      <w:sz w:val="21"/>
                      <w:szCs w:val="21"/>
                      <w:lang w:eastAsia="zh-CN"/>
                    </w:rPr>
                  </w:pPr>
                  <w:r>
                    <w:rPr>
                      <w:rFonts w:hint="default"/>
                      <w:sz w:val="21"/>
                      <w:szCs w:val="21"/>
                      <w:lang w:eastAsia="zh-CN"/>
                    </w:rPr>
                    <w:t>中等个体危害，有限群体危害</w:t>
                  </w:r>
                </w:p>
              </w:tc>
              <w:tc>
                <w:tcPr>
                  <w:tcW w:w="3916" w:type="dxa"/>
                  <w:tcBorders>
                    <w:tl2br w:val="nil"/>
                    <w:tr2bl w:val="nil"/>
                  </w:tcBorders>
                  <w:vAlign w:val="center"/>
                </w:tcPr>
                <w:p>
                  <w:pPr>
                    <w:jc w:val="both"/>
                    <w:rPr>
                      <w:rFonts w:hint="default"/>
                      <w:sz w:val="21"/>
                      <w:szCs w:val="21"/>
                      <w:lang w:eastAsia="zh-CN"/>
                    </w:rPr>
                  </w:pPr>
                  <w:r>
                    <w:rPr>
                      <w:rFonts w:hint="default"/>
                      <w:sz w:val="21"/>
                      <w:szCs w:val="21"/>
                      <w:lang w:eastAsia="zh-CN"/>
                    </w:rPr>
                    <w:t>对人体、动植物或环境具有中等危害或具有潜在危险的致病因子，对健康成人、动物和环境不会造成严重危害。有有效的预防和治疗措施</w:t>
                  </w:r>
                </w:p>
              </w:tc>
              <w:tc>
                <w:tcPr>
                  <w:tcW w:w="1021" w:type="dxa"/>
                  <w:vMerge w:val="continue"/>
                  <w:tcBorders>
                    <w:tl2br w:val="nil"/>
                    <w:tr2bl w:val="nil"/>
                  </w:tcBorders>
                  <w:vAlign w:val="center"/>
                </w:tcPr>
                <w:p>
                  <w:pPr>
                    <w:jc w:val="center"/>
                    <w:rPr>
                      <w:rFonts w:hint="default"/>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tcBorders>
                    <w:tl2br w:val="nil"/>
                    <w:tr2bl w:val="nil"/>
                  </w:tcBorders>
                  <w:vAlign w:val="center"/>
                </w:tcPr>
                <w:p>
                  <w:pPr>
                    <w:jc w:val="center"/>
                    <w:rPr>
                      <w:rFonts w:hint="default"/>
                      <w:sz w:val="21"/>
                      <w:szCs w:val="21"/>
                      <w:lang w:eastAsia="zh-CN"/>
                    </w:rPr>
                  </w:pPr>
                  <w:r>
                    <w:rPr>
                      <w:rFonts w:hint="default"/>
                      <w:sz w:val="21"/>
                      <w:szCs w:val="21"/>
                      <w:lang w:eastAsia="zh-CN"/>
                    </w:rPr>
                    <w:t>BSL-3</w:t>
                  </w:r>
                </w:p>
              </w:tc>
              <w:tc>
                <w:tcPr>
                  <w:tcW w:w="2154" w:type="dxa"/>
                  <w:tcBorders>
                    <w:tl2br w:val="nil"/>
                    <w:tr2bl w:val="nil"/>
                  </w:tcBorders>
                  <w:vAlign w:val="center"/>
                </w:tcPr>
                <w:p>
                  <w:pPr>
                    <w:jc w:val="center"/>
                    <w:rPr>
                      <w:rFonts w:hint="default"/>
                      <w:sz w:val="21"/>
                      <w:szCs w:val="21"/>
                      <w:lang w:eastAsia="zh-CN"/>
                    </w:rPr>
                  </w:pPr>
                  <w:r>
                    <w:rPr>
                      <w:rFonts w:hint="default"/>
                      <w:sz w:val="21"/>
                      <w:szCs w:val="21"/>
                      <w:lang w:eastAsia="zh-CN"/>
                    </w:rPr>
                    <w:t>高个体危害，低群体危害</w:t>
                  </w:r>
                </w:p>
              </w:tc>
              <w:tc>
                <w:tcPr>
                  <w:tcW w:w="3916" w:type="dxa"/>
                  <w:tcBorders>
                    <w:tl2br w:val="nil"/>
                    <w:tr2bl w:val="nil"/>
                  </w:tcBorders>
                  <w:vAlign w:val="center"/>
                </w:tcPr>
                <w:p>
                  <w:pPr>
                    <w:jc w:val="both"/>
                    <w:rPr>
                      <w:rFonts w:hint="default"/>
                      <w:sz w:val="21"/>
                      <w:szCs w:val="21"/>
                      <w:lang w:eastAsia="zh-CN"/>
                    </w:rPr>
                  </w:pPr>
                  <w:r>
                    <w:rPr>
                      <w:rFonts w:hint="default"/>
                      <w:sz w:val="21"/>
                      <w:szCs w:val="21"/>
                      <w:lang w:eastAsia="zh-CN"/>
                    </w:rPr>
                    <w:t>对人体、动植物或环境具有高度危险性，主要通过气溶胶使人传染上严重的甚至是致命疾病，或对动植物和环境具有高度危害的致病因子。通常有预防治疗措施</w:t>
                  </w:r>
                </w:p>
              </w:tc>
              <w:tc>
                <w:tcPr>
                  <w:tcW w:w="1021" w:type="dxa"/>
                  <w:vMerge w:val="continue"/>
                  <w:tcBorders>
                    <w:tl2br w:val="nil"/>
                    <w:tr2bl w:val="nil"/>
                  </w:tcBorders>
                  <w:vAlign w:val="center"/>
                </w:tcPr>
                <w:p>
                  <w:pPr>
                    <w:jc w:val="center"/>
                    <w:rPr>
                      <w:rFonts w:hint="default"/>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6" w:type="dxa"/>
                  <w:tcBorders>
                    <w:tl2br w:val="nil"/>
                    <w:tr2bl w:val="nil"/>
                  </w:tcBorders>
                  <w:vAlign w:val="center"/>
                </w:tcPr>
                <w:p>
                  <w:pPr>
                    <w:jc w:val="center"/>
                    <w:rPr>
                      <w:rFonts w:hint="default"/>
                      <w:sz w:val="21"/>
                      <w:szCs w:val="21"/>
                      <w:lang w:eastAsia="zh-CN"/>
                    </w:rPr>
                  </w:pPr>
                  <w:r>
                    <w:rPr>
                      <w:rFonts w:hint="default"/>
                      <w:sz w:val="21"/>
                      <w:szCs w:val="21"/>
                      <w:lang w:eastAsia="zh-CN"/>
                    </w:rPr>
                    <w:t>BSL-4</w:t>
                  </w:r>
                </w:p>
              </w:tc>
              <w:tc>
                <w:tcPr>
                  <w:tcW w:w="2154" w:type="dxa"/>
                  <w:tcBorders>
                    <w:tl2br w:val="nil"/>
                    <w:tr2bl w:val="nil"/>
                  </w:tcBorders>
                  <w:vAlign w:val="center"/>
                </w:tcPr>
                <w:p>
                  <w:pPr>
                    <w:jc w:val="center"/>
                    <w:rPr>
                      <w:rFonts w:hint="default"/>
                      <w:sz w:val="21"/>
                      <w:szCs w:val="21"/>
                      <w:lang w:eastAsia="zh-CN"/>
                    </w:rPr>
                  </w:pPr>
                  <w:r>
                    <w:rPr>
                      <w:rFonts w:hint="default"/>
                      <w:sz w:val="21"/>
                      <w:szCs w:val="21"/>
                      <w:lang w:eastAsia="zh-CN"/>
                    </w:rPr>
                    <w:t>高个体危害，高群体危害</w:t>
                  </w:r>
                </w:p>
              </w:tc>
              <w:tc>
                <w:tcPr>
                  <w:tcW w:w="3916" w:type="dxa"/>
                  <w:tcBorders>
                    <w:tl2br w:val="nil"/>
                    <w:tr2bl w:val="nil"/>
                  </w:tcBorders>
                  <w:vAlign w:val="center"/>
                </w:tcPr>
                <w:p>
                  <w:pPr>
                    <w:jc w:val="both"/>
                    <w:rPr>
                      <w:rFonts w:hint="default"/>
                      <w:sz w:val="21"/>
                      <w:szCs w:val="21"/>
                      <w:lang w:eastAsia="zh-CN"/>
                    </w:rPr>
                  </w:pPr>
                  <w:r>
                    <w:rPr>
                      <w:rFonts w:hint="default"/>
                      <w:sz w:val="21"/>
                      <w:szCs w:val="21"/>
                      <w:lang w:eastAsia="zh-CN"/>
                    </w:rPr>
                    <w:t>对人体、动植物或环境具有高度危险性，通过气溶胶途径传播或传播途径不明，或未知的、危险的致病因子。没有预防治疗措施</w:t>
                  </w:r>
                </w:p>
              </w:tc>
              <w:tc>
                <w:tcPr>
                  <w:tcW w:w="1021" w:type="dxa"/>
                  <w:vMerge w:val="continue"/>
                  <w:tcBorders>
                    <w:tl2br w:val="nil"/>
                    <w:tr2bl w:val="nil"/>
                  </w:tcBorders>
                  <w:vAlign w:val="center"/>
                </w:tcPr>
                <w:p>
                  <w:pPr>
                    <w:jc w:val="center"/>
                    <w:rPr>
                      <w:rFonts w:hint="default"/>
                      <w:sz w:val="21"/>
                      <w:szCs w:val="21"/>
                      <w:lang w:eastAsia="zh-CN"/>
                    </w:rPr>
                  </w:pPr>
                </w:p>
              </w:tc>
            </w:tr>
          </w:tbl>
          <w:p>
            <w:pPr>
              <w:widowControl w:val="0"/>
              <w:autoSpaceDE w:val="0"/>
              <w:autoSpaceDN w:val="0"/>
              <w:adjustRightInd w:val="0"/>
              <w:snapToGrid w:val="0"/>
              <w:spacing w:line="360" w:lineRule="auto"/>
              <w:ind w:firstLine="480" w:firstLineChars="200"/>
              <w:jc w:val="both"/>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根据《生物安全实验室建筑技术规范》（</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GB-50346-2011</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有关规定，二级实验室的设立单位须按《实验室生物安全通用要求》、《生物安全实验室建筑技术规范》和卫生部《微生物和生物医学实验室安全通用准则》要求，进行实验室的设计和建造，配置必要的生物安全防护设备，相关要求及符合性具体见</w:t>
            </w:r>
            <w:r>
              <w:rPr>
                <w:rFonts w:hint="eastAsia" w:cs="Times New Roman"/>
                <w:color w:val="000000" w:themeColor="text1"/>
                <w:sz w:val="24"/>
                <w:szCs w:val="24"/>
                <w:u w:val="none"/>
                <w:lang w:val="en-US" w:eastAsia="zh-CN"/>
                <w14:textFill>
                  <w14:solidFill>
                    <w14:schemeClr w14:val="tx1"/>
                  </w14:solidFill>
                </w14:textFill>
              </w:rPr>
              <w:t>下</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表。</w:t>
            </w:r>
          </w:p>
          <w:p>
            <w:pPr>
              <w:widowControl w:val="0"/>
              <w:autoSpaceDE w:val="0"/>
              <w:autoSpaceDN w:val="0"/>
              <w:adjustRightInd w:val="0"/>
              <w:snapToGrid w:val="0"/>
              <w:spacing w:line="360" w:lineRule="auto"/>
              <w:jc w:val="cente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表</w:t>
            </w:r>
            <w:r>
              <w:rPr>
                <w:rFonts w:hint="eastAsia" w:cs="Times New Roman"/>
                <w:b/>
                <w:bCs/>
                <w:color w:val="000000" w:themeColor="text1"/>
                <w:sz w:val="24"/>
                <w:szCs w:val="24"/>
                <w:u w:val="none"/>
                <w:lang w:val="en-US" w:eastAsia="zh-CN"/>
                <w14:textFill>
                  <w14:solidFill>
                    <w14:schemeClr w14:val="tx1"/>
                  </w14:solidFill>
                </w14:textFill>
              </w:rPr>
              <w:t>1-6</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 xml:space="preserve">  相关标准及规则符合性分析</w:t>
            </w:r>
          </w:p>
          <w:tbl>
            <w:tblPr>
              <w:tblStyle w:val="44"/>
              <w:tblW w:w="8539"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5497"/>
              <w:gridCol w:w="10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tcBorders>
                    <w:tl2br w:val="nil"/>
                    <w:tr2bl w:val="nil"/>
                  </w:tcBorders>
                  <w:vAlign w:val="center"/>
                </w:tcPr>
                <w:p>
                  <w:pPr>
                    <w:jc w:val="center"/>
                    <w:rPr>
                      <w:b/>
                      <w:bCs/>
                    </w:rPr>
                  </w:pPr>
                  <w:r>
                    <w:rPr>
                      <w:b/>
                      <w:bCs/>
                    </w:rPr>
                    <w:t>相关标准及规则</w:t>
                  </w:r>
                </w:p>
              </w:tc>
              <w:tc>
                <w:tcPr>
                  <w:tcW w:w="5497" w:type="dxa"/>
                  <w:tcBorders>
                    <w:tl2br w:val="nil"/>
                    <w:tr2bl w:val="nil"/>
                  </w:tcBorders>
                  <w:vAlign w:val="center"/>
                </w:tcPr>
                <w:p>
                  <w:pPr>
                    <w:jc w:val="center"/>
                    <w:rPr>
                      <w:b/>
                      <w:bCs/>
                    </w:rPr>
                  </w:pPr>
                  <w:r>
                    <w:rPr>
                      <w:b/>
                      <w:bCs/>
                    </w:rPr>
                    <w:t>指标要求</w:t>
                  </w:r>
                </w:p>
              </w:tc>
              <w:tc>
                <w:tcPr>
                  <w:tcW w:w="1099" w:type="dxa"/>
                  <w:tcBorders>
                    <w:tl2br w:val="nil"/>
                    <w:tr2bl w:val="nil"/>
                  </w:tcBorders>
                  <w:vAlign w:val="center"/>
                </w:tcPr>
                <w:p>
                  <w:pPr>
                    <w:jc w:val="center"/>
                    <w:rPr>
                      <w:b/>
                      <w:bCs/>
                    </w:rPr>
                  </w:pPr>
                  <w:r>
                    <w:rPr>
                      <w:b/>
                      <w:bCs/>
                    </w:rPr>
                    <w:t>拟建项目是否符合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restart"/>
                  <w:tcBorders>
                    <w:tl2br w:val="nil"/>
                    <w:tr2bl w:val="nil"/>
                  </w:tcBorders>
                  <w:vAlign w:val="center"/>
                </w:tcPr>
                <w:p>
                  <w:pPr>
                    <w:jc w:val="center"/>
                  </w:pPr>
                  <w:r>
                    <w:t>《生物安全实验室建筑技术规范》（GB-50346-2011）</w:t>
                  </w:r>
                </w:p>
              </w:tc>
              <w:tc>
                <w:tcPr>
                  <w:tcW w:w="5497" w:type="dxa"/>
                  <w:tcBorders>
                    <w:tl2br w:val="nil"/>
                    <w:tr2bl w:val="nil"/>
                  </w:tcBorders>
                  <w:vAlign w:val="center"/>
                </w:tcPr>
                <w:p>
                  <w:pPr>
                    <w:jc w:val="both"/>
                  </w:pPr>
                  <w:r>
                    <w:t>技术指标：二级生物安全实验室宜实施一级屏障和二级屏障</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平面位置：可共用建筑物，与建筑物其他部分可相通，但应设可自动关闭的带锁的门</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restart"/>
                  <w:tcBorders>
                    <w:tl2br w:val="nil"/>
                    <w:tr2bl w:val="nil"/>
                  </w:tcBorders>
                  <w:vAlign w:val="center"/>
                </w:tcPr>
                <w:p>
                  <w:pPr>
                    <w:jc w:val="center"/>
                  </w:pPr>
                  <w:r>
                    <w:t>对二级实验室建筑、</w:t>
                  </w:r>
                </w:p>
                <w:p>
                  <w:pPr>
                    <w:jc w:val="center"/>
                  </w:pPr>
                  <w:r>
                    <w:t>装修和结构的要求</w:t>
                  </w:r>
                </w:p>
              </w:tc>
              <w:tc>
                <w:tcPr>
                  <w:tcW w:w="5497" w:type="dxa"/>
                  <w:tcBorders>
                    <w:tl2br w:val="nil"/>
                    <w:tr2bl w:val="nil"/>
                  </w:tcBorders>
                  <w:vAlign w:val="center"/>
                </w:tcPr>
                <w:p>
                  <w:pPr>
                    <w:jc w:val="both"/>
                  </w:pPr>
                  <w:r>
                    <w:t>二级生物安全实验室应在入口处设置更衣室或更衣柜</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二级生物安全实验室应在实验室或实验室所在建筑内配备 高压灭菌器或其他消毒灭菌设备</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二级、三级、四级生物安全实验室的入口，应明确标示出生物防护级别、操作的致病性生物因子、实验室负责人姓名、紧急联络方式等，并应标示出国际通用生物危险符号</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restart"/>
                  <w:tcBorders>
                    <w:tl2br w:val="nil"/>
                    <w:tr2bl w:val="nil"/>
                  </w:tcBorders>
                  <w:vAlign w:val="center"/>
                </w:tcPr>
                <w:p>
                  <w:pPr>
                    <w:jc w:val="center"/>
                  </w:pPr>
                  <w:r>
                    <w:t>《实验室生物安全 通用要求》（GB19489-2008）对二级实验室设施和设备要求</w:t>
                  </w:r>
                </w:p>
              </w:tc>
              <w:tc>
                <w:tcPr>
                  <w:tcW w:w="5497" w:type="dxa"/>
                  <w:tcBorders>
                    <w:tl2br w:val="nil"/>
                    <w:tr2bl w:val="nil"/>
                  </w:tcBorders>
                  <w:vAlign w:val="center"/>
                </w:tcPr>
                <w:p>
                  <w:pPr>
                    <w:jc w:val="both"/>
                  </w:pPr>
                  <w:r>
                    <w:t>每个实验室应设洗手池，宜设置在靠近出口处</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应易于清洁。地面应防滑、无缝隙，不得铺设地毯</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实验室中的家具应牢固。为易于清洁，各种家具和设备之间 应保持生物废弃物容器的台（架）</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实验室如有可开启的窗户，应设置纱窗</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restart"/>
                  <w:tcBorders>
                    <w:tl2br w:val="nil"/>
                    <w:tr2bl w:val="nil"/>
                  </w:tcBorders>
                  <w:vAlign w:val="center"/>
                </w:tcPr>
                <w:p>
                  <w:pPr>
                    <w:jc w:val="center"/>
                  </w:pPr>
                  <w:r>
                    <w:t>《微生物和生物医</w:t>
                  </w:r>
                </w:p>
                <w:p>
                  <w:pPr>
                    <w:jc w:val="center"/>
                  </w:pPr>
                  <w:r>
                    <w:t>学实验室安全通用</w:t>
                  </w:r>
                </w:p>
                <w:p>
                  <w:pPr>
                    <w:jc w:val="center"/>
                  </w:pPr>
                  <w:r>
                    <w:t>准则》对二级实验室</w:t>
                  </w:r>
                </w:p>
                <w:p>
                  <w:pPr>
                    <w:jc w:val="center"/>
                  </w:pPr>
                  <w:r>
                    <w:t>设的基本要求</w:t>
                  </w:r>
                </w:p>
              </w:tc>
              <w:tc>
                <w:tcPr>
                  <w:tcW w:w="5497" w:type="dxa"/>
                  <w:tcBorders>
                    <w:tl2br w:val="nil"/>
                    <w:tr2bl w:val="nil"/>
                  </w:tcBorders>
                  <w:vAlign w:val="center"/>
                </w:tcPr>
                <w:p>
                  <w:pPr>
                    <w:jc w:val="both"/>
                  </w:pPr>
                  <w:r>
                    <w:t>可能产生致病微生物气溶胶或出现溅出的操作均应在生物 安全柜（II级生物安全柜为宜）或其他物理抑制设备中进行， 并使用个体防护设备</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在实验室中应穿着工作服或罩衫等防护服。离开实验室时， 防护服必须脱下并留在实验室内。不得穿着外出，更不能携 带回家。用过的工作服应先在实验室中消毒，然后统一洗涤 或丢弃</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应设置实施各种消毒方法的设施，如高压灭菌锅、化学消毒 装置等对废弃物进行处</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应设置洗眼装置</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实验室门宜带锁、可自动关闭</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实验室出口应有发光指示标志</w:t>
                  </w:r>
                </w:p>
              </w:tc>
              <w:tc>
                <w:tcPr>
                  <w:tcW w:w="1099" w:type="dxa"/>
                  <w:tcBorders>
                    <w:tl2br w:val="nil"/>
                    <w:tr2bl w:val="nil"/>
                  </w:tcBorders>
                  <w:vAlign w:val="center"/>
                </w:tcPr>
                <w:p>
                  <w:pPr>
                    <w:jc w:val="center"/>
                  </w:pPr>
                  <w: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43" w:type="dxa"/>
                  <w:vMerge w:val="continue"/>
                  <w:tcBorders>
                    <w:tl2br w:val="nil"/>
                    <w:tr2bl w:val="nil"/>
                  </w:tcBorders>
                  <w:vAlign w:val="center"/>
                </w:tcPr>
                <w:p>
                  <w:pPr>
                    <w:jc w:val="center"/>
                  </w:pPr>
                </w:p>
              </w:tc>
              <w:tc>
                <w:tcPr>
                  <w:tcW w:w="5497" w:type="dxa"/>
                  <w:tcBorders>
                    <w:tl2br w:val="nil"/>
                    <w:tr2bl w:val="nil"/>
                  </w:tcBorders>
                  <w:vAlign w:val="center"/>
                </w:tcPr>
                <w:p>
                  <w:pPr>
                    <w:jc w:val="both"/>
                  </w:pPr>
                  <w:r>
                    <w:t>实验室宜有不少于每小时3～4次的通风换气次数</w:t>
                  </w:r>
                </w:p>
              </w:tc>
              <w:tc>
                <w:tcPr>
                  <w:tcW w:w="1099" w:type="dxa"/>
                  <w:tcBorders>
                    <w:tl2br w:val="nil"/>
                    <w:tr2bl w:val="nil"/>
                  </w:tcBorders>
                  <w:vAlign w:val="center"/>
                </w:tcPr>
                <w:p>
                  <w:pPr>
                    <w:jc w:val="center"/>
                  </w:pPr>
                  <w:r>
                    <w:t>是</w:t>
                  </w:r>
                </w:p>
              </w:tc>
            </w:tr>
          </w:tbl>
          <w:p>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综上所述，拟建项目符合《实验室生物安全通用要求》、《生物安全实验室建筑技术规范》和卫生部《微生物和生物医学实验室安全通用准则》中相关要求。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pPr>
            <w:r>
              <w:rPr>
                <w:rFonts w:hint="eastAsia" w:cs="Times New Roman"/>
                <w:b/>
                <w:bCs/>
                <w:color w:val="000000" w:themeColor="text1"/>
                <w:kern w:val="0"/>
                <w:sz w:val="24"/>
                <w:szCs w:val="24"/>
                <w:u w:val="none"/>
                <w:lang w:val="en-US" w:eastAsia="zh-CN"/>
                <w14:textFill>
                  <w14:solidFill>
                    <w14:schemeClr w14:val="tx1"/>
                  </w14:solidFill>
                </w14:textFill>
              </w:rPr>
              <w:t>四、</w:t>
            </w:r>
            <w:r>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t>与环境功能区划相符性分析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pPr>
            <w:r>
              <w:rPr>
                <w:rFonts w:hint="default" w:ascii="Times New Roman" w:hAnsi="Times New Roman" w:cs="Times New Roman"/>
                <w:b/>
                <w:bCs/>
                <w:color w:val="000000" w:themeColor="text1"/>
                <w:kern w:val="0"/>
                <w:sz w:val="24"/>
                <w:szCs w:val="24"/>
                <w:u w:val="none"/>
                <w:lang w:eastAsia="zh-CN"/>
                <w14:textFill>
                  <w14:solidFill>
                    <w14:schemeClr w14:val="tx1"/>
                  </w14:solidFill>
                </w14:textFill>
              </w:rPr>
              <w:t>本项目所在环境功能区划一览表</w:t>
            </w:r>
          </w:p>
          <w:p>
            <w:pPr>
              <w:keepNext w:val="0"/>
              <w:keepLines w:val="0"/>
              <w:widowControl/>
              <w:suppressLineNumbers w:val="0"/>
              <w:jc w:val="center"/>
              <w:rPr>
                <w:rFonts w:hint="default" w:cs="Times New Roman"/>
                <w:b/>
                <w:bCs/>
                <w:color w:val="000000" w:themeColor="text1"/>
                <w:sz w:val="24"/>
                <w:szCs w:val="24"/>
                <w:u w:val="none"/>
                <w:lang w:val="en-US" w:eastAsia="zh-CN"/>
                <w14:textFill>
                  <w14:solidFill>
                    <w14:schemeClr w14:val="tx1"/>
                  </w14:solidFill>
                </w14:textFill>
              </w:rPr>
            </w:pPr>
            <w:r>
              <w:rPr>
                <w:rFonts w:hint="default" w:cs="Times New Roman"/>
                <w:b/>
                <w:bCs/>
                <w:color w:val="000000" w:themeColor="text1"/>
                <w:sz w:val="24"/>
                <w:szCs w:val="24"/>
                <w:u w:val="none"/>
                <w:lang w:val="en-US" w:eastAsia="zh-CN"/>
                <w14:textFill>
                  <w14:solidFill>
                    <w14:schemeClr w14:val="tx1"/>
                  </w14:solidFill>
                </w14:textFill>
              </w:rPr>
              <w:t>表1-</w:t>
            </w:r>
            <w:r>
              <w:rPr>
                <w:rFonts w:hint="eastAsia" w:cs="Times New Roman"/>
                <w:b/>
                <w:bCs/>
                <w:color w:val="000000" w:themeColor="text1"/>
                <w:sz w:val="24"/>
                <w:szCs w:val="24"/>
                <w:u w:val="none"/>
                <w:lang w:val="en-US" w:eastAsia="zh-CN"/>
                <w14:textFill>
                  <w14:solidFill>
                    <w14:schemeClr w14:val="tx1"/>
                  </w14:solidFill>
                </w14:textFill>
              </w:rPr>
              <w:t>7</w:t>
            </w:r>
            <w:r>
              <w:rPr>
                <w:rFonts w:hint="default" w:cs="Times New Roman"/>
                <w:b/>
                <w:bCs/>
                <w:color w:val="000000" w:themeColor="text1"/>
                <w:sz w:val="24"/>
                <w:szCs w:val="24"/>
                <w:u w:val="none"/>
                <w:lang w:val="en-US" w:eastAsia="zh-CN"/>
                <w14:textFill>
                  <w14:solidFill>
                    <w14:schemeClr w14:val="tx1"/>
                  </w14:solidFill>
                </w14:textFill>
              </w:rPr>
              <w:t xml:space="preserve"> </w:t>
            </w:r>
            <w:r>
              <w:rPr>
                <w:rFonts w:hint="eastAsia" w:cs="Times New Roman"/>
                <w:b/>
                <w:bCs/>
                <w:color w:val="000000" w:themeColor="text1"/>
                <w:sz w:val="24"/>
                <w:szCs w:val="24"/>
                <w:u w:val="none"/>
                <w:lang w:val="en-US" w:eastAsia="zh-CN"/>
                <w14:textFill>
                  <w14:solidFill>
                    <w14:schemeClr w14:val="tx1"/>
                  </w14:solidFill>
                </w14:textFill>
              </w:rPr>
              <w:t xml:space="preserve"> </w:t>
            </w:r>
            <w:r>
              <w:rPr>
                <w:rFonts w:hint="default" w:cs="Times New Roman"/>
                <w:b/>
                <w:bCs/>
                <w:color w:val="000000" w:themeColor="text1"/>
                <w:sz w:val="24"/>
                <w:szCs w:val="24"/>
                <w:u w:val="none"/>
                <w:lang w:val="en-US" w:eastAsia="zh-CN"/>
                <w14:textFill>
                  <w14:solidFill>
                    <w14:schemeClr w14:val="tx1"/>
                  </w14:solidFill>
                </w14:textFill>
              </w:rPr>
              <w:t>建设项目所在区域环境功能区划表</w:t>
            </w:r>
          </w:p>
          <w:tbl>
            <w:tblPr>
              <w:tblStyle w:val="16"/>
              <w:tblW w:w="47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396"/>
              <w:gridCol w:w="925"/>
              <w:gridCol w:w="3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jc w:val="both"/>
                    <w:rPr>
                      <w:rFonts w:hint="default" w:ascii="Times New Roman" w:hAnsi="Times New Roman" w:cs="Times New Roman"/>
                      <w:b/>
                      <w:bCs/>
                      <w:color w:val="000000" w:themeColor="text1"/>
                      <w:kern w:val="2"/>
                      <w:sz w:val="21"/>
                      <w:szCs w:val="21"/>
                      <w:u w:val="none"/>
                      <w14:textFill>
                        <w14:solidFill>
                          <w14:schemeClr w14:val="tx1"/>
                        </w14:solidFill>
                      </w14:textFill>
                    </w:rPr>
                  </w:pPr>
                  <w:r>
                    <w:rPr>
                      <w:rFonts w:hint="default" w:ascii="Times New Roman" w:hAnsi="Times New Roman" w:cs="Times New Roman"/>
                      <w:b/>
                      <w:bCs/>
                      <w:color w:val="000000" w:themeColor="text1"/>
                      <w:kern w:val="2"/>
                      <w:sz w:val="21"/>
                      <w:szCs w:val="21"/>
                      <w:u w:val="none"/>
                      <w14:textFill>
                        <w14:solidFill>
                          <w14:schemeClr w14:val="tx1"/>
                        </w14:solidFill>
                      </w14:textFill>
                    </w:rPr>
                    <w:t>编号</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b/>
                      <w:bCs/>
                      <w:color w:val="000000" w:themeColor="text1"/>
                      <w:kern w:val="2"/>
                      <w:sz w:val="21"/>
                      <w:szCs w:val="21"/>
                      <w:u w:val="none"/>
                      <w14:textFill>
                        <w14:solidFill>
                          <w14:schemeClr w14:val="tx1"/>
                        </w14:solidFill>
                      </w14:textFill>
                    </w:rPr>
                  </w:pPr>
                  <w:r>
                    <w:rPr>
                      <w:rFonts w:hint="default" w:ascii="Times New Roman" w:hAnsi="Times New Roman" w:cs="Times New Roman"/>
                      <w:b/>
                      <w:bCs/>
                      <w:color w:val="000000" w:themeColor="text1"/>
                      <w:kern w:val="2"/>
                      <w:sz w:val="21"/>
                      <w:szCs w:val="21"/>
                      <w:u w:val="none"/>
                      <w14:textFill>
                        <w14:solidFill>
                          <w14:schemeClr w14:val="tx1"/>
                        </w14:solidFill>
                      </w14:textFill>
                    </w:rPr>
                    <w:t>项目</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b/>
                      <w:bCs/>
                      <w:color w:val="000000" w:themeColor="text1"/>
                      <w:kern w:val="2"/>
                      <w:sz w:val="21"/>
                      <w:szCs w:val="21"/>
                      <w:u w:val="none"/>
                      <w14:textFill>
                        <w14:solidFill>
                          <w14:schemeClr w14:val="tx1"/>
                        </w14:solidFill>
                      </w14:textFill>
                    </w:rPr>
                  </w:pPr>
                  <w:r>
                    <w:rPr>
                      <w:rFonts w:hint="default" w:ascii="Times New Roman" w:hAnsi="Times New Roman" w:cs="Times New Roman"/>
                      <w:b/>
                      <w:bCs/>
                      <w:color w:val="000000" w:themeColor="text1"/>
                      <w:kern w:val="2"/>
                      <w:sz w:val="21"/>
                      <w:szCs w:val="21"/>
                      <w:u w:val="none"/>
                      <w14:textFill>
                        <w14:solidFill>
                          <w14:schemeClr w14:val="tx1"/>
                        </w14:solidFill>
                      </w14:textFill>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2" w:type="pct"/>
                  <w:vMerge w:val="restar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1</w:t>
                  </w:r>
                </w:p>
              </w:tc>
              <w:tc>
                <w:tcPr>
                  <w:tcW w:w="2078" w:type="pct"/>
                  <w:vMerge w:val="restar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地表水环境功能区</w:t>
                  </w:r>
                </w:p>
              </w:tc>
              <w:tc>
                <w:tcPr>
                  <w:tcW w:w="566" w:type="pct"/>
                  <w:vMerge w:val="restart"/>
                  <w:tcBorders>
                    <w:tl2br w:val="nil"/>
                    <w:tr2bl w:val="nil"/>
                  </w:tcBorders>
                  <w:noWrap w:val="0"/>
                  <w:vAlign w:val="center"/>
                </w:tcPr>
                <w:p>
                  <w:pPr>
                    <w:pStyle w:val="24"/>
                    <w:widowControl/>
                    <w:autoSpaceDE/>
                    <w:snapToGrid w:val="0"/>
                    <w:spacing w:line="240" w:lineRule="auto"/>
                    <w:rPr>
                      <w:rFonts w:hint="default" w:ascii="Times New Roman" w:hAnsi="Times New Roman" w:cs="Times New Roman"/>
                      <w:color w:val="000000" w:themeColor="text1"/>
                      <w:kern w:val="2"/>
                      <w:sz w:val="21"/>
                      <w:u w:val="none"/>
                      <w:lang w:val="en-US"/>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渠水</w:t>
                  </w:r>
                </w:p>
              </w:tc>
              <w:tc>
                <w:tcPr>
                  <w:tcW w:w="1922" w:type="pct"/>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县水厂取水口上游1000米至下游200米</w:t>
                  </w:r>
                  <w:r>
                    <w:rPr>
                      <w:rFonts w:hint="eastAsia" w:cs="Times New Roman"/>
                      <w:color w:val="000000" w:themeColor="text1"/>
                      <w:kern w:val="2"/>
                      <w:sz w:val="21"/>
                      <w:szCs w:val="21"/>
                      <w:u w:val="none"/>
                      <w:lang w:val="en-US" w:eastAsia="zh-CN" w:bidi="ar-SA"/>
                      <w14:textFill>
                        <w14:solidFill>
                          <w14:schemeClr w14:val="tx1"/>
                        </w14:solidFill>
                      </w14:textFill>
                    </w:rPr>
                    <w:t>流域</w:t>
                  </w:r>
                  <w: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执行Ⅱ类标准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24"/>
                    <w:widowControl/>
                    <w:autoSpaceDE/>
                    <w:snapToGrid w:val="0"/>
                    <w:spacing w:line="240" w:lineRule="auto"/>
                  </w:pPr>
                </w:p>
              </w:tc>
              <w:tc>
                <w:tcPr>
                  <w:tcW w:w="2078" w:type="pct"/>
                  <w:vMerge w:val="continue"/>
                  <w:tcBorders>
                    <w:tl2br w:val="nil"/>
                    <w:tr2bl w:val="nil"/>
                  </w:tcBorders>
                  <w:noWrap w:val="0"/>
                  <w:vAlign w:val="center"/>
                </w:tcPr>
                <w:p>
                  <w:pPr>
                    <w:pStyle w:val="24"/>
                    <w:widowControl/>
                    <w:autoSpaceDE/>
                    <w:snapToGrid w:val="0"/>
                    <w:spacing w:line="240" w:lineRule="auto"/>
                  </w:pPr>
                </w:p>
              </w:tc>
              <w:tc>
                <w:tcPr>
                  <w:tcW w:w="566" w:type="pct"/>
                  <w:vMerge w:val="continue"/>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p>
              </w:tc>
              <w:tc>
                <w:tcPr>
                  <w:tcW w:w="1922" w:type="pct"/>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县水厂取水口下游200米至马鞍洞电站大坝</w:t>
                  </w:r>
                  <w:r>
                    <w:rPr>
                      <w:rFonts w:hint="eastAsia" w:cs="Times New Roman"/>
                      <w:color w:val="000000" w:themeColor="text1"/>
                      <w:kern w:val="2"/>
                      <w:sz w:val="21"/>
                      <w:szCs w:val="21"/>
                      <w:u w:val="none"/>
                      <w:lang w:val="en-US" w:eastAsia="zh-CN" w:bidi="ar-SA"/>
                      <w14:textFill>
                        <w14:solidFill>
                          <w14:schemeClr w14:val="tx1"/>
                        </w14:solidFill>
                      </w14:textFill>
                    </w:rPr>
                    <w:t>流域</w:t>
                  </w:r>
                  <w: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执行Ⅲ类标准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2" w:type="pct"/>
                  <w:vMerge w:val="continue"/>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p>
              </w:tc>
              <w:tc>
                <w:tcPr>
                  <w:tcW w:w="2078" w:type="pct"/>
                  <w:vMerge w:val="continue"/>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p>
              </w:tc>
              <w:tc>
                <w:tcPr>
                  <w:tcW w:w="566" w:type="pct"/>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文昌溪</w:t>
                  </w:r>
                </w:p>
              </w:tc>
              <w:tc>
                <w:tcPr>
                  <w:tcW w:w="1922" w:type="pct"/>
                  <w:tcBorders>
                    <w:tl2br w:val="nil"/>
                    <w:tr2bl w:val="nil"/>
                  </w:tcBorders>
                  <w:noWrap w:val="0"/>
                  <w:vAlign w:val="center"/>
                </w:tcPr>
                <w:p>
                  <w:pPr>
                    <w:pStyle w:val="24"/>
                    <w:widowControl/>
                    <w:autoSpaceDE/>
                    <w:snapToGrid w:val="0"/>
                    <w:spacing w:line="240" w:lineRule="auto"/>
                    <w:rPr>
                      <w:rFonts w:hint="eastAsia"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执行</w:t>
                  </w:r>
                  <w: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2</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环境空气质量功能区</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二类，二级标准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3</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声环境功能区</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lang w:eastAsia="zh-CN"/>
                      <w14:textFill>
                        <w14:solidFill>
                          <w14:schemeClr w14:val="tx1"/>
                        </w14:solidFill>
                      </w14:textFill>
                    </w:rPr>
                    <w:t>属于二类区，</w:t>
                  </w:r>
                  <w:r>
                    <w:rPr>
                      <w:rFonts w:hint="default" w:ascii="Times New Roman" w:hAnsi="Times New Roman" w:cs="Times New Roman"/>
                      <w:color w:val="000000" w:themeColor="text1"/>
                      <w:kern w:val="2"/>
                      <w:sz w:val="21"/>
                      <w:szCs w:val="21"/>
                      <w:highlight w:val="none"/>
                      <w:u w:val="none"/>
                      <w:lang w:val="en-US" w:eastAsia="zh-CN"/>
                      <w14:textFill>
                        <w14:solidFill>
                          <w14:schemeClr w14:val="tx1"/>
                        </w14:solidFill>
                      </w14:textFill>
                    </w:rPr>
                    <w:t>执行2类</w:t>
                  </w:r>
                  <w:r>
                    <w:rPr>
                      <w:rFonts w:hint="default" w:ascii="Times New Roman" w:hAnsi="Times New Roman" w:cs="Times New Roman"/>
                      <w:color w:val="000000" w:themeColor="text1"/>
                      <w:kern w:val="2"/>
                      <w:sz w:val="21"/>
                      <w:szCs w:val="21"/>
                      <w:highlight w:val="none"/>
                      <w:u w:val="none"/>
                      <w14:textFill>
                        <w14:solidFill>
                          <w14:schemeClr w14:val="tx1"/>
                        </w14:solidFill>
                      </w14:textFill>
                    </w:rPr>
                    <w:t>标准</w:t>
                  </w:r>
                  <w:r>
                    <w:rPr>
                      <w:rFonts w:hint="default" w:ascii="Times New Roman" w:hAnsi="Times New Roman" w:cs="Times New Roman"/>
                      <w:color w:val="000000" w:themeColor="text1"/>
                      <w:kern w:val="2"/>
                      <w:sz w:val="21"/>
                      <w:szCs w:val="21"/>
                      <w:u w:val="non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4</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是否基本农田保护区</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5</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是否森林、公园</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eastAsia" w:ascii="Times New Roman" w:hAnsi="Times New Roman" w:eastAsia="宋体" w:cs="Times New Roman"/>
                      <w:color w:val="000000" w:themeColor="text1"/>
                      <w:kern w:val="2"/>
                      <w:sz w:val="21"/>
                      <w:szCs w:val="21"/>
                      <w:u w:val="none"/>
                      <w:lang w:eastAsia="zh-CN"/>
                      <w14:textFill>
                        <w14:solidFill>
                          <w14:schemeClr w14:val="tx1"/>
                        </w14:solidFill>
                      </w14:textFill>
                    </w:rPr>
                  </w:pPr>
                  <w:r>
                    <w:rPr>
                      <w:rFonts w:hint="eastAsia" w:cs="Times New Roman"/>
                      <w:color w:val="000000" w:themeColor="text1"/>
                      <w:kern w:val="2"/>
                      <w:sz w:val="21"/>
                      <w:szCs w:val="21"/>
                      <w:u w:val="none"/>
                      <w:lang w:val="en-US" w:eastAsia="zh-CN"/>
                      <w14:textFill>
                        <w14:solidFill>
                          <w14:schemeClr w14:val="tx1"/>
                        </w14:solidFill>
                      </w14:textFill>
                    </w:rPr>
                    <w:t>6</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是否重点文物保护单位</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eastAsia" w:ascii="Times New Roman" w:hAnsi="Times New Roman" w:eastAsia="宋体" w:cs="Times New Roman"/>
                      <w:color w:val="000000" w:themeColor="text1"/>
                      <w:kern w:val="2"/>
                      <w:sz w:val="21"/>
                      <w:szCs w:val="21"/>
                      <w:u w:val="none"/>
                      <w:lang w:eastAsia="zh-CN"/>
                      <w14:textFill>
                        <w14:solidFill>
                          <w14:schemeClr w14:val="tx1"/>
                        </w14:solidFill>
                      </w14:textFill>
                    </w:rPr>
                  </w:pPr>
                  <w:r>
                    <w:rPr>
                      <w:rFonts w:hint="eastAsia" w:cs="Times New Roman"/>
                      <w:color w:val="000000" w:themeColor="text1"/>
                      <w:kern w:val="2"/>
                      <w:sz w:val="21"/>
                      <w:szCs w:val="21"/>
                      <w:u w:val="none"/>
                      <w:lang w:val="en-US" w:eastAsia="zh-CN"/>
                      <w14:textFill>
                        <w14:solidFill>
                          <w14:schemeClr w14:val="tx1"/>
                        </w14:solidFill>
                      </w14:textFill>
                    </w:rPr>
                    <w:t>7</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是否三河、三湖、两控区</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是（两控区）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eastAsia" w:ascii="Times New Roman" w:hAnsi="Times New Roman" w:eastAsia="宋体" w:cs="Times New Roman"/>
                      <w:color w:val="000000" w:themeColor="text1"/>
                      <w:kern w:val="2"/>
                      <w:sz w:val="21"/>
                      <w:szCs w:val="21"/>
                      <w:u w:val="none"/>
                      <w:lang w:eastAsia="zh-CN"/>
                      <w14:textFill>
                        <w14:solidFill>
                          <w14:schemeClr w14:val="tx1"/>
                        </w14:solidFill>
                      </w14:textFill>
                    </w:rPr>
                  </w:pPr>
                  <w:r>
                    <w:rPr>
                      <w:rFonts w:hint="eastAsia" w:cs="Times New Roman"/>
                      <w:color w:val="000000" w:themeColor="text1"/>
                      <w:kern w:val="2"/>
                      <w:sz w:val="21"/>
                      <w:szCs w:val="21"/>
                      <w:u w:val="none"/>
                      <w:lang w:val="en-US" w:eastAsia="zh-CN"/>
                      <w14:textFill>
                        <w14:solidFill>
                          <w14:schemeClr w14:val="tx1"/>
                        </w14:solidFill>
                      </w14:textFill>
                    </w:rPr>
                    <w:t>8</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是否水库库区</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tcBorders>
                    <w:tl2br w:val="nil"/>
                    <w:tr2bl w:val="nil"/>
                  </w:tcBorders>
                  <w:noWrap w:val="0"/>
                  <w:vAlign w:val="center"/>
                </w:tcPr>
                <w:p>
                  <w:pPr>
                    <w:pStyle w:val="23"/>
                    <w:widowControl/>
                    <w:autoSpaceDE/>
                    <w:snapToGrid w:val="0"/>
                    <w:spacing w:line="240" w:lineRule="auto"/>
                    <w:rPr>
                      <w:rFonts w:hint="eastAsia" w:ascii="Times New Roman" w:hAnsi="Times New Roman" w:eastAsia="宋体" w:cs="Times New Roman"/>
                      <w:color w:val="000000" w:themeColor="text1"/>
                      <w:kern w:val="2"/>
                      <w:sz w:val="21"/>
                      <w:szCs w:val="21"/>
                      <w:u w:val="none"/>
                      <w:lang w:eastAsia="zh-CN"/>
                      <w14:textFill>
                        <w14:solidFill>
                          <w14:schemeClr w14:val="tx1"/>
                        </w14:solidFill>
                      </w14:textFill>
                    </w:rPr>
                  </w:pPr>
                  <w:r>
                    <w:rPr>
                      <w:rFonts w:hint="eastAsia" w:cs="Times New Roman"/>
                      <w:color w:val="000000" w:themeColor="text1"/>
                      <w:kern w:val="2"/>
                      <w:sz w:val="21"/>
                      <w:szCs w:val="21"/>
                      <w:u w:val="none"/>
                      <w:lang w:val="en-US" w:eastAsia="zh-CN"/>
                      <w14:textFill>
                        <w14:solidFill>
                          <w14:schemeClr w14:val="tx1"/>
                        </w14:solidFill>
                      </w14:textFill>
                    </w:rPr>
                    <w:t>9</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w:t>
                  </w:r>
                  <w:r>
                    <w:rPr>
                      <w:rFonts w:hint="eastAsia" w:cs="Times New Roman"/>
                      <w:color w:val="000000" w:themeColor="text1"/>
                      <w:kern w:val="2"/>
                      <w:sz w:val="21"/>
                      <w:szCs w:val="21"/>
                      <w:u w:val="none"/>
                      <w:lang w:val="en-US" w:eastAsia="zh-CN"/>
                      <w14:textFill>
                        <w14:solidFill>
                          <w14:schemeClr w14:val="tx1"/>
                        </w14:solidFill>
                      </w14:textFill>
                    </w:rPr>
                    <w:t>位于</w:t>
                  </w:r>
                  <w:r>
                    <w:rPr>
                      <w:rFonts w:hint="default" w:ascii="Times New Roman" w:hAnsi="Times New Roman" w:cs="Times New Roman"/>
                      <w:color w:val="000000" w:themeColor="text1"/>
                      <w:kern w:val="2"/>
                      <w:sz w:val="21"/>
                      <w:szCs w:val="21"/>
                      <w:u w:val="none"/>
                      <w14:textFill>
                        <w14:solidFill>
                          <w14:schemeClr w14:val="tx1"/>
                        </w14:solidFill>
                      </w14:textFill>
                    </w:rPr>
                    <w:t>否污水处理厂集水范围</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l2br w:val="nil"/>
                    <w:tr2bl w:val="nil"/>
                  </w:tcBorders>
                  <w:noWrap w:val="0"/>
                  <w:vAlign w:val="center"/>
                </w:tcPr>
                <w:p>
                  <w:pPr>
                    <w:pStyle w:val="23"/>
                    <w:widowControl/>
                    <w:autoSpaceDE/>
                    <w:snapToGrid w:val="0"/>
                    <w:spacing w:line="240" w:lineRule="auto"/>
                    <w:rPr>
                      <w:rFonts w:hint="default" w:ascii="Times New Roman" w:hAnsi="Times New Roman" w:eastAsia="宋体" w:cs="Times New Roman"/>
                      <w:color w:val="000000" w:themeColor="text1"/>
                      <w:kern w:val="2"/>
                      <w:sz w:val="21"/>
                      <w:szCs w:val="21"/>
                      <w:u w:val="none"/>
                      <w:lang w:val="en-US" w:eastAsia="zh-CN"/>
                      <w14:textFill>
                        <w14:solidFill>
                          <w14:schemeClr w14:val="tx1"/>
                        </w14:solidFill>
                      </w14:textFill>
                    </w:rPr>
                  </w:pPr>
                  <w:r>
                    <w:rPr>
                      <w:rFonts w:hint="eastAsia" w:cs="Times New Roman"/>
                      <w:color w:val="000000" w:themeColor="text1"/>
                      <w:kern w:val="2"/>
                      <w:sz w:val="21"/>
                      <w:szCs w:val="21"/>
                      <w:u w:val="none"/>
                      <w:lang w:val="en-US" w:eastAsia="zh-CN"/>
                      <w14:textFill>
                        <w14:solidFill>
                          <w14:schemeClr w14:val="tx1"/>
                        </w14:solidFill>
                      </w14:textFill>
                    </w:rPr>
                    <w:t>10</w:t>
                  </w:r>
                </w:p>
              </w:tc>
              <w:tc>
                <w:tcPr>
                  <w:tcW w:w="2078" w:type="pct"/>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是否属于生态敏感与脆弱区</w:t>
                  </w:r>
                </w:p>
              </w:tc>
              <w:tc>
                <w:tcPr>
                  <w:tcW w:w="2488" w:type="pct"/>
                  <w:gridSpan w:val="2"/>
                  <w:tcBorders>
                    <w:tl2br w:val="nil"/>
                    <w:tr2bl w:val="nil"/>
                  </w:tcBorders>
                  <w:noWrap w:val="0"/>
                  <w:vAlign w:val="center"/>
                </w:tcPr>
                <w:p>
                  <w:pPr>
                    <w:pStyle w:val="23"/>
                    <w:widowControl/>
                    <w:autoSpaceDE/>
                    <w:snapToGrid w:val="0"/>
                    <w:spacing w:line="240" w:lineRule="auto"/>
                    <w:rPr>
                      <w:rFonts w:hint="default" w:ascii="Times New Roman" w:hAnsi="Times New Roman" w:cs="Times New Roman"/>
                      <w:color w:val="000000" w:themeColor="text1"/>
                      <w:kern w:val="2"/>
                      <w:sz w:val="21"/>
                      <w:szCs w:val="21"/>
                      <w:u w:val="none"/>
                      <w14:textFill>
                        <w14:solidFill>
                          <w14:schemeClr w14:val="tx1"/>
                        </w14:solidFill>
                      </w14:textFill>
                    </w:rPr>
                  </w:pPr>
                  <w:r>
                    <w:rPr>
                      <w:rFonts w:hint="default" w:ascii="Times New Roman" w:hAnsi="Times New Roman" w:cs="Times New Roman"/>
                      <w:color w:val="000000" w:themeColor="text1"/>
                      <w:kern w:val="2"/>
                      <w:sz w:val="21"/>
                      <w:szCs w:val="21"/>
                      <w:u w:val="none"/>
                      <w14:textFill>
                        <w14:solidFill>
                          <w14:schemeClr w14:val="tx1"/>
                        </w14:solidFill>
                      </w14:textFill>
                    </w:rPr>
                    <w:t>否</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五、</w:t>
            </w:r>
            <w:r>
              <w:rPr>
                <w:rFonts w:hint="default" w:ascii="宋体" w:hAnsi="宋体" w:eastAsia="宋体" w:cs="宋体"/>
                <w:b/>
                <w:bCs/>
                <w:color w:val="000000" w:themeColor="text1"/>
                <w:kern w:val="0"/>
                <w:sz w:val="24"/>
                <w:szCs w:val="24"/>
                <w:lang w:val="en-US" w:eastAsia="zh-CN"/>
                <w14:textFill>
                  <w14:solidFill>
                    <w14:schemeClr w14:val="tx1"/>
                  </w14:solidFill>
                </w14:textFill>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eastAsia="宋体" w:cs="Times New Roman"/>
                <w:color w:val="000000" w:themeColor="text1"/>
                <w:sz w:val="24"/>
                <w:szCs w:val="24"/>
                <w:u w:val="none"/>
                <w:lang w:val="en-US" w:eastAsia="zh-CN"/>
                <w14:textFill>
                  <w14:solidFill>
                    <w14:schemeClr w14:val="tx1"/>
                  </w14:solidFill>
                </w14:textFill>
              </w:rPr>
            </w:pPr>
            <w:r>
              <w:rPr>
                <w:rFonts w:hint="eastAsia" w:eastAsia="宋体" w:cs="Times New Roman"/>
                <w:color w:val="000000" w:themeColor="text1"/>
                <w:sz w:val="24"/>
                <w:szCs w:val="24"/>
                <w:u w:val="none"/>
                <w:lang w:val="en-US" w:eastAsia="zh-CN"/>
                <w14:textFill>
                  <w14:solidFill>
                    <w14:schemeClr w14:val="tx1"/>
                  </w14:solidFill>
                </w14:textFill>
              </w:rPr>
              <w:t>（1）</w:t>
            </w:r>
            <w:r>
              <w:rPr>
                <w:rFonts w:hint="eastAsia" w:cs="Times New Roman"/>
                <w:color w:val="000000" w:themeColor="text1"/>
                <w:sz w:val="24"/>
                <w:szCs w:val="24"/>
                <w:u w:val="none"/>
                <w:lang w:val="en-US" w:eastAsia="zh-CN"/>
                <w14:textFill>
                  <w14:solidFill>
                    <w14:schemeClr w14:val="tx1"/>
                  </w14:solidFill>
                </w14:textFill>
              </w:rPr>
              <w:t>规划合理性分析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04" w:firstLineChars="200"/>
              <w:jc w:val="left"/>
              <w:textAlignment w:val="auto"/>
              <w:rPr>
                <w:rFonts w:hint="eastAsia" w:eastAsia="宋体" w:cs="Times New Roman"/>
                <w:b w:val="0"/>
                <w:bCs w:val="0"/>
                <w:color w:val="000000" w:themeColor="text1"/>
                <w:sz w:val="24"/>
                <w:szCs w:val="24"/>
                <w:u w:val="none"/>
                <w:lang w:val="en-US" w:eastAsia="zh-CN"/>
                <w14:textFill>
                  <w14:solidFill>
                    <w14:schemeClr w14:val="tx1"/>
                  </w14:solidFill>
                </w14:textFill>
              </w:rPr>
            </w:pPr>
            <w:r>
              <w:rPr>
                <w:rFonts w:hint="default" w:ascii="Times New Roman" w:hAnsi="Times New Roman" w:cs="Times New Roman"/>
                <w:color w:val="000000" w:themeColor="text1"/>
                <w:spacing w:val="6"/>
                <w:sz w:val="24"/>
                <w:u w:val="none"/>
                <w14:textFill>
                  <w14:solidFill>
                    <w14:schemeClr w14:val="tx1"/>
                  </w14:solidFill>
                </w14:textFill>
              </w:rPr>
              <w:t>本项目</w:t>
            </w:r>
            <w:r>
              <w:rPr>
                <w:rFonts w:hint="default" w:ascii="Times New Roman" w:hAnsi="Times New Roman" w:cs="Times New Roman"/>
                <w:color w:val="000000" w:themeColor="text1"/>
                <w:sz w:val="24"/>
                <w:u w:val="none"/>
                <w14:textFill>
                  <w14:solidFill>
                    <w14:schemeClr w14:val="tx1"/>
                  </w14:solidFill>
                </w14:textFill>
              </w:rPr>
              <w:t>位于</w:t>
            </w:r>
            <w:r>
              <w:rPr>
                <w:rFonts w:hint="eastAsia" w:eastAsia="宋体" w:cs="Times New Roman"/>
                <w:color w:val="000000" w:themeColor="text1"/>
                <w:sz w:val="24"/>
                <w:szCs w:val="24"/>
                <w:u w:val="none"/>
                <w:lang w:val="en-US" w:eastAsia="zh-CN"/>
                <w14:textFill>
                  <w14:solidFill>
                    <w14:schemeClr w14:val="tx1"/>
                  </w14:solidFill>
                </w14:textFill>
              </w:rPr>
              <w:t>靖州县渠阳镇江东街</w:t>
            </w:r>
            <w:r>
              <w:rPr>
                <w:rFonts w:hint="eastAsia" w:ascii="Calibri" w:hAnsi="Calibri" w:eastAsia="宋体" w:cs="Times New Roman"/>
                <w:color w:val="000000" w:themeColor="text1"/>
                <w:kern w:val="2"/>
                <w:sz w:val="24"/>
                <w:szCs w:val="24"/>
                <w:lang w:val="en-US" w:eastAsia="zh-CN" w:bidi="ar-SA"/>
                <w14:textFill>
                  <w14:solidFill>
                    <w14:schemeClr w14:val="tx1"/>
                  </w14:solidFill>
                </w14:textFill>
              </w:rPr>
              <w:t>（详见附图</w:t>
            </w:r>
            <w:r>
              <w:rPr>
                <w:rFonts w:hint="eastAsia" w:ascii="Calibri" w:hAnsi="Calibri" w:cs="Times New Roman"/>
                <w:color w:val="000000" w:themeColor="text1"/>
                <w:kern w:val="2"/>
                <w:sz w:val="24"/>
                <w:szCs w:val="24"/>
                <w:lang w:val="en-US" w:eastAsia="zh-CN" w:bidi="ar-SA"/>
                <w14:textFill>
                  <w14:solidFill>
                    <w14:schemeClr w14:val="tx1"/>
                  </w14:solidFill>
                </w14:textFill>
              </w:rPr>
              <w:t>1</w:t>
            </w:r>
            <w:r>
              <w:rPr>
                <w:rFonts w:hint="eastAsia" w:ascii="Calibri" w:hAnsi="Calibri"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highlight w:val="none"/>
                <w:u w:val="none"/>
                <w14:textFill>
                  <w14:solidFill>
                    <w14:schemeClr w14:val="tx1"/>
                  </w14:solidFill>
                </w14:textFill>
              </w:rPr>
              <w:t>，</w:t>
            </w:r>
            <w:r>
              <w:rPr>
                <w:rFonts w:hint="eastAsia" w:eastAsia="宋体" w:cs="Times New Roman"/>
                <w:b w:val="0"/>
                <w:bCs w:val="0"/>
                <w:color w:val="000000" w:themeColor="text1"/>
                <w:sz w:val="24"/>
                <w:szCs w:val="24"/>
                <w:u w:val="none"/>
                <w:lang w:val="en-US" w:eastAsia="zh-CN"/>
                <w14:textFill>
                  <w14:solidFill>
                    <w14:schemeClr w14:val="tx1"/>
                  </w14:solidFill>
                </w14:textFill>
              </w:rPr>
              <w:t>依据《靖州苗族侗族自治县县城总体规划(2009-2030)》（见附图3），项目所处区域属于卫生防疫用地，项目建设符合靖州县城市发展及土地利用规划。</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eastAsia="宋体" w:cs="Times New Roman"/>
                <w:color w:val="000000" w:themeColor="text1"/>
                <w:sz w:val="24"/>
                <w:szCs w:val="24"/>
                <w:u w:val="none"/>
                <w:lang w:val="en-US" w:eastAsia="zh-CN"/>
                <w14:textFill>
                  <w14:solidFill>
                    <w14:schemeClr w14:val="tx1"/>
                  </w14:solidFill>
                </w14:textFill>
              </w:rPr>
            </w:pPr>
            <w:r>
              <w:rPr>
                <w:rFonts w:hint="eastAsia" w:eastAsia="宋体" w:cs="Times New Roman"/>
                <w:color w:val="000000" w:themeColor="text1"/>
                <w:sz w:val="24"/>
                <w:szCs w:val="24"/>
                <w:u w:val="none"/>
                <w:lang w:val="en-US" w:eastAsia="zh-CN"/>
                <w14:textFill>
                  <w14:solidFill>
                    <w14:schemeClr w14:val="tx1"/>
                  </w14:solidFill>
                </w14:textFill>
              </w:rPr>
              <w:t>（</w:t>
            </w:r>
            <w:r>
              <w:rPr>
                <w:rFonts w:hint="eastAsia" w:cs="Times New Roman"/>
                <w:color w:val="000000" w:themeColor="text1"/>
                <w:sz w:val="24"/>
                <w:szCs w:val="24"/>
                <w:u w:val="none"/>
                <w:lang w:val="en-US" w:eastAsia="zh-CN"/>
                <w14:textFill>
                  <w14:solidFill>
                    <w14:schemeClr w14:val="tx1"/>
                  </w14:solidFill>
                </w14:textFill>
              </w:rPr>
              <w:t>2</w:t>
            </w:r>
            <w:r>
              <w:rPr>
                <w:rFonts w:hint="eastAsia" w:eastAsia="宋体" w:cs="Times New Roman"/>
                <w:color w:val="000000" w:themeColor="text1"/>
                <w:sz w:val="24"/>
                <w:szCs w:val="24"/>
                <w:u w:val="none"/>
                <w:lang w:val="en-US" w:eastAsia="zh-CN"/>
                <w14:textFill>
                  <w14:solidFill>
                    <w14:schemeClr w14:val="tx1"/>
                  </w14:solidFill>
                </w14:textFill>
              </w:rPr>
              <w:t>）</w:t>
            </w:r>
            <w:r>
              <w:rPr>
                <w:rFonts w:hint="eastAsia" w:cs="Times New Roman"/>
                <w:color w:val="000000" w:themeColor="text1"/>
                <w:sz w:val="24"/>
                <w:szCs w:val="24"/>
                <w:u w:val="none"/>
                <w:lang w:val="en-US" w:eastAsia="zh-CN"/>
                <w14:textFill>
                  <w14:solidFill>
                    <w14:schemeClr w14:val="tx1"/>
                  </w14:solidFill>
                </w14:textFill>
              </w:rPr>
              <w:t>基础设施合理性分析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w:t>
            </w:r>
            <w:r>
              <w:rPr>
                <w:rFonts w:hint="eastAsia" w:cs="Times New Roman"/>
                <w:color w:val="000000" w:themeColor="text1"/>
                <w:sz w:val="24"/>
                <w:szCs w:val="24"/>
                <w:highlight w:val="none"/>
                <w:u w:val="none"/>
                <w:lang w:val="en-US" w:eastAsia="zh-CN"/>
                <w14:textFill>
                  <w14:solidFill>
                    <w14:schemeClr w14:val="tx1"/>
                  </w14:solidFill>
                </w14:textFill>
              </w:rPr>
              <w:t>位于靖州县渠阳镇，</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区域内的供电、供水、</w:t>
            </w:r>
            <w:r>
              <w:rPr>
                <w:rFonts w:hint="eastAsia" w:cs="Times New Roman"/>
                <w:color w:val="000000" w:themeColor="text1"/>
                <w:sz w:val="24"/>
                <w:szCs w:val="24"/>
                <w:highlight w:val="none"/>
                <w:u w:val="none"/>
                <w:lang w:val="en-US" w:eastAsia="zh-CN"/>
                <w14:textFill>
                  <w14:solidFill>
                    <w14:schemeClr w14:val="tx1"/>
                  </w14:solidFill>
                </w14:textFill>
              </w:rPr>
              <w:t>通讯等</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基础设施配套良好，能够满足项目需求。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lang w:val="en-US" w:eastAsia="zh-CN"/>
              </w:rPr>
            </w:pPr>
            <w:r>
              <w:rPr>
                <w:rFonts w:hint="eastAsia" w:eastAsia="宋体" w:cs="Times New Roman"/>
                <w:color w:val="000000" w:themeColor="text1"/>
                <w:sz w:val="24"/>
                <w:szCs w:val="24"/>
                <w:u w:val="none"/>
                <w:lang w:val="en-US" w:eastAsia="zh-CN"/>
                <w14:textFill>
                  <w14:solidFill>
                    <w14:schemeClr w14:val="tx1"/>
                  </w14:solidFill>
                </w14:textFill>
              </w:rPr>
              <w:t>（</w:t>
            </w:r>
            <w:r>
              <w:rPr>
                <w:rFonts w:hint="eastAsia" w:cs="Times New Roman"/>
                <w:color w:val="000000" w:themeColor="text1"/>
                <w:sz w:val="24"/>
                <w:szCs w:val="24"/>
                <w:u w:val="none"/>
                <w:lang w:val="en-US" w:eastAsia="zh-CN"/>
                <w14:textFill>
                  <w14:solidFill>
                    <w14:schemeClr w14:val="tx1"/>
                  </w14:solidFill>
                </w14:textFill>
              </w:rPr>
              <w:t>3</w:t>
            </w:r>
            <w:r>
              <w:rPr>
                <w:rFonts w:hint="eastAsia" w:eastAsia="宋体" w:cs="Times New Roman"/>
                <w:color w:val="000000" w:themeColor="text1"/>
                <w:sz w:val="24"/>
                <w:szCs w:val="24"/>
                <w:u w:val="none"/>
                <w:lang w:val="en-US" w:eastAsia="zh-CN"/>
                <w14:textFill>
                  <w14:solidFill>
                    <w14:schemeClr w14:val="tx1"/>
                  </w14:solidFill>
                </w14:textFill>
              </w:rPr>
              <w:t>）</w:t>
            </w:r>
            <w:r>
              <w:rPr>
                <w:rFonts w:hint="eastAsia" w:cs="Times New Roman"/>
                <w:color w:val="000000" w:themeColor="text1"/>
                <w:sz w:val="24"/>
                <w:szCs w:val="24"/>
                <w:u w:val="none"/>
                <w:lang w:val="en-US" w:eastAsia="zh-CN"/>
                <w14:textFill>
                  <w14:solidFill>
                    <w14:schemeClr w14:val="tx1"/>
                  </w14:solidFill>
                </w14:textFill>
              </w:rPr>
              <w:t>环境受体合理性分析</w:t>
            </w:r>
          </w:p>
          <w:p>
            <w:pPr>
              <w:pStyle w:val="21"/>
              <w:adjustRightInd/>
              <w:spacing w:line="360" w:lineRule="auto"/>
              <w:ind w:firstLine="480" w:firstLineChars="200"/>
              <w:rPr>
                <w:rFonts w:hint="default" w:ascii="Calibri" w:hAnsi="Calibri"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位于环境空气、地表水环境、声环境达标区。项目</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周边无自然保护区、风景名胜区、文化遗产保护区、世界文化自然遗产和森林公园、地质公园、湿地公园、生态保护区、饮用水取水口及水源保护区等环境敏感区保护目标</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运营产生废气、废水、噪声及固体废物污染经采取相应的环保措施后可达标排放</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对外环境影响较小</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，改建后不会导致区内环境质量恶化</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Calibri" w:hAnsi="Calibri" w:eastAsia="宋体" w:cs="Times New Roman"/>
                <w:color w:val="000000" w:themeColor="text1"/>
                <w:kern w:val="2"/>
                <w:sz w:val="24"/>
                <w:szCs w:val="24"/>
                <w:lang w:val="en-US" w:eastAsia="zh-CN" w:bidi="ar-SA"/>
                <w14:textFill>
                  <w14:solidFill>
                    <w14:schemeClr w14:val="tx1"/>
                  </w14:solidFill>
                </w14:textFill>
              </w:rPr>
            </w:pPr>
            <w:r>
              <w:rPr>
                <w:rFonts w:hint="default" w:ascii="Calibri" w:hAnsi="Calibri" w:eastAsia="宋体" w:cs="Times New Roman"/>
                <w:color w:val="000000" w:themeColor="text1"/>
                <w:kern w:val="2"/>
                <w:sz w:val="24"/>
                <w:szCs w:val="24"/>
                <w:lang w:val="en-US" w:eastAsia="zh-CN" w:bidi="ar-SA"/>
                <w14:textFill>
                  <w14:solidFill>
                    <w14:schemeClr w14:val="tx1"/>
                  </w14:solidFill>
                </w14:textFill>
              </w:rPr>
              <w:t>综上，本项目选址合理可行</w:t>
            </w:r>
            <w:r>
              <w:rPr>
                <w:rFonts w:hint="eastAsia" w:ascii="Calibri" w:hAnsi="Calibri"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六、</w:t>
            </w:r>
            <w:r>
              <w:rPr>
                <w:rFonts w:hint="default" w:ascii="宋体" w:hAnsi="宋体" w:eastAsia="宋体" w:cs="宋体"/>
                <w:b/>
                <w:bCs/>
                <w:color w:val="000000" w:themeColor="text1"/>
                <w:kern w:val="0"/>
                <w:sz w:val="24"/>
                <w:szCs w:val="24"/>
                <w:lang w:val="en-US" w:eastAsia="zh-CN"/>
                <w14:textFill>
                  <w14:solidFill>
                    <w14:schemeClr w14:val="tx1"/>
                  </w14:solidFill>
                </w14:textFill>
              </w:rPr>
              <w:t>项目总平布置合理性分析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s="Times New Roman"/>
                <w:color w:val="000000" w:themeColor="text1"/>
                <w:sz w:val="24"/>
                <w:szCs w:val="24"/>
                <w:u w:val="none"/>
                <w:lang w:val="en-US" w:eastAsia="zh-CN"/>
                <w14:textFill>
                  <w14:solidFill>
                    <w14:schemeClr w14:val="tx1"/>
                  </w14:solidFill>
                </w14:textFill>
              </w:rPr>
            </w:pPr>
            <w:r>
              <w:rPr>
                <w:rFonts w:hint="eastAsia" w:eastAsia="宋体" w:cs="Times New Roman"/>
                <w:color w:val="000000" w:themeColor="text1"/>
                <w:sz w:val="24"/>
                <w:szCs w:val="24"/>
                <w:u w:val="none"/>
                <w:lang w:val="en-US" w:eastAsia="zh-CN"/>
                <w14:textFill>
                  <w14:solidFill>
                    <w14:schemeClr w14:val="tx1"/>
                  </w14:solidFill>
                </w14:textFill>
              </w:rPr>
              <w:t>靖州</w:t>
            </w:r>
            <w:r>
              <w:rPr>
                <w:rFonts w:hint="eastAsia" w:cs="Times New Roman"/>
                <w:color w:val="000000" w:themeColor="text1"/>
                <w:sz w:val="24"/>
                <w:szCs w:val="24"/>
                <w:u w:val="none"/>
                <w:lang w:val="en-US" w:eastAsia="zh-CN"/>
                <w14:textFill>
                  <w14:solidFill>
                    <w14:schemeClr w14:val="tx1"/>
                  </w14:solidFill>
                </w14:textFill>
              </w:rPr>
              <w:t>苗族侗族自治</w:t>
            </w:r>
            <w:r>
              <w:rPr>
                <w:rFonts w:hint="eastAsia" w:eastAsia="宋体" w:cs="Times New Roman"/>
                <w:color w:val="000000" w:themeColor="text1"/>
                <w:sz w:val="24"/>
                <w:szCs w:val="24"/>
                <w:u w:val="none"/>
                <w:lang w:val="en-US" w:eastAsia="zh-CN"/>
                <w14:textFill>
                  <w14:solidFill>
                    <w14:schemeClr w14:val="tx1"/>
                  </w14:solidFill>
                </w14:textFill>
              </w:rPr>
              <w:t>县</w:t>
            </w:r>
            <w:r>
              <w:rPr>
                <w:rFonts w:hint="eastAsia" w:cs="Times New Roman"/>
                <w:color w:val="000000" w:themeColor="text1"/>
                <w:sz w:val="24"/>
                <w:szCs w:val="24"/>
                <w:u w:val="none"/>
                <w:lang w:val="en-US" w:eastAsia="zh-CN"/>
                <w14:textFill>
                  <w14:solidFill>
                    <w14:schemeClr w14:val="tx1"/>
                  </w14:solidFill>
                </w14:textFill>
              </w:rPr>
              <w:t>疾控中心平面布局整体呈U字形，西侧为办公楼，南侧为检测楼，西侧为本次改建的检验检测楼，中间平地部分作为停车场；项目计划在检验检测楼与检测楼2、3层之间修建两条连廊，建成后，项目各实验室通勤路径将极大程度上缩短。另外，检验楼原有部分实验室将搬迁至检验检测楼，使得各实验室空间操作更为开阔，仪器、试剂摆放位置更具有条理，职工工作动线也将更为合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cs="宋体"/>
                <w:color w:val="000000" w:themeColor="text1"/>
                <w:kern w:val="0"/>
                <w:sz w:val="24"/>
                <w:szCs w:val="24"/>
                <w:highlight w:val="red"/>
                <w:lang w:val="en-US"/>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综合来看，</w:t>
            </w:r>
            <w:r>
              <w:rPr>
                <w:rFonts w:hint="default" w:ascii="Times New Roman" w:hAnsi="Times New Roman" w:eastAsia="宋体" w:cs="Times New Roman"/>
                <w:color w:val="000000" w:themeColor="text1"/>
                <w:kern w:val="0"/>
                <w:sz w:val="24"/>
                <w:szCs w:val="24"/>
                <w:highlight w:val="none"/>
                <w:u w:val="none"/>
                <w:lang w:eastAsia="zh-CN" w:bidi="ar"/>
                <w14:textFill>
                  <w14:solidFill>
                    <w14:schemeClr w14:val="tx1"/>
                  </w14:solidFill>
                </w14:textFill>
              </w:rPr>
              <w:t>项目结合</w:t>
            </w:r>
            <w:r>
              <w:rPr>
                <w:rFonts w:hint="eastAsia" w:cs="Times New Roman"/>
                <w:color w:val="000000" w:themeColor="text1"/>
                <w:kern w:val="0"/>
                <w:sz w:val="24"/>
                <w:szCs w:val="24"/>
                <w:highlight w:val="none"/>
                <w:u w:val="none"/>
                <w:lang w:val="en-US" w:eastAsia="zh-CN" w:bidi="ar"/>
                <w14:textFill>
                  <w14:solidFill>
                    <w14:schemeClr w14:val="tx1"/>
                  </w14:solidFill>
                </w14:textFill>
              </w:rPr>
              <w:t>了自身特点</w:t>
            </w:r>
            <w:r>
              <w:rPr>
                <w:rFonts w:hint="default" w:ascii="Times New Roman" w:hAnsi="Times New Roman" w:eastAsia="宋体" w:cs="Times New Roman"/>
                <w:color w:val="000000" w:themeColor="text1"/>
                <w:kern w:val="0"/>
                <w:sz w:val="24"/>
                <w:szCs w:val="24"/>
                <w:highlight w:val="none"/>
                <w:u w:val="none"/>
                <w:lang w:eastAsia="zh-CN" w:bidi="ar"/>
                <w14:textFill>
                  <w14:solidFill>
                    <w14:schemeClr w14:val="tx1"/>
                  </w14:solidFill>
                </w14:textFill>
              </w:rPr>
              <w:t>、</w:t>
            </w:r>
            <w:r>
              <w:rPr>
                <w:rFonts w:hint="eastAsia" w:cs="Times New Roman"/>
                <w:color w:val="000000" w:themeColor="text1"/>
                <w:kern w:val="0"/>
                <w:sz w:val="24"/>
                <w:szCs w:val="24"/>
                <w:highlight w:val="none"/>
                <w:u w:val="none"/>
                <w:lang w:val="en-US" w:eastAsia="zh-CN" w:bidi="ar"/>
                <w14:textFill>
                  <w14:solidFill>
                    <w14:schemeClr w14:val="tx1"/>
                  </w14:solidFill>
                </w14:textFill>
              </w:rPr>
              <w:t>周边环境等</w:t>
            </w:r>
            <w:r>
              <w:rPr>
                <w:rFonts w:hint="default" w:ascii="Times New Roman" w:hAnsi="Times New Roman" w:eastAsia="宋体" w:cs="Times New Roman"/>
                <w:color w:val="000000" w:themeColor="text1"/>
                <w:kern w:val="0"/>
                <w:sz w:val="24"/>
                <w:szCs w:val="24"/>
                <w:highlight w:val="none"/>
                <w:u w:val="none"/>
                <w:lang w:eastAsia="zh-CN" w:bidi="ar"/>
                <w14:textFill>
                  <w14:solidFill>
                    <w14:schemeClr w14:val="tx1"/>
                  </w14:solidFill>
                </w14:textFill>
              </w:rPr>
              <w:t>因素，因地制宜地布置建筑物，</w:t>
            </w:r>
            <w:r>
              <w:rPr>
                <w:rFonts w:hint="eastAsia" w:cs="Times New Roman"/>
                <w:color w:val="000000" w:themeColor="text1"/>
                <w:kern w:val="0"/>
                <w:sz w:val="24"/>
                <w:szCs w:val="24"/>
                <w:highlight w:val="none"/>
                <w:u w:val="none"/>
                <w:lang w:val="en-US" w:eastAsia="zh-CN" w:bidi="ar"/>
                <w14:textFill>
                  <w14:solidFill>
                    <w14:schemeClr w14:val="tx1"/>
                  </w14:solidFill>
                </w14:textFill>
              </w:rPr>
              <w:t>总体</w:t>
            </w:r>
            <w:r>
              <w:rPr>
                <w:rFonts w:hint="default" w:ascii="Times New Roman" w:hAnsi="Times New Roman" w:eastAsia="宋体" w:cs="Times New Roman"/>
                <w:color w:val="000000" w:themeColor="text1"/>
                <w:kern w:val="0"/>
                <w:sz w:val="24"/>
                <w:szCs w:val="24"/>
                <w:highlight w:val="none"/>
                <w:u w:val="none"/>
                <w:lang w:eastAsia="zh-CN" w:bidi="ar"/>
                <w14:textFill>
                  <w14:solidFill>
                    <w14:schemeClr w14:val="tx1"/>
                  </w14:solidFill>
                </w14:textFill>
              </w:rPr>
              <w:t>合理可行</w:t>
            </w:r>
            <w:r>
              <w:rPr>
                <w:rFonts w:hint="eastAsia" w:cs="Times New Roman"/>
                <w:color w:val="000000" w:themeColor="text1"/>
                <w:kern w:val="0"/>
                <w:sz w:val="24"/>
                <w:szCs w:val="24"/>
                <w:highlight w:val="none"/>
                <w:u w:val="none"/>
                <w:lang w:eastAsia="zh-CN" w:bidi="ar"/>
                <w14:textFill>
                  <w14:solidFill>
                    <w14:schemeClr w14:val="tx1"/>
                  </w14:solidFill>
                </w14:textFill>
              </w:rPr>
              <w:t>，</w:t>
            </w:r>
            <w:r>
              <w:rPr>
                <w:rFonts w:hint="eastAsia" w:cs="Times New Roman"/>
                <w:color w:val="000000" w:themeColor="text1"/>
                <w:kern w:val="0"/>
                <w:sz w:val="24"/>
                <w:szCs w:val="24"/>
                <w:highlight w:val="none"/>
                <w:u w:val="none"/>
                <w:lang w:val="en-US" w:eastAsia="zh-CN" w:bidi="ar"/>
                <w14:textFill>
                  <w14:solidFill>
                    <w14:schemeClr w14:val="tx1"/>
                  </w14:solidFill>
                </w14:textFill>
              </w:rPr>
              <w:t>平面布局图见附图2。</w:t>
            </w: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bidi w:val="0"/>
      </w:pPr>
      <w:bookmarkStart w:id="2" w:name="_Toc9207"/>
      <w:r>
        <w:rPr>
          <w:rFonts w:hint="eastAsia"/>
        </w:rPr>
        <w:t>二、建设项目工程分析</w:t>
      </w:r>
      <w:bookmarkEnd w:id="2"/>
    </w:p>
    <w:tbl>
      <w:tblPr>
        <w:tblStyle w:val="17"/>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9" w:hRule="atLeast"/>
          <w:jc w:val="center"/>
        </w:trPr>
        <w:tc>
          <w:tcPr>
            <w:tcW w:w="494" w:type="dxa"/>
            <w:vAlign w:val="center"/>
          </w:tcPr>
          <w:p>
            <w:pPr>
              <w:pStyle w:val="4"/>
              <w:bidi w:val="0"/>
              <w:rPr>
                <w:rFonts w:hint="default" w:eastAsia="宋体"/>
                <w:vertAlign w:val="baseline"/>
                <w:lang w:val="en-US" w:eastAsia="zh-CN"/>
              </w:rPr>
            </w:pPr>
            <w:bookmarkStart w:id="3" w:name="_Toc12394"/>
            <w:r>
              <w:rPr>
                <w:rFonts w:hint="eastAsia"/>
                <w:lang w:val="en-US" w:eastAsia="zh-CN"/>
              </w:rPr>
              <w:t>建设内容</w:t>
            </w:r>
            <w:bookmarkEnd w:id="3"/>
          </w:p>
        </w:tc>
        <w:tc>
          <w:tcPr>
            <w:tcW w:w="9185" w:type="dxa"/>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b/>
                <w:bCs/>
                <w:sz w:val="24"/>
                <w:szCs w:val="24"/>
                <w:lang w:val="en-US" w:eastAsia="zh-CN"/>
              </w:rPr>
            </w:pPr>
            <w:r>
              <w:rPr>
                <w:rFonts w:hint="eastAsia"/>
                <w:b/>
                <w:bCs/>
                <w:sz w:val="24"/>
                <w:szCs w:val="24"/>
                <w:lang w:val="en-US" w:eastAsia="zh-CN"/>
              </w:rPr>
              <w:t>一、项目由来：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default"/>
                <w:sz w:val="24"/>
                <w:szCs w:val="24"/>
                <w:lang w:val="en-US" w:eastAsia="zh-CN"/>
              </w:rPr>
              <w:t>近年来，我国突发公共卫生事件呈现频次高、规模大、影响广</w:t>
            </w:r>
            <w:r>
              <w:rPr>
                <w:rFonts w:hint="eastAsia"/>
                <w:sz w:val="24"/>
                <w:szCs w:val="24"/>
                <w:lang w:val="en-US" w:eastAsia="zh-CN"/>
              </w:rPr>
              <w:t>泛、损失严重等特点，重大急性传染病类、急性中毒类事件、新发传染病、不明原因疾病、输入性传染病的风险持续存在，我国卫生应急工作面临着巨大压力。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全球新冠肺炎疫情给中国社会与经济带来了巨大冲击，不断地挑战着我国处置突发公共卫生事件的能力；靖州县作为我国省防控突发公共卫生事件的重点县市区之一，特殊的地理位置和严峻的疾病防控形势让卫生应急管理不得不提高自身的应对能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靖州苗族侗族自治县疾病预防控制中心位于靖州县渠阳镇江东街，现主要针对靖州县内重大疫情、突发公共卫生事件提供指导与处置对策。实验内容包括食品检测、水质检测、人体致病病菌检测。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面对新冠肺炎疫情，靖州县疾病预防控制中心业务用房不足，缺乏相应的医疗物资及应急设备，就医环境和单位服务能力远远不能满足靖州县疾病预防控制医疗卫生体系的需求，严重影响了本单位对疾病防控。在此背景下，靖州县疾病预防控制中心计划建设本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项目建设后，靖州县疾病预防控制中心诊疗服务设施条件将得到极大改善，有利于进一步加强和完善靖州县疾病预防控制服务体系建设，切实改善靖州县疾病预防控制卫生服务条件和服务环境，提高群众健康水平，防止农民</w:t>
            </w:r>
            <w:r>
              <w:rPr>
                <w:rFonts w:hint="default"/>
                <w:sz w:val="24"/>
                <w:szCs w:val="24"/>
                <w:lang w:val="en-US" w:eastAsia="zh-CN"/>
              </w:rPr>
              <w:t>“</w:t>
            </w:r>
            <w:r>
              <w:rPr>
                <w:rFonts w:hint="eastAsia"/>
                <w:sz w:val="24"/>
                <w:szCs w:val="24"/>
                <w:lang w:val="en-US" w:eastAsia="zh-CN"/>
              </w:rPr>
              <w:t>因病致贫、因病返贫</w:t>
            </w:r>
            <w:r>
              <w:rPr>
                <w:rFonts w:hint="default"/>
                <w:sz w:val="24"/>
                <w:szCs w:val="24"/>
                <w:lang w:val="en-US" w:eastAsia="zh-CN"/>
              </w:rPr>
              <w:t>”</w:t>
            </w:r>
            <w:r>
              <w:rPr>
                <w:rFonts w:hint="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本项目在促进经济建设、落实人口政策、提高人口素质、实现疾病预防控制的基础作用和战略地位非常重要。项目的建设已迫在眉睫。</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依据《建设项目环境影响评价分类管理名录》（2021年版），项目属于“8431</w:t>
            </w:r>
            <w:r>
              <w:rPr>
                <w:rFonts w:hint="eastAsia"/>
                <w:sz w:val="24"/>
                <w:szCs w:val="24"/>
                <w:lang w:val="en-US" w:eastAsia="en-US"/>
              </w:rPr>
              <w:t>疾病预防控制中心</w:t>
            </w:r>
            <w:r>
              <w:rPr>
                <w:rFonts w:hint="eastAsia"/>
                <w:sz w:val="24"/>
                <w:szCs w:val="24"/>
                <w:lang w:val="en-US" w:eastAsia="zh-CN"/>
              </w:rPr>
              <w:t>”，性质为改建，需办理环境影响报告表。</w:t>
            </w:r>
          </w:p>
          <w:p>
            <w:pPr>
              <w:spacing w:line="360" w:lineRule="auto"/>
              <w:textAlignment w:val="center"/>
              <w:rPr>
                <w:rFonts w:hint="eastAsia" w:ascii="Times New Roman" w:hAnsi="Times New Roman"/>
                <w:color w:val="auto"/>
                <w:sz w:val="24"/>
                <w:szCs w:val="24"/>
                <w:u w:val="none" w:color="auto"/>
              </w:rPr>
            </w:pPr>
            <w:r>
              <w:rPr>
                <w:rFonts w:hint="eastAsia"/>
                <w:b/>
                <w:bCs/>
                <w:color w:val="auto"/>
                <w:sz w:val="24"/>
                <w:szCs w:val="24"/>
                <w:u w:val="none" w:color="auto"/>
                <w:lang w:val="en-US" w:eastAsia="zh-CN"/>
              </w:rPr>
              <w:t>二</w:t>
            </w:r>
            <w:r>
              <w:rPr>
                <w:rFonts w:hint="eastAsia" w:ascii="Times New Roman" w:hAnsi="Times New Roman"/>
                <w:b/>
                <w:bCs/>
                <w:color w:val="auto"/>
                <w:sz w:val="24"/>
                <w:szCs w:val="24"/>
                <w:u w:val="none" w:color="auto"/>
                <w:lang w:eastAsia="zh-CN"/>
              </w:rPr>
              <w:t>、建设内容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本项计划对原有一栋三层综合办公楼进行整体改造，改造后更名为检验检测楼。主要建设内容包括：对墙体及屋顶进进行翻新；在检验楼及检验检测楼二、三层新建一条连廊；将检验检测楼闲置房间改造为实验室（大部分部分实验室由原有检验楼搬迁而来，少部分为新建）、库房、值班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u w:val="single"/>
                <w:vertAlign w:val="baseline"/>
                <w:lang w:val="en-US" w:eastAsia="zh-CN"/>
              </w:rPr>
            </w:pPr>
            <w:r>
              <w:rPr>
                <w:rFonts w:hint="eastAsia"/>
                <w:sz w:val="24"/>
                <w:szCs w:val="24"/>
                <w:u w:val="single"/>
                <w:lang w:val="en-US" w:eastAsia="zh-CN"/>
              </w:rPr>
              <w:t>项目改造后总占地面积不变，改造总建筑面积为</w:t>
            </w:r>
            <w:r>
              <w:rPr>
                <w:rFonts w:hint="default"/>
                <w:sz w:val="24"/>
                <w:szCs w:val="24"/>
                <w:u w:val="single"/>
                <w:lang w:val="en-US" w:eastAsia="zh-CN"/>
              </w:rPr>
              <w:t>1156.00 m</w:t>
            </w:r>
            <w:r>
              <w:rPr>
                <w:rFonts w:hint="default"/>
                <w:sz w:val="24"/>
                <w:szCs w:val="24"/>
                <w:u w:val="single"/>
                <w:vertAlign w:val="superscript"/>
                <w:lang w:val="en-US" w:eastAsia="zh-CN"/>
              </w:rPr>
              <w:t>2</w:t>
            </w:r>
            <w:r>
              <w:rPr>
                <w:rFonts w:hint="eastAsia"/>
                <w:sz w:val="24"/>
                <w:szCs w:val="24"/>
                <w:u w:val="single"/>
                <w:lang w:val="en-US" w:eastAsia="zh-CN"/>
              </w:rPr>
              <w:t>；改造实验用房建筑面积</w:t>
            </w:r>
            <w:r>
              <w:rPr>
                <w:rFonts w:hint="default"/>
                <w:sz w:val="24"/>
                <w:szCs w:val="24"/>
                <w:u w:val="single"/>
                <w:lang w:val="en-US" w:eastAsia="zh-CN"/>
              </w:rPr>
              <w:t>600.00m</w:t>
            </w:r>
            <w:r>
              <w:rPr>
                <w:rFonts w:hint="default"/>
                <w:sz w:val="24"/>
                <w:szCs w:val="24"/>
                <w:u w:val="single"/>
                <w:vertAlign w:val="superscript"/>
                <w:lang w:val="en-US" w:eastAsia="zh-CN"/>
              </w:rPr>
              <w:t>2</w:t>
            </w:r>
            <w:r>
              <w:rPr>
                <w:rFonts w:hint="eastAsia"/>
                <w:sz w:val="24"/>
                <w:szCs w:val="24"/>
                <w:u w:val="single"/>
                <w:lang w:val="en-US" w:eastAsia="zh-CN"/>
              </w:rPr>
              <w:t>；改造冷库面积</w:t>
            </w:r>
            <w:r>
              <w:rPr>
                <w:rFonts w:hint="default"/>
                <w:sz w:val="24"/>
                <w:szCs w:val="24"/>
                <w:u w:val="single"/>
                <w:lang w:val="en-US" w:eastAsia="zh-CN"/>
              </w:rPr>
              <w:t>556.00m</w:t>
            </w:r>
            <w:r>
              <w:rPr>
                <w:rFonts w:hint="default"/>
                <w:sz w:val="24"/>
                <w:szCs w:val="24"/>
                <w:u w:val="single"/>
                <w:vertAlign w:val="superscript"/>
                <w:lang w:val="en-US" w:eastAsia="zh-CN"/>
              </w:rPr>
              <w:t>2</w:t>
            </w:r>
            <w:r>
              <w:rPr>
                <w:rFonts w:hint="eastAsia"/>
                <w:sz w:val="24"/>
                <w:szCs w:val="24"/>
                <w:u w:val="single"/>
                <w:lang w:val="en-US" w:eastAsia="zh-CN"/>
              </w:rPr>
              <w:t>；改屋顶造面积</w:t>
            </w:r>
            <w:r>
              <w:rPr>
                <w:rFonts w:hint="default"/>
                <w:sz w:val="24"/>
                <w:szCs w:val="24"/>
                <w:u w:val="single"/>
                <w:lang w:val="en-US" w:eastAsia="zh-CN"/>
              </w:rPr>
              <w:t>450.00m</w:t>
            </w:r>
            <w:r>
              <w:rPr>
                <w:rFonts w:hint="default"/>
                <w:sz w:val="24"/>
                <w:szCs w:val="24"/>
                <w:u w:val="single"/>
                <w:vertAlign w:val="superscript"/>
                <w:lang w:val="en-US" w:eastAsia="zh-CN"/>
              </w:rPr>
              <w:t>2</w:t>
            </w:r>
            <w:r>
              <w:rPr>
                <w:rFonts w:hint="eastAsia"/>
                <w:sz w:val="24"/>
                <w:szCs w:val="24"/>
                <w:u w:val="single"/>
                <w:vertAlign w:val="baseline"/>
                <w:lang w:val="en-US" w:eastAsia="zh-CN"/>
              </w:rPr>
              <w:t>。</w:t>
            </w:r>
          </w:p>
          <w:p>
            <w:pPr>
              <w:pStyle w:val="1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ascii="Times New Roman" w:hAnsi="Times New Roman" w:eastAsia="宋体" w:cs="Times New Roman"/>
                <w:b/>
                <w:bCs/>
                <w:sz w:val="24"/>
                <w:szCs w:val="24"/>
                <w:lang w:val="en-US" w:eastAsia="zh-CN"/>
              </w:rPr>
              <w:t>表2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 xml:space="preserve">  本项目</w:t>
            </w:r>
            <w:r>
              <w:rPr>
                <w:rFonts w:hint="eastAsia" w:cs="Times New Roman"/>
                <w:b/>
                <w:bCs/>
                <w:sz w:val="24"/>
                <w:szCs w:val="24"/>
                <w:lang w:val="en-US" w:eastAsia="zh-CN"/>
              </w:rPr>
              <w:t>改建</w:t>
            </w:r>
            <w:r>
              <w:rPr>
                <w:rFonts w:hint="eastAsia" w:ascii="Times New Roman" w:hAnsi="Times New Roman" w:eastAsia="宋体" w:cs="Times New Roman"/>
                <w:b/>
                <w:bCs/>
                <w:sz w:val="24"/>
                <w:szCs w:val="24"/>
                <w:lang w:val="en-US" w:eastAsia="zh-CN"/>
              </w:rPr>
              <w:t>后，</w:t>
            </w:r>
            <w:r>
              <w:rPr>
                <w:rFonts w:hint="eastAsia"/>
                <w:b/>
                <w:bCs/>
                <w:sz w:val="24"/>
                <w:szCs w:val="24"/>
                <w:lang w:val="en-US" w:eastAsia="zh-CN"/>
              </w:rPr>
              <w:t>靖州县疾病预防控制中心主要建设内容</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
              <w:gridCol w:w="652"/>
              <w:gridCol w:w="825"/>
              <w:gridCol w:w="254"/>
              <w:gridCol w:w="171"/>
              <w:gridCol w:w="644"/>
              <w:gridCol w:w="2250"/>
              <w:gridCol w:w="74"/>
              <w:gridCol w:w="1491"/>
              <w:gridCol w:w="1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3" w:type="dxa"/>
                  <w:gridSpan w:val="2"/>
                  <w:tcBorders>
                    <w:tl2br w:val="nil"/>
                    <w:tr2bl w:val="nil"/>
                  </w:tcBorders>
                  <w:vAlign w:val="center"/>
                </w:tcPr>
                <w:p>
                  <w:pPr>
                    <w:jc w:val="center"/>
                    <w:rPr>
                      <w:rFonts w:hint="eastAsia"/>
                      <w:b/>
                      <w:bCs/>
                      <w:lang w:val="en-US" w:eastAsia="zh-CN"/>
                    </w:rPr>
                  </w:pPr>
                  <w:r>
                    <w:rPr>
                      <w:rFonts w:hint="eastAsia"/>
                      <w:b/>
                      <w:bCs/>
                      <w:lang w:val="en-US" w:eastAsia="zh-CN"/>
                    </w:rPr>
                    <w:t>工程类别</w:t>
                  </w:r>
                </w:p>
              </w:tc>
              <w:tc>
                <w:tcPr>
                  <w:tcW w:w="5709" w:type="dxa"/>
                  <w:gridSpan w:val="7"/>
                  <w:tcBorders>
                    <w:tl2br w:val="nil"/>
                    <w:tr2bl w:val="nil"/>
                  </w:tcBorders>
                  <w:vAlign w:val="center"/>
                </w:tcPr>
                <w:p>
                  <w:pPr>
                    <w:jc w:val="center"/>
                    <w:rPr>
                      <w:rFonts w:hint="default"/>
                      <w:b/>
                      <w:bCs/>
                      <w:lang w:val="en-US" w:eastAsia="zh-CN"/>
                    </w:rPr>
                  </w:pPr>
                  <w:r>
                    <w:rPr>
                      <w:rFonts w:hint="eastAsia"/>
                      <w:b/>
                      <w:bCs/>
                      <w:lang w:val="en-US" w:eastAsia="zh-CN"/>
                    </w:rPr>
                    <w:t>工程建设内容及主要功能</w:t>
                  </w:r>
                </w:p>
              </w:tc>
              <w:tc>
                <w:tcPr>
                  <w:tcW w:w="1750" w:type="dxa"/>
                  <w:tcBorders>
                    <w:tl2br w:val="nil"/>
                    <w:tr2bl w:val="nil"/>
                  </w:tcBorders>
                  <w:vAlign w:val="center"/>
                </w:tcPr>
                <w:p>
                  <w:pPr>
                    <w:jc w:val="center"/>
                    <w:rPr>
                      <w:rFonts w:hint="default"/>
                      <w:b/>
                      <w:bCs/>
                      <w:lang w:val="en-US" w:eastAsia="zh-CN"/>
                    </w:rPr>
                  </w:pPr>
                  <w:r>
                    <w:rPr>
                      <w:rFonts w:hint="eastAsia"/>
                      <w:b/>
                      <w:bCs/>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restart"/>
                  <w:tcBorders>
                    <w:tl2br w:val="nil"/>
                    <w:tr2bl w:val="nil"/>
                  </w:tcBorders>
                  <w:vAlign w:val="center"/>
                </w:tcPr>
                <w:p>
                  <w:pPr>
                    <w:jc w:val="center"/>
                    <w:rPr>
                      <w:rFonts w:hint="default"/>
                      <w:lang w:val="en-US" w:eastAsia="zh-CN"/>
                    </w:rPr>
                  </w:pPr>
                  <w:r>
                    <w:rPr>
                      <w:rFonts w:hint="eastAsia"/>
                      <w:lang w:val="en-US" w:eastAsia="zh-CN"/>
                    </w:rPr>
                    <w:t>主体工程</w:t>
                  </w:r>
                </w:p>
              </w:tc>
              <w:tc>
                <w:tcPr>
                  <w:tcW w:w="652" w:type="dxa"/>
                  <w:vMerge w:val="restart"/>
                  <w:tcBorders>
                    <w:tl2br w:val="nil"/>
                    <w:tr2bl w:val="nil"/>
                  </w:tcBorders>
                  <w:vAlign w:val="center"/>
                </w:tcPr>
                <w:p>
                  <w:pPr>
                    <w:jc w:val="center"/>
                    <w:rPr>
                      <w:rFonts w:hint="default"/>
                      <w:lang w:val="en-US" w:eastAsia="zh-CN"/>
                    </w:rPr>
                  </w:pPr>
                  <w:r>
                    <w:rPr>
                      <w:rFonts w:hint="eastAsia"/>
                      <w:lang w:val="en-US" w:eastAsia="zh-CN"/>
                    </w:rPr>
                    <w:t>检验楼</w:t>
                  </w:r>
                </w:p>
              </w:tc>
              <w:tc>
                <w:tcPr>
                  <w:tcW w:w="1250" w:type="dxa"/>
                  <w:gridSpan w:val="3"/>
                  <w:vMerge w:val="restart"/>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原有工程，主要实验场所，位于本单位东侧，建筑面积27m</w:t>
                  </w:r>
                  <w:r>
                    <w:rPr>
                      <w:rFonts w:hint="default"/>
                      <w:lang w:val="en-US" w:eastAsia="zh-CN"/>
                    </w:rPr>
                    <w:t>×</w:t>
                  </w:r>
                  <w:r>
                    <w:rPr>
                      <w:rFonts w:hint="eastAsia"/>
                      <w:lang w:val="en-US" w:eastAsia="zh-CN"/>
                    </w:rPr>
                    <w:t>11m，共五层</w:t>
                  </w:r>
                </w:p>
              </w:tc>
              <w:tc>
                <w:tcPr>
                  <w:tcW w:w="644" w:type="dxa"/>
                  <w:tcBorders>
                    <w:tl2br w:val="nil"/>
                    <w:tr2bl w:val="nil"/>
                  </w:tcBorders>
                  <w:vAlign w:val="center"/>
                </w:tcPr>
                <w:p>
                  <w:pPr>
                    <w:jc w:val="center"/>
                    <w:rPr>
                      <w:rFonts w:hint="eastAsia"/>
                      <w:lang w:val="en-US" w:eastAsia="zh-CN"/>
                    </w:rPr>
                  </w:pPr>
                  <w:r>
                    <w:rPr>
                      <w:rFonts w:hint="eastAsia"/>
                      <w:lang w:val="en-US" w:eastAsia="zh-CN"/>
                    </w:rPr>
                    <w:t>一层</w:t>
                  </w:r>
                </w:p>
              </w:tc>
              <w:tc>
                <w:tcPr>
                  <w:tcW w:w="2324" w:type="dxa"/>
                  <w:gridSpan w:val="2"/>
                  <w:tcBorders>
                    <w:tl2br w:val="nil"/>
                    <w:tr2bl w:val="nil"/>
                  </w:tcBorders>
                  <w:vAlign w:val="center"/>
                </w:tcPr>
                <w:p>
                  <w:pPr>
                    <w:jc w:val="center"/>
                    <w:rPr>
                      <w:rFonts w:hint="default"/>
                      <w:lang w:val="en-US" w:eastAsia="zh-CN"/>
                    </w:rPr>
                  </w:pPr>
                  <w:r>
                    <w:rPr>
                      <w:rFonts w:hint="eastAsia"/>
                      <w:lang w:val="en-US" w:eastAsia="zh-CN"/>
                    </w:rPr>
                    <w:t>办公室</w:t>
                  </w:r>
                </w:p>
              </w:tc>
              <w:tc>
                <w:tcPr>
                  <w:tcW w:w="1491" w:type="dxa"/>
                  <w:tcBorders>
                    <w:tl2br w:val="nil"/>
                    <w:tr2bl w:val="nil"/>
                  </w:tcBorders>
                  <w:vAlign w:val="center"/>
                </w:tcPr>
                <w:p>
                  <w:pPr>
                    <w:jc w:val="center"/>
                    <w:rPr>
                      <w:rFonts w:hint="default"/>
                      <w:lang w:val="en-US" w:eastAsia="zh-CN"/>
                    </w:rPr>
                  </w:pPr>
                  <w:r>
                    <w:rPr>
                      <w:rFonts w:hint="eastAsia"/>
                      <w:lang w:val="en-US" w:eastAsia="zh-CN"/>
                    </w:rPr>
                    <w:t>现有</w:t>
                  </w:r>
                </w:p>
              </w:tc>
              <w:tc>
                <w:tcPr>
                  <w:tcW w:w="1750" w:type="dxa"/>
                  <w:vMerge w:val="restart"/>
                  <w:tcBorders>
                    <w:tl2br w:val="nil"/>
                    <w:tr2bl w:val="nil"/>
                  </w:tcBorders>
                  <w:vAlign w:val="center"/>
                </w:tcPr>
                <w:p>
                  <w:pPr>
                    <w:jc w:val="center"/>
                    <w:rPr>
                      <w:rFonts w:hint="default"/>
                      <w:lang w:val="en-US" w:eastAsia="zh-CN"/>
                    </w:rPr>
                  </w:pPr>
                  <w:r>
                    <w:rPr>
                      <w:rFonts w:hint="eastAsia"/>
                      <w:lang w:val="en-US" w:eastAsia="zh-CN"/>
                    </w:rPr>
                    <w:t>表中所列明的各实验室均已建设，改建后仍在检验楼内，不进行搬迁。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rPr>
                      <w:rFonts w:hint="default"/>
                      <w:lang w:val="en-US" w:eastAsia="zh-CN"/>
                    </w:rPr>
                  </w:pPr>
                </w:p>
              </w:tc>
              <w:tc>
                <w:tcPr>
                  <w:tcW w:w="644" w:type="dxa"/>
                  <w:vMerge w:val="restart"/>
                  <w:tcBorders>
                    <w:tl2br w:val="nil"/>
                    <w:tr2bl w:val="nil"/>
                  </w:tcBorders>
                  <w:vAlign w:val="center"/>
                </w:tcPr>
                <w:p>
                  <w:pPr>
                    <w:jc w:val="center"/>
                    <w:rPr>
                      <w:rFonts w:hint="eastAsia"/>
                      <w:lang w:val="en-US" w:eastAsia="zh-CN"/>
                    </w:rPr>
                  </w:pPr>
                  <w:r>
                    <w:rPr>
                      <w:rFonts w:hint="eastAsia"/>
                      <w:lang w:val="en-US" w:eastAsia="zh-CN"/>
                    </w:rPr>
                    <w:t>二层</w:t>
                  </w:r>
                </w:p>
              </w:tc>
              <w:tc>
                <w:tcPr>
                  <w:tcW w:w="2324" w:type="dxa"/>
                  <w:gridSpan w:val="2"/>
                  <w:tcBorders>
                    <w:tl2br w:val="nil"/>
                    <w:tr2bl w:val="nil"/>
                  </w:tcBorders>
                  <w:vAlign w:val="center"/>
                </w:tcPr>
                <w:p>
                  <w:pPr>
                    <w:jc w:val="center"/>
                    <w:rPr>
                      <w:rFonts w:hint="default"/>
                      <w:lang w:val="en-US" w:eastAsia="zh-CN"/>
                    </w:rPr>
                  </w:pPr>
                  <w:r>
                    <w:rPr>
                      <w:rFonts w:hint="eastAsia"/>
                      <w:sz w:val="21"/>
                      <w:szCs w:val="21"/>
                      <w:lang w:val="en-US" w:eastAsia="zh-CN"/>
                    </w:rPr>
                    <w:t>卫生微生物实验室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pPr>
                </w:p>
              </w:tc>
              <w:tc>
                <w:tcPr>
                  <w:tcW w:w="644" w:type="dxa"/>
                  <w:vMerge w:val="continue"/>
                  <w:tcBorders>
                    <w:tl2br w:val="nil"/>
                    <w:tr2bl w:val="nil"/>
                  </w:tcBorders>
                  <w:vAlign w:val="center"/>
                </w:tcPr>
                <w:p>
                  <w:pPr>
                    <w:jc w:val="cente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霉菌实验室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病原微生物实验室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default"/>
                      <w:lang w:val="en-US" w:eastAsia="zh-CN"/>
                    </w:rPr>
                  </w:pPr>
                </w:p>
              </w:tc>
              <w:tc>
                <w:tcPr>
                  <w:tcW w:w="652" w:type="dxa"/>
                  <w:vMerge w:val="continue"/>
                  <w:tcBorders>
                    <w:tl2br w:val="nil"/>
                    <w:tr2bl w:val="nil"/>
                  </w:tcBorders>
                  <w:vAlign w:val="center"/>
                </w:tcPr>
                <w:p>
                  <w:pPr>
                    <w:jc w:val="center"/>
                    <w:rPr>
                      <w:rFonts w:hint="default"/>
                      <w:lang w:val="en-US" w:eastAsia="zh-CN"/>
                    </w:rPr>
                  </w:pPr>
                </w:p>
              </w:tc>
              <w:tc>
                <w:tcPr>
                  <w:tcW w:w="1250" w:type="dxa"/>
                  <w:gridSpan w:val="3"/>
                  <w:vMerge w:val="continue"/>
                  <w:tcBorders>
                    <w:tl2br w:val="nil"/>
                    <w:tr2bl w:val="nil"/>
                  </w:tcBorders>
                  <w:vAlign w:val="center"/>
                </w:tcPr>
                <w:p>
                  <w:pPr>
                    <w:jc w:val="center"/>
                    <w:rPr>
                      <w:rFonts w:hint="default"/>
                      <w:lang w:val="en-US" w:eastAsia="zh-CN"/>
                    </w:rPr>
                  </w:pPr>
                </w:p>
              </w:tc>
              <w:tc>
                <w:tcPr>
                  <w:tcW w:w="644" w:type="dxa"/>
                  <w:vMerge w:val="restart"/>
                  <w:tcBorders>
                    <w:tl2br w:val="nil"/>
                    <w:tr2bl w:val="nil"/>
                  </w:tcBorders>
                  <w:vAlign w:val="center"/>
                </w:tcPr>
                <w:p>
                  <w:pPr>
                    <w:jc w:val="center"/>
                    <w:rPr>
                      <w:rFonts w:hint="eastAsia"/>
                      <w:lang w:val="en-US" w:eastAsia="zh-CN"/>
                    </w:rPr>
                  </w:pPr>
                  <w:r>
                    <w:rPr>
                      <w:rFonts w:hint="eastAsia"/>
                      <w:lang w:val="en-US" w:eastAsia="zh-CN"/>
                    </w:rPr>
                    <w:t>三层</w:t>
                  </w:r>
                </w:p>
              </w:tc>
              <w:tc>
                <w:tcPr>
                  <w:tcW w:w="2324" w:type="dxa"/>
                  <w:gridSpan w:val="2"/>
                  <w:tcBorders>
                    <w:tl2br w:val="nil"/>
                    <w:tr2bl w:val="nil"/>
                  </w:tcBorders>
                  <w:vAlign w:val="center"/>
                </w:tcPr>
                <w:p>
                  <w:pPr>
                    <w:jc w:val="center"/>
                    <w:rPr>
                      <w:rFonts w:hint="default"/>
                      <w:lang w:val="en-US" w:eastAsia="zh-CN"/>
                    </w:rPr>
                  </w:pPr>
                  <w:r>
                    <w:rPr>
                      <w:rFonts w:hint="eastAsia"/>
                      <w:sz w:val="21"/>
                      <w:szCs w:val="21"/>
                      <w:lang w:val="en-US" w:eastAsia="zh-CN"/>
                    </w:rPr>
                    <w:t>理化一室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pPr>
                </w:p>
              </w:tc>
              <w:tc>
                <w:tcPr>
                  <w:tcW w:w="644" w:type="dxa"/>
                  <w:vMerge w:val="continue"/>
                  <w:tcBorders>
                    <w:tl2br w:val="nil"/>
                    <w:tr2bl w:val="nil"/>
                  </w:tcBorders>
                  <w:vAlign w:val="center"/>
                </w:tcPr>
                <w:p>
                  <w:pPr>
                    <w:jc w:val="cente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小仪器室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自动高锰酸盐分析室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液相色谱室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1" w:type="dxa"/>
                  <w:vMerge w:val="continue"/>
                  <w:tcBorders>
                    <w:tl2br w:val="nil"/>
                    <w:tr2bl w:val="nil"/>
                  </w:tcBorders>
                  <w:vAlign w:val="center"/>
                </w:tcPr>
                <w:p>
                  <w:pPr>
                    <w:jc w:val="center"/>
                    <w:rPr>
                      <w:rFonts w:hint="default"/>
                      <w:lang w:val="en-US" w:eastAsia="zh-CN"/>
                    </w:rPr>
                  </w:pPr>
                </w:p>
              </w:tc>
              <w:tc>
                <w:tcPr>
                  <w:tcW w:w="652" w:type="dxa"/>
                  <w:vMerge w:val="continue"/>
                  <w:tcBorders>
                    <w:tl2br w:val="nil"/>
                    <w:tr2bl w:val="nil"/>
                  </w:tcBorders>
                  <w:vAlign w:val="center"/>
                </w:tcPr>
                <w:p>
                  <w:pPr>
                    <w:jc w:val="center"/>
                    <w:rPr>
                      <w:rFonts w:hint="default"/>
                      <w:lang w:val="en-US" w:eastAsia="zh-CN"/>
                    </w:rPr>
                  </w:pPr>
                </w:p>
              </w:tc>
              <w:tc>
                <w:tcPr>
                  <w:tcW w:w="1250" w:type="dxa"/>
                  <w:gridSpan w:val="3"/>
                  <w:vMerge w:val="continue"/>
                  <w:tcBorders>
                    <w:tl2br w:val="nil"/>
                    <w:tr2bl w:val="nil"/>
                  </w:tcBorders>
                  <w:vAlign w:val="center"/>
                </w:tcPr>
                <w:p>
                  <w:pPr>
                    <w:jc w:val="center"/>
                    <w:rPr>
                      <w:rFonts w:hint="default"/>
                      <w:lang w:val="en-US" w:eastAsia="zh-CN"/>
                    </w:rPr>
                  </w:pPr>
                </w:p>
              </w:tc>
              <w:tc>
                <w:tcPr>
                  <w:tcW w:w="644" w:type="dxa"/>
                  <w:vMerge w:val="restart"/>
                  <w:tcBorders>
                    <w:tl2br w:val="nil"/>
                    <w:tr2bl w:val="nil"/>
                  </w:tcBorders>
                  <w:vAlign w:val="center"/>
                </w:tcPr>
                <w:p>
                  <w:pPr>
                    <w:jc w:val="center"/>
                    <w:rPr>
                      <w:rFonts w:hint="eastAsia"/>
                      <w:lang w:val="en-US" w:eastAsia="zh-CN"/>
                    </w:rPr>
                  </w:pPr>
                  <w:r>
                    <w:rPr>
                      <w:rFonts w:hint="eastAsia"/>
                      <w:lang w:val="en-US" w:eastAsia="zh-CN"/>
                    </w:rPr>
                    <w:t>四层</w:t>
                  </w:r>
                </w:p>
              </w:tc>
              <w:tc>
                <w:tcPr>
                  <w:tcW w:w="2324" w:type="dxa"/>
                  <w:gridSpan w:val="2"/>
                  <w:tcBorders>
                    <w:tl2br w:val="nil"/>
                    <w:tr2bl w:val="nil"/>
                  </w:tcBorders>
                  <w:vAlign w:val="center"/>
                </w:tcPr>
                <w:p>
                  <w:pPr>
                    <w:jc w:val="center"/>
                    <w:rPr>
                      <w:rFonts w:hint="default"/>
                      <w:lang w:val="en-US" w:eastAsia="zh-CN"/>
                    </w:rPr>
                  </w:pPr>
                  <w:r>
                    <w:rPr>
                      <w:rFonts w:hint="eastAsia"/>
                      <w:sz w:val="21"/>
                      <w:szCs w:val="21"/>
                      <w:lang w:val="en-US" w:eastAsia="zh-CN"/>
                    </w:rPr>
                    <w:t>高温室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pPr>
                </w:p>
              </w:tc>
              <w:tc>
                <w:tcPr>
                  <w:tcW w:w="644" w:type="dxa"/>
                  <w:vMerge w:val="continue"/>
                  <w:tcBorders>
                    <w:tl2br w:val="nil"/>
                    <w:tr2bl w:val="nil"/>
                  </w:tcBorders>
                  <w:vAlign w:val="center"/>
                </w:tcPr>
                <w:p>
                  <w:pPr>
                    <w:jc w:val="cente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理化二室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1" w:type="dxa"/>
                  <w:vMerge w:val="continue"/>
                  <w:tcBorders>
                    <w:tl2br w:val="nil"/>
                    <w:tr2bl w:val="nil"/>
                  </w:tcBorders>
                  <w:vAlign w:val="center"/>
                </w:tcPr>
                <w:p>
                  <w:pPr>
                    <w:jc w:val="center"/>
                    <w:rPr>
                      <w:rFonts w:hint="default"/>
                      <w:lang w:val="en-US" w:eastAsia="zh-CN"/>
                    </w:rPr>
                  </w:pPr>
                </w:p>
              </w:tc>
              <w:tc>
                <w:tcPr>
                  <w:tcW w:w="652" w:type="dxa"/>
                  <w:vMerge w:val="restart"/>
                  <w:tcBorders>
                    <w:tl2br w:val="nil"/>
                    <w:tr2bl w:val="nil"/>
                  </w:tcBorders>
                  <w:vAlign w:val="center"/>
                </w:tcPr>
                <w:p>
                  <w:pPr>
                    <w:jc w:val="center"/>
                    <w:rPr>
                      <w:rFonts w:hint="default"/>
                      <w:lang w:val="en-US" w:eastAsia="zh-CN"/>
                    </w:rPr>
                  </w:pPr>
                  <w:r>
                    <w:rPr>
                      <w:rFonts w:hint="eastAsia"/>
                      <w:lang w:val="en-US" w:eastAsia="zh-CN"/>
                    </w:rPr>
                    <w:t>检验检测楼</w:t>
                  </w:r>
                </w:p>
              </w:tc>
              <w:tc>
                <w:tcPr>
                  <w:tcW w:w="1250" w:type="dxa"/>
                  <w:gridSpan w:val="3"/>
                  <w:vMerge w:val="restart"/>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本次改建主体，主要实验场所，位于本单位西侧，建筑面积55</w:t>
                  </w:r>
                  <w:r>
                    <w:rPr>
                      <w:rFonts w:hint="eastAsia"/>
                      <w:lang w:val="en-US" w:eastAsia="zh-CN"/>
                    </w:rPr>
                    <w:t>m</w:t>
                  </w:r>
                  <w:r>
                    <w:rPr>
                      <w:rFonts w:hint="default"/>
                      <w:lang w:val="en-US" w:eastAsia="zh-CN"/>
                    </w:rPr>
                    <w:t>×</w:t>
                  </w:r>
                  <w:r>
                    <w:rPr>
                      <w:rFonts w:hint="eastAsia"/>
                      <w:lang w:val="en-US" w:eastAsia="zh-CN"/>
                    </w:rPr>
                    <w:t>8.5m共三层</w:t>
                  </w:r>
                </w:p>
              </w:tc>
              <w:tc>
                <w:tcPr>
                  <w:tcW w:w="644" w:type="dxa"/>
                  <w:vMerge w:val="restart"/>
                  <w:tcBorders>
                    <w:tl2br w:val="nil"/>
                    <w:tr2bl w:val="nil"/>
                  </w:tcBorders>
                  <w:vAlign w:val="center"/>
                </w:tcPr>
                <w:p>
                  <w:pPr>
                    <w:jc w:val="center"/>
                    <w:rPr>
                      <w:rFonts w:hint="eastAsia"/>
                      <w:lang w:val="en-US" w:eastAsia="zh-CN"/>
                    </w:rPr>
                  </w:pPr>
                  <w:r>
                    <w:rPr>
                      <w:rFonts w:hint="eastAsia"/>
                      <w:lang w:val="en-US" w:eastAsia="zh-CN"/>
                    </w:rPr>
                    <w:t>一层</w:t>
                  </w:r>
                </w:p>
              </w:tc>
              <w:tc>
                <w:tcPr>
                  <w:tcW w:w="2324" w:type="dxa"/>
                  <w:gridSpan w:val="2"/>
                  <w:tcBorders>
                    <w:tl2br w:val="nil"/>
                    <w:tr2bl w:val="nil"/>
                  </w:tcBorders>
                  <w:vAlign w:val="center"/>
                </w:tcPr>
                <w:p>
                  <w:pPr>
                    <w:jc w:val="center"/>
                    <w:rPr>
                      <w:rFonts w:hint="eastAsia" w:eastAsia="宋体"/>
                      <w:lang w:val="en-US" w:eastAsia="zh-CN"/>
                    </w:rPr>
                  </w:pPr>
                  <w:r>
                    <w:rPr>
                      <w:rFonts w:hint="eastAsia"/>
                      <w:lang w:val="en-US" w:eastAsia="zh-CN"/>
                    </w:rPr>
                    <w:t>库房</w:t>
                  </w:r>
                </w:p>
              </w:tc>
              <w:tc>
                <w:tcPr>
                  <w:tcW w:w="1491" w:type="dxa"/>
                  <w:tcBorders>
                    <w:tl2br w:val="nil"/>
                    <w:tr2bl w:val="nil"/>
                  </w:tcBorders>
                  <w:vAlign w:val="center"/>
                </w:tcPr>
                <w:p>
                  <w:pPr>
                    <w:jc w:val="center"/>
                    <w:rPr>
                      <w:rFonts w:hint="eastAsia"/>
                      <w:lang w:val="en-US" w:eastAsia="zh-CN"/>
                    </w:rPr>
                  </w:pPr>
                  <w:r>
                    <w:rPr>
                      <w:rFonts w:hint="eastAsia"/>
                      <w:lang w:val="en-US" w:eastAsia="zh-CN"/>
                    </w:rPr>
                    <w:t>新建</w:t>
                  </w:r>
                </w:p>
              </w:tc>
              <w:tc>
                <w:tcPr>
                  <w:tcW w:w="1750" w:type="dxa"/>
                  <w:vMerge w:val="restart"/>
                  <w:tcBorders>
                    <w:tl2br w:val="nil"/>
                    <w:tr2bl w:val="nil"/>
                  </w:tcBorders>
                  <w:vAlign w:val="center"/>
                </w:tcPr>
                <w:p>
                  <w:pPr>
                    <w:jc w:val="center"/>
                    <w:rPr>
                      <w:rFonts w:hint="default" w:eastAsia="宋体"/>
                      <w:lang w:val="en-US" w:eastAsia="zh-CN"/>
                    </w:rPr>
                  </w:pPr>
                  <w:r>
                    <w:rPr>
                      <w:rFonts w:hint="eastAsia"/>
                      <w:lang w:val="en-US" w:eastAsia="zh-CN"/>
                    </w:rPr>
                    <w:t>主要建设内容包括在2、3层新建一条连廊；翻新墙体及屋顶；搬迁、新建原有部分实验室至楼内。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pPr>
                </w:p>
              </w:tc>
              <w:tc>
                <w:tcPr>
                  <w:tcW w:w="644" w:type="dxa"/>
                  <w:vMerge w:val="continue"/>
                  <w:tcBorders>
                    <w:tl2br w:val="nil"/>
                    <w:tr2bl w:val="nil"/>
                  </w:tcBorders>
                  <w:vAlign w:val="center"/>
                </w:tcPr>
                <w:p>
                  <w:pPr>
                    <w:jc w:val="center"/>
                  </w:pPr>
                </w:p>
              </w:tc>
              <w:tc>
                <w:tcPr>
                  <w:tcW w:w="2324" w:type="dxa"/>
                  <w:gridSpan w:val="2"/>
                  <w:tcBorders>
                    <w:tl2br w:val="nil"/>
                    <w:tr2bl w:val="nil"/>
                  </w:tcBorders>
                  <w:vAlign w:val="center"/>
                </w:tcPr>
                <w:p>
                  <w:pPr>
                    <w:jc w:val="center"/>
                  </w:pPr>
                  <w:r>
                    <w:rPr>
                      <w:rFonts w:hint="eastAsia"/>
                      <w:lang w:val="en-US" w:eastAsia="zh-CN"/>
                    </w:rPr>
                    <w:t>食堂</w:t>
                  </w:r>
                </w:p>
              </w:tc>
              <w:tc>
                <w:tcPr>
                  <w:tcW w:w="1491" w:type="dxa"/>
                  <w:tcBorders>
                    <w:tl2br w:val="nil"/>
                    <w:tr2bl w:val="nil"/>
                  </w:tcBorders>
                  <w:vAlign w:val="center"/>
                </w:tcPr>
                <w:p>
                  <w:pPr>
                    <w:jc w:val="center"/>
                  </w:pPr>
                  <w:r>
                    <w:rPr>
                      <w:rFonts w:hint="eastAsia"/>
                      <w:lang w:val="en-US" w:eastAsia="zh-CN"/>
                    </w:rPr>
                    <w:t>现有</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p>
              </w:tc>
              <w:tc>
                <w:tcPr>
                  <w:tcW w:w="644" w:type="dxa"/>
                  <w:vMerge w:val="restart"/>
                  <w:tcBorders>
                    <w:tl2br w:val="nil"/>
                    <w:tr2bl w:val="nil"/>
                  </w:tcBorders>
                  <w:vAlign w:val="center"/>
                </w:tcPr>
                <w:p>
                  <w:pPr>
                    <w:jc w:val="center"/>
                    <w:rPr>
                      <w:rFonts w:hint="eastAsia"/>
                      <w:lang w:val="en-US" w:eastAsia="zh-CN"/>
                    </w:rPr>
                  </w:pPr>
                  <w:r>
                    <w:rPr>
                      <w:rFonts w:hint="eastAsia"/>
                      <w:lang w:val="en-US" w:eastAsia="zh-CN"/>
                    </w:rPr>
                    <w:t>二层</w:t>
                  </w:r>
                </w:p>
              </w:tc>
              <w:tc>
                <w:tcPr>
                  <w:tcW w:w="2324" w:type="dxa"/>
                  <w:gridSpan w:val="2"/>
                  <w:tcBorders>
                    <w:tl2br w:val="nil"/>
                    <w:tr2bl w:val="nil"/>
                  </w:tcBorders>
                  <w:vAlign w:val="center"/>
                </w:tcPr>
                <w:p>
                  <w:pPr>
                    <w:jc w:val="center"/>
                    <w:rPr>
                      <w:rFonts w:hint="default" w:eastAsia="宋体"/>
                      <w:lang w:val="en-US" w:eastAsia="zh-CN"/>
                    </w:rPr>
                  </w:pPr>
                  <w:r>
                    <w:rPr>
                      <w:rFonts w:hint="eastAsia"/>
                      <w:sz w:val="21"/>
                      <w:szCs w:val="21"/>
                      <w:lang w:val="en-US" w:eastAsia="zh-CN"/>
                    </w:rPr>
                    <w:t>生化实验室</w:t>
                  </w:r>
                </w:p>
              </w:tc>
              <w:tc>
                <w:tcPr>
                  <w:tcW w:w="149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搬迁</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pPr>
                </w:p>
              </w:tc>
              <w:tc>
                <w:tcPr>
                  <w:tcW w:w="644" w:type="dxa"/>
                  <w:vMerge w:val="continue"/>
                  <w:tcBorders>
                    <w:tl2br w:val="nil"/>
                    <w:tr2bl w:val="nil"/>
                  </w:tcBorders>
                  <w:vAlign w:val="center"/>
                </w:tcPr>
                <w:p>
                  <w:pPr>
                    <w:jc w:val="cente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临检室</w:t>
                  </w:r>
                </w:p>
              </w:tc>
              <w:tc>
                <w:tcPr>
                  <w:tcW w:w="149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搬迁</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HIV</w:t>
                  </w:r>
                  <w:r>
                    <w:rPr>
                      <w:rFonts w:hint="eastAsia"/>
                      <w:sz w:val="21"/>
                      <w:szCs w:val="21"/>
                      <w:lang w:val="en-US" w:eastAsia="zh-CN"/>
                    </w:rPr>
                    <w:t>初筛实验室</w:t>
                  </w:r>
                </w:p>
              </w:tc>
              <w:tc>
                <w:tcPr>
                  <w:tcW w:w="149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搬迁</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PCR</w:t>
                  </w:r>
                  <w:r>
                    <w:rPr>
                      <w:rFonts w:hint="eastAsia"/>
                      <w:sz w:val="21"/>
                      <w:szCs w:val="21"/>
                      <w:lang w:val="en-US" w:eastAsia="zh-CN"/>
                    </w:rPr>
                    <w:t>实验室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eastAsia"/>
                      <w:lang w:val="en-US" w:eastAsia="zh-CN"/>
                    </w:rPr>
                    <w:t>冷库</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新建</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p>
              </w:tc>
              <w:tc>
                <w:tcPr>
                  <w:tcW w:w="644" w:type="dxa"/>
                  <w:vMerge w:val="restart"/>
                  <w:tcBorders>
                    <w:tl2br w:val="nil"/>
                    <w:tr2bl w:val="nil"/>
                  </w:tcBorders>
                  <w:vAlign w:val="center"/>
                </w:tcPr>
                <w:p>
                  <w:pPr>
                    <w:jc w:val="center"/>
                    <w:rPr>
                      <w:rFonts w:hint="eastAsia"/>
                      <w:lang w:val="en-US" w:eastAsia="zh-CN"/>
                    </w:rPr>
                  </w:pPr>
                  <w:r>
                    <w:rPr>
                      <w:rFonts w:hint="eastAsia"/>
                      <w:lang w:val="en-US" w:eastAsia="zh-CN"/>
                    </w:rPr>
                    <w:t>三层</w:t>
                  </w:r>
                </w:p>
              </w:tc>
              <w:tc>
                <w:tcPr>
                  <w:tcW w:w="2324"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原子荧光室</w:t>
                  </w:r>
                </w:p>
              </w:tc>
              <w:tc>
                <w:tcPr>
                  <w:tcW w:w="1491"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搬迁</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rPr>
                      <w:rFonts w:hint="eastAsia"/>
                      <w:lang w:val="en-US" w:eastAsia="zh-CN"/>
                    </w:rPr>
                  </w:pPr>
                </w:p>
              </w:tc>
              <w:tc>
                <w:tcPr>
                  <w:tcW w:w="644" w:type="dxa"/>
                  <w:vMerge w:val="continue"/>
                  <w:tcBorders>
                    <w:tl2br w:val="nil"/>
                    <w:tr2bl w:val="nil"/>
                  </w:tcBorders>
                  <w:vAlign w:val="center"/>
                </w:tcPr>
                <w:p>
                  <w:pPr>
                    <w:jc w:val="center"/>
                    <w:rPr>
                      <w:rFonts w:hint="eastAsia"/>
                      <w:lang w:val="en-US" w:eastAsia="zh-CN"/>
                    </w:rPr>
                  </w:pPr>
                </w:p>
              </w:tc>
              <w:tc>
                <w:tcPr>
                  <w:tcW w:w="2324"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原子吸收室</w:t>
                  </w:r>
                </w:p>
              </w:tc>
              <w:tc>
                <w:tcPr>
                  <w:tcW w:w="149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搬迁</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250" w:type="dxa"/>
                  <w:gridSpan w:val="3"/>
                  <w:vMerge w:val="continue"/>
                  <w:tcBorders>
                    <w:tl2br w:val="nil"/>
                    <w:tr2bl w:val="nil"/>
                  </w:tcBorders>
                  <w:vAlign w:val="center"/>
                </w:tcPr>
                <w:p>
                  <w:pPr>
                    <w:jc w:val="center"/>
                  </w:pPr>
                </w:p>
              </w:tc>
              <w:tc>
                <w:tcPr>
                  <w:tcW w:w="644" w:type="dxa"/>
                  <w:vMerge w:val="continue"/>
                  <w:tcBorders>
                    <w:tl2br w:val="nil"/>
                    <w:tr2bl w:val="nil"/>
                  </w:tcBorders>
                  <w:vAlign w:val="center"/>
                </w:tcPr>
                <w:p>
                  <w:pPr>
                    <w:jc w:val="center"/>
                  </w:pPr>
                </w:p>
              </w:tc>
              <w:tc>
                <w:tcPr>
                  <w:tcW w:w="2324"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连续流动注射实验室</w:t>
                  </w:r>
                </w:p>
              </w:tc>
              <w:tc>
                <w:tcPr>
                  <w:tcW w:w="1491"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搬迁</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天平室</w:t>
                  </w:r>
                </w:p>
              </w:tc>
              <w:tc>
                <w:tcPr>
                  <w:tcW w:w="1491"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搬迁</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ICP-MS</w:t>
                  </w:r>
                  <w:r>
                    <w:rPr>
                      <w:rFonts w:hint="eastAsia"/>
                      <w:sz w:val="21"/>
                      <w:szCs w:val="21"/>
                      <w:lang w:val="en-US" w:eastAsia="zh-CN"/>
                    </w:rPr>
                    <w:t>实验室</w:t>
                  </w:r>
                </w:p>
              </w:tc>
              <w:tc>
                <w:tcPr>
                  <w:tcW w:w="1491" w:type="dxa"/>
                  <w:tcBorders>
                    <w:tl2br w:val="nil"/>
                    <w:tr2bl w:val="nil"/>
                  </w:tcBorders>
                  <w:vAlign w:val="center"/>
                </w:tcPr>
                <w:p>
                  <w:pPr>
                    <w:jc w:val="center"/>
                    <w:rPr>
                      <w:rFonts w:hint="eastAsia"/>
                      <w:sz w:val="21"/>
                      <w:szCs w:val="21"/>
                      <w:lang w:val="en-US" w:eastAsia="zh-CN"/>
                    </w:rPr>
                  </w:pPr>
                  <w:r>
                    <w:rPr>
                      <w:rFonts w:hint="eastAsia"/>
                      <w:lang w:val="en-US" w:eastAsia="zh-CN"/>
                    </w:rPr>
                    <w:t>新建</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GC-MSD</w:t>
                  </w:r>
                  <w:r>
                    <w:rPr>
                      <w:rFonts w:hint="eastAsia"/>
                      <w:sz w:val="21"/>
                      <w:szCs w:val="21"/>
                      <w:lang w:val="en-US" w:eastAsia="zh-CN"/>
                    </w:rPr>
                    <w:t>气相色谱室</w:t>
                  </w:r>
                </w:p>
              </w:tc>
              <w:tc>
                <w:tcPr>
                  <w:tcW w:w="149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新建</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vMerge w:val="continue"/>
                  <w:tcBorders>
                    <w:tl2br w:val="nil"/>
                    <w:tr2bl w:val="nil"/>
                  </w:tcBorders>
                  <w:vAlign w:val="center"/>
                </w:tcPr>
                <w:p>
                  <w:pPr>
                    <w:jc w:val="center"/>
                    <w:rPr>
                      <w:rFonts w:hint="eastAsia"/>
                      <w:sz w:val="21"/>
                      <w:szCs w:val="21"/>
                      <w:lang w:val="en-US" w:eastAsia="zh-CN"/>
                    </w:rPr>
                  </w:pPr>
                </w:p>
              </w:tc>
              <w:tc>
                <w:tcPr>
                  <w:tcW w:w="1250" w:type="dxa"/>
                  <w:gridSpan w:val="3"/>
                  <w:vMerge w:val="continue"/>
                  <w:tcBorders>
                    <w:tl2br w:val="nil"/>
                    <w:tr2bl w:val="nil"/>
                  </w:tcBorders>
                  <w:vAlign w:val="center"/>
                </w:tcPr>
                <w:p>
                  <w:pPr>
                    <w:jc w:val="center"/>
                    <w:rPr>
                      <w:rFonts w:hint="eastAsia"/>
                      <w:sz w:val="21"/>
                      <w:szCs w:val="21"/>
                      <w:lang w:val="en-US" w:eastAsia="zh-CN"/>
                    </w:rPr>
                  </w:pPr>
                </w:p>
              </w:tc>
              <w:tc>
                <w:tcPr>
                  <w:tcW w:w="644" w:type="dxa"/>
                  <w:vMerge w:val="continue"/>
                  <w:tcBorders>
                    <w:tl2br w:val="nil"/>
                    <w:tr2bl w:val="nil"/>
                  </w:tcBorders>
                  <w:vAlign w:val="center"/>
                </w:tcPr>
                <w:p>
                  <w:pPr>
                    <w:jc w:val="center"/>
                    <w:rPr>
                      <w:rFonts w:hint="eastAsia"/>
                      <w:sz w:val="21"/>
                      <w:szCs w:val="21"/>
                      <w:lang w:val="en-US" w:eastAsia="zh-CN"/>
                    </w:rPr>
                  </w:pPr>
                </w:p>
              </w:tc>
              <w:tc>
                <w:tcPr>
                  <w:tcW w:w="2324"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值班室</w:t>
                  </w:r>
                </w:p>
              </w:tc>
              <w:tc>
                <w:tcPr>
                  <w:tcW w:w="149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新建</w:t>
                  </w:r>
                </w:p>
              </w:tc>
              <w:tc>
                <w:tcPr>
                  <w:tcW w:w="17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sz w:val="21"/>
                      <w:szCs w:val="21"/>
                      <w:lang w:val="en-US" w:eastAsia="zh-CN"/>
                    </w:rPr>
                  </w:pPr>
                </w:p>
              </w:tc>
              <w:tc>
                <w:tcPr>
                  <w:tcW w:w="652" w:type="dxa"/>
                  <w:tcBorders>
                    <w:tl2br w:val="nil"/>
                    <w:tr2bl w:val="nil"/>
                  </w:tcBorders>
                  <w:vAlign w:val="center"/>
                </w:tcPr>
                <w:p>
                  <w:pPr>
                    <w:jc w:val="center"/>
                    <w:rPr>
                      <w:rFonts w:hint="eastAsia"/>
                      <w:sz w:val="21"/>
                      <w:szCs w:val="21"/>
                      <w:lang w:val="en-US" w:eastAsia="zh-CN"/>
                    </w:rPr>
                  </w:pPr>
                  <w:r>
                    <w:rPr>
                      <w:rFonts w:hint="eastAsia"/>
                      <w:u w:val="single"/>
                      <w:lang w:val="en-US" w:eastAsia="zh-CN"/>
                    </w:rPr>
                    <w:t>戒毒门诊</w:t>
                  </w:r>
                </w:p>
              </w:tc>
              <w:tc>
                <w:tcPr>
                  <w:tcW w:w="5709" w:type="dxa"/>
                  <w:gridSpan w:val="7"/>
                  <w:tcBorders>
                    <w:tl2br w:val="nil"/>
                    <w:tr2bl w:val="nil"/>
                  </w:tcBorders>
                  <w:vAlign w:val="center"/>
                </w:tcPr>
                <w:p>
                  <w:pPr>
                    <w:jc w:val="center"/>
                    <w:rPr>
                      <w:rFonts w:hint="eastAsia"/>
                      <w:sz w:val="21"/>
                      <w:szCs w:val="21"/>
                      <w:lang w:val="en-US" w:eastAsia="zh-CN"/>
                    </w:rPr>
                  </w:pPr>
                  <w:r>
                    <w:rPr>
                      <w:rFonts w:hint="eastAsia"/>
                      <w:u w:val="single"/>
                      <w:lang w:val="en-US" w:eastAsia="zh-CN"/>
                    </w:rPr>
                    <w:t>位于东南角，共两层，提供戒毒医疗服务，共两层，面积11m</w:t>
                  </w:r>
                  <w:r>
                    <w:rPr>
                      <w:rFonts w:hint="default"/>
                      <w:u w:val="single"/>
                      <w:lang w:val="en-US" w:eastAsia="zh-CN"/>
                    </w:rPr>
                    <w:t>×</w:t>
                  </w:r>
                  <w:r>
                    <w:rPr>
                      <w:rFonts w:hint="eastAsia"/>
                      <w:u w:val="single"/>
                      <w:lang w:val="en-US" w:eastAsia="zh-CN"/>
                    </w:rPr>
                    <w:t>10m</w:t>
                  </w:r>
                </w:p>
              </w:tc>
              <w:tc>
                <w:tcPr>
                  <w:tcW w:w="1750" w:type="dxa"/>
                  <w:tcBorders>
                    <w:tl2br w:val="nil"/>
                    <w:tr2bl w:val="nil"/>
                  </w:tcBorders>
                  <w:vAlign w:val="center"/>
                </w:tcPr>
                <w:p>
                  <w:pPr>
                    <w:jc w:val="center"/>
                    <w:rPr>
                      <w:rFonts w:hint="eastAsia"/>
                      <w:sz w:val="21"/>
                      <w:szCs w:val="21"/>
                      <w:lang w:val="en-US" w:eastAsia="zh-CN"/>
                    </w:rPr>
                  </w:pPr>
                  <w:r>
                    <w:rPr>
                      <w:rFonts w:hint="eastAsia"/>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421" w:type="dxa"/>
                  <w:vMerge w:val="restart"/>
                  <w:tcBorders>
                    <w:tl2br w:val="nil"/>
                    <w:tr2bl w:val="nil"/>
                  </w:tcBorders>
                  <w:vAlign w:val="center"/>
                </w:tcPr>
                <w:p>
                  <w:pPr>
                    <w:jc w:val="center"/>
                    <w:rPr>
                      <w:rFonts w:hint="default"/>
                      <w:lang w:val="en-US" w:eastAsia="zh-CN"/>
                    </w:rPr>
                  </w:pPr>
                  <w:r>
                    <w:rPr>
                      <w:rFonts w:hint="eastAsia"/>
                      <w:lang w:val="en-US" w:eastAsia="zh-CN"/>
                    </w:rPr>
                    <w:t>辅助工程</w:t>
                  </w:r>
                </w:p>
              </w:tc>
              <w:tc>
                <w:tcPr>
                  <w:tcW w:w="652" w:type="dxa"/>
                  <w:tcBorders>
                    <w:tl2br w:val="nil"/>
                    <w:tr2bl w:val="nil"/>
                  </w:tcBorders>
                  <w:vAlign w:val="center"/>
                </w:tcPr>
                <w:p>
                  <w:pPr>
                    <w:jc w:val="center"/>
                    <w:rPr>
                      <w:rFonts w:hint="default"/>
                      <w:lang w:val="en-US" w:eastAsia="zh-CN"/>
                    </w:rPr>
                  </w:pPr>
                  <w:r>
                    <w:rPr>
                      <w:rFonts w:hint="eastAsia"/>
                      <w:lang w:val="en-US" w:eastAsia="zh-CN"/>
                    </w:rPr>
                    <w:t>办公楼</w:t>
                  </w:r>
                </w:p>
              </w:tc>
              <w:tc>
                <w:tcPr>
                  <w:tcW w:w="5709" w:type="dxa"/>
                  <w:gridSpan w:val="7"/>
                  <w:tcBorders>
                    <w:tl2br w:val="nil"/>
                    <w:tr2bl w:val="nil"/>
                  </w:tcBorders>
                  <w:vAlign w:val="center"/>
                </w:tcPr>
                <w:p>
                  <w:pPr>
                    <w:jc w:val="center"/>
                    <w:rPr>
                      <w:rFonts w:hint="default"/>
                      <w:lang w:val="en-US" w:eastAsia="zh-CN"/>
                    </w:rPr>
                  </w:pPr>
                  <w:r>
                    <w:rPr>
                      <w:rFonts w:hint="eastAsia"/>
                      <w:lang w:val="en-US" w:eastAsia="zh-CN"/>
                    </w:rPr>
                    <w:t>位于东侧，共5层，办公行政场所，面积25m</w:t>
                  </w:r>
                  <w:r>
                    <w:rPr>
                      <w:rFonts w:hint="default"/>
                      <w:lang w:val="en-US" w:eastAsia="zh-CN"/>
                    </w:rPr>
                    <w:t>×</w:t>
                  </w:r>
                  <w:r>
                    <w:rPr>
                      <w:rFonts w:hint="eastAsia"/>
                      <w:lang w:val="en-US" w:eastAsia="zh-CN"/>
                    </w:rPr>
                    <w:t>13m</w:t>
                  </w:r>
                </w:p>
              </w:tc>
              <w:tc>
                <w:tcPr>
                  <w:tcW w:w="1750" w:type="dxa"/>
                  <w:tcBorders>
                    <w:tl2br w:val="nil"/>
                    <w:tr2bl w:val="nil"/>
                  </w:tcBorders>
                  <w:vAlign w:val="center"/>
                </w:tcPr>
                <w:p>
                  <w:pPr>
                    <w:jc w:val="center"/>
                    <w:rPr>
                      <w:rFonts w:hint="default"/>
                      <w:lang w:val="en-US" w:eastAsia="zh-CN"/>
                    </w:rPr>
                  </w:pPr>
                  <w:r>
                    <w:rPr>
                      <w:rFonts w:hint="eastAsia"/>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lang w:val="en-US" w:eastAsia="zh-CN"/>
                    </w:rPr>
                  </w:pPr>
                </w:p>
              </w:tc>
              <w:tc>
                <w:tcPr>
                  <w:tcW w:w="652" w:type="dxa"/>
                  <w:tcBorders>
                    <w:tl2br w:val="nil"/>
                    <w:tr2bl w:val="nil"/>
                  </w:tcBorders>
                  <w:vAlign w:val="center"/>
                </w:tcPr>
                <w:p>
                  <w:pPr>
                    <w:jc w:val="center"/>
                    <w:rPr>
                      <w:rFonts w:hint="default"/>
                      <w:lang w:val="en-US" w:eastAsia="zh-CN"/>
                    </w:rPr>
                  </w:pPr>
                  <w:r>
                    <w:rPr>
                      <w:rFonts w:hint="eastAsia"/>
                      <w:lang w:val="en-US" w:eastAsia="zh-CN"/>
                    </w:rPr>
                    <w:t>停车场</w:t>
                  </w:r>
                </w:p>
              </w:tc>
              <w:tc>
                <w:tcPr>
                  <w:tcW w:w="5709" w:type="dxa"/>
                  <w:gridSpan w:val="7"/>
                  <w:tcBorders>
                    <w:tl2br w:val="nil"/>
                    <w:tr2bl w:val="nil"/>
                  </w:tcBorders>
                  <w:vAlign w:val="center"/>
                </w:tcPr>
                <w:p>
                  <w:pPr>
                    <w:jc w:val="center"/>
                    <w:rPr>
                      <w:rFonts w:hint="default" w:eastAsia="宋体"/>
                      <w:lang w:val="en-US" w:eastAsia="zh-CN"/>
                    </w:rPr>
                  </w:pPr>
                  <w:r>
                    <w:rPr>
                      <w:rFonts w:hint="eastAsia"/>
                      <w:lang w:val="en-US" w:eastAsia="zh-CN"/>
                    </w:rPr>
                    <w:t>露天停车场，未设置顶棚，位于检验楼</w:t>
                  </w:r>
                  <w:r>
                    <w:rPr>
                      <w:rFonts w:hint="eastAsia"/>
                      <w:lang w:eastAsia="zh-CN"/>
                    </w:rPr>
                    <w:t>、</w:t>
                  </w:r>
                  <w:r>
                    <w:rPr>
                      <w:rFonts w:hint="eastAsia"/>
                      <w:lang w:val="en-US" w:eastAsia="zh-CN"/>
                    </w:rPr>
                    <w:t>检验检测楼、办公楼中心，面积为25m</w:t>
                  </w:r>
                  <w:r>
                    <w:rPr>
                      <w:rFonts w:hint="default" w:ascii="Arial" w:hAnsi="Arial" w:cs="Arial"/>
                      <w:lang w:val="en-US" w:eastAsia="zh-CN"/>
                    </w:rPr>
                    <w:t>×</w:t>
                  </w:r>
                  <w:r>
                    <w:rPr>
                      <w:rFonts w:hint="eastAsia"/>
                      <w:lang w:val="en-US" w:eastAsia="zh-CN"/>
                    </w:rPr>
                    <w:t>12m</w:t>
                  </w:r>
                </w:p>
              </w:tc>
              <w:tc>
                <w:tcPr>
                  <w:tcW w:w="1750" w:type="dxa"/>
                  <w:tcBorders>
                    <w:tl2br w:val="nil"/>
                    <w:tr2bl w:val="nil"/>
                  </w:tcBorders>
                  <w:vAlign w:val="center"/>
                </w:tcPr>
                <w:p>
                  <w:pPr>
                    <w:jc w:val="center"/>
                    <w:rPr>
                      <w:rFonts w:hint="eastAsia"/>
                      <w:lang w:val="en-US" w:eastAsia="zh-CN"/>
                    </w:rPr>
                  </w:pPr>
                  <w:r>
                    <w:rPr>
                      <w:rFonts w:hint="eastAsia"/>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lang w:val="en-US" w:eastAsia="zh-CN"/>
                    </w:rPr>
                  </w:pPr>
                </w:p>
              </w:tc>
              <w:tc>
                <w:tcPr>
                  <w:tcW w:w="652" w:type="dxa"/>
                  <w:tcBorders>
                    <w:tl2br w:val="nil"/>
                    <w:tr2bl w:val="nil"/>
                  </w:tcBorders>
                  <w:vAlign w:val="center"/>
                </w:tcPr>
                <w:p>
                  <w:pPr>
                    <w:jc w:val="center"/>
                    <w:rPr>
                      <w:rFonts w:hint="default"/>
                      <w:lang w:val="en-US" w:eastAsia="zh-CN"/>
                    </w:rPr>
                  </w:pPr>
                  <w:r>
                    <w:rPr>
                      <w:rFonts w:hint="eastAsia"/>
                      <w:lang w:val="en-US" w:eastAsia="zh-CN"/>
                    </w:rPr>
                    <w:t>连廊</w:t>
                  </w:r>
                </w:p>
              </w:tc>
              <w:tc>
                <w:tcPr>
                  <w:tcW w:w="5709" w:type="dxa"/>
                  <w:gridSpan w:val="7"/>
                  <w:tcBorders>
                    <w:tl2br w:val="nil"/>
                    <w:tr2bl w:val="nil"/>
                  </w:tcBorders>
                  <w:vAlign w:val="center"/>
                </w:tcPr>
                <w:p>
                  <w:pPr>
                    <w:jc w:val="center"/>
                    <w:rPr>
                      <w:rFonts w:hint="default"/>
                      <w:lang w:val="en-US" w:eastAsia="zh-CN"/>
                    </w:rPr>
                  </w:pPr>
                  <w:r>
                    <w:rPr>
                      <w:rFonts w:hint="eastAsia"/>
                      <w:lang w:val="en-US" w:eastAsia="zh-CN"/>
                    </w:rPr>
                    <w:t>连接检验楼及检验检测楼二、三层</w:t>
                  </w:r>
                </w:p>
              </w:tc>
              <w:tc>
                <w:tcPr>
                  <w:tcW w:w="1750" w:type="dxa"/>
                  <w:tcBorders>
                    <w:tl2br w:val="nil"/>
                    <w:tr2bl w:val="nil"/>
                  </w:tcBorders>
                  <w:vAlign w:val="center"/>
                </w:tcPr>
                <w:p>
                  <w:pPr>
                    <w:jc w:val="center"/>
                    <w:rPr>
                      <w:rFonts w:hint="default"/>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restart"/>
                  <w:tcBorders>
                    <w:tl2br w:val="nil"/>
                    <w:tr2bl w:val="nil"/>
                  </w:tcBorders>
                  <w:vAlign w:val="center"/>
                </w:tcPr>
                <w:p>
                  <w:pPr>
                    <w:jc w:val="center"/>
                    <w:rPr>
                      <w:rFonts w:hint="default"/>
                      <w:lang w:val="en-US" w:eastAsia="zh-CN"/>
                    </w:rPr>
                  </w:pPr>
                  <w:r>
                    <w:rPr>
                      <w:rFonts w:hint="eastAsia"/>
                      <w:lang w:val="en-US" w:eastAsia="zh-CN"/>
                    </w:rPr>
                    <w:t>公共工程</w:t>
                  </w:r>
                </w:p>
              </w:tc>
              <w:tc>
                <w:tcPr>
                  <w:tcW w:w="652" w:type="dxa"/>
                  <w:tcBorders>
                    <w:tl2br w:val="nil"/>
                    <w:tr2bl w:val="nil"/>
                  </w:tcBorders>
                  <w:vAlign w:val="center"/>
                </w:tcPr>
                <w:p>
                  <w:pPr>
                    <w:jc w:val="center"/>
                    <w:rPr>
                      <w:rFonts w:hint="default"/>
                      <w:lang w:val="en-US" w:eastAsia="zh-CN"/>
                    </w:rPr>
                  </w:pPr>
                  <w:r>
                    <w:rPr>
                      <w:rFonts w:hint="eastAsia"/>
                      <w:lang w:val="en-US" w:eastAsia="zh-CN"/>
                    </w:rPr>
                    <w:t>供水</w:t>
                  </w:r>
                </w:p>
              </w:tc>
              <w:tc>
                <w:tcPr>
                  <w:tcW w:w="5709" w:type="dxa"/>
                  <w:gridSpan w:val="7"/>
                  <w:tcBorders>
                    <w:tl2br w:val="nil"/>
                    <w:tr2bl w:val="nil"/>
                  </w:tcBorders>
                  <w:vAlign w:val="center"/>
                </w:tcPr>
                <w:p>
                  <w:pPr>
                    <w:jc w:val="center"/>
                    <w:rPr>
                      <w:rFonts w:hint="default"/>
                      <w:lang w:val="en-US" w:eastAsia="zh-CN"/>
                    </w:rPr>
                  </w:pPr>
                  <w:r>
                    <w:rPr>
                      <w:rFonts w:hint="eastAsia"/>
                      <w:lang w:val="en-US" w:eastAsia="zh-CN"/>
                    </w:rPr>
                    <w:t>接入市政自来水管网</w:t>
                  </w:r>
                </w:p>
              </w:tc>
              <w:tc>
                <w:tcPr>
                  <w:tcW w:w="1750" w:type="dxa"/>
                  <w:vMerge w:val="restart"/>
                  <w:tcBorders>
                    <w:tl2br w:val="nil"/>
                    <w:tr2bl w:val="nil"/>
                  </w:tcBorders>
                  <w:vAlign w:val="center"/>
                </w:tcPr>
                <w:p>
                  <w:pPr>
                    <w:jc w:val="center"/>
                    <w:rPr>
                      <w:rFonts w:hint="default"/>
                      <w:lang w:val="en-US" w:eastAsia="zh-CN"/>
                    </w:rPr>
                  </w:pPr>
                  <w:r>
                    <w:rPr>
                      <w:rFonts w:hint="eastAsia"/>
                      <w:lang w:val="en-US"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lang w:val="en-US" w:eastAsia="zh-CN"/>
                    </w:rPr>
                  </w:pPr>
                </w:p>
              </w:tc>
              <w:tc>
                <w:tcPr>
                  <w:tcW w:w="652" w:type="dxa"/>
                  <w:tcBorders>
                    <w:tl2br w:val="nil"/>
                    <w:tr2bl w:val="nil"/>
                  </w:tcBorders>
                  <w:vAlign w:val="center"/>
                </w:tcPr>
                <w:p>
                  <w:pPr>
                    <w:jc w:val="center"/>
                    <w:rPr>
                      <w:rFonts w:hint="default"/>
                      <w:lang w:val="en-US" w:eastAsia="zh-CN"/>
                    </w:rPr>
                  </w:pPr>
                  <w:r>
                    <w:rPr>
                      <w:rFonts w:hint="eastAsia"/>
                      <w:lang w:val="en-US" w:eastAsia="zh-CN"/>
                    </w:rPr>
                    <w:t>供电</w:t>
                  </w:r>
                </w:p>
              </w:tc>
              <w:tc>
                <w:tcPr>
                  <w:tcW w:w="5709" w:type="dxa"/>
                  <w:gridSpan w:val="7"/>
                  <w:tcBorders>
                    <w:tl2br w:val="nil"/>
                    <w:tr2bl w:val="nil"/>
                  </w:tcBorders>
                  <w:vAlign w:val="center"/>
                </w:tcPr>
                <w:p>
                  <w:pPr>
                    <w:jc w:val="center"/>
                    <w:rPr>
                      <w:rFonts w:hint="default"/>
                      <w:lang w:val="en-US" w:eastAsia="zh-CN"/>
                    </w:rPr>
                  </w:pPr>
                  <w:r>
                    <w:rPr>
                      <w:rFonts w:hint="eastAsia"/>
                      <w:lang w:val="en-US" w:eastAsia="zh-CN"/>
                    </w:rPr>
                    <w:t>接入当地电网</w:t>
                  </w:r>
                </w:p>
              </w:tc>
              <w:tc>
                <w:tcPr>
                  <w:tcW w:w="1750" w:type="dxa"/>
                  <w:vMerge w:val="continue"/>
                  <w:tcBorders>
                    <w:tl2br w:val="nil"/>
                    <w:tr2bl w:val="nil"/>
                  </w:tcBorders>
                  <w:vAlign w:val="center"/>
                </w:tcPr>
                <w:p>
                  <w:pPr>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rPr>
                      <w:rFonts w:hint="eastAsia"/>
                      <w:lang w:val="en-US" w:eastAsia="zh-CN"/>
                    </w:rPr>
                  </w:pPr>
                </w:p>
              </w:tc>
              <w:tc>
                <w:tcPr>
                  <w:tcW w:w="652" w:type="dxa"/>
                  <w:vMerge w:val="restart"/>
                  <w:tcBorders>
                    <w:tl2br w:val="nil"/>
                    <w:tr2bl w:val="nil"/>
                  </w:tcBorders>
                  <w:vAlign w:val="center"/>
                </w:tcPr>
                <w:p>
                  <w:pPr>
                    <w:jc w:val="center"/>
                    <w:rPr>
                      <w:rFonts w:hint="default"/>
                      <w:lang w:val="en-US" w:eastAsia="zh-CN"/>
                    </w:rPr>
                  </w:pPr>
                  <w:r>
                    <w:rPr>
                      <w:rFonts w:hint="eastAsia"/>
                      <w:lang w:val="en-US" w:eastAsia="zh-CN"/>
                    </w:rPr>
                    <w:t>排水</w:t>
                  </w:r>
                </w:p>
              </w:tc>
              <w:tc>
                <w:tcPr>
                  <w:tcW w:w="1894" w:type="dxa"/>
                  <w:gridSpan w:val="4"/>
                  <w:tcBorders>
                    <w:tl2br w:val="nil"/>
                    <w:tr2bl w:val="nil"/>
                  </w:tcBorders>
                  <w:vAlign w:val="center"/>
                </w:tcPr>
                <w:p>
                  <w:pPr>
                    <w:jc w:val="center"/>
                    <w:rPr>
                      <w:rFonts w:hint="default"/>
                      <w:lang w:val="en-US" w:eastAsia="zh-CN"/>
                    </w:rPr>
                  </w:pPr>
                  <w:r>
                    <w:rPr>
                      <w:rFonts w:hint="eastAsia"/>
                      <w:lang w:val="en-US" w:eastAsia="zh-CN"/>
                    </w:rPr>
                    <w:t>生活污水</w:t>
                  </w:r>
                </w:p>
              </w:tc>
              <w:tc>
                <w:tcPr>
                  <w:tcW w:w="3815" w:type="dxa"/>
                  <w:gridSpan w:val="3"/>
                  <w:tcBorders>
                    <w:tl2br w:val="nil"/>
                    <w:tr2bl w:val="nil"/>
                  </w:tcBorders>
                  <w:vAlign w:val="center"/>
                </w:tcPr>
                <w:p>
                  <w:pPr>
                    <w:jc w:val="center"/>
                    <w:rPr>
                      <w:rFonts w:hint="default"/>
                      <w:lang w:val="en-US" w:eastAsia="zh-CN"/>
                    </w:rPr>
                  </w:pPr>
                  <w:r>
                    <w:rPr>
                      <w:rFonts w:hint="eastAsia"/>
                      <w:u w:val="single"/>
                      <w:lang w:val="en-US" w:eastAsia="zh-CN"/>
                    </w:rPr>
                    <w:t>由清粪车转运至靖州县县城污水处理厂</w:t>
                  </w:r>
                </w:p>
              </w:tc>
              <w:tc>
                <w:tcPr>
                  <w:tcW w:w="1750" w:type="dxa"/>
                  <w:tcBorders>
                    <w:tl2br w:val="nil"/>
                    <w:tr2bl w:val="nil"/>
                  </w:tcBorders>
                  <w:vAlign w:val="center"/>
                </w:tcPr>
                <w:p>
                  <w:pPr>
                    <w:jc w:val="center"/>
                    <w:rPr>
                      <w:rFonts w:hint="default"/>
                      <w:lang w:val="en-US" w:eastAsia="zh-CN"/>
                    </w:rPr>
                  </w:pPr>
                  <w:r>
                    <w:rPr>
                      <w:rFonts w:hint="eastAsia"/>
                      <w:b w:val="0"/>
                      <w:bCs w:val="0"/>
                      <w:i w:val="0"/>
                      <w:iCs w:val="0"/>
                      <w:lang w:val="en-US" w:eastAsia="zh-CN"/>
                    </w:rPr>
                    <w:t>改建，详见</w:t>
                  </w:r>
                  <w:r>
                    <w:rPr>
                      <w:rFonts w:hint="eastAsia"/>
                      <w:b/>
                      <w:bCs/>
                      <w:i w:val="0"/>
                      <w:iCs w:val="0"/>
                      <w:lang w:val="en-US" w:eastAsia="zh-CN"/>
                    </w:rPr>
                    <w:t>注解1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894" w:type="dxa"/>
                  <w:gridSpan w:val="4"/>
                  <w:tcBorders>
                    <w:tl2br w:val="nil"/>
                    <w:tr2bl w:val="nil"/>
                  </w:tcBorders>
                  <w:vAlign w:val="center"/>
                </w:tcPr>
                <w:p>
                  <w:pPr>
                    <w:jc w:val="center"/>
                    <w:rPr>
                      <w:rFonts w:hint="default" w:eastAsia="宋体"/>
                      <w:lang w:val="en-US" w:eastAsia="zh-CN"/>
                    </w:rPr>
                  </w:pPr>
                  <w:r>
                    <w:rPr>
                      <w:rFonts w:hint="eastAsia"/>
                      <w:lang w:val="en-US" w:eastAsia="zh-CN"/>
                    </w:rPr>
                    <w:t>实验室废水（医疗废水）</w:t>
                  </w:r>
                </w:p>
              </w:tc>
              <w:tc>
                <w:tcPr>
                  <w:tcW w:w="3815" w:type="dxa"/>
                  <w:gridSpan w:val="3"/>
                  <w:tcBorders>
                    <w:tl2br w:val="nil"/>
                    <w:tr2bl w:val="nil"/>
                  </w:tcBorders>
                  <w:vAlign w:val="center"/>
                </w:tcPr>
                <w:p>
                  <w:pPr>
                    <w:jc w:val="center"/>
                    <w:rPr>
                      <w:rFonts w:hint="default" w:eastAsia="宋体"/>
                      <w:lang w:val="en-US" w:eastAsia="zh-CN"/>
                    </w:rPr>
                  </w:pPr>
                  <w:r>
                    <w:rPr>
                      <w:rFonts w:hint="eastAsia"/>
                      <w:lang w:val="en-US" w:eastAsia="zh-CN"/>
                    </w:rPr>
                    <w:t>经污水处理设备净化后达标排入文昌溪</w:t>
                  </w:r>
                </w:p>
              </w:tc>
              <w:tc>
                <w:tcPr>
                  <w:tcW w:w="1750"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restart"/>
                  <w:tcBorders>
                    <w:tl2br w:val="nil"/>
                    <w:tr2bl w:val="nil"/>
                  </w:tcBorders>
                  <w:vAlign w:val="center"/>
                </w:tcPr>
                <w:p>
                  <w:pPr>
                    <w:jc w:val="center"/>
                    <w:rPr>
                      <w:rFonts w:hint="default" w:eastAsia="宋体"/>
                      <w:lang w:val="en-US" w:eastAsia="zh-CN"/>
                    </w:rPr>
                  </w:pPr>
                  <w:r>
                    <w:rPr>
                      <w:rFonts w:hint="eastAsia"/>
                      <w:lang w:val="en-US" w:eastAsia="zh-CN"/>
                    </w:rPr>
                    <w:t>环保工程</w:t>
                  </w:r>
                </w:p>
              </w:tc>
              <w:tc>
                <w:tcPr>
                  <w:tcW w:w="652" w:type="dxa"/>
                  <w:vMerge w:val="restart"/>
                  <w:tcBorders>
                    <w:tl2br w:val="nil"/>
                    <w:tr2bl w:val="nil"/>
                  </w:tcBorders>
                  <w:vAlign w:val="center"/>
                </w:tcPr>
                <w:p>
                  <w:pPr>
                    <w:jc w:val="center"/>
                    <w:rPr>
                      <w:rFonts w:hint="eastAsia" w:eastAsia="宋体"/>
                      <w:lang w:val="en-US" w:eastAsia="zh-CN"/>
                    </w:rPr>
                  </w:pPr>
                  <w:r>
                    <w:rPr>
                      <w:rFonts w:hint="eastAsia"/>
                      <w:lang w:val="en-US" w:eastAsia="zh-CN"/>
                    </w:rPr>
                    <w:t>废气</w:t>
                  </w:r>
                </w:p>
              </w:tc>
              <w:tc>
                <w:tcPr>
                  <w:tcW w:w="825" w:type="dxa"/>
                  <w:vMerge w:val="restart"/>
                  <w:tcBorders>
                    <w:tl2br w:val="nil"/>
                    <w:tr2bl w:val="nil"/>
                  </w:tcBorders>
                  <w:vAlign w:val="center"/>
                </w:tcPr>
                <w:p>
                  <w:pPr>
                    <w:jc w:val="center"/>
                    <w:rPr>
                      <w:rFonts w:hint="default"/>
                      <w:lang w:val="en-US" w:eastAsia="zh-CN"/>
                    </w:rPr>
                  </w:pPr>
                  <w:r>
                    <w:rPr>
                      <w:rFonts w:hint="eastAsia"/>
                      <w:lang w:val="en-US" w:eastAsia="zh-CN"/>
                    </w:rPr>
                    <w:t>实验室废气</w:t>
                  </w:r>
                </w:p>
              </w:tc>
              <w:tc>
                <w:tcPr>
                  <w:tcW w:w="1069" w:type="dxa"/>
                  <w:gridSpan w:val="3"/>
                  <w:tcBorders>
                    <w:tl2br w:val="nil"/>
                    <w:tr2bl w:val="nil"/>
                  </w:tcBorders>
                  <w:vAlign w:val="center"/>
                </w:tcPr>
                <w:p>
                  <w:pPr>
                    <w:jc w:val="center"/>
                    <w:rPr>
                      <w:rFonts w:hint="default"/>
                      <w:lang w:val="en-US" w:eastAsia="zh-CN"/>
                    </w:rPr>
                  </w:pPr>
                  <w:r>
                    <w:rPr>
                      <w:rFonts w:hint="eastAsia"/>
                      <w:lang w:val="en-US" w:eastAsia="zh-CN"/>
                    </w:rPr>
                    <w:t>消解废气</w:t>
                  </w:r>
                </w:p>
              </w:tc>
              <w:tc>
                <w:tcPr>
                  <w:tcW w:w="3815" w:type="dxa"/>
                  <w:gridSpan w:val="3"/>
                  <w:tcBorders>
                    <w:tl2br w:val="nil"/>
                    <w:tr2bl w:val="nil"/>
                  </w:tcBorders>
                  <w:vAlign w:val="center"/>
                </w:tcPr>
                <w:p>
                  <w:pPr>
                    <w:jc w:val="center"/>
                    <w:rPr>
                      <w:rFonts w:hint="default"/>
                      <w:lang w:val="en-US" w:eastAsia="zh-CN"/>
                    </w:rPr>
                  </w:pPr>
                  <w:r>
                    <w:rPr>
                      <w:rFonts w:hint="eastAsia"/>
                      <w:lang w:val="en-US" w:eastAsia="zh-CN"/>
                    </w:rPr>
                    <w:t>由风机抽至楼顶经15m排气口排放</w:t>
                  </w:r>
                </w:p>
              </w:tc>
              <w:tc>
                <w:tcPr>
                  <w:tcW w:w="1750" w:type="dxa"/>
                  <w:vMerge w:val="restart"/>
                  <w:tcBorders>
                    <w:tl2br w:val="nil"/>
                    <w:tr2bl w:val="nil"/>
                  </w:tcBorders>
                  <w:vAlign w:val="center"/>
                </w:tcPr>
                <w:p>
                  <w:pPr>
                    <w:jc w:val="center"/>
                    <w:rPr>
                      <w:rFonts w:hint="default" w:eastAsia="宋体"/>
                      <w:lang w:val="en-US" w:eastAsia="zh-CN"/>
                    </w:rPr>
                  </w:pPr>
                  <w:r>
                    <w:rPr>
                      <w:rFonts w:hint="eastAsia"/>
                      <w:lang w:val="en-US" w:eastAsia="zh-CN"/>
                    </w:rPr>
                    <w:t>改建前后排放的污染物类型、排放方式不变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825" w:type="dxa"/>
                  <w:vMerge w:val="continue"/>
                  <w:tcBorders>
                    <w:tl2br w:val="nil"/>
                    <w:tr2bl w:val="nil"/>
                  </w:tcBorders>
                  <w:vAlign w:val="center"/>
                </w:tcPr>
                <w:p>
                  <w:pPr>
                    <w:jc w:val="center"/>
                  </w:pPr>
                </w:p>
              </w:tc>
              <w:tc>
                <w:tcPr>
                  <w:tcW w:w="1069" w:type="dxa"/>
                  <w:gridSpan w:val="3"/>
                  <w:tcBorders>
                    <w:tl2br w:val="nil"/>
                    <w:tr2bl w:val="nil"/>
                  </w:tcBorders>
                  <w:vAlign w:val="center"/>
                </w:tcPr>
                <w:p>
                  <w:pPr>
                    <w:jc w:val="center"/>
                    <w:rPr>
                      <w:rFonts w:hint="default" w:eastAsia="宋体"/>
                      <w:lang w:val="en-US" w:eastAsia="zh-CN"/>
                    </w:rPr>
                  </w:pPr>
                  <w:r>
                    <w:rPr>
                      <w:rFonts w:hint="eastAsia"/>
                      <w:lang w:val="en-US" w:eastAsia="zh-CN"/>
                    </w:rPr>
                    <w:t>试剂挥发废气</w:t>
                  </w:r>
                </w:p>
              </w:tc>
              <w:tc>
                <w:tcPr>
                  <w:tcW w:w="3815" w:type="dxa"/>
                  <w:gridSpan w:val="3"/>
                  <w:tcBorders>
                    <w:tl2br w:val="nil"/>
                    <w:tr2bl w:val="nil"/>
                  </w:tcBorders>
                  <w:vAlign w:val="center"/>
                </w:tcPr>
                <w:p>
                  <w:pPr>
                    <w:jc w:val="center"/>
                    <w:rPr>
                      <w:rFonts w:hint="default" w:eastAsia="宋体"/>
                      <w:lang w:val="en-US" w:eastAsia="zh-CN"/>
                    </w:rPr>
                  </w:pPr>
                  <w:r>
                    <w:rPr>
                      <w:rFonts w:hint="eastAsia"/>
                      <w:lang w:val="en-US" w:eastAsia="zh-CN"/>
                    </w:rPr>
                    <w:t>加强厂区通风、绿化</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825" w:type="dxa"/>
                  <w:vMerge w:val="continue"/>
                  <w:tcBorders>
                    <w:tl2br w:val="nil"/>
                    <w:tr2bl w:val="nil"/>
                  </w:tcBorders>
                  <w:vAlign w:val="center"/>
                </w:tcPr>
                <w:p>
                  <w:pPr>
                    <w:jc w:val="center"/>
                  </w:pPr>
                </w:p>
              </w:tc>
              <w:tc>
                <w:tcPr>
                  <w:tcW w:w="1069" w:type="dxa"/>
                  <w:gridSpan w:val="3"/>
                  <w:tcBorders>
                    <w:tl2br w:val="nil"/>
                    <w:tr2bl w:val="nil"/>
                  </w:tcBorders>
                  <w:vAlign w:val="center"/>
                </w:tcPr>
                <w:p>
                  <w:pPr>
                    <w:jc w:val="center"/>
                    <w:rPr>
                      <w:rFonts w:hint="default" w:eastAsia="宋体"/>
                      <w:lang w:val="en-US" w:eastAsia="zh-CN"/>
                    </w:rPr>
                  </w:pPr>
                  <w:r>
                    <w:rPr>
                      <w:rFonts w:hint="eastAsia"/>
                      <w:lang w:val="en-US" w:eastAsia="zh-CN"/>
                    </w:rPr>
                    <w:t>微生物实验废气</w:t>
                  </w:r>
                </w:p>
              </w:tc>
              <w:tc>
                <w:tcPr>
                  <w:tcW w:w="3815" w:type="dxa"/>
                  <w:gridSpan w:val="3"/>
                  <w:tcBorders>
                    <w:tl2br w:val="nil"/>
                    <w:tr2bl w:val="nil"/>
                  </w:tcBorders>
                  <w:vAlign w:val="center"/>
                </w:tcPr>
                <w:p>
                  <w:pPr>
                    <w:jc w:val="center"/>
                    <w:rPr>
                      <w:rFonts w:hint="default" w:eastAsia="宋体"/>
                      <w:lang w:val="en-US" w:eastAsia="zh-CN"/>
                    </w:rPr>
                  </w:pPr>
                  <w:r>
                    <w:rPr>
                      <w:rFonts w:hint="eastAsia"/>
                      <w:lang w:val="en-US" w:eastAsia="zh-CN"/>
                    </w:rPr>
                    <w:t>共设置7台生物安全柜，其中6台尾气内循环，1台外排</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894" w:type="dxa"/>
                  <w:gridSpan w:val="4"/>
                  <w:tcBorders>
                    <w:tl2br w:val="nil"/>
                    <w:tr2bl w:val="nil"/>
                  </w:tcBorders>
                  <w:vAlign w:val="center"/>
                </w:tcPr>
                <w:p>
                  <w:pPr>
                    <w:jc w:val="center"/>
                    <w:rPr>
                      <w:rFonts w:hint="default"/>
                      <w:lang w:val="en-US" w:eastAsia="zh-CN"/>
                    </w:rPr>
                  </w:pPr>
                  <w:r>
                    <w:rPr>
                      <w:rFonts w:hint="eastAsia"/>
                      <w:lang w:val="en-US" w:eastAsia="zh-CN"/>
                    </w:rPr>
                    <w:t>污水处理站恶臭气体</w:t>
                  </w:r>
                </w:p>
              </w:tc>
              <w:tc>
                <w:tcPr>
                  <w:tcW w:w="3815" w:type="dxa"/>
                  <w:gridSpan w:val="3"/>
                  <w:tcBorders>
                    <w:tl2br w:val="nil"/>
                    <w:tr2bl w:val="nil"/>
                  </w:tcBorders>
                  <w:vAlign w:val="center"/>
                </w:tcPr>
                <w:p>
                  <w:pPr>
                    <w:jc w:val="center"/>
                    <w:rPr>
                      <w:rFonts w:hint="default"/>
                      <w:lang w:val="en-US" w:eastAsia="zh-CN"/>
                    </w:rPr>
                  </w:pPr>
                  <w:r>
                    <w:rPr>
                      <w:rFonts w:hint="eastAsia"/>
                      <w:lang w:val="en-US" w:eastAsia="zh-CN"/>
                    </w:rPr>
                    <w:t>加强密封、绿化</w:t>
                  </w:r>
                </w:p>
              </w:tc>
              <w:tc>
                <w:tcPr>
                  <w:tcW w:w="1750" w:type="dxa"/>
                  <w:vMerge w:val="continue"/>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894" w:type="dxa"/>
                  <w:gridSpan w:val="4"/>
                  <w:tcBorders>
                    <w:tl2br w:val="nil"/>
                    <w:tr2bl w:val="nil"/>
                  </w:tcBorders>
                  <w:vAlign w:val="center"/>
                </w:tcPr>
                <w:p>
                  <w:pPr>
                    <w:jc w:val="center"/>
                    <w:rPr>
                      <w:rFonts w:hint="default"/>
                      <w:lang w:val="en-US" w:eastAsia="zh-CN"/>
                    </w:rPr>
                  </w:pPr>
                  <w:r>
                    <w:rPr>
                      <w:rFonts w:hint="eastAsia"/>
                      <w:lang w:val="en-US" w:eastAsia="zh-CN"/>
                    </w:rPr>
                    <w:t>食堂油烟</w:t>
                  </w:r>
                </w:p>
              </w:tc>
              <w:tc>
                <w:tcPr>
                  <w:tcW w:w="3815" w:type="dxa"/>
                  <w:gridSpan w:val="3"/>
                  <w:tcBorders>
                    <w:tl2br w:val="nil"/>
                    <w:tr2bl w:val="nil"/>
                  </w:tcBorders>
                  <w:vAlign w:val="center"/>
                </w:tcPr>
                <w:p>
                  <w:pPr>
                    <w:jc w:val="center"/>
                    <w:rPr>
                      <w:rFonts w:hint="default"/>
                      <w:lang w:val="en-US" w:eastAsia="zh-CN"/>
                    </w:rPr>
                  </w:pPr>
                  <w:r>
                    <w:rPr>
                      <w:rFonts w:hint="eastAsia"/>
                      <w:lang w:val="en-US" w:eastAsia="zh-CN"/>
                    </w:rPr>
                    <w:t>经抽油烟机引至室外无组织排放</w:t>
                  </w:r>
                </w:p>
              </w:tc>
              <w:tc>
                <w:tcPr>
                  <w:tcW w:w="1750"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421" w:type="dxa"/>
                  <w:vMerge w:val="continue"/>
                  <w:tcBorders>
                    <w:tl2br w:val="nil"/>
                    <w:tr2bl w:val="nil"/>
                  </w:tcBorders>
                  <w:vAlign w:val="center"/>
                </w:tcPr>
                <w:p>
                  <w:pPr>
                    <w:jc w:val="center"/>
                  </w:pPr>
                </w:p>
              </w:tc>
              <w:tc>
                <w:tcPr>
                  <w:tcW w:w="652" w:type="dxa"/>
                  <w:vMerge w:val="restart"/>
                  <w:tcBorders>
                    <w:tl2br w:val="nil"/>
                    <w:tr2bl w:val="nil"/>
                  </w:tcBorders>
                  <w:vAlign w:val="center"/>
                </w:tcPr>
                <w:p>
                  <w:pPr>
                    <w:jc w:val="center"/>
                    <w:rPr>
                      <w:rFonts w:hint="eastAsia" w:eastAsia="宋体"/>
                      <w:lang w:val="en-US" w:eastAsia="zh-CN"/>
                    </w:rPr>
                  </w:pPr>
                  <w:r>
                    <w:rPr>
                      <w:rFonts w:hint="eastAsia"/>
                      <w:lang w:val="en-US" w:eastAsia="zh-CN"/>
                    </w:rPr>
                    <w:t>废水</w:t>
                  </w:r>
                </w:p>
              </w:tc>
              <w:tc>
                <w:tcPr>
                  <w:tcW w:w="1894" w:type="dxa"/>
                  <w:gridSpan w:val="4"/>
                  <w:tcBorders>
                    <w:tl2br w:val="nil"/>
                    <w:tr2bl w:val="nil"/>
                  </w:tcBorders>
                  <w:vAlign w:val="center"/>
                </w:tcPr>
                <w:p>
                  <w:pPr>
                    <w:jc w:val="center"/>
                    <w:rPr>
                      <w:rFonts w:hint="default"/>
                      <w:lang w:val="en-US" w:eastAsia="zh-CN"/>
                    </w:rPr>
                  </w:pPr>
                  <w:r>
                    <w:rPr>
                      <w:rFonts w:hint="eastAsia"/>
                      <w:lang w:val="en-US" w:eastAsia="zh-CN"/>
                    </w:rPr>
                    <w:t>实验室废水（医疗废水）</w:t>
                  </w:r>
                </w:p>
              </w:tc>
              <w:tc>
                <w:tcPr>
                  <w:tcW w:w="3815" w:type="dxa"/>
                  <w:gridSpan w:val="3"/>
                  <w:tcBorders>
                    <w:tl2br w:val="nil"/>
                    <w:tr2bl w:val="nil"/>
                  </w:tcBorders>
                  <w:vAlign w:val="center"/>
                </w:tcPr>
                <w:p>
                  <w:pPr>
                    <w:jc w:val="center"/>
                    <w:rPr>
                      <w:rFonts w:hint="default"/>
                      <w:lang w:val="en-US" w:eastAsia="zh-CN"/>
                    </w:rPr>
                  </w:pPr>
                  <w:r>
                    <w:rPr>
                      <w:rFonts w:hint="eastAsia"/>
                      <w:lang w:val="en-US" w:eastAsia="zh-CN"/>
                    </w:rPr>
                    <w:t>经污水处理设备净化后排入文昌溪</w:t>
                  </w:r>
                </w:p>
              </w:tc>
              <w:tc>
                <w:tcPr>
                  <w:tcW w:w="1750" w:type="dxa"/>
                  <w:tcBorders>
                    <w:tl2br w:val="nil"/>
                    <w:tr2bl w:val="nil"/>
                  </w:tcBorders>
                  <w:vAlign w:val="center"/>
                </w:tcPr>
                <w:p>
                  <w:pPr>
                    <w:jc w:val="center"/>
                    <w:rPr>
                      <w:rFonts w:hint="default" w:eastAsia="宋体"/>
                      <w:lang w:val="en-US" w:eastAsia="zh-CN"/>
                    </w:rPr>
                  </w:pPr>
                  <w:r>
                    <w:rPr>
                      <w:rFonts w:hint="eastAsia"/>
                      <w:lang w:val="en-US" w:eastAsia="zh-CN"/>
                    </w:rPr>
                    <w:t>改建后处理方式、排放口位置不变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894" w:type="dxa"/>
                  <w:gridSpan w:val="4"/>
                  <w:tcBorders>
                    <w:tl2br w:val="nil"/>
                    <w:tr2bl w:val="nil"/>
                  </w:tcBorders>
                  <w:vAlign w:val="center"/>
                </w:tcPr>
                <w:p>
                  <w:pPr>
                    <w:jc w:val="center"/>
                    <w:rPr>
                      <w:rFonts w:hint="default"/>
                      <w:lang w:val="en-US" w:eastAsia="zh-CN"/>
                    </w:rPr>
                  </w:pPr>
                  <w:r>
                    <w:rPr>
                      <w:rFonts w:hint="eastAsia"/>
                      <w:lang w:val="en-US" w:eastAsia="zh-CN"/>
                    </w:rPr>
                    <w:t>生活废水</w:t>
                  </w:r>
                </w:p>
              </w:tc>
              <w:tc>
                <w:tcPr>
                  <w:tcW w:w="3815" w:type="dxa"/>
                  <w:gridSpan w:val="3"/>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u w:val="single"/>
                      <w:lang w:val="en-US" w:eastAsia="zh-CN"/>
                    </w:rPr>
                    <w:t>由清粪车转运至靖州县县城污水处理厂</w:t>
                  </w:r>
                </w:p>
              </w:tc>
              <w:tc>
                <w:tcPr>
                  <w:tcW w:w="1750" w:type="dxa"/>
                  <w:tcBorders>
                    <w:tl2br w:val="nil"/>
                    <w:tr2bl w:val="nil"/>
                  </w:tcBorders>
                  <w:vAlign w:val="center"/>
                </w:tcPr>
                <w:p>
                  <w:pPr>
                    <w:jc w:val="center"/>
                    <w:rPr>
                      <w:rFonts w:hint="default" w:eastAsia="宋体"/>
                      <w:lang w:val="en-US" w:eastAsia="zh-CN"/>
                    </w:rPr>
                  </w:pPr>
                  <w:r>
                    <w:rPr>
                      <w:rFonts w:hint="eastAsia"/>
                      <w:b w:val="0"/>
                      <w:bCs w:val="0"/>
                      <w:i w:val="0"/>
                      <w:iCs w:val="0"/>
                      <w:lang w:val="en-US" w:eastAsia="zh-CN"/>
                    </w:rPr>
                    <w:t>较改建前变更，详见</w:t>
                  </w:r>
                  <w:r>
                    <w:rPr>
                      <w:rFonts w:hint="eastAsia"/>
                      <w:b/>
                      <w:bCs/>
                      <w:i w:val="0"/>
                      <w:iCs w:val="0"/>
                      <w:lang w:val="en-US" w:eastAsia="zh-CN"/>
                    </w:rPr>
                    <w:t>注解1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restart"/>
                  <w:tcBorders>
                    <w:tl2br w:val="nil"/>
                    <w:tr2bl w:val="nil"/>
                  </w:tcBorders>
                  <w:vAlign w:val="center"/>
                </w:tcPr>
                <w:p>
                  <w:pPr>
                    <w:jc w:val="center"/>
                    <w:rPr>
                      <w:rFonts w:hint="default" w:eastAsia="宋体"/>
                      <w:lang w:val="en-US" w:eastAsia="zh-CN"/>
                    </w:rPr>
                  </w:pPr>
                  <w:r>
                    <w:rPr>
                      <w:rFonts w:hint="eastAsia"/>
                      <w:lang w:val="en-US" w:eastAsia="zh-CN"/>
                    </w:rPr>
                    <w:t>固体废物</w:t>
                  </w:r>
                </w:p>
              </w:tc>
              <w:tc>
                <w:tcPr>
                  <w:tcW w:w="1079" w:type="dxa"/>
                  <w:gridSpan w:val="2"/>
                  <w:vMerge w:val="restart"/>
                  <w:tcBorders>
                    <w:tl2br w:val="nil"/>
                    <w:tr2bl w:val="nil"/>
                  </w:tcBorders>
                  <w:vAlign w:val="center"/>
                </w:tcPr>
                <w:p>
                  <w:pPr>
                    <w:jc w:val="center"/>
                    <w:rPr>
                      <w:rFonts w:hint="default"/>
                      <w:lang w:val="en-US" w:eastAsia="zh-CN"/>
                    </w:rPr>
                  </w:pPr>
                  <w:r>
                    <w:rPr>
                      <w:rFonts w:hint="eastAsia"/>
                      <w:lang w:val="en-US" w:eastAsia="zh-CN"/>
                    </w:rPr>
                    <w:t>危险废物</w:t>
                  </w:r>
                </w:p>
              </w:tc>
              <w:tc>
                <w:tcPr>
                  <w:tcW w:w="3065" w:type="dxa"/>
                  <w:gridSpan w:val="3"/>
                  <w:tcBorders>
                    <w:tl2br w:val="nil"/>
                    <w:tr2bl w:val="nil"/>
                  </w:tcBorders>
                  <w:vAlign w:val="center"/>
                </w:tcPr>
                <w:p>
                  <w:pPr>
                    <w:jc w:val="center"/>
                    <w:rPr>
                      <w:rFonts w:hint="default"/>
                      <w:lang w:val="en-US" w:eastAsia="zh-CN"/>
                    </w:rPr>
                  </w:pPr>
                  <w:r>
                    <w:rPr>
                      <w:rFonts w:hint="eastAsia"/>
                      <w:lang w:val="en-US" w:eastAsia="zh-CN"/>
                    </w:rPr>
                    <w:t>医疗废物</w:t>
                  </w:r>
                </w:p>
              </w:tc>
              <w:tc>
                <w:tcPr>
                  <w:tcW w:w="3315" w:type="dxa"/>
                  <w:gridSpan w:val="3"/>
                  <w:tcBorders>
                    <w:tl2br w:val="nil"/>
                    <w:tr2bl w:val="nil"/>
                  </w:tcBorders>
                  <w:vAlign w:val="center"/>
                </w:tcPr>
                <w:p>
                  <w:pPr>
                    <w:jc w:val="center"/>
                    <w:rPr>
                      <w:rFonts w:hint="default"/>
                      <w:lang w:val="en-US" w:eastAsia="zh-CN"/>
                    </w:rPr>
                  </w:pPr>
                  <w:r>
                    <w:rPr>
                      <w:rFonts w:hint="eastAsia"/>
                      <w:lang w:val="en-US" w:eastAsia="zh-CN"/>
                    </w:rPr>
                    <w:t>由靖州县卫生健康局收集后交给“怀化市天源环保科技有限责任公司”</w:t>
                  </w:r>
                  <w:r>
                    <w:rPr>
                      <w:rFonts w:hint="eastAsia" w:cs="Times New Roman"/>
                      <w:lang w:val="en-US" w:eastAsia="zh-CN"/>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079" w:type="dxa"/>
                  <w:gridSpan w:val="2"/>
                  <w:vMerge w:val="continue"/>
                  <w:tcBorders>
                    <w:tl2br w:val="nil"/>
                    <w:tr2bl w:val="nil"/>
                  </w:tcBorders>
                  <w:vAlign w:val="center"/>
                </w:tcPr>
                <w:p>
                  <w:pPr>
                    <w:jc w:val="center"/>
                    <w:rPr>
                      <w:rFonts w:hint="default"/>
                      <w:lang w:val="en-US" w:eastAsia="zh-CN"/>
                    </w:rPr>
                  </w:pPr>
                </w:p>
              </w:tc>
              <w:tc>
                <w:tcPr>
                  <w:tcW w:w="3065" w:type="dxa"/>
                  <w:gridSpan w:val="3"/>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废试剂瓶</w:t>
                  </w:r>
                </w:p>
              </w:tc>
              <w:tc>
                <w:tcPr>
                  <w:tcW w:w="3315" w:type="dxa"/>
                  <w:gridSpan w:val="3"/>
                  <w:vMerge w:val="restart"/>
                  <w:tcBorders>
                    <w:tl2br w:val="nil"/>
                    <w:tr2bl w:val="nil"/>
                  </w:tcBorders>
                  <w:vAlign w:val="center"/>
                </w:tcPr>
                <w:p>
                  <w:pPr>
                    <w:jc w:val="center"/>
                    <w:rPr>
                      <w:rFonts w:hint="default"/>
                      <w:lang w:val="en-US" w:eastAsia="zh-CN"/>
                    </w:rPr>
                  </w:pPr>
                  <w:r>
                    <w:rPr>
                      <w:rFonts w:hint="eastAsia" w:cs="Times New Roman"/>
                      <w:lang w:val="en-US" w:eastAsia="zh-CN"/>
                    </w:rPr>
                    <w:t>目前委托</w:t>
                  </w:r>
                  <w:r>
                    <w:rPr>
                      <w:rFonts w:hint="eastAsia"/>
                      <w:lang w:val="en-US" w:eastAsia="zh-CN"/>
                    </w:rPr>
                    <w:t>“</w:t>
                  </w:r>
                  <w:r>
                    <w:rPr>
                      <w:rFonts w:hint="eastAsia" w:ascii="Times New Roman" w:hAnsi="Times New Roman" w:eastAsia="宋体" w:cs="Times New Roman"/>
                      <w:lang w:val="en-US" w:eastAsia="zh-CN"/>
                    </w:rPr>
                    <w:t>湖南瀚邦环境科技有限公司</w:t>
                  </w:r>
                  <w:r>
                    <w:rPr>
                      <w:rFonts w:hint="eastAsia"/>
                      <w:lang w:val="en-US" w:eastAsia="zh-CN"/>
                    </w:rPr>
                    <w:t>”</w:t>
                  </w:r>
                  <w:r>
                    <w:rPr>
                      <w:rFonts w:hint="eastAsia" w:cs="Times New Roman"/>
                      <w:lang w:val="en-US" w:eastAsia="zh-CN"/>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079" w:type="dxa"/>
                  <w:gridSpan w:val="2"/>
                  <w:vMerge w:val="continue"/>
                  <w:tcBorders>
                    <w:tl2br w:val="nil"/>
                    <w:tr2bl w:val="nil"/>
                  </w:tcBorders>
                  <w:vAlign w:val="center"/>
                </w:tcPr>
                <w:p>
                  <w:pPr>
                    <w:jc w:val="center"/>
                    <w:rPr>
                      <w:rFonts w:hint="default"/>
                      <w:lang w:val="en-US" w:eastAsia="zh-CN"/>
                    </w:rPr>
                  </w:pPr>
                </w:p>
              </w:tc>
              <w:tc>
                <w:tcPr>
                  <w:tcW w:w="3065" w:type="dxa"/>
                  <w:gridSpan w:val="3"/>
                  <w:tcBorders>
                    <w:tl2br w:val="nil"/>
                    <w:tr2bl w:val="nil"/>
                  </w:tcBorders>
                  <w:vAlign w:val="center"/>
                </w:tcPr>
                <w:p>
                  <w:pPr>
                    <w:jc w:val="center"/>
                    <w:rPr>
                      <w:rFonts w:hint="eastAsia"/>
                      <w:lang w:val="en-US" w:eastAsia="zh-CN"/>
                    </w:rPr>
                  </w:pPr>
                  <w:r>
                    <w:rPr>
                      <w:rFonts w:hint="eastAsia"/>
                      <w:lang w:val="en-US" w:eastAsia="zh-CN"/>
                    </w:rPr>
                    <w:t>废试剂</w:t>
                  </w:r>
                </w:p>
              </w:tc>
              <w:tc>
                <w:tcPr>
                  <w:tcW w:w="3315" w:type="dxa"/>
                  <w:gridSpan w:val="3"/>
                  <w:vMerge w:val="continue"/>
                  <w:tcBorders>
                    <w:tl2br w:val="nil"/>
                    <w:tr2bl w:val="nil"/>
                  </w:tcBorders>
                  <w:vAlign w:val="center"/>
                </w:tcPr>
                <w:p>
                  <w:pPr>
                    <w:jc w:val="center"/>
                    <w:rPr>
                      <w:rFonts w:hint="eastAsia"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079" w:type="dxa"/>
                  <w:gridSpan w:val="2"/>
                  <w:vMerge w:val="continue"/>
                  <w:tcBorders>
                    <w:tl2br w:val="nil"/>
                    <w:tr2bl w:val="nil"/>
                  </w:tcBorders>
                  <w:vAlign w:val="center"/>
                </w:tcPr>
                <w:p>
                  <w:pPr>
                    <w:jc w:val="center"/>
                    <w:rPr>
                      <w:rFonts w:hint="default"/>
                      <w:lang w:val="en-US" w:eastAsia="zh-CN"/>
                    </w:rPr>
                  </w:pPr>
                </w:p>
              </w:tc>
              <w:tc>
                <w:tcPr>
                  <w:tcW w:w="3065" w:type="dxa"/>
                  <w:gridSpan w:val="3"/>
                  <w:tcBorders>
                    <w:tl2br w:val="nil"/>
                    <w:tr2bl w:val="nil"/>
                  </w:tcBorders>
                  <w:vAlign w:val="center"/>
                </w:tcPr>
                <w:p>
                  <w:pPr>
                    <w:jc w:val="center"/>
                    <w:rPr>
                      <w:rFonts w:hint="eastAsia"/>
                      <w:lang w:val="en-US" w:eastAsia="zh-CN"/>
                    </w:rPr>
                  </w:pPr>
                  <w:r>
                    <w:rPr>
                      <w:rFonts w:hint="eastAsia"/>
                      <w:lang w:val="en-US" w:eastAsia="zh-CN"/>
                    </w:rPr>
                    <w:t>废美沙酮桶</w:t>
                  </w:r>
                </w:p>
              </w:tc>
              <w:tc>
                <w:tcPr>
                  <w:tcW w:w="3315" w:type="dxa"/>
                  <w:gridSpan w:val="3"/>
                  <w:vMerge w:val="continue"/>
                  <w:tcBorders>
                    <w:tl2br w:val="nil"/>
                    <w:tr2bl w:val="nil"/>
                  </w:tcBorders>
                  <w:vAlign w:val="center"/>
                </w:tcPr>
                <w:p>
                  <w:pPr>
                    <w:jc w:val="center"/>
                    <w:rPr>
                      <w:rFonts w:hint="eastAsia"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079" w:type="dxa"/>
                  <w:gridSpan w:val="2"/>
                  <w:vMerge w:val="continue"/>
                  <w:tcBorders>
                    <w:tl2br w:val="nil"/>
                    <w:tr2bl w:val="nil"/>
                  </w:tcBorders>
                  <w:vAlign w:val="center"/>
                </w:tcPr>
                <w:p>
                  <w:pPr>
                    <w:jc w:val="center"/>
                    <w:rPr>
                      <w:rFonts w:hint="default"/>
                      <w:lang w:val="en-US" w:eastAsia="zh-CN"/>
                    </w:rPr>
                  </w:pPr>
                </w:p>
              </w:tc>
              <w:tc>
                <w:tcPr>
                  <w:tcW w:w="3065" w:type="dxa"/>
                  <w:gridSpan w:val="3"/>
                  <w:tcBorders>
                    <w:tl2br w:val="nil"/>
                    <w:tr2bl w:val="nil"/>
                  </w:tcBorders>
                  <w:vAlign w:val="center"/>
                </w:tcPr>
                <w:p>
                  <w:pPr>
                    <w:jc w:val="center"/>
                    <w:rPr>
                      <w:rFonts w:hint="eastAsia"/>
                      <w:lang w:val="en-US" w:eastAsia="zh-CN"/>
                    </w:rPr>
                  </w:pPr>
                  <w:r>
                    <w:rPr>
                      <w:rFonts w:hint="eastAsia"/>
                      <w:lang w:val="en-US" w:eastAsia="zh-CN"/>
                    </w:rPr>
                    <w:t>污水处理站污泥</w:t>
                  </w:r>
                </w:p>
              </w:tc>
              <w:tc>
                <w:tcPr>
                  <w:tcW w:w="3315" w:type="dxa"/>
                  <w:gridSpan w:val="3"/>
                  <w:vMerge w:val="continue"/>
                  <w:tcBorders>
                    <w:tl2br w:val="nil"/>
                    <w:tr2bl w:val="nil"/>
                  </w:tcBorders>
                  <w:vAlign w:val="center"/>
                </w:tcPr>
                <w:p>
                  <w:pPr>
                    <w:jc w:val="center"/>
                    <w:rPr>
                      <w:rFonts w:hint="default"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1" w:type="dxa"/>
                  <w:vMerge w:val="continue"/>
                  <w:tcBorders>
                    <w:tl2br w:val="nil"/>
                    <w:tr2bl w:val="nil"/>
                  </w:tcBorders>
                  <w:vAlign w:val="center"/>
                </w:tcPr>
                <w:p>
                  <w:pPr>
                    <w:jc w:val="center"/>
                  </w:pPr>
                </w:p>
              </w:tc>
              <w:tc>
                <w:tcPr>
                  <w:tcW w:w="652" w:type="dxa"/>
                  <w:vMerge w:val="continue"/>
                  <w:tcBorders>
                    <w:tl2br w:val="nil"/>
                    <w:tr2bl w:val="nil"/>
                  </w:tcBorders>
                  <w:vAlign w:val="center"/>
                </w:tcPr>
                <w:p>
                  <w:pPr>
                    <w:jc w:val="center"/>
                  </w:pPr>
                </w:p>
              </w:tc>
              <w:tc>
                <w:tcPr>
                  <w:tcW w:w="1079" w:type="dxa"/>
                  <w:gridSpan w:val="2"/>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其他</w:t>
                  </w:r>
                </w:p>
              </w:tc>
              <w:tc>
                <w:tcPr>
                  <w:tcW w:w="3065" w:type="dxa"/>
                  <w:gridSpan w:val="3"/>
                  <w:tcBorders>
                    <w:tl2br w:val="nil"/>
                    <w:tr2bl w:val="nil"/>
                  </w:tcBorders>
                  <w:vAlign w:val="center"/>
                </w:tcPr>
                <w:p>
                  <w:pPr>
                    <w:jc w:val="center"/>
                    <w:rPr>
                      <w:rFonts w:hint="eastAsia"/>
                      <w:lang w:val="en-US" w:eastAsia="zh-CN"/>
                    </w:rPr>
                  </w:pPr>
                  <w:r>
                    <w:rPr>
                      <w:rFonts w:hint="eastAsia"/>
                      <w:lang w:val="en-US" w:eastAsia="zh-CN"/>
                    </w:rPr>
                    <w:t>生活垃圾</w:t>
                  </w:r>
                </w:p>
              </w:tc>
              <w:tc>
                <w:tcPr>
                  <w:tcW w:w="3315" w:type="dxa"/>
                  <w:gridSpan w:val="3"/>
                  <w:tcBorders>
                    <w:tl2br w:val="nil"/>
                    <w:tr2bl w:val="nil"/>
                  </w:tcBorders>
                  <w:vAlign w:val="center"/>
                </w:tcPr>
                <w:p>
                  <w:pPr>
                    <w:jc w:val="center"/>
                    <w:rPr>
                      <w:rFonts w:hint="default"/>
                      <w:lang w:val="en-US" w:eastAsia="zh-CN"/>
                    </w:rPr>
                  </w:pPr>
                  <w:r>
                    <w:rPr>
                      <w:rFonts w:hint="eastAsia"/>
                      <w:lang w:val="en-US" w:eastAsia="zh-CN"/>
                    </w:rPr>
                    <w:t>收集后交由当地环卫部门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32" w:type="dxa"/>
                  <w:gridSpan w:val="10"/>
                  <w:tcBorders>
                    <w:tl2br w:val="nil"/>
                    <w:tr2bl w:val="nil"/>
                  </w:tcBorders>
                  <w:vAlign w:val="center"/>
                </w:tcPr>
                <w:p>
                  <w:pPr>
                    <w:pStyle w:val="21"/>
                    <w:rPr>
                      <w:rFonts w:hint="default" w:ascii="仿宋" w:hAnsi="仿宋" w:eastAsia="仿宋" w:cs="仿宋"/>
                      <w:sz w:val="18"/>
                      <w:szCs w:val="18"/>
                      <w:lang w:val="en-US" w:eastAsia="zh-CN"/>
                    </w:rPr>
                  </w:pPr>
                  <w:r>
                    <w:rPr>
                      <w:rFonts w:hint="eastAsia" w:ascii="仿宋" w:hAnsi="仿宋" w:eastAsia="仿宋" w:cs="仿宋"/>
                      <w:b/>
                      <w:bCs/>
                      <w:sz w:val="18"/>
                      <w:szCs w:val="18"/>
                      <w:lang w:val="en-US" w:eastAsia="zh-CN"/>
                    </w:rPr>
                    <w:t>注解1</w:t>
                  </w:r>
                  <w:r>
                    <w:rPr>
                      <w:rFonts w:hint="eastAsia" w:ascii="仿宋" w:hAnsi="仿宋" w:eastAsia="仿宋" w:cs="仿宋"/>
                      <w:sz w:val="18"/>
                      <w:szCs w:val="18"/>
                      <w:lang w:val="en-US" w:eastAsia="zh-CN"/>
                    </w:rPr>
                    <w:t>：现阶段，靖州县疾病预防控制中心生活污水经化粪池处理后直排入文昌溪；环评要求本次改建后，建设单位利用清粪车将生活污水转运至县城污水处理厂进行深度处理。</w:t>
                  </w:r>
                </w:p>
                <w:p>
                  <w:pPr>
                    <w:pStyle w:val="21"/>
                    <w:rPr>
                      <w:rFonts w:hint="default" w:ascii="仿宋" w:hAnsi="仿宋" w:eastAsia="仿宋" w:cs="仿宋"/>
                      <w:sz w:val="18"/>
                      <w:szCs w:val="18"/>
                      <w:lang w:val="en-US" w:eastAsia="zh-CN"/>
                    </w:rPr>
                  </w:pPr>
                  <w:r>
                    <w:rPr>
                      <w:rFonts w:hint="eastAsia" w:ascii="仿宋" w:hAnsi="仿宋" w:eastAsia="仿宋" w:cs="仿宋"/>
                      <w:b/>
                      <w:bCs/>
                      <w:sz w:val="18"/>
                      <w:szCs w:val="18"/>
                      <w:lang w:val="en-US" w:eastAsia="zh-CN"/>
                    </w:rPr>
                    <w:t>注解2</w:t>
                  </w:r>
                  <w:r>
                    <w:rPr>
                      <w:rFonts w:hint="eastAsia" w:ascii="仿宋" w:hAnsi="仿宋" w:eastAsia="仿宋" w:cs="仿宋"/>
                      <w:sz w:val="18"/>
                      <w:szCs w:val="18"/>
                      <w:lang w:val="en-US" w:eastAsia="zh-CN"/>
                    </w:rPr>
                    <w:t>：表格中“现有”表示已在检验楼内建设，且改建后不进行搬迁，“搬迁”代表由已建检验楼搬迁至本次改建的检验检测楼；“新建”表示在改建检验检测楼内建设。</w:t>
                  </w:r>
                </w:p>
                <w:p>
                  <w:pPr>
                    <w:pStyle w:val="21"/>
                    <w:rPr>
                      <w:rFonts w:hint="default" w:ascii="仿宋" w:hAnsi="仿宋" w:eastAsia="仿宋" w:cs="仿宋"/>
                      <w:sz w:val="18"/>
                      <w:szCs w:val="18"/>
                      <w:lang w:val="en-US" w:eastAsia="zh-CN"/>
                    </w:rPr>
                  </w:pPr>
                  <w:r>
                    <w:rPr>
                      <w:rFonts w:hint="eastAsia" w:ascii="仿宋" w:hAnsi="仿宋" w:eastAsia="仿宋" w:cs="仿宋"/>
                      <w:b/>
                      <w:bCs/>
                      <w:sz w:val="18"/>
                      <w:szCs w:val="18"/>
                      <w:lang w:val="en-US" w:eastAsia="zh-CN"/>
                    </w:rPr>
                    <w:t>注解3</w:t>
                  </w:r>
                  <w:r>
                    <w:rPr>
                      <w:rFonts w:hint="eastAsia" w:ascii="仿宋" w:hAnsi="仿宋" w:eastAsia="仿宋" w:cs="仿宋"/>
                      <w:sz w:val="18"/>
                      <w:szCs w:val="18"/>
                      <w:lang w:val="en-US" w:eastAsia="zh-CN"/>
                    </w:rPr>
                    <w:t>：受新冠疫情影响，本疾控中心已于2020年在检验检测楼建设了</w:t>
                  </w:r>
                  <w:r>
                    <w:rPr>
                      <w:rFonts w:hint="default" w:ascii="仿宋" w:hAnsi="仿宋" w:eastAsia="仿宋" w:cs="仿宋"/>
                      <w:sz w:val="18"/>
                      <w:szCs w:val="18"/>
                      <w:lang w:val="en-US" w:eastAsia="zh-CN"/>
                    </w:rPr>
                    <w:t>PCR</w:t>
                  </w:r>
                  <w:r>
                    <w:rPr>
                      <w:rFonts w:hint="eastAsia" w:ascii="仿宋" w:hAnsi="仿宋" w:eastAsia="仿宋" w:cs="仿宋"/>
                      <w:sz w:val="18"/>
                      <w:szCs w:val="18"/>
                      <w:lang w:val="en-US" w:eastAsia="zh-CN"/>
                    </w:rPr>
                    <w:t>实验室，其余工程均未开工建设。</w:t>
                  </w:r>
                </w:p>
              </w:tc>
            </w:tr>
          </w:tbl>
          <w:p>
            <w:pPr>
              <w:spacing w:line="360" w:lineRule="auto"/>
              <w:textAlignment w:val="center"/>
              <w:rPr>
                <w:rFonts w:hint="eastAsia" w:ascii="Times New Roman" w:hAnsi="Times New Roman" w:eastAsia="宋体"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三</w:t>
            </w:r>
            <w:r>
              <w:rPr>
                <w:rFonts w:hint="eastAsia" w:ascii="Times New Roman" w:hAnsi="Times New Roman" w:eastAsia="宋体" w:cs="Times New Roman"/>
                <w:b/>
                <w:bCs/>
                <w:color w:val="auto"/>
                <w:sz w:val="24"/>
                <w:szCs w:val="24"/>
                <w:u w:val="none" w:color="auto"/>
                <w:lang w:val="en-US" w:eastAsia="zh-CN"/>
              </w:rPr>
              <w:t>、主要设备</w:t>
            </w:r>
          </w:p>
          <w:p>
            <w:pPr>
              <w:pStyle w:val="21"/>
              <w:jc w:val="center"/>
            </w:pPr>
            <w:r>
              <w:rPr>
                <w:rFonts w:hint="eastAsia" w:ascii="Times New Roman" w:hAnsi="Times New Roman" w:cs="Times New Roman"/>
                <w:b/>
                <w:bCs/>
                <w:color w:val="auto"/>
                <w:sz w:val="24"/>
                <w:szCs w:val="24"/>
                <w:u w:val="none" w:color="auto"/>
                <w:lang w:val="en-US" w:eastAsia="zh-CN"/>
              </w:rPr>
              <w:t>表2-2  主要设备使用情况</w:t>
            </w:r>
          </w:p>
          <w:tbl>
            <w:tblPr>
              <w:tblStyle w:val="16"/>
              <w:tblW w:w="85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05"/>
              <w:gridCol w:w="1098"/>
              <w:gridCol w:w="956"/>
              <w:gridCol w:w="2468"/>
              <w:gridCol w:w="1567"/>
              <w:gridCol w:w="1074"/>
              <w:gridCol w:w="7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580" w:type="dxa"/>
                  <w:gridSpan w:val="7"/>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检验楼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09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实验室名称</w:t>
                  </w:r>
                </w:p>
              </w:tc>
              <w:tc>
                <w:tcPr>
                  <w:tcW w:w="956"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实验室功能</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仪器设备名称</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型号规格</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数量（台）</w:t>
                  </w:r>
                </w:p>
              </w:tc>
              <w:tc>
                <w:tcPr>
                  <w:tcW w:w="712"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卫生微生物实验室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p>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卫生微生物</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电热恒温培养箱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GH4500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不进行搬迁，位于2楼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电热恒温培养箱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HH.GS-1A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生化培养箱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LRH-150F</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干燥箱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湘66-2</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立式灭菌器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LDZM-80L</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澳柯玛电冰箱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YC-330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YP-B5002</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紫外荧光检测仪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LZF-1</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暗箱式紫外分析仪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DB-AAA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无菌均质器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SCIENTZ04</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干热灭菌器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GMQ.C100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智能培养基液化仪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RH.I-ZNE-II</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霉菌实验室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检测霉菌</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霉菌培养箱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MJ-300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厌氧培养箱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YQX-II</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BSC-110IIA2X</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立式灭菌器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LDZM-60L</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病原微生物实验室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病原微生物检测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HFsafe-1200LC</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电热恒温培养箱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HH.GS-1A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新飞电冰箱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BCD-245KN</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红外电热灭菌器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LabPower Ⅱ</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微生物分析系统</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TDR-3Bplus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立式灭菌器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LDZM-60L</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理化一室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样品处理、手工分析</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粉碎机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XA-1</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不进行搬迁</w:t>
                  </w:r>
                  <w:r>
                    <w:rPr>
                      <w:rFonts w:hint="default" w:ascii="Times New Roman" w:hAnsi="Times New Roman" w:eastAsia="宋体" w:cs="Times New Roman"/>
                      <w:i w:val="0"/>
                      <w:iCs w:val="0"/>
                      <w:color w:val="000000"/>
                      <w:kern w:val="0"/>
                      <w:sz w:val="21"/>
                      <w:szCs w:val="21"/>
                      <w:u w:val="none"/>
                      <w:lang w:val="en-US" w:eastAsia="zh-CN" w:bidi="ar"/>
                    </w:rPr>
                    <w:t>，位于3楼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干燥箱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GZX-DH-500-BS-I</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多参数水质分析仪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K8900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色度仪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SD-500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PH计</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PHBJ-260型</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通风柜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JZ-150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电热恒温水浴锅</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HH.S21-8-S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小仪器室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比色、PH检测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分光光度计</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722N</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超纯水处理器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JK-100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电导率仪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DDSJ-308A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PH计</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PHS-3C型</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紫外分光光度计</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09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自动高锰酸盐分析室</w:t>
                  </w:r>
                </w:p>
              </w:tc>
              <w:tc>
                <w:tcPr>
                  <w:tcW w:w="956"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高锰酸盐检测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全自动高锰酸盐分析仪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APA-500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09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液相色谱室</w:t>
                  </w:r>
                </w:p>
              </w:tc>
              <w:tc>
                <w:tcPr>
                  <w:tcW w:w="956"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有机物检测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高效液相色谱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Eciassicai 3200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离子色谱室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阴阳离子检测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离子色谱仪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CIC-260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不进行搬迁</w:t>
                  </w:r>
                  <w:r>
                    <w:rPr>
                      <w:rFonts w:hint="default" w:ascii="Times New Roman" w:hAnsi="Times New Roman" w:eastAsia="宋体" w:cs="Times New Roman"/>
                      <w:i w:val="0"/>
                      <w:iCs w:val="0"/>
                      <w:color w:val="000000"/>
                      <w:kern w:val="0"/>
                      <w:sz w:val="21"/>
                      <w:szCs w:val="21"/>
                      <w:u w:val="none"/>
                      <w:lang w:val="en-US" w:eastAsia="zh-CN" w:bidi="ar"/>
                    </w:rPr>
                    <w:t>，位于4楼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离子色谱仪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CIC-D180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高温室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样品处理</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干燥箱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GZX-9070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干热灭菌器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GMQ.C100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通风柜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JZ-150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微波消解仪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ETHOS UP</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理化二室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总α、β放射性检测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低本底α β测量仪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Fyfs-400x</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通风柜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JZ-150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水样蒸发仪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FYZFY-4A型</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bottom w:val="single" w:color="000000" w:sz="12" w:space="0"/>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098" w:type="dxa"/>
                  <w:tcBorders>
                    <w:bottom w:val="single" w:color="000000" w:sz="12" w:space="0"/>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天平室</w:t>
                  </w:r>
                </w:p>
              </w:tc>
              <w:tc>
                <w:tcPr>
                  <w:tcW w:w="956" w:type="dxa"/>
                  <w:tcBorders>
                    <w:bottom w:val="single" w:color="000000" w:sz="12" w:space="0"/>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称取试剂</w:t>
                  </w:r>
                </w:p>
              </w:tc>
              <w:tc>
                <w:tcPr>
                  <w:tcW w:w="2468" w:type="dxa"/>
                  <w:tcBorders>
                    <w:bottom w:val="single" w:color="000000" w:sz="12" w:space="0"/>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1567" w:type="dxa"/>
                  <w:tcBorders>
                    <w:bottom w:val="single" w:color="000000" w:sz="12" w:space="0"/>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TB-214</w:t>
                  </w:r>
                </w:p>
              </w:tc>
              <w:tc>
                <w:tcPr>
                  <w:tcW w:w="1074" w:type="dxa"/>
                  <w:tcBorders>
                    <w:bottom w:val="single" w:color="000000" w:sz="12" w:space="0"/>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bottom w:val="single" w:color="000000" w:sz="12" w:space="0"/>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580" w:type="dxa"/>
                  <w:gridSpan w:val="7"/>
                  <w:tcBorders>
                    <w:top w:val="single" w:color="000000" w:sz="12" w:space="0"/>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检验检测楼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生化实验室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生化试验</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全自动生化仪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Gs300Plus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搬迁至2楼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恒温水浴箱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HH-W600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自动平衡离心机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TDZ4-WS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立式灭菌器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LDZM-60L</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酶标仪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DNM-9606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洗板机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DNX-9620G</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微型振荡器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MM-1</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BSC-110IIA2X</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临检室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临床检验、寄生虫检验</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显微镜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UB100i</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显微镜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CX-31</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澳柯玛电冰箱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YC-330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全自动血液细胞分析仪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BC-2600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尿液分析仪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BSC-110IIA2X</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HIV初筛实验室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检测HIV、TP、CD4</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三星电冰箱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BCD-170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BSC-1500ⅡA 2</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恒温水箱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HH-W600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酶标仪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DNM-9606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洗板机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DNX-9620G</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微型振荡器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MM-1</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数显水平旋转仪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VSZD-IIIAA型</w:t>
                  </w:r>
                </w:p>
              </w:tc>
              <w:tc>
                <w:tcPr>
                  <w:tcW w:w="1074" w:type="dxa"/>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T淋巴细胞计数器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便携CD4</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立式灭菌器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LDZM-60L</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自动平衡离心机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TDZ4-WS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PCR实验室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核酸检测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BSC-1500IIB2-X</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已建设</w:t>
                  </w:r>
                  <w:r>
                    <w:rPr>
                      <w:rFonts w:hint="default" w:ascii="Times New Roman" w:hAnsi="Times New Roman" w:eastAsia="宋体" w:cs="Times New Roman"/>
                      <w:i w:val="0"/>
                      <w:iCs w:val="0"/>
                      <w:color w:val="000000"/>
                      <w:kern w:val="0"/>
                      <w:sz w:val="21"/>
                      <w:szCs w:val="21"/>
                      <w:u w:val="none"/>
                      <w:lang w:val="en-US" w:eastAsia="zh-CN" w:bidi="ar"/>
                    </w:rPr>
                    <w:t>，位于2楼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生物安全柜</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BSC-110IIB2X</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高压灭菌器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LMQ.C-80EP</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过氧化氢消毒器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DF-10A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臭氧发生器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OZ-112</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UPS不间断电源</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HP10KS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高速冷冻离心机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TGL-16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自动平衡离心机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TDZ4-WS</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实时荧光定量PCR仪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ABI -Q5</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自动核酸提取仪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SSNP2000A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自动核酸提取仪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Ne96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实时荧光定量PCR仪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Gentier96E</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实时荧光定量PCR仪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AGS8830-16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微孔板离心机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Mini-P25</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超净工作台</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HCB-1300V</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掌上离心机</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Mini-6K</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医用冰箱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YCD-265</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医用冷藏箱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YC－300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低温保存箱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DW-86L386</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恒温金属浴</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PDB1501</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旋涡振荡器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XH-D</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09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原子吸收室</w:t>
                  </w:r>
                </w:p>
              </w:tc>
              <w:tc>
                <w:tcPr>
                  <w:tcW w:w="956"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微量金属元素</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原子吸收分光光度计</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AA-6880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搬迁</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位于3楼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09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原子荧光室</w:t>
                  </w:r>
                </w:p>
              </w:tc>
              <w:tc>
                <w:tcPr>
                  <w:tcW w:w="956"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砷汞硒检测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原子荧光分光光度计</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AFS-8530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09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连续流动注射实验室</w:t>
                  </w:r>
                </w:p>
              </w:tc>
              <w:tc>
                <w:tcPr>
                  <w:tcW w:w="956"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氰酚阴离子合成洗涤剂</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连续流动注射仪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SKALAR</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天平室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称取试剂</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RADWAG</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TB-403</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098"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电子天平</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YP-B5002</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ICP-MS</w:t>
                  </w:r>
                </w:p>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实验室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微量金属元素检测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ICP-MS</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iCAP RQ</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新建，位于3楼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098" w:type="dxa"/>
                  <w:vMerge w:val="continue"/>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自动进样器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thermofisher</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098"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GC-MSD</w:t>
                  </w:r>
                </w:p>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气相色谱室</w:t>
                  </w:r>
                </w:p>
              </w:tc>
              <w:tc>
                <w:tcPr>
                  <w:tcW w:w="956" w:type="dxa"/>
                  <w:vMerge w:val="restart"/>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有机物检测</w:t>
                  </w: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GC-MSD</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Agilent5977B</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098" w:type="dxa"/>
                  <w:vMerge w:val="continue"/>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气相色谱</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Agilent7820</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098"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顶空进样器</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HS-9</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05"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098" w:type="dxa"/>
                  <w:vMerge w:val="continue"/>
                  <w:tcBorders>
                    <w:tl2br w:val="nil"/>
                    <w:tr2bl w:val="nil"/>
                  </w:tcBorders>
                  <w:shd w:val="clear" w:color="auto" w:fill="auto"/>
                  <w:noWrap/>
                  <w:vAlign w:val="center"/>
                </w:tcPr>
                <w:p>
                  <w:pPr>
                    <w:keepNext w:val="0"/>
                    <w:keepLines w:val="0"/>
                    <w:pageBreakBefore w:val="0"/>
                    <w:widowControl/>
                    <w:kinsoku w:val="0"/>
                    <w:wordWrap w:val="0"/>
                    <w:overflowPunct/>
                    <w:topLinePunct w:val="0"/>
                    <w:autoSpaceDE/>
                    <w:autoSpaceDN/>
                    <w:bidi w:val="0"/>
                    <w:adjustRightInd/>
                    <w:snapToGrid/>
                    <w:rPr>
                      <w:rFonts w:hint="default" w:ascii="Times New Roman" w:hAnsi="Times New Roman" w:eastAsia="宋体" w:cs="Times New Roman"/>
                      <w:i w:val="0"/>
                      <w:iCs w:val="0"/>
                      <w:color w:val="000000"/>
                      <w:sz w:val="22"/>
                      <w:szCs w:val="22"/>
                      <w:u w:val="none"/>
                    </w:rPr>
                  </w:pPr>
                </w:p>
              </w:tc>
              <w:tc>
                <w:tcPr>
                  <w:tcW w:w="956"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2468"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氮吹仪</w:t>
                  </w:r>
                </w:p>
              </w:tc>
              <w:tc>
                <w:tcPr>
                  <w:tcW w:w="1567"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HSC-24A</w:t>
                  </w:r>
                </w:p>
              </w:tc>
              <w:tc>
                <w:tcPr>
                  <w:tcW w:w="1074" w:type="dxa"/>
                  <w:tcBorders>
                    <w:tl2br w:val="nil"/>
                    <w:tr2bl w:val="nil"/>
                  </w:tcBorders>
                  <w:shd w:val="clear" w:color="auto" w:fill="auto"/>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2" w:type="dxa"/>
                  <w:vMerge w:val="continue"/>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580" w:type="dxa"/>
                  <w:gridSpan w:val="7"/>
                  <w:tcBorders>
                    <w:tl2br w:val="nil"/>
                    <w:tr2bl w:val="nil"/>
                  </w:tcBorders>
                  <w:shd w:val="clear" w:color="auto" w:fill="auto"/>
                  <w:vAlign w:val="center"/>
                </w:tcPr>
                <w:p>
                  <w:pPr>
                    <w:keepNext w:val="0"/>
                    <w:keepLines w:val="0"/>
                    <w:pageBreakBefore w:val="0"/>
                    <w:widowControl/>
                    <w:kinsoku w:val="0"/>
                    <w:wordWrap w:val="0"/>
                    <w:overflowPunct/>
                    <w:topLinePunct w:val="0"/>
                    <w:autoSpaceDE/>
                    <w:autoSpaceDN/>
                    <w:bidi w:val="0"/>
                    <w:adjustRightInd/>
                    <w:snapToGrid/>
                    <w:jc w:val="left"/>
                    <w:rPr>
                      <w:rFonts w:hint="default" w:ascii="Times New Roman" w:hAnsi="Times New Roman" w:eastAsia="宋体" w:cs="Times New Roman"/>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说明：项目使用的</w:t>
                  </w:r>
                  <w:r>
                    <w:rPr>
                      <w:rFonts w:hint="eastAsia" w:ascii="仿宋" w:hAnsi="仿宋" w:eastAsia="仿宋" w:cs="仿宋"/>
                      <w:i w:val="0"/>
                      <w:iCs w:val="0"/>
                      <w:color w:val="000000"/>
                      <w:kern w:val="0"/>
                      <w:sz w:val="21"/>
                      <w:szCs w:val="21"/>
                      <w:u w:val="none"/>
                      <w:lang w:val="en-US" w:eastAsia="zh-CN" w:bidi="ar"/>
                    </w:rPr>
                    <w:t>低本底αβ测量仪没有放射性，无需编制辐射环评。</w:t>
                  </w:r>
                </w:p>
              </w:tc>
            </w:tr>
          </w:tbl>
          <w:p>
            <w:pPr>
              <w:pStyle w:val="21"/>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四</w:t>
            </w: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检测范围及原辅材料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（1）检测范围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本疾控中心目前主要针对水质、食品及人体致病菌检测，检测范围详见下表。</w:t>
            </w:r>
          </w:p>
          <w:p>
            <w:pPr>
              <w:pStyle w:val="21"/>
              <w:jc w:val="center"/>
              <w:rPr>
                <w:rFonts w:hint="default" w:ascii="Times New Roman" w:hAnsi="Times New Roman" w:cs="Times New Roman"/>
                <w:b/>
                <w:bCs/>
                <w:color w:val="auto"/>
                <w:sz w:val="24"/>
                <w:szCs w:val="24"/>
                <w:u w:val="single" w:color="auto"/>
                <w:lang w:val="en-US" w:eastAsia="zh-CN"/>
              </w:rPr>
            </w:pPr>
            <w:r>
              <w:rPr>
                <w:rFonts w:hint="eastAsia" w:ascii="Times New Roman" w:hAnsi="Times New Roman" w:cs="Times New Roman"/>
                <w:b/>
                <w:bCs/>
                <w:color w:val="auto"/>
                <w:sz w:val="24"/>
                <w:szCs w:val="24"/>
                <w:u w:val="single" w:color="auto"/>
                <w:lang w:val="en-US" w:eastAsia="zh-CN"/>
              </w:rPr>
              <w:t>表2-3  主要检测范围</w:t>
            </w:r>
          </w:p>
          <w:tbl>
            <w:tblPr>
              <w:tblStyle w:val="17"/>
              <w:tblW w:w="84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left w:w="108" w:type="dxa"/>
                <w:right w:w="108" w:type="dxa"/>
              </w:tblCellMar>
            </w:tblPr>
            <w:tblGrid>
              <w:gridCol w:w="806"/>
              <w:gridCol w:w="4555"/>
              <w:gridCol w:w="3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tcBorders>
                    <w:tl2br w:val="nil"/>
                    <w:tr2bl w:val="nil"/>
                  </w:tcBorders>
                  <w:vAlign w:val="center"/>
                </w:tcPr>
                <w:p>
                  <w:pPr>
                    <w:jc w:val="center"/>
                    <w:rPr>
                      <w:rFonts w:hint="default"/>
                      <w:b/>
                      <w:bCs/>
                      <w:u w:val="single"/>
                      <w:lang w:val="en-US" w:eastAsia="zh-CN"/>
                    </w:rPr>
                  </w:pPr>
                  <w:r>
                    <w:rPr>
                      <w:rFonts w:hint="eastAsia"/>
                      <w:b/>
                      <w:bCs/>
                      <w:u w:val="single"/>
                      <w:lang w:val="en-US" w:eastAsia="zh-CN"/>
                    </w:rPr>
                    <w:t>检测类型</w:t>
                  </w:r>
                </w:p>
              </w:tc>
              <w:tc>
                <w:tcPr>
                  <w:tcW w:w="4555" w:type="dxa"/>
                  <w:tcBorders>
                    <w:tl2br w:val="nil"/>
                    <w:tr2bl w:val="nil"/>
                  </w:tcBorders>
                  <w:vAlign w:val="center"/>
                </w:tcPr>
                <w:p>
                  <w:pPr>
                    <w:jc w:val="center"/>
                    <w:rPr>
                      <w:rFonts w:hint="default"/>
                      <w:b/>
                      <w:bCs/>
                      <w:u w:val="single"/>
                      <w:lang w:val="en-US" w:eastAsia="zh-CN"/>
                    </w:rPr>
                  </w:pPr>
                  <w:r>
                    <w:rPr>
                      <w:rFonts w:hint="eastAsia"/>
                      <w:b/>
                      <w:bCs/>
                      <w:u w:val="single"/>
                      <w:lang w:val="en-US" w:eastAsia="zh-CN"/>
                    </w:rPr>
                    <w:t>检测内容</w:t>
                  </w:r>
                </w:p>
              </w:tc>
              <w:tc>
                <w:tcPr>
                  <w:tcW w:w="3098" w:type="dxa"/>
                  <w:tcBorders>
                    <w:tl2br w:val="nil"/>
                    <w:tr2bl w:val="nil"/>
                  </w:tcBorders>
                  <w:vAlign w:val="center"/>
                </w:tcPr>
                <w:p>
                  <w:pPr>
                    <w:jc w:val="center"/>
                    <w:rPr>
                      <w:rFonts w:hint="default"/>
                      <w:b/>
                      <w:bCs/>
                      <w:u w:val="single"/>
                      <w:lang w:val="en-US" w:eastAsia="zh-CN"/>
                    </w:rPr>
                  </w:pPr>
                  <w:r>
                    <w:rPr>
                      <w:rFonts w:hint="eastAsia"/>
                      <w:b/>
                      <w:bCs/>
                      <w:u w:val="single"/>
                      <w:lang w:val="en-US" w:eastAsia="zh-CN"/>
                    </w:rPr>
                    <w:t>检测方法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tcBorders>
                    <w:tl2br w:val="nil"/>
                    <w:tr2bl w:val="nil"/>
                  </w:tcBorders>
                  <w:vAlign w:val="center"/>
                </w:tcPr>
                <w:p>
                  <w:pPr>
                    <w:jc w:val="center"/>
                    <w:rPr>
                      <w:rFonts w:hint="eastAsia"/>
                      <w:u w:val="single"/>
                      <w:lang w:val="en-US" w:eastAsia="zh-CN"/>
                    </w:rPr>
                  </w:pPr>
                  <w:r>
                    <w:rPr>
                      <w:u w:val="single"/>
                    </w:rPr>
                    <w:t>水及水产品检测参数</w:t>
                  </w:r>
                </w:p>
              </w:tc>
              <w:tc>
                <w:tcPr>
                  <w:tcW w:w="4555" w:type="dxa"/>
                  <w:tcBorders>
                    <w:tl2br w:val="nil"/>
                    <w:tr2bl w:val="nil"/>
                  </w:tcBorders>
                  <w:vAlign w:val="center"/>
                </w:tcPr>
                <w:p>
                  <w:pPr>
                    <w:jc w:val="center"/>
                    <w:rPr>
                      <w:u w:val="single"/>
                    </w:rPr>
                  </w:pPr>
                  <w:r>
                    <w:rPr>
                      <w:u w:val="single"/>
                      <w:lang w:val="en-US" w:eastAsia="zh-CN"/>
                    </w:rPr>
                    <w:t>色度</w:t>
                  </w:r>
                  <w:r>
                    <w:rPr>
                      <w:rFonts w:hint="eastAsia"/>
                      <w:u w:val="single"/>
                      <w:lang w:val="en-US" w:eastAsia="zh-CN"/>
                    </w:rPr>
                    <w:t>、</w:t>
                  </w:r>
                  <w:r>
                    <w:rPr>
                      <w:u w:val="single"/>
                      <w:lang w:val="en-US" w:eastAsia="zh-CN"/>
                    </w:rPr>
                    <w:t>浑浊度</w:t>
                  </w:r>
                  <w:r>
                    <w:rPr>
                      <w:rFonts w:hint="eastAsia"/>
                      <w:u w:val="single"/>
                      <w:lang w:val="en-US" w:eastAsia="zh-CN"/>
                    </w:rPr>
                    <w:t>、</w:t>
                  </w:r>
                  <w:r>
                    <w:rPr>
                      <w:u w:val="single"/>
                      <w:lang w:val="en-US" w:eastAsia="zh-CN"/>
                    </w:rPr>
                    <w:t>臭与味</w:t>
                  </w:r>
                  <w:r>
                    <w:rPr>
                      <w:rFonts w:hint="eastAsia"/>
                      <w:u w:val="single"/>
                      <w:lang w:val="en-US" w:eastAsia="zh-CN"/>
                    </w:rPr>
                    <w:t>、臭与味、</w:t>
                  </w:r>
                  <w:r>
                    <w:rPr>
                      <w:u w:val="single"/>
                    </w:rPr>
                    <w:t>肉眼可见物</w:t>
                  </w:r>
                  <w:r>
                    <w:rPr>
                      <w:rFonts w:hint="eastAsia"/>
                      <w:u w:val="single"/>
                      <w:lang w:eastAsia="zh-CN"/>
                    </w:rPr>
                    <w:t>、</w:t>
                  </w:r>
                  <w:r>
                    <w:rPr>
                      <w:u w:val="single"/>
                    </w:rPr>
                    <w:t>PH电导率</w:t>
                  </w:r>
                  <w:r>
                    <w:rPr>
                      <w:rFonts w:hint="eastAsia"/>
                      <w:u w:val="single"/>
                      <w:lang w:eastAsia="zh-CN"/>
                    </w:rPr>
                    <w:t>、</w:t>
                  </w:r>
                  <w:r>
                    <w:rPr>
                      <w:u w:val="single"/>
                    </w:rPr>
                    <w:t>总硬度</w:t>
                  </w:r>
                  <w:r>
                    <w:rPr>
                      <w:rFonts w:hint="eastAsia"/>
                      <w:u w:val="single"/>
                      <w:lang w:eastAsia="zh-CN"/>
                    </w:rPr>
                    <w:t>、</w:t>
                  </w:r>
                  <w:r>
                    <w:rPr>
                      <w:u w:val="single"/>
                    </w:rPr>
                    <w:t>溶解性固体</w:t>
                  </w:r>
                  <w:r>
                    <w:rPr>
                      <w:rFonts w:hint="eastAsia"/>
                      <w:u w:val="single"/>
                      <w:lang w:eastAsia="zh-CN"/>
                    </w:rPr>
                    <w:t>、</w:t>
                  </w:r>
                  <w:r>
                    <w:rPr>
                      <w:u w:val="single"/>
                    </w:rPr>
                    <w:t>挥发酚类</w:t>
                  </w:r>
                  <w:r>
                    <w:rPr>
                      <w:rFonts w:hint="eastAsia"/>
                      <w:u w:val="single"/>
                      <w:lang w:eastAsia="zh-CN"/>
                    </w:rPr>
                    <w:t>、</w:t>
                  </w:r>
                  <w:r>
                    <w:rPr>
                      <w:u w:val="single"/>
                    </w:rPr>
                    <w:t>阴离子合成洗涤剂</w:t>
                  </w:r>
                  <w:r>
                    <w:rPr>
                      <w:rFonts w:hint="eastAsia"/>
                      <w:u w:val="single"/>
                      <w:lang w:eastAsia="zh-CN"/>
                    </w:rPr>
                    <w:t>、</w:t>
                  </w:r>
                  <w:r>
                    <w:rPr>
                      <w:u w:val="single"/>
                    </w:rPr>
                    <w:t>硫酸盐</w:t>
                  </w:r>
                  <w:r>
                    <w:rPr>
                      <w:rFonts w:hint="eastAsia"/>
                      <w:u w:val="single"/>
                      <w:lang w:eastAsia="zh-CN"/>
                    </w:rPr>
                    <w:t>、</w:t>
                  </w:r>
                  <w:r>
                    <w:rPr>
                      <w:u w:val="single"/>
                    </w:rPr>
                    <w:t>氯化物</w:t>
                  </w:r>
                  <w:r>
                    <w:rPr>
                      <w:rFonts w:hint="eastAsia"/>
                      <w:u w:val="single"/>
                      <w:lang w:eastAsia="zh-CN"/>
                    </w:rPr>
                    <w:t>、</w:t>
                  </w:r>
                  <w:r>
                    <w:rPr>
                      <w:u w:val="single"/>
                    </w:rPr>
                    <w:t>氟化物</w:t>
                  </w:r>
                  <w:r>
                    <w:rPr>
                      <w:rFonts w:hint="eastAsia"/>
                      <w:u w:val="single"/>
                      <w:lang w:eastAsia="zh-CN"/>
                    </w:rPr>
                    <w:t>、</w:t>
                  </w:r>
                  <w:r>
                    <w:rPr>
                      <w:u w:val="single"/>
                    </w:rPr>
                    <w:t>氰化物</w:t>
                  </w:r>
                  <w:r>
                    <w:rPr>
                      <w:rFonts w:hint="eastAsia"/>
                      <w:u w:val="single"/>
                      <w:lang w:eastAsia="zh-CN"/>
                    </w:rPr>
                    <w:t>、</w:t>
                  </w:r>
                  <w:r>
                    <w:rPr>
                      <w:u w:val="single"/>
                    </w:rPr>
                    <w:t>硝酸盐氮</w:t>
                  </w:r>
                  <w:r>
                    <w:rPr>
                      <w:rFonts w:hint="eastAsia"/>
                      <w:u w:val="single"/>
                      <w:lang w:eastAsia="zh-CN"/>
                    </w:rPr>
                    <w:t>、</w:t>
                  </w:r>
                  <w:r>
                    <w:rPr>
                      <w:u w:val="single"/>
                    </w:rPr>
                    <w:t>硫化物</w:t>
                  </w:r>
                  <w:r>
                    <w:rPr>
                      <w:rFonts w:hint="eastAsia"/>
                      <w:u w:val="single"/>
                      <w:lang w:eastAsia="zh-CN"/>
                    </w:rPr>
                    <w:t>、</w:t>
                  </w:r>
                  <w:r>
                    <w:rPr>
                      <w:u w:val="single"/>
                    </w:rPr>
                    <w:t>硼</w:t>
                  </w:r>
                  <w:r>
                    <w:rPr>
                      <w:rFonts w:hint="eastAsia"/>
                      <w:u w:val="single"/>
                      <w:lang w:eastAsia="zh-CN"/>
                    </w:rPr>
                    <w:t>、</w:t>
                  </w:r>
                  <w:r>
                    <w:rPr>
                      <w:u w:val="single"/>
                    </w:rPr>
                    <w:t>氨氮</w:t>
                  </w:r>
                  <w:r>
                    <w:rPr>
                      <w:rFonts w:hint="eastAsia"/>
                      <w:u w:val="single"/>
                      <w:lang w:eastAsia="zh-CN"/>
                    </w:rPr>
                    <w:t>、</w:t>
                  </w:r>
                  <w:r>
                    <w:rPr>
                      <w:u w:val="single"/>
                    </w:rPr>
                    <w:t>亚硝酸盐氮</w:t>
                  </w:r>
                  <w:r>
                    <w:rPr>
                      <w:rFonts w:hint="eastAsia"/>
                      <w:u w:val="single"/>
                      <w:lang w:eastAsia="zh-CN"/>
                    </w:rPr>
                    <w:t>、</w:t>
                  </w:r>
                  <w:r>
                    <w:rPr>
                      <w:u w:val="single"/>
                    </w:rPr>
                    <w:t>碘化物</w:t>
                  </w:r>
                  <w:r>
                    <w:rPr>
                      <w:rFonts w:hint="eastAsia"/>
                      <w:u w:val="single"/>
                      <w:lang w:eastAsia="zh-CN"/>
                    </w:rPr>
                    <w:t>、</w:t>
                  </w:r>
                  <w:r>
                    <w:rPr>
                      <w:u w:val="single"/>
                    </w:rPr>
                    <w:t>铝</w:t>
                  </w:r>
                  <w:r>
                    <w:rPr>
                      <w:rFonts w:hint="eastAsia"/>
                      <w:u w:val="single"/>
                      <w:lang w:eastAsia="zh-CN"/>
                    </w:rPr>
                    <w:t>、</w:t>
                  </w:r>
                  <w:r>
                    <w:rPr>
                      <w:u w:val="single"/>
                    </w:rPr>
                    <w:t>铁</w:t>
                  </w:r>
                  <w:r>
                    <w:rPr>
                      <w:rFonts w:hint="eastAsia"/>
                      <w:u w:val="single"/>
                      <w:lang w:eastAsia="zh-CN"/>
                    </w:rPr>
                    <w:t>、</w:t>
                  </w:r>
                  <w:r>
                    <w:rPr>
                      <w:u w:val="single"/>
                    </w:rPr>
                    <w:t>锰</w:t>
                  </w:r>
                  <w:r>
                    <w:rPr>
                      <w:rFonts w:hint="eastAsia"/>
                      <w:u w:val="single"/>
                      <w:lang w:eastAsia="zh-CN"/>
                    </w:rPr>
                    <w:t>、</w:t>
                  </w:r>
                  <w:r>
                    <w:rPr>
                      <w:u w:val="single"/>
                    </w:rPr>
                    <w:t>铜</w:t>
                  </w:r>
                  <w:r>
                    <w:rPr>
                      <w:rFonts w:hint="eastAsia"/>
                      <w:u w:val="single"/>
                      <w:lang w:eastAsia="zh-CN"/>
                    </w:rPr>
                    <w:t>、</w:t>
                  </w:r>
                  <w:r>
                    <w:rPr>
                      <w:u w:val="single"/>
                    </w:rPr>
                    <w:t>锌</w:t>
                  </w:r>
                  <w:r>
                    <w:rPr>
                      <w:rFonts w:hint="eastAsia"/>
                      <w:u w:val="single"/>
                      <w:lang w:eastAsia="zh-CN"/>
                    </w:rPr>
                    <w:t>、</w:t>
                  </w:r>
                  <w:r>
                    <w:rPr>
                      <w:u w:val="single"/>
                    </w:rPr>
                    <w:t>砷</w:t>
                  </w:r>
                  <w:r>
                    <w:rPr>
                      <w:rFonts w:hint="eastAsia"/>
                      <w:u w:val="single"/>
                      <w:lang w:eastAsia="zh-CN"/>
                    </w:rPr>
                    <w:t>、</w:t>
                  </w:r>
                  <w:r>
                    <w:rPr>
                      <w:u w:val="single"/>
                    </w:rPr>
                    <w:t>硒</w:t>
                  </w:r>
                  <w:r>
                    <w:rPr>
                      <w:rFonts w:hint="eastAsia"/>
                      <w:u w:val="single"/>
                      <w:lang w:eastAsia="zh-CN"/>
                    </w:rPr>
                    <w:t>、</w:t>
                  </w:r>
                  <w:r>
                    <w:rPr>
                      <w:u w:val="single"/>
                    </w:rPr>
                    <w:t>汞</w:t>
                  </w:r>
                  <w:r>
                    <w:rPr>
                      <w:rFonts w:hint="eastAsia"/>
                      <w:u w:val="single"/>
                      <w:lang w:eastAsia="zh-CN"/>
                    </w:rPr>
                    <w:t>、</w:t>
                  </w:r>
                  <w:r>
                    <w:rPr>
                      <w:u w:val="single"/>
                    </w:rPr>
                    <w:t>镉</w:t>
                  </w:r>
                  <w:r>
                    <w:rPr>
                      <w:rFonts w:hint="eastAsia"/>
                      <w:u w:val="single"/>
                      <w:lang w:eastAsia="zh-CN"/>
                    </w:rPr>
                    <w:t>、</w:t>
                  </w:r>
                  <w:r>
                    <w:rPr>
                      <w:u w:val="single"/>
                    </w:rPr>
                    <w:t>六价铬</w:t>
                  </w:r>
                  <w:r>
                    <w:rPr>
                      <w:rFonts w:hint="eastAsia"/>
                      <w:u w:val="single"/>
                      <w:lang w:eastAsia="zh-CN"/>
                    </w:rPr>
                    <w:t>、</w:t>
                  </w:r>
                  <w:r>
                    <w:rPr>
                      <w:u w:val="single"/>
                    </w:rPr>
                    <w:t>铅</w:t>
                  </w:r>
                  <w:r>
                    <w:rPr>
                      <w:rFonts w:hint="eastAsia"/>
                      <w:u w:val="single"/>
                      <w:lang w:eastAsia="zh-CN"/>
                    </w:rPr>
                    <w:t>、</w:t>
                  </w:r>
                  <w:r>
                    <w:rPr>
                      <w:u w:val="single"/>
                    </w:rPr>
                    <w:t>银</w:t>
                  </w:r>
                  <w:r>
                    <w:rPr>
                      <w:rFonts w:hint="eastAsia"/>
                      <w:u w:val="single"/>
                      <w:lang w:eastAsia="zh-CN"/>
                    </w:rPr>
                    <w:t>、</w:t>
                  </w:r>
                  <w:r>
                    <w:rPr>
                      <w:u w:val="single"/>
                    </w:rPr>
                    <w:t>锑</w:t>
                  </w:r>
                  <w:r>
                    <w:rPr>
                      <w:rFonts w:hint="eastAsia"/>
                      <w:u w:val="single"/>
                      <w:lang w:eastAsia="zh-CN"/>
                    </w:rPr>
                    <w:t>、</w:t>
                  </w:r>
                  <w:r>
                    <w:rPr>
                      <w:u w:val="single"/>
                    </w:rPr>
                    <w:t>钠</w:t>
                  </w:r>
                  <w:r>
                    <w:rPr>
                      <w:rFonts w:hint="eastAsia"/>
                      <w:u w:val="single"/>
                      <w:lang w:eastAsia="zh-CN"/>
                    </w:rPr>
                    <w:t>、</w:t>
                  </w:r>
                  <w:r>
                    <w:rPr>
                      <w:u w:val="single"/>
                    </w:rPr>
                    <w:t>锡</w:t>
                  </w:r>
                  <w:r>
                    <w:rPr>
                      <w:rFonts w:hint="eastAsia"/>
                      <w:u w:val="single"/>
                      <w:lang w:eastAsia="zh-CN"/>
                    </w:rPr>
                    <w:t>、</w:t>
                  </w:r>
                  <w:r>
                    <w:rPr>
                      <w:u w:val="single"/>
                    </w:rPr>
                    <w:t>耗氧量</w:t>
                  </w:r>
                  <w:r>
                    <w:rPr>
                      <w:rFonts w:hint="eastAsia"/>
                      <w:u w:val="single"/>
                      <w:lang w:eastAsia="zh-CN"/>
                    </w:rPr>
                    <w:t>、</w:t>
                  </w:r>
                  <w:r>
                    <w:rPr>
                      <w:u w:val="single"/>
                    </w:rPr>
                    <w:t>四氯化碳</w:t>
                  </w:r>
                  <w:r>
                    <w:rPr>
                      <w:rFonts w:hint="eastAsia"/>
                      <w:u w:val="single"/>
                      <w:lang w:eastAsia="zh-CN"/>
                    </w:rPr>
                    <w:t>、</w:t>
                  </w:r>
                  <w:r>
                    <w:rPr>
                      <w:u w:val="single"/>
                    </w:rPr>
                    <w:t>三氯甲烷</w:t>
                  </w:r>
                  <w:r>
                    <w:rPr>
                      <w:rFonts w:hint="eastAsia"/>
                      <w:u w:val="single"/>
                      <w:lang w:eastAsia="zh-CN"/>
                    </w:rPr>
                    <w:t>、</w:t>
                  </w:r>
                  <w:r>
                    <w:rPr>
                      <w:u w:val="single"/>
                    </w:rPr>
                    <w:t>六六六</w:t>
                  </w:r>
                  <w:r>
                    <w:rPr>
                      <w:rFonts w:hint="eastAsia"/>
                      <w:u w:val="single"/>
                      <w:lang w:eastAsia="zh-CN"/>
                    </w:rPr>
                    <w:t>、</w:t>
                  </w:r>
                  <w:r>
                    <w:rPr>
                      <w:u w:val="single"/>
                    </w:rPr>
                    <w:t>滴滴涕</w:t>
                  </w:r>
                  <w:r>
                    <w:rPr>
                      <w:rFonts w:hint="eastAsia"/>
                      <w:u w:val="single"/>
                      <w:lang w:eastAsia="zh-CN"/>
                    </w:rPr>
                    <w:t>、</w:t>
                  </w:r>
                  <w:r>
                    <w:rPr>
                      <w:u w:val="single"/>
                    </w:rPr>
                    <w:t>甲醛</w:t>
                  </w:r>
                  <w:r>
                    <w:rPr>
                      <w:rFonts w:hint="eastAsia"/>
                      <w:u w:val="single"/>
                      <w:lang w:eastAsia="zh-CN"/>
                    </w:rPr>
                    <w:t>、</w:t>
                  </w:r>
                  <w:r>
                    <w:rPr>
                      <w:u w:val="single"/>
                    </w:rPr>
                    <w:t>溴酸盐</w:t>
                  </w:r>
                  <w:r>
                    <w:rPr>
                      <w:rFonts w:hint="eastAsia"/>
                      <w:u w:val="single"/>
                      <w:lang w:eastAsia="zh-CN"/>
                    </w:rPr>
                    <w:t>、</w:t>
                  </w:r>
                  <w:r>
                    <w:rPr>
                      <w:u w:val="single"/>
                    </w:rPr>
                    <w:t>亚氯酸盐</w:t>
                  </w:r>
                  <w:r>
                    <w:rPr>
                      <w:rFonts w:hint="eastAsia"/>
                      <w:u w:val="single"/>
                      <w:lang w:eastAsia="zh-CN"/>
                    </w:rPr>
                    <w:t>、</w:t>
                  </w:r>
                  <w:r>
                    <w:rPr>
                      <w:u w:val="single"/>
                    </w:rPr>
                    <w:t>氯酸盐</w:t>
                  </w:r>
                  <w:r>
                    <w:rPr>
                      <w:rFonts w:hint="eastAsia"/>
                      <w:u w:val="single"/>
                      <w:lang w:eastAsia="zh-CN"/>
                    </w:rPr>
                    <w:t>、</w:t>
                  </w:r>
                  <w:r>
                    <w:rPr>
                      <w:u w:val="single"/>
                    </w:rPr>
                    <w:t>游离余氯</w:t>
                  </w:r>
                  <w:r>
                    <w:rPr>
                      <w:rFonts w:hint="eastAsia"/>
                      <w:u w:val="single"/>
                      <w:lang w:eastAsia="zh-CN"/>
                    </w:rPr>
                    <w:t>、</w:t>
                  </w:r>
                  <w:r>
                    <w:rPr>
                      <w:u w:val="single"/>
                    </w:rPr>
                    <w:t>氯胺</w:t>
                  </w:r>
                  <w:r>
                    <w:rPr>
                      <w:rFonts w:hint="eastAsia"/>
                      <w:u w:val="single"/>
                      <w:lang w:eastAsia="zh-CN"/>
                    </w:rPr>
                    <w:t>、</w:t>
                  </w:r>
                  <w:r>
                    <w:rPr>
                      <w:u w:val="single"/>
                    </w:rPr>
                    <w:t>二氧化氯</w:t>
                  </w:r>
                  <w:r>
                    <w:rPr>
                      <w:rFonts w:hint="eastAsia"/>
                      <w:u w:val="single"/>
                      <w:lang w:eastAsia="zh-CN"/>
                    </w:rPr>
                    <w:t>、</w:t>
                  </w:r>
                  <w:r>
                    <w:rPr>
                      <w:u w:val="single"/>
                    </w:rPr>
                    <w:t>臭氧</w:t>
                  </w:r>
                  <w:r>
                    <w:rPr>
                      <w:rFonts w:hint="eastAsia"/>
                      <w:u w:val="single"/>
                      <w:lang w:eastAsia="zh-CN"/>
                    </w:rPr>
                    <w:t>、</w:t>
                  </w:r>
                </w:p>
                <w:p>
                  <w:pPr>
                    <w:jc w:val="center"/>
                    <w:rPr>
                      <w:rFonts w:hint="eastAsia"/>
                      <w:u w:val="single"/>
                      <w:lang w:val="en-US" w:eastAsia="zh-CN"/>
                    </w:rPr>
                  </w:pPr>
                  <w:r>
                    <w:rPr>
                      <w:u w:val="single"/>
                    </w:rPr>
                    <w:t>菌落总数</w:t>
                  </w:r>
                  <w:r>
                    <w:rPr>
                      <w:rFonts w:hint="eastAsia"/>
                      <w:u w:val="single"/>
                      <w:lang w:eastAsia="zh-CN"/>
                    </w:rPr>
                    <w:t>、</w:t>
                  </w:r>
                  <w:r>
                    <w:rPr>
                      <w:u w:val="single"/>
                    </w:rPr>
                    <w:t>总大肠菌群</w:t>
                  </w:r>
                  <w:r>
                    <w:rPr>
                      <w:rFonts w:hint="eastAsia"/>
                      <w:u w:val="single"/>
                      <w:lang w:eastAsia="zh-CN"/>
                    </w:rPr>
                    <w:t>、</w:t>
                  </w:r>
                  <w:r>
                    <w:rPr>
                      <w:u w:val="single"/>
                    </w:rPr>
                    <w:t>耐热大肠菌群</w:t>
                  </w:r>
                  <w:r>
                    <w:rPr>
                      <w:rFonts w:hint="eastAsia"/>
                      <w:u w:val="single"/>
                      <w:lang w:eastAsia="zh-CN"/>
                    </w:rPr>
                    <w:t>、</w:t>
                  </w:r>
                  <w:r>
                    <w:rPr>
                      <w:u w:val="single"/>
                    </w:rPr>
                    <w:t>大肠埃希氏菌</w:t>
                  </w:r>
                  <w:r>
                    <w:rPr>
                      <w:rFonts w:hint="eastAsia"/>
                      <w:u w:val="single"/>
                      <w:lang w:eastAsia="zh-CN"/>
                    </w:rPr>
                    <w:t>、</w:t>
                  </w:r>
                </w:p>
              </w:tc>
              <w:tc>
                <w:tcPr>
                  <w:tcW w:w="3098" w:type="dxa"/>
                  <w:tcBorders>
                    <w:tl2br w:val="nil"/>
                    <w:tr2bl w:val="nil"/>
                  </w:tcBorders>
                  <w:vAlign w:val="center"/>
                </w:tcPr>
                <w:p>
                  <w:pPr>
                    <w:jc w:val="center"/>
                    <w:rPr>
                      <w:rFonts w:hint="eastAsia"/>
                      <w:u w:val="single"/>
                      <w:lang w:val="en-US" w:eastAsia="zh-CN"/>
                    </w:rPr>
                  </w:pPr>
                  <w:r>
                    <w:rPr>
                      <w:u w:val="single"/>
                    </w:rPr>
                    <w:t>生活饮用水标准检验方法感官性状和物理指标</w:t>
                  </w:r>
                  <w:r>
                    <w:rPr>
                      <w:rFonts w:hint="eastAsia"/>
                      <w:u w:val="single"/>
                      <w:lang w:val="en-US" w:eastAsia="zh-CN"/>
                    </w:rPr>
                    <w:t>标准</w:t>
                  </w:r>
                  <w:r>
                    <w:rPr>
                      <w:rFonts w:hint="eastAsia"/>
                      <w:u w:val="single"/>
                      <w:lang w:eastAsia="zh-CN"/>
                    </w:rPr>
                    <w:t>，</w:t>
                  </w:r>
                  <w:r>
                    <w:rPr>
                      <w:u w:val="single"/>
                    </w:rPr>
                    <w:t>GB/T5750</w:t>
                  </w:r>
                  <w:r>
                    <w:rPr>
                      <w:rFonts w:hint="eastAsia"/>
                      <w:u w:val="single"/>
                      <w:lang w:val="en-US" w:eastAsia="zh-CN"/>
                    </w:rPr>
                    <w:t>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tcBorders>
                    <w:tl2br w:val="nil"/>
                    <w:tr2bl w:val="nil"/>
                  </w:tcBorders>
                  <w:vAlign w:val="center"/>
                </w:tcPr>
                <w:p>
                  <w:pPr>
                    <w:jc w:val="center"/>
                    <w:rPr>
                      <w:u w:val="single"/>
                    </w:rPr>
                  </w:pPr>
                  <w:r>
                    <w:rPr>
                      <w:u w:val="single"/>
                    </w:rPr>
                    <w:t>公共场所卫生检测参数</w:t>
                  </w:r>
                </w:p>
              </w:tc>
              <w:tc>
                <w:tcPr>
                  <w:tcW w:w="4555" w:type="dxa"/>
                  <w:tcBorders>
                    <w:tl2br w:val="nil"/>
                    <w:tr2bl w:val="nil"/>
                  </w:tcBorders>
                  <w:vAlign w:val="center"/>
                </w:tcPr>
                <w:p>
                  <w:pPr>
                    <w:jc w:val="center"/>
                    <w:rPr>
                      <w:rFonts w:hint="eastAsia" w:eastAsia="宋体"/>
                      <w:u w:val="single"/>
                      <w:lang w:val="en-US" w:eastAsia="zh-CN"/>
                    </w:rPr>
                  </w:pPr>
                  <w:r>
                    <w:rPr>
                      <w:u w:val="single"/>
                    </w:rPr>
                    <w:t>一氧化碳</w:t>
                  </w:r>
                  <w:r>
                    <w:rPr>
                      <w:rFonts w:hint="eastAsia"/>
                      <w:u w:val="single"/>
                      <w:lang w:eastAsia="zh-CN"/>
                    </w:rPr>
                    <w:t>、</w:t>
                  </w:r>
                  <w:r>
                    <w:rPr>
                      <w:u w:val="single"/>
                    </w:rPr>
                    <w:t>二氧化碳</w:t>
                  </w:r>
                  <w:r>
                    <w:rPr>
                      <w:rFonts w:hint="eastAsia"/>
                      <w:u w:val="single"/>
                      <w:lang w:eastAsia="zh-CN"/>
                    </w:rPr>
                    <w:t>、</w:t>
                  </w:r>
                  <w:r>
                    <w:rPr>
                      <w:u w:val="single"/>
                    </w:rPr>
                    <w:t>可吸入颗粒物</w:t>
                  </w:r>
                  <w:r>
                    <w:rPr>
                      <w:rFonts w:hint="eastAsia"/>
                      <w:u w:val="single"/>
                      <w:lang w:eastAsia="zh-CN"/>
                    </w:rPr>
                    <w:t>、</w:t>
                  </w:r>
                  <w:r>
                    <w:rPr>
                      <w:u w:val="single"/>
                    </w:rPr>
                    <w:t>PM</w:t>
                  </w:r>
                  <w:r>
                    <w:rPr>
                      <w:u w:val="single"/>
                      <w:vertAlign w:val="subscript"/>
                    </w:rPr>
                    <w:t>10</w:t>
                  </w:r>
                  <w:r>
                    <w:rPr>
                      <w:rFonts w:hint="eastAsia"/>
                      <w:u w:val="single"/>
                      <w:lang w:eastAsia="zh-CN"/>
                    </w:rPr>
                    <w:t>、</w:t>
                  </w:r>
                  <w:r>
                    <w:rPr>
                      <w:u w:val="single"/>
                    </w:rPr>
                    <w:t>氨</w:t>
                  </w:r>
                  <w:r>
                    <w:rPr>
                      <w:rFonts w:hint="eastAsia"/>
                      <w:u w:val="single"/>
                      <w:lang w:eastAsia="zh-CN"/>
                    </w:rPr>
                    <w:t>、</w:t>
                  </w:r>
                  <w:r>
                    <w:rPr>
                      <w:u w:val="single"/>
                    </w:rPr>
                    <w:t>甲醛</w:t>
                  </w:r>
                  <w:r>
                    <w:rPr>
                      <w:rFonts w:hint="eastAsia"/>
                      <w:u w:val="single"/>
                      <w:lang w:eastAsia="zh-CN"/>
                    </w:rPr>
                    <w:t>、</w:t>
                  </w:r>
                  <w:r>
                    <w:rPr>
                      <w:u w:val="single"/>
                    </w:rPr>
                    <w:t>臭氧</w:t>
                  </w:r>
                  <w:r>
                    <w:rPr>
                      <w:rFonts w:hint="eastAsia"/>
                      <w:u w:val="single"/>
                      <w:lang w:eastAsia="zh-CN"/>
                    </w:rPr>
                    <w:t>、</w:t>
                  </w:r>
                  <w:r>
                    <w:rPr>
                      <w:u w:val="single"/>
                    </w:rPr>
                    <w:t>尿素</w:t>
                  </w:r>
                  <w:r>
                    <w:rPr>
                      <w:rFonts w:hint="eastAsia"/>
                      <w:u w:val="single"/>
                      <w:lang w:eastAsia="zh-CN"/>
                    </w:rPr>
                    <w:t>、</w:t>
                  </w:r>
                  <w:r>
                    <w:rPr>
                      <w:u w:val="single"/>
                    </w:rPr>
                    <w:t>菌落总数</w:t>
                  </w:r>
                  <w:r>
                    <w:rPr>
                      <w:rFonts w:hint="eastAsia"/>
                      <w:u w:val="single"/>
                      <w:lang w:eastAsia="zh-CN"/>
                    </w:rPr>
                    <w:t>、</w:t>
                  </w:r>
                  <w:r>
                    <w:rPr>
                      <w:u w:val="single"/>
                    </w:rPr>
                    <w:t>大肠菌群</w:t>
                  </w:r>
                  <w:r>
                    <w:rPr>
                      <w:rFonts w:hint="eastAsia"/>
                      <w:u w:val="single"/>
                      <w:lang w:eastAsia="zh-CN"/>
                    </w:rPr>
                    <w:t>、</w:t>
                  </w:r>
                  <w:r>
                    <w:rPr>
                      <w:u w:val="single"/>
                    </w:rPr>
                    <w:t>金黄色葡萄球菌</w:t>
                  </w:r>
                  <w:r>
                    <w:rPr>
                      <w:rFonts w:hint="eastAsia"/>
                      <w:u w:val="single"/>
                      <w:lang w:eastAsia="zh-CN"/>
                    </w:rPr>
                    <w:t>、</w:t>
                  </w:r>
                  <w:r>
                    <w:rPr>
                      <w:u w:val="single"/>
                    </w:rPr>
                    <w:t>真菌总数</w:t>
                  </w:r>
                  <w:r>
                    <w:rPr>
                      <w:rFonts w:hint="eastAsia"/>
                      <w:u w:val="single"/>
                      <w:lang w:eastAsia="zh-CN"/>
                    </w:rPr>
                    <w:t>、</w:t>
                  </w:r>
                  <w:r>
                    <w:rPr>
                      <w:u w:val="single"/>
                    </w:rPr>
                    <w:t>溶血性链球菌</w:t>
                  </w:r>
                  <w:r>
                    <w:rPr>
                      <w:rFonts w:hint="eastAsia"/>
                      <w:u w:val="single"/>
                      <w:lang w:eastAsia="zh-CN"/>
                    </w:rPr>
                    <w:t>、</w:t>
                  </w:r>
                  <w:r>
                    <w:rPr>
                      <w:u w:val="single"/>
                    </w:rPr>
                    <w:t>温度</w:t>
                  </w:r>
                  <w:r>
                    <w:rPr>
                      <w:rFonts w:hint="eastAsia"/>
                      <w:u w:val="single"/>
                      <w:lang w:eastAsia="zh-CN"/>
                    </w:rPr>
                    <w:t>、</w:t>
                  </w:r>
                  <w:r>
                    <w:rPr>
                      <w:u w:val="single"/>
                    </w:rPr>
                    <w:t>湿度</w:t>
                  </w:r>
                  <w:r>
                    <w:rPr>
                      <w:rFonts w:hint="eastAsia"/>
                      <w:u w:val="single"/>
                      <w:lang w:eastAsia="zh-CN"/>
                    </w:rPr>
                    <w:t>、</w:t>
                  </w:r>
                  <w:r>
                    <w:rPr>
                      <w:u w:val="single"/>
                    </w:rPr>
                    <w:t>风速</w:t>
                  </w:r>
                  <w:r>
                    <w:rPr>
                      <w:rFonts w:hint="eastAsia"/>
                      <w:u w:val="single"/>
                      <w:lang w:eastAsia="zh-CN"/>
                    </w:rPr>
                    <w:t>、</w:t>
                  </w:r>
                  <w:r>
                    <w:rPr>
                      <w:u w:val="single"/>
                    </w:rPr>
                    <w:t>气压</w:t>
                  </w:r>
                  <w:r>
                    <w:rPr>
                      <w:rFonts w:hint="eastAsia"/>
                      <w:u w:val="single"/>
                      <w:lang w:eastAsia="zh-CN"/>
                    </w:rPr>
                    <w:t>、</w:t>
                  </w:r>
                  <w:r>
                    <w:rPr>
                      <w:u w:val="single"/>
                    </w:rPr>
                    <w:t>辐射热</w:t>
                  </w:r>
                  <w:r>
                    <w:rPr>
                      <w:rFonts w:hint="eastAsia"/>
                      <w:u w:val="single"/>
                      <w:lang w:eastAsia="zh-CN"/>
                    </w:rPr>
                    <w:t>、</w:t>
                  </w:r>
                  <w:r>
                    <w:rPr>
                      <w:u w:val="single"/>
                    </w:rPr>
                    <w:t>照度</w:t>
                  </w:r>
                  <w:r>
                    <w:rPr>
                      <w:rFonts w:hint="eastAsia"/>
                      <w:u w:val="single"/>
                      <w:lang w:eastAsia="zh-CN"/>
                    </w:rPr>
                    <w:t>、</w:t>
                  </w:r>
                  <w:r>
                    <w:rPr>
                      <w:u w:val="single"/>
                    </w:rPr>
                    <w:t>噪声</w:t>
                  </w:r>
                  <w:r>
                    <w:rPr>
                      <w:rFonts w:hint="eastAsia"/>
                      <w:u w:val="single"/>
                      <w:lang w:eastAsia="zh-CN"/>
                    </w:rPr>
                    <w:t>、</w:t>
                  </w:r>
                  <w:r>
                    <w:rPr>
                      <w:u w:val="single"/>
                    </w:rPr>
                    <w:t>紫外线</w:t>
                  </w:r>
                  <w:r>
                    <w:rPr>
                      <w:rFonts w:hint="eastAsia"/>
                      <w:u w:val="single"/>
                      <w:lang w:eastAsia="zh-CN"/>
                    </w:rPr>
                    <w:t>、</w:t>
                  </w:r>
                  <w:r>
                    <w:rPr>
                      <w:u w:val="single"/>
                    </w:rPr>
                    <w:t>辐射</w:t>
                  </w:r>
                  <w:r>
                    <w:rPr>
                      <w:rFonts w:hint="eastAsia"/>
                      <w:u w:val="single"/>
                      <w:lang w:eastAsia="zh-CN"/>
                    </w:rPr>
                    <w:t>、</w:t>
                  </w:r>
                  <w:r>
                    <w:rPr>
                      <w:u w:val="single"/>
                    </w:rPr>
                    <w:t>水池温度</w:t>
                  </w:r>
                  <w:r>
                    <w:rPr>
                      <w:rFonts w:hint="eastAsia"/>
                      <w:u w:val="single"/>
                      <w:lang w:eastAsia="zh-CN"/>
                    </w:rPr>
                    <w:t>、</w:t>
                  </w:r>
                  <w:r>
                    <w:rPr>
                      <w:u w:val="single"/>
                    </w:rPr>
                    <w:t>水池透明度</w:t>
                  </w:r>
                </w:p>
              </w:tc>
              <w:tc>
                <w:tcPr>
                  <w:tcW w:w="3098" w:type="dxa"/>
                  <w:tcBorders>
                    <w:tl2br w:val="nil"/>
                    <w:tr2bl w:val="nil"/>
                  </w:tcBorders>
                  <w:vAlign w:val="center"/>
                </w:tcPr>
                <w:p>
                  <w:pPr>
                    <w:jc w:val="center"/>
                    <w:rPr>
                      <w:rFonts w:hint="eastAsia"/>
                      <w:u w:val="single"/>
                      <w:lang w:val="en-US" w:eastAsia="zh-CN"/>
                    </w:rPr>
                  </w:pPr>
                  <w:r>
                    <w:rPr>
                      <w:u w:val="single"/>
                    </w:rPr>
                    <w:t>《公共场所卫生检验方法》</w:t>
                  </w:r>
                  <w:r>
                    <w:rPr>
                      <w:rFonts w:hint="eastAsia"/>
                      <w:u w:val="single"/>
                      <w:lang w:eastAsia="zh-CN"/>
                    </w:rPr>
                    <w:t>，</w:t>
                  </w:r>
                  <w:r>
                    <w:rPr>
                      <w:u w:val="single"/>
                    </w:rPr>
                    <w:t>GB/T18204</w:t>
                  </w:r>
                  <w:r>
                    <w:rPr>
                      <w:rFonts w:hint="eastAsia"/>
                      <w:u w:val="single"/>
                      <w:lang w:val="en-US" w:eastAsia="zh-CN"/>
                    </w:rPr>
                    <w:t>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tcBorders>
                    <w:tl2br w:val="nil"/>
                    <w:tr2bl w:val="nil"/>
                  </w:tcBorders>
                  <w:vAlign w:val="center"/>
                </w:tcPr>
                <w:p>
                  <w:pPr>
                    <w:jc w:val="center"/>
                    <w:rPr>
                      <w:u w:val="single"/>
                    </w:rPr>
                  </w:pPr>
                  <w:r>
                    <w:rPr>
                      <w:u w:val="single"/>
                    </w:rPr>
                    <w:t>消毒产品及一次性卫生用品检测参数</w:t>
                  </w:r>
                </w:p>
              </w:tc>
              <w:tc>
                <w:tcPr>
                  <w:tcW w:w="4555" w:type="dxa"/>
                  <w:tcBorders>
                    <w:tl2br w:val="nil"/>
                    <w:tr2bl w:val="nil"/>
                  </w:tcBorders>
                  <w:vAlign w:val="center"/>
                </w:tcPr>
                <w:p>
                  <w:pPr>
                    <w:jc w:val="center"/>
                    <w:rPr>
                      <w:rFonts w:hint="eastAsia"/>
                      <w:u w:val="single"/>
                      <w:lang w:eastAsia="zh-CN"/>
                    </w:rPr>
                  </w:pPr>
                  <w:r>
                    <w:rPr>
                      <w:u w:val="single"/>
                    </w:rPr>
                    <w:t>压力蒸气灭菌效果</w:t>
                  </w:r>
                  <w:r>
                    <w:rPr>
                      <w:rFonts w:hint="eastAsia"/>
                      <w:u w:val="single"/>
                      <w:lang w:eastAsia="zh-CN"/>
                    </w:rPr>
                    <w:t>、</w:t>
                  </w:r>
                  <w:r>
                    <w:rPr>
                      <w:u w:val="single"/>
                    </w:rPr>
                    <w:t>紫外线灯辐射照度</w:t>
                  </w:r>
                  <w:r>
                    <w:rPr>
                      <w:rFonts w:hint="eastAsia"/>
                      <w:u w:val="single"/>
                      <w:lang w:eastAsia="zh-CN"/>
                    </w:rPr>
                    <w:t>、</w:t>
                  </w:r>
                  <w:r>
                    <w:rPr>
                      <w:u w:val="single"/>
                    </w:rPr>
                    <w:t>消毒剂有效含量</w:t>
                  </w:r>
                  <w:r>
                    <w:rPr>
                      <w:rFonts w:hint="eastAsia"/>
                      <w:u w:val="single"/>
                      <w:lang w:eastAsia="zh-CN"/>
                    </w:rPr>
                    <w:t>、</w:t>
                  </w:r>
                  <w:r>
                    <w:rPr>
                      <w:u w:val="single"/>
                    </w:rPr>
                    <w:t>手和皮肤消毒效果</w:t>
                  </w:r>
                  <w:r>
                    <w:rPr>
                      <w:rFonts w:hint="eastAsia"/>
                      <w:u w:val="single"/>
                      <w:lang w:eastAsia="zh-CN"/>
                    </w:rPr>
                    <w:t>、</w:t>
                  </w:r>
                  <w:r>
                    <w:rPr>
                      <w:u w:val="single"/>
                    </w:rPr>
                    <w:t>物体表面消毒效果</w:t>
                  </w:r>
                  <w:r>
                    <w:rPr>
                      <w:rFonts w:hint="eastAsia"/>
                      <w:u w:val="single"/>
                      <w:lang w:eastAsia="zh-CN"/>
                    </w:rPr>
                    <w:t>、</w:t>
                  </w:r>
                  <w:r>
                    <w:rPr>
                      <w:u w:val="single"/>
                    </w:rPr>
                    <w:t>空气消毒效果</w:t>
                  </w:r>
                  <w:r>
                    <w:rPr>
                      <w:rFonts w:hint="eastAsia"/>
                      <w:u w:val="single"/>
                      <w:lang w:eastAsia="zh-CN"/>
                    </w:rPr>
                    <w:t>、</w:t>
                  </w:r>
                  <w:r>
                    <w:rPr>
                      <w:u w:val="single"/>
                    </w:rPr>
                    <w:t>使用中消毒液染菌量的测定</w:t>
                  </w:r>
                  <w:r>
                    <w:rPr>
                      <w:rFonts w:hint="eastAsia"/>
                      <w:u w:val="single"/>
                      <w:lang w:eastAsia="zh-CN"/>
                    </w:rPr>
                    <w:t>、</w:t>
                  </w:r>
                  <w:r>
                    <w:rPr>
                      <w:u w:val="single"/>
                    </w:rPr>
                    <w:t>灭菌/消毒医疗器械的测定</w:t>
                  </w:r>
                  <w:r>
                    <w:rPr>
                      <w:rFonts w:hint="eastAsia"/>
                      <w:u w:val="single"/>
                      <w:lang w:eastAsia="zh-CN"/>
                    </w:rPr>
                    <w:t>、</w:t>
                  </w:r>
                  <w:r>
                    <w:rPr>
                      <w:u w:val="single"/>
                    </w:rPr>
                    <w:t>菌落总数</w:t>
                  </w:r>
                  <w:r>
                    <w:rPr>
                      <w:rFonts w:hint="eastAsia"/>
                      <w:u w:val="single"/>
                      <w:lang w:eastAsia="zh-CN"/>
                    </w:rPr>
                    <w:t>、</w:t>
                  </w:r>
                  <w:r>
                    <w:rPr>
                      <w:u w:val="single"/>
                    </w:rPr>
                    <w:t>大肠菌群</w:t>
                  </w:r>
                  <w:r>
                    <w:rPr>
                      <w:rFonts w:hint="eastAsia"/>
                      <w:u w:val="single"/>
                      <w:lang w:eastAsia="zh-CN"/>
                    </w:rPr>
                    <w:t>、</w:t>
                  </w:r>
                  <w:r>
                    <w:rPr>
                      <w:u w:val="single"/>
                    </w:rPr>
                    <w:t>沙门氏菌</w:t>
                  </w:r>
                  <w:r>
                    <w:rPr>
                      <w:rFonts w:hint="eastAsia"/>
                      <w:u w:val="single"/>
                      <w:lang w:eastAsia="zh-CN"/>
                    </w:rPr>
                    <w:t>、</w:t>
                  </w:r>
                  <w:r>
                    <w:rPr>
                      <w:u w:val="single"/>
                    </w:rPr>
                    <w:t>金黄色葡萄球菌</w:t>
                  </w:r>
                  <w:r>
                    <w:rPr>
                      <w:rFonts w:hint="eastAsia"/>
                      <w:u w:val="single"/>
                      <w:lang w:eastAsia="zh-CN"/>
                    </w:rPr>
                    <w:t>、</w:t>
                  </w:r>
                  <w:r>
                    <w:rPr>
                      <w:u w:val="single"/>
                    </w:rPr>
                    <w:t>溶血性链球菌</w:t>
                  </w:r>
                  <w:r>
                    <w:rPr>
                      <w:rFonts w:hint="eastAsia"/>
                      <w:u w:val="single"/>
                      <w:lang w:eastAsia="zh-CN"/>
                    </w:rPr>
                    <w:t>、</w:t>
                  </w:r>
                  <w:r>
                    <w:rPr>
                      <w:u w:val="single"/>
                    </w:rPr>
                    <w:t>铜绿假单胞菌</w:t>
                  </w:r>
                  <w:r>
                    <w:rPr>
                      <w:rFonts w:hint="eastAsia"/>
                      <w:u w:val="single"/>
                      <w:lang w:eastAsia="zh-CN"/>
                    </w:rPr>
                    <w:t>、</w:t>
                  </w:r>
                  <w:r>
                    <w:rPr>
                      <w:u w:val="single"/>
                    </w:rPr>
                    <w:t>无菌检查</w:t>
                  </w:r>
                  <w:r>
                    <w:rPr>
                      <w:rFonts w:hint="eastAsia"/>
                      <w:u w:val="single"/>
                      <w:lang w:eastAsia="zh-CN"/>
                    </w:rPr>
                    <w:t>、</w:t>
                  </w:r>
                  <w:r>
                    <w:rPr>
                      <w:u w:val="single"/>
                    </w:rPr>
                    <w:t>真菌菌落总数</w:t>
                  </w:r>
                </w:p>
              </w:tc>
              <w:tc>
                <w:tcPr>
                  <w:tcW w:w="3098" w:type="dxa"/>
                  <w:tcBorders>
                    <w:tl2br w:val="nil"/>
                    <w:tr2bl w:val="nil"/>
                  </w:tcBorders>
                  <w:vAlign w:val="center"/>
                </w:tcPr>
                <w:p>
                  <w:pPr>
                    <w:jc w:val="center"/>
                    <w:rPr>
                      <w:rFonts w:hint="eastAsia"/>
                      <w:u w:val="single"/>
                      <w:lang w:val="en-US" w:eastAsia="zh-CN"/>
                    </w:rPr>
                  </w:pPr>
                  <w:r>
                    <w:rPr>
                      <w:u w:val="single"/>
                    </w:rPr>
                    <w:t>医院消毒卫生标准</w:t>
                  </w:r>
                  <w:r>
                    <w:rPr>
                      <w:rFonts w:hint="eastAsia"/>
                      <w:u w:val="single"/>
                      <w:lang w:eastAsia="zh-CN"/>
                    </w:rPr>
                    <w:t>，</w:t>
                  </w:r>
                  <w:r>
                    <w:rPr>
                      <w:u w:val="single"/>
                    </w:rPr>
                    <w:t>GB15982</w:t>
                  </w:r>
                  <w:r>
                    <w:rPr>
                      <w:rFonts w:hint="eastAsia"/>
                      <w:u w:val="single"/>
                      <w:lang w:val="en-US" w:eastAsia="zh-CN"/>
                    </w:rPr>
                    <w:t>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restart"/>
                  <w:tcBorders>
                    <w:tl2br w:val="nil"/>
                    <w:tr2bl w:val="nil"/>
                  </w:tcBorders>
                  <w:vAlign w:val="center"/>
                </w:tcPr>
                <w:p>
                  <w:pPr>
                    <w:jc w:val="center"/>
                    <w:rPr>
                      <w:u w:val="single"/>
                    </w:rPr>
                  </w:pPr>
                  <w:r>
                    <w:rPr>
                      <w:u w:val="single"/>
                    </w:rPr>
                    <w:t>生物材料检测参数</w:t>
                  </w:r>
                </w:p>
              </w:tc>
              <w:tc>
                <w:tcPr>
                  <w:tcW w:w="4555" w:type="dxa"/>
                  <w:tcBorders>
                    <w:tl2br w:val="nil"/>
                    <w:tr2bl w:val="nil"/>
                  </w:tcBorders>
                  <w:vAlign w:val="center"/>
                </w:tcPr>
                <w:p>
                  <w:pPr>
                    <w:jc w:val="center"/>
                    <w:rPr>
                      <w:u w:val="single"/>
                    </w:rPr>
                  </w:pPr>
                  <w:r>
                    <w:rPr>
                      <w:u w:val="single"/>
                    </w:rPr>
                    <w:t>霍乱弧菌</w:t>
                  </w:r>
                </w:p>
              </w:tc>
              <w:tc>
                <w:tcPr>
                  <w:tcW w:w="3098" w:type="dxa"/>
                  <w:tcBorders>
                    <w:tl2br w:val="nil"/>
                    <w:tr2bl w:val="nil"/>
                  </w:tcBorders>
                  <w:vAlign w:val="center"/>
                </w:tcPr>
                <w:p>
                  <w:pPr>
                    <w:jc w:val="center"/>
                    <w:rPr>
                      <w:u w:val="single"/>
                    </w:rPr>
                  </w:pPr>
                  <w:r>
                    <w:rPr>
                      <w:u w:val="single"/>
                    </w:rPr>
                    <w:t>霍乱诊断标准  WS289-2008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continue"/>
                  <w:tcBorders>
                    <w:tl2br w:val="nil"/>
                    <w:tr2bl w:val="nil"/>
                  </w:tcBorders>
                  <w:vAlign w:val="center"/>
                </w:tcPr>
                <w:p>
                  <w:pPr>
                    <w:jc w:val="center"/>
                    <w:rPr>
                      <w:u w:val="single"/>
                    </w:rPr>
                  </w:pPr>
                </w:p>
              </w:tc>
              <w:tc>
                <w:tcPr>
                  <w:tcW w:w="4555" w:type="dxa"/>
                  <w:tcBorders>
                    <w:tl2br w:val="nil"/>
                    <w:tr2bl w:val="nil"/>
                  </w:tcBorders>
                  <w:vAlign w:val="center"/>
                </w:tcPr>
                <w:p>
                  <w:pPr>
                    <w:jc w:val="center"/>
                    <w:rPr>
                      <w:u w:val="single"/>
                    </w:rPr>
                  </w:pPr>
                  <w:r>
                    <w:rPr>
                      <w:u w:val="single"/>
                    </w:rPr>
                    <w:t>HIV抗体初筛检测</w:t>
                  </w:r>
                </w:p>
              </w:tc>
              <w:tc>
                <w:tcPr>
                  <w:tcW w:w="3098" w:type="dxa"/>
                  <w:tcBorders>
                    <w:tl2br w:val="nil"/>
                    <w:tr2bl w:val="nil"/>
                  </w:tcBorders>
                  <w:vAlign w:val="center"/>
                </w:tcPr>
                <w:p>
                  <w:pPr>
                    <w:jc w:val="center"/>
                    <w:rPr>
                      <w:u w:val="single"/>
                    </w:rPr>
                  </w:pPr>
                  <w:r>
                    <w:rPr>
                      <w:u w:val="single"/>
                    </w:rPr>
                    <w:t>艾滋病和艾滋病感染诊断标准WS293-2008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restart"/>
                  <w:tcBorders>
                    <w:tl2br w:val="nil"/>
                    <w:tr2bl w:val="nil"/>
                  </w:tcBorders>
                  <w:vAlign w:val="center"/>
                </w:tcPr>
                <w:p>
                  <w:pPr>
                    <w:jc w:val="center"/>
                    <w:rPr>
                      <w:u w:val="single"/>
                    </w:rPr>
                  </w:pPr>
                  <w:r>
                    <w:rPr>
                      <w:u w:val="single"/>
                    </w:rPr>
                    <w:t>食品理化检测参数</w:t>
                  </w:r>
                </w:p>
              </w:tc>
              <w:tc>
                <w:tcPr>
                  <w:tcW w:w="4555" w:type="dxa"/>
                  <w:tcBorders>
                    <w:tl2br w:val="nil"/>
                    <w:tr2bl w:val="nil"/>
                  </w:tcBorders>
                  <w:vAlign w:val="center"/>
                </w:tcPr>
                <w:p>
                  <w:pPr>
                    <w:jc w:val="center"/>
                    <w:rPr>
                      <w:rFonts w:hint="eastAsia"/>
                      <w:u w:val="single"/>
                      <w:lang w:val="en-US" w:eastAsia="zh-CN"/>
                    </w:rPr>
                  </w:pPr>
                  <w:r>
                    <w:rPr>
                      <w:u w:val="single"/>
                    </w:rPr>
                    <w:t>相对密度</w:t>
                  </w:r>
                  <w:r>
                    <w:rPr>
                      <w:rFonts w:hint="eastAsia"/>
                      <w:u w:val="single"/>
                      <w:lang w:eastAsia="zh-CN"/>
                    </w:rPr>
                    <w:t>、</w:t>
                  </w:r>
                  <w:r>
                    <w:rPr>
                      <w:u w:val="single"/>
                    </w:rPr>
                    <w:t>水分</w:t>
                  </w:r>
                  <w:r>
                    <w:rPr>
                      <w:rFonts w:hint="eastAsia"/>
                      <w:u w:val="single"/>
                      <w:lang w:eastAsia="zh-CN"/>
                    </w:rPr>
                    <w:t>、</w:t>
                  </w:r>
                  <w:r>
                    <w:rPr>
                      <w:u w:val="single"/>
                    </w:rPr>
                    <w:t>灰分</w:t>
                  </w:r>
                  <w:r>
                    <w:rPr>
                      <w:rFonts w:hint="eastAsia"/>
                      <w:u w:val="single"/>
                      <w:lang w:eastAsia="zh-CN"/>
                    </w:rPr>
                    <w:t>、</w:t>
                  </w:r>
                  <w:r>
                    <w:rPr>
                      <w:u w:val="single"/>
                    </w:rPr>
                    <w:t>蛋白质</w:t>
                  </w:r>
                  <w:r>
                    <w:rPr>
                      <w:rFonts w:hint="eastAsia"/>
                      <w:u w:val="single"/>
                      <w:lang w:eastAsia="zh-CN"/>
                    </w:rPr>
                    <w:t>、</w:t>
                  </w:r>
                  <w:r>
                    <w:rPr>
                      <w:u w:val="single"/>
                    </w:rPr>
                    <w:t>脂肪</w:t>
                  </w:r>
                  <w:r>
                    <w:rPr>
                      <w:rFonts w:hint="eastAsia"/>
                      <w:u w:val="single"/>
                      <w:lang w:eastAsia="zh-CN"/>
                    </w:rPr>
                    <w:t>、</w:t>
                  </w:r>
                  <w:r>
                    <w:rPr>
                      <w:u w:val="single"/>
                    </w:rPr>
                    <w:t>还原糖</w:t>
                  </w:r>
                  <w:r>
                    <w:rPr>
                      <w:rFonts w:hint="eastAsia"/>
                      <w:u w:val="single"/>
                      <w:lang w:eastAsia="zh-CN"/>
                    </w:rPr>
                    <w:t>、</w:t>
                  </w:r>
                  <w:r>
                    <w:rPr>
                      <w:u w:val="single"/>
                    </w:rPr>
                    <w:t>还原糖</w:t>
                  </w:r>
                  <w:r>
                    <w:rPr>
                      <w:rFonts w:hint="eastAsia"/>
                      <w:u w:val="single"/>
                      <w:lang w:eastAsia="zh-CN"/>
                    </w:rPr>
                    <w:t>、</w:t>
                  </w:r>
                  <w:r>
                    <w:rPr>
                      <w:u w:val="single"/>
                    </w:rPr>
                    <w:t>蔗糖</w:t>
                  </w:r>
                  <w:r>
                    <w:rPr>
                      <w:rFonts w:hint="eastAsia"/>
                      <w:u w:val="single"/>
                      <w:lang w:eastAsia="zh-CN"/>
                    </w:rPr>
                    <w:t>、</w:t>
                  </w:r>
                  <w:r>
                    <w:rPr>
                      <w:u w:val="single"/>
                    </w:rPr>
                    <w:t>淀粉</w:t>
                  </w:r>
                  <w:r>
                    <w:rPr>
                      <w:rFonts w:hint="eastAsia"/>
                      <w:u w:val="single"/>
                      <w:lang w:eastAsia="zh-CN"/>
                    </w:rPr>
                    <w:t>、</w:t>
                  </w:r>
                  <w:r>
                    <w:rPr>
                      <w:u w:val="single"/>
                    </w:rPr>
                    <w:t>粗纤维</w:t>
                  </w:r>
                  <w:r>
                    <w:rPr>
                      <w:rFonts w:hint="eastAsia"/>
                      <w:u w:val="single"/>
                      <w:lang w:eastAsia="zh-CN"/>
                    </w:rPr>
                    <w:t>、</w:t>
                  </w:r>
                  <w:r>
                    <w:rPr>
                      <w:u w:val="single"/>
                    </w:rPr>
                    <w:t>砷</w:t>
                  </w:r>
                  <w:r>
                    <w:rPr>
                      <w:rFonts w:hint="eastAsia"/>
                      <w:u w:val="single"/>
                      <w:lang w:eastAsia="zh-CN"/>
                    </w:rPr>
                    <w:t>、</w:t>
                  </w:r>
                  <w:r>
                    <w:rPr>
                      <w:u w:val="single"/>
                    </w:rPr>
                    <w:t>铅</w:t>
                  </w:r>
                  <w:r>
                    <w:rPr>
                      <w:rFonts w:hint="eastAsia"/>
                      <w:u w:val="single"/>
                      <w:lang w:eastAsia="zh-CN"/>
                    </w:rPr>
                    <w:t>、</w:t>
                  </w:r>
                  <w:r>
                    <w:rPr>
                      <w:u w:val="single"/>
                    </w:rPr>
                    <w:t>铅</w:t>
                  </w:r>
                  <w:r>
                    <w:rPr>
                      <w:rFonts w:hint="eastAsia"/>
                      <w:u w:val="single"/>
                      <w:lang w:eastAsia="zh-CN"/>
                    </w:rPr>
                    <w:t>、</w:t>
                  </w:r>
                  <w:r>
                    <w:rPr>
                      <w:u w:val="single"/>
                    </w:rPr>
                    <w:t>铜</w:t>
                  </w:r>
                  <w:r>
                    <w:rPr>
                      <w:rFonts w:hint="eastAsia"/>
                      <w:u w:val="single"/>
                      <w:lang w:eastAsia="zh-CN"/>
                    </w:rPr>
                    <w:t>、</w:t>
                  </w:r>
                  <w:r>
                    <w:rPr>
                      <w:u w:val="single"/>
                    </w:rPr>
                    <w:t>锌</w:t>
                  </w:r>
                  <w:r>
                    <w:rPr>
                      <w:rFonts w:hint="eastAsia"/>
                      <w:u w:val="single"/>
                      <w:lang w:eastAsia="zh-CN"/>
                    </w:rPr>
                    <w:t>、</w:t>
                  </w:r>
                  <w:r>
                    <w:rPr>
                      <w:u w:val="single"/>
                    </w:rPr>
                    <w:t>镉</w:t>
                  </w:r>
                  <w:r>
                    <w:rPr>
                      <w:rFonts w:hint="eastAsia"/>
                      <w:u w:val="single"/>
                      <w:lang w:eastAsia="zh-CN"/>
                    </w:rPr>
                    <w:t>、</w:t>
                  </w:r>
                  <w:r>
                    <w:rPr>
                      <w:u w:val="single"/>
                    </w:rPr>
                    <w:t>锡</w:t>
                  </w:r>
                  <w:r>
                    <w:rPr>
                      <w:rFonts w:hint="eastAsia"/>
                      <w:u w:val="single"/>
                      <w:lang w:eastAsia="zh-CN"/>
                    </w:rPr>
                    <w:t>、</w:t>
                  </w:r>
                  <w:r>
                    <w:rPr>
                      <w:u w:val="single"/>
                    </w:rPr>
                    <w:t>汞</w:t>
                  </w:r>
                  <w:r>
                    <w:rPr>
                      <w:rFonts w:hint="eastAsia"/>
                      <w:u w:val="single"/>
                      <w:lang w:eastAsia="zh-CN"/>
                    </w:rPr>
                    <w:t>、</w:t>
                  </w:r>
                  <w:r>
                    <w:rPr>
                      <w:u w:val="single"/>
                    </w:rPr>
                    <w:t>氟</w:t>
                  </w:r>
                  <w:r>
                    <w:rPr>
                      <w:rFonts w:hint="eastAsia"/>
                      <w:u w:val="single"/>
                      <w:lang w:eastAsia="zh-CN"/>
                    </w:rPr>
                    <w:t>、</w:t>
                  </w:r>
                  <w:r>
                    <w:rPr>
                      <w:u w:val="single"/>
                    </w:rPr>
                    <w:t>六六六</w:t>
                  </w:r>
                  <w:r>
                    <w:rPr>
                      <w:rFonts w:hint="eastAsia"/>
                      <w:u w:val="single"/>
                      <w:lang w:eastAsia="zh-CN"/>
                    </w:rPr>
                    <w:t>、</w:t>
                  </w:r>
                  <w:r>
                    <w:rPr>
                      <w:rFonts w:hint="eastAsia"/>
                      <w:u w:val="single"/>
                      <w:lang w:val="en-US" w:eastAsia="zh-CN"/>
                    </w:rPr>
                    <w:t>滴滴涕</w:t>
                  </w:r>
                  <w:r>
                    <w:rPr>
                      <w:u w:val="single"/>
                    </w:rPr>
                    <w:t>有机磷禁用防腐剂亚硝酸盐</w:t>
                  </w:r>
                  <w:r>
                    <w:rPr>
                      <w:rFonts w:hint="eastAsia"/>
                      <w:u w:val="single"/>
                      <w:lang w:eastAsia="zh-CN"/>
                    </w:rPr>
                    <w:t>、</w:t>
                  </w:r>
                  <w:r>
                    <w:rPr>
                      <w:u w:val="single"/>
                    </w:rPr>
                    <w:t>硝酸盐亚硫酸盐氰化物</w:t>
                  </w:r>
                  <w:r>
                    <w:rPr>
                      <w:rFonts w:hint="eastAsia"/>
                      <w:u w:val="single"/>
                      <w:lang w:eastAsia="zh-CN"/>
                    </w:rPr>
                    <w:t>、</w:t>
                  </w:r>
                  <w:r>
                    <w:rPr>
                      <w:u w:val="single"/>
                    </w:rPr>
                    <w:t>钙</w:t>
                  </w:r>
                  <w:r>
                    <w:rPr>
                      <w:rFonts w:hint="eastAsia"/>
                      <w:u w:val="single"/>
                      <w:lang w:eastAsia="zh-CN"/>
                    </w:rPr>
                    <w:t>、</w:t>
                  </w:r>
                  <w:r>
                    <w:rPr>
                      <w:u w:val="single"/>
                    </w:rPr>
                    <w:t>铁</w:t>
                  </w:r>
                  <w:r>
                    <w:rPr>
                      <w:rFonts w:hint="eastAsia"/>
                      <w:u w:val="single"/>
                      <w:lang w:eastAsia="zh-CN"/>
                    </w:rPr>
                    <w:t>、</w:t>
                  </w:r>
                  <w:r>
                    <w:rPr>
                      <w:u w:val="single"/>
                    </w:rPr>
                    <w:t>硒</w:t>
                  </w:r>
                  <w:r>
                    <w:rPr>
                      <w:rFonts w:hint="eastAsia"/>
                      <w:u w:val="single"/>
                      <w:lang w:eastAsia="zh-CN"/>
                    </w:rPr>
                    <w:t>、</w:t>
                  </w:r>
                  <w:r>
                    <w:rPr>
                      <w:u w:val="single"/>
                    </w:rPr>
                    <w:t>铬</w:t>
                  </w:r>
                  <w:r>
                    <w:rPr>
                      <w:rFonts w:hint="eastAsia"/>
                      <w:u w:val="single"/>
                      <w:lang w:eastAsia="zh-CN"/>
                    </w:rPr>
                    <w:t>、</w:t>
                  </w:r>
                  <w:r>
                    <w:rPr>
                      <w:u w:val="single"/>
                    </w:rPr>
                    <w:t>锑</w:t>
                  </w:r>
                  <w:r>
                    <w:rPr>
                      <w:rFonts w:hint="eastAsia"/>
                      <w:u w:val="single"/>
                      <w:lang w:eastAsia="zh-CN"/>
                    </w:rPr>
                    <w:t>、</w:t>
                  </w:r>
                  <w:r>
                    <w:rPr>
                      <w:u w:val="single"/>
                    </w:rPr>
                    <w:t>酸度</w:t>
                  </w:r>
                  <w:r>
                    <w:rPr>
                      <w:rFonts w:hint="eastAsia"/>
                      <w:u w:val="single"/>
                      <w:lang w:eastAsia="zh-CN"/>
                    </w:rPr>
                    <w:t>、</w:t>
                  </w:r>
                  <w:r>
                    <w:rPr>
                      <w:u w:val="single"/>
                    </w:rPr>
                    <w:t>PH</w:t>
                  </w:r>
                  <w:r>
                    <w:rPr>
                      <w:rFonts w:hint="eastAsia"/>
                      <w:u w:val="single"/>
                      <w:lang w:eastAsia="zh-CN"/>
                    </w:rPr>
                    <w:t>、</w:t>
                  </w:r>
                  <w:r>
                    <w:rPr>
                      <w:u w:val="single"/>
                    </w:rPr>
                    <w:t>乙醇浓度</w:t>
                  </w:r>
                  <w:r>
                    <w:rPr>
                      <w:rFonts w:hint="eastAsia"/>
                      <w:u w:val="single"/>
                      <w:lang w:eastAsia="zh-CN"/>
                    </w:rPr>
                    <w:t>、</w:t>
                  </w:r>
                  <w:r>
                    <w:rPr>
                      <w:u w:val="single"/>
                    </w:rPr>
                    <w:t>甲醇</w:t>
                  </w:r>
                  <w:r>
                    <w:rPr>
                      <w:rFonts w:hint="eastAsia"/>
                      <w:u w:val="single"/>
                      <w:lang w:eastAsia="zh-CN"/>
                    </w:rPr>
                    <w:t>、</w:t>
                  </w:r>
                  <w:r>
                    <w:rPr>
                      <w:u w:val="single"/>
                    </w:rPr>
                    <w:t>杂醇油</w:t>
                  </w:r>
                  <w:r>
                    <w:rPr>
                      <w:rFonts w:hint="eastAsia"/>
                      <w:u w:val="single"/>
                      <w:lang w:eastAsia="zh-CN"/>
                    </w:rPr>
                    <w:t>、</w:t>
                  </w:r>
                  <w:r>
                    <w:rPr>
                      <w:u w:val="single"/>
                    </w:rPr>
                    <w:t>锰</w:t>
                  </w:r>
                  <w:r>
                    <w:rPr>
                      <w:rFonts w:hint="eastAsia"/>
                      <w:u w:val="single"/>
                      <w:lang w:eastAsia="zh-CN"/>
                    </w:rPr>
                    <w:t>、</w:t>
                  </w:r>
                  <w:r>
                    <w:rPr>
                      <w:u w:val="single"/>
                    </w:rPr>
                    <w:t>氰化物</w:t>
                  </w:r>
                  <w:r>
                    <w:rPr>
                      <w:rFonts w:hint="eastAsia"/>
                      <w:u w:val="single"/>
                      <w:lang w:eastAsia="zh-CN"/>
                    </w:rPr>
                    <w:t>、</w:t>
                  </w:r>
                  <w:r>
                    <w:rPr>
                      <w:u w:val="single"/>
                    </w:rPr>
                    <w:t>甲醛</w:t>
                  </w:r>
                  <w:r>
                    <w:rPr>
                      <w:rFonts w:hint="eastAsia"/>
                      <w:u w:val="single"/>
                      <w:lang w:eastAsia="zh-CN"/>
                    </w:rPr>
                    <w:t>、</w:t>
                  </w:r>
                  <w:r>
                    <w:rPr>
                      <w:u w:val="single"/>
                    </w:rPr>
                    <w:t>食盐</w:t>
                  </w:r>
                  <w:r>
                    <w:rPr>
                      <w:rFonts w:hint="eastAsia"/>
                      <w:u w:val="single"/>
                      <w:lang w:eastAsia="zh-CN"/>
                    </w:rPr>
                    <w:t>、</w:t>
                  </w:r>
                  <w:r>
                    <w:rPr>
                      <w:u w:val="single"/>
                    </w:rPr>
                    <w:t>游离矿酸</w:t>
                  </w:r>
                  <w:r>
                    <w:rPr>
                      <w:rFonts w:hint="eastAsia"/>
                      <w:u w:val="single"/>
                      <w:lang w:eastAsia="zh-CN"/>
                    </w:rPr>
                    <w:t>、</w:t>
                  </w:r>
                  <w:r>
                    <w:rPr>
                      <w:u w:val="single"/>
                    </w:rPr>
                    <w:t>水不溶物</w:t>
                  </w:r>
                  <w:r>
                    <w:rPr>
                      <w:rFonts w:hint="eastAsia"/>
                      <w:u w:val="single"/>
                      <w:lang w:eastAsia="zh-CN"/>
                    </w:rPr>
                    <w:t>、</w:t>
                  </w:r>
                  <w:r>
                    <w:rPr>
                      <w:u w:val="single"/>
                    </w:rPr>
                    <w:t>钡</w:t>
                  </w:r>
                  <w:r>
                    <w:rPr>
                      <w:rFonts w:hint="eastAsia"/>
                      <w:u w:val="single"/>
                      <w:lang w:eastAsia="zh-CN"/>
                    </w:rPr>
                    <w:t>、</w:t>
                  </w:r>
                  <w:r>
                    <w:rPr>
                      <w:u w:val="single"/>
                    </w:rPr>
                    <w:t>亚铁氰化钾</w:t>
                  </w:r>
                  <w:r>
                    <w:rPr>
                      <w:rFonts w:hint="eastAsia"/>
                      <w:u w:val="single"/>
                      <w:lang w:eastAsia="zh-CN"/>
                    </w:rPr>
                    <w:t>、</w:t>
                  </w:r>
                  <w:r>
                    <w:rPr>
                      <w:u w:val="single"/>
                    </w:rPr>
                    <w:t>硫酸盐</w:t>
                  </w:r>
                  <w:r>
                    <w:rPr>
                      <w:rFonts w:hint="eastAsia"/>
                      <w:u w:val="single"/>
                      <w:lang w:eastAsia="zh-CN"/>
                    </w:rPr>
                    <w:t>、</w:t>
                  </w:r>
                  <w:r>
                    <w:rPr>
                      <w:u w:val="single"/>
                    </w:rPr>
                    <w:t>麸氨酸钠</w:t>
                  </w:r>
                  <w:r>
                    <w:rPr>
                      <w:rFonts w:hint="eastAsia"/>
                      <w:u w:val="single"/>
                      <w:lang w:eastAsia="zh-CN"/>
                    </w:rPr>
                    <w:t>、</w:t>
                  </w:r>
                  <w:r>
                    <w:rPr>
                      <w:u w:val="single"/>
                    </w:rPr>
                    <w:t>挥发性盐基氮</w:t>
                  </w:r>
                  <w:r>
                    <w:rPr>
                      <w:rFonts w:hint="eastAsia"/>
                      <w:u w:val="single"/>
                      <w:lang w:eastAsia="zh-CN"/>
                    </w:rPr>
                    <w:t>、</w:t>
                  </w:r>
                  <w:r>
                    <w:rPr>
                      <w:u w:val="single"/>
                    </w:rPr>
                    <w:t>非脂固体</w:t>
                  </w:r>
                  <w:r>
                    <w:rPr>
                      <w:rFonts w:hint="eastAsia"/>
                      <w:u w:val="single"/>
                      <w:lang w:eastAsia="zh-CN"/>
                    </w:rPr>
                    <w:t>、</w:t>
                  </w:r>
                  <w:r>
                    <w:rPr>
                      <w:u w:val="single"/>
                    </w:rPr>
                    <w:t>过氧化值酸价</w:t>
                  </w:r>
                  <w:r>
                    <w:rPr>
                      <w:rFonts w:hint="eastAsia"/>
                      <w:u w:val="single"/>
                      <w:lang w:eastAsia="zh-CN"/>
                    </w:rPr>
                    <w:t>、</w:t>
                  </w:r>
                  <w:r>
                    <w:rPr>
                      <w:u w:val="single"/>
                    </w:rPr>
                    <w:t>羰基价</w:t>
                  </w:r>
                  <w:r>
                    <w:rPr>
                      <w:rFonts w:hint="eastAsia"/>
                      <w:u w:val="single"/>
                      <w:lang w:eastAsia="zh-CN"/>
                    </w:rPr>
                    <w:t>、</w:t>
                  </w:r>
                  <w:r>
                    <w:rPr>
                      <w:u w:val="single"/>
                    </w:rPr>
                    <w:t>非食用油鉴别</w:t>
                  </w:r>
                  <w:r>
                    <w:rPr>
                      <w:rFonts w:hint="eastAsia"/>
                      <w:u w:val="single"/>
                      <w:lang w:eastAsia="zh-CN"/>
                    </w:rPr>
                    <w:t>、</w:t>
                  </w:r>
                  <w:r>
                    <w:rPr>
                      <w:u w:val="single"/>
                    </w:rPr>
                    <w:t>氨基酸态氮</w:t>
                  </w:r>
                  <w:r>
                    <w:rPr>
                      <w:rFonts w:hint="eastAsia"/>
                      <w:u w:val="single"/>
                      <w:lang w:eastAsia="zh-CN"/>
                    </w:rPr>
                    <w:t>、</w:t>
                  </w:r>
                  <w:r>
                    <w:rPr>
                      <w:u w:val="single"/>
                    </w:rPr>
                    <w:t>水溶物</w:t>
                  </w:r>
                  <w:r>
                    <w:rPr>
                      <w:rFonts w:hint="eastAsia"/>
                      <w:u w:val="single"/>
                      <w:lang w:eastAsia="zh-CN"/>
                    </w:rPr>
                    <w:t>、</w:t>
                  </w:r>
                  <w:r>
                    <w:rPr>
                      <w:u w:val="single"/>
                    </w:rPr>
                    <w:t>游离碱度</w:t>
                  </w:r>
                  <w:r>
                    <w:rPr>
                      <w:rFonts w:hint="eastAsia"/>
                      <w:u w:val="single"/>
                      <w:lang w:eastAsia="zh-CN"/>
                    </w:rPr>
                    <w:t>、</w:t>
                  </w:r>
                  <w:r>
                    <w:rPr>
                      <w:u w:val="single"/>
                    </w:rPr>
                    <w:t>游离脂肪酸</w:t>
                  </w:r>
                  <w:r>
                    <w:rPr>
                      <w:rFonts w:hint="eastAsia"/>
                      <w:u w:val="single"/>
                      <w:lang w:eastAsia="zh-CN"/>
                    </w:rPr>
                    <w:t>、</w:t>
                  </w:r>
                  <w:r>
                    <w:rPr>
                      <w:u w:val="single"/>
                    </w:rPr>
                    <w:t>总碱度</w:t>
                  </w:r>
                  <w:r>
                    <w:rPr>
                      <w:rFonts w:hint="eastAsia"/>
                      <w:u w:val="single"/>
                      <w:lang w:eastAsia="zh-CN"/>
                    </w:rPr>
                    <w:t>、</w:t>
                  </w:r>
                  <w:r>
                    <w:rPr>
                      <w:u w:val="single"/>
                    </w:rPr>
                    <w:t>铝</w:t>
                  </w:r>
                  <w:r>
                    <w:rPr>
                      <w:rFonts w:hint="eastAsia"/>
                      <w:u w:val="single"/>
                      <w:lang w:eastAsia="zh-CN"/>
                    </w:rPr>
                    <w:t>、</w:t>
                  </w:r>
                  <w:r>
                    <w:rPr>
                      <w:u w:val="single"/>
                    </w:rPr>
                    <w:t>脲酶试验</w:t>
                  </w:r>
                </w:p>
              </w:tc>
              <w:tc>
                <w:tcPr>
                  <w:tcW w:w="3098" w:type="dxa"/>
                  <w:tcBorders>
                    <w:tl2br w:val="nil"/>
                    <w:tr2bl w:val="nil"/>
                  </w:tcBorders>
                  <w:vAlign w:val="center"/>
                </w:tcPr>
                <w:p>
                  <w:pPr>
                    <w:jc w:val="center"/>
                    <w:rPr>
                      <w:rFonts w:hint="eastAsia"/>
                      <w:u w:val="single"/>
                      <w:lang w:val="en-US" w:eastAsia="zh-CN"/>
                    </w:rPr>
                  </w:pPr>
                  <w:r>
                    <w:rPr>
                      <w:u w:val="single"/>
                    </w:rPr>
                    <w:t>食品安全国家标准</w:t>
                  </w:r>
                  <w:r>
                    <w:rPr>
                      <w:rFonts w:hint="eastAsia"/>
                      <w:u w:val="single"/>
                      <w:lang w:val="en-US" w:eastAsia="zh-CN"/>
                    </w:rPr>
                    <w:t>,GB</w:t>
                  </w:r>
                  <w:r>
                    <w:rPr>
                      <w:u w:val="single"/>
                    </w:rPr>
                    <w:t>5009</w:t>
                  </w:r>
                  <w:r>
                    <w:rPr>
                      <w:rFonts w:hint="eastAsia"/>
                      <w:u w:val="single"/>
                      <w:lang w:val="en-US" w:eastAsia="zh-CN"/>
                    </w:rPr>
                    <w:t>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continue"/>
                  <w:tcBorders>
                    <w:tl2br w:val="nil"/>
                    <w:tr2bl w:val="nil"/>
                  </w:tcBorders>
                  <w:vAlign w:val="center"/>
                </w:tcPr>
                <w:p>
                  <w:pPr>
                    <w:jc w:val="center"/>
                    <w:rPr>
                      <w:rFonts w:hint="default"/>
                      <w:u w:val="single"/>
                      <w:lang w:val="en-US"/>
                    </w:rPr>
                  </w:pPr>
                </w:p>
              </w:tc>
              <w:tc>
                <w:tcPr>
                  <w:tcW w:w="4555" w:type="dxa"/>
                  <w:tcBorders>
                    <w:tl2br w:val="nil"/>
                    <w:tr2bl w:val="nil"/>
                  </w:tcBorders>
                  <w:vAlign w:val="center"/>
                </w:tcPr>
                <w:p>
                  <w:pPr>
                    <w:jc w:val="center"/>
                    <w:rPr>
                      <w:u w:val="single"/>
                      <w:lang w:val="en-US" w:eastAsia="zh-CN"/>
                    </w:rPr>
                  </w:pPr>
                  <w:r>
                    <w:rPr>
                      <w:u w:val="single"/>
                    </w:rPr>
                    <w:t>磷化物</w:t>
                  </w:r>
                </w:p>
              </w:tc>
              <w:tc>
                <w:tcPr>
                  <w:tcW w:w="3098" w:type="dxa"/>
                  <w:tcBorders>
                    <w:tl2br w:val="nil"/>
                    <w:tr2bl w:val="nil"/>
                  </w:tcBorders>
                  <w:vAlign w:val="center"/>
                </w:tcPr>
                <w:p>
                  <w:pPr>
                    <w:jc w:val="center"/>
                    <w:rPr>
                      <w:u w:val="single"/>
                      <w:lang w:val="en-US" w:eastAsia="zh-CN"/>
                    </w:rPr>
                  </w:pPr>
                  <w:r>
                    <w:rPr>
                      <w:u w:val="single"/>
                    </w:rPr>
                    <w:t>《粮油检验 粮食中磷化物残留量的测 定》GB25222-2010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continue"/>
                  <w:tcBorders>
                    <w:tl2br w:val="nil"/>
                    <w:tr2bl w:val="nil"/>
                  </w:tcBorders>
                  <w:vAlign w:val="center"/>
                </w:tcPr>
                <w:p>
                  <w:pPr>
                    <w:jc w:val="center"/>
                    <w:rPr>
                      <w:rFonts w:hint="default"/>
                      <w:u w:val="single"/>
                      <w:lang w:val="en-US"/>
                    </w:rPr>
                  </w:pPr>
                </w:p>
              </w:tc>
              <w:tc>
                <w:tcPr>
                  <w:tcW w:w="4555" w:type="dxa"/>
                  <w:tcBorders>
                    <w:tl2br w:val="nil"/>
                    <w:tr2bl w:val="nil"/>
                  </w:tcBorders>
                  <w:vAlign w:val="center"/>
                </w:tcPr>
                <w:p>
                  <w:pPr>
                    <w:jc w:val="center"/>
                    <w:rPr>
                      <w:u w:val="single"/>
                      <w:lang w:val="en-US" w:eastAsia="zh-CN"/>
                    </w:rPr>
                  </w:pPr>
                  <w:r>
                    <w:rPr>
                      <w:u w:val="single"/>
                    </w:rPr>
                    <w:t>总酸</w:t>
                  </w:r>
                </w:p>
              </w:tc>
              <w:tc>
                <w:tcPr>
                  <w:tcW w:w="3098" w:type="dxa"/>
                  <w:tcBorders>
                    <w:tl2br w:val="nil"/>
                    <w:tr2bl w:val="nil"/>
                  </w:tcBorders>
                  <w:vAlign w:val="center"/>
                </w:tcPr>
                <w:p>
                  <w:pPr>
                    <w:jc w:val="center"/>
                    <w:rPr>
                      <w:u w:val="single"/>
                    </w:rPr>
                  </w:pPr>
                  <w:r>
                    <w:rPr>
                      <w:u w:val="single"/>
                    </w:rPr>
                    <w:t>《酱油卫生标准的分析方</w:t>
                  </w:r>
                </w:p>
                <w:p>
                  <w:pPr>
                    <w:jc w:val="center"/>
                    <w:rPr>
                      <w:u w:val="single"/>
                    </w:rPr>
                  </w:pPr>
                  <w:r>
                    <w:rPr>
                      <w:u w:val="single"/>
                    </w:rPr>
                    <w:t>法》 GB/T5009.39-2003《食醋卫生标准的分 析方法》 GB/T5009.41-2003 | 《非发酵豆制 品及面筋卫生标准的分析方</w:t>
                  </w:r>
                </w:p>
                <w:p>
                  <w:pPr>
                    <w:jc w:val="center"/>
                    <w:rPr>
                      <w:u w:val="single"/>
                      <w:lang w:val="en-US" w:eastAsia="zh-CN"/>
                    </w:rPr>
                  </w:pPr>
                  <w:r>
                    <w:rPr>
                      <w:u w:val="single"/>
                    </w:rPr>
                    <w:t>法》 GB/T5009.51-2003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continue"/>
                  <w:tcBorders>
                    <w:tl2br w:val="nil"/>
                    <w:tr2bl w:val="nil"/>
                  </w:tcBorders>
                  <w:vAlign w:val="center"/>
                </w:tcPr>
                <w:p>
                  <w:pPr>
                    <w:jc w:val="center"/>
                    <w:rPr>
                      <w:rFonts w:hint="default"/>
                      <w:u w:val="single"/>
                      <w:lang w:val="en-US"/>
                    </w:rPr>
                  </w:pPr>
                </w:p>
              </w:tc>
              <w:tc>
                <w:tcPr>
                  <w:tcW w:w="4555" w:type="dxa"/>
                  <w:tcBorders>
                    <w:tl2br w:val="nil"/>
                    <w:tr2bl w:val="nil"/>
                  </w:tcBorders>
                  <w:vAlign w:val="center"/>
                </w:tcPr>
                <w:p>
                  <w:pPr>
                    <w:jc w:val="center"/>
                    <w:rPr>
                      <w:u w:val="single"/>
                      <w:lang w:val="en-US" w:eastAsia="zh-CN"/>
                    </w:rPr>
                  </w:pPr>
                  <w:r>
                    <w:rPr>
                      <w:u w:val="single"/>
                    </w:rPr>
                    <w:t>碘</w:t>
                  </w:r>
                </w:p>
              </w:tc>
              <w:tc>
                <w:tcPr>
                  <w:tcW w:w="3098" w:type="dxa"/>
                  <w:tcBorders>
                    <w:tl2br w:val="nil"/>
                    <w:tr2bl w:val="nil"/>
                  </w:tcBorders>
                  <w:vAlign w:val="center"/>
                </w:tcPr>
                <w:p>
                  <w:pPr>
                    <w:jc w:val="center"/>
                    <w:rPr>
                      <w:u w:val="single"/>
                      <w:lang w:val="en-US" w:eastAsia="zh-CN"/>
                    </w:rPr>
                  </w:pPr>
                  <w:r>
                    <w:rPr>
                      <w:u w:val="single"/>
                    </w:rPr>
                    <w:t>《食品安全国家标准 食盐指标的测定》GB 5009.42-2016|《制盐工业通用试验方法 碘的测定》GB/T 13025.7-2012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restart"/>
                  <w:tcBorders>
                    <w:tl2br w:val="nil"/>
                    <w:tr2bl w:val="nil"/>
                  </w:tcBorders>
                  <w:vAlign w:val="center"/>
                </w:tcPr>
                <w:p>
                  <w:pPr>
                    <w:jc w:val="center"/>
                    <w:rPr>
                      <w:rFonts w:hint="default"/>
                      <w:u w:val="single"/>
                      <w:lang w:val="en-US"/>
                    </w:rPr>
                  </w:pPr>
                  <w:r>
                    <w:rPr>
                      <w:u w:val="single"/>
                    </w:rPr>
                    <w:t>食品容器及包装材 料检测参数</w:t>
                  </w:r>
                </w:p>
              </w:tc>
              <w:tc>
                <w:tcPr>
                  <w:tcW w:w="4555" w:type="dxa"/>
                  <w:tcBorders>
                    <w:tl2br w:val="nil"/>
                    <w:tr2bl w:val="nil"/>
                  </w:tcBorders>
                  <w:vAlign w:val="center"/>
                </w:tcPr>
                <w:p>
                  <w:pPr>
                    <w:jc w:val="center"/>
                    <w:rPr>
                      <w:u w:val="single"/>
                      <w:lang w:val="en-US" w:eastAsia="zh-CN"/>
                    </w:rPr>
                  </w:pPr>
                  <w:r>
                    <w:rPr>
                      <w:u w:val="single"/>
                    </w:rPr>
                    <w:t>食具中游离余氯</w:t>
                  </w:r>
                </w:p>
              </w:tc>
              <w:tc>
                <w:tcPr>
                  <w:tcW w:w="3098" w:type="dxa"/>
                  <w:tcBorders>
                    <w:tl2br w:val="nil"/>
                    <w:tr2bl w:val="nil"/>
                  </w:tcBorders>
                  <w:vAlign w:val="center"/>
                </w:tcPr>
                <w:p>
                  <w:pPr>
                    <w:jc w:val="center"/>
                    <w:rPr>
                      <w:u w:val="single"/>
                    </w:rPr>
                  </w:pPr>
                  <w:r>
                    <w:rPr>
                      <w:u w:val="single"/>
                    </w:rPr>
                    <w:t>《食品安全国家标准 消毒</w:t>
                  </w:r>
                </w:p>
                <w:p>
                  <w:pPr>
                    <w:jc w:val="center"/>
                    <w:rPr>
                      <w:u w:val="single"/>
                      <w:lang w:val="en-US" w:eastAsia="zh-CN"/>
                    </w:rPr>
                  </w:pPr>
                  <w:r>
                    <w:rPr>
                      <w:u w:val="single"/>
                    </w:rPr>
                    <w:t>餐 (饮)具》 GB14934－2016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continue"/>
                  <w:tcBorders>
                    <w:tl2br w:val="nil"/>
                    <w:tr2bl w:val="nil"/>
                  </w:tcBorders>
                  <w:vAlign w:val="center"/>
                </w:tcPr>
                <w:p>
                  <w:pPr>
                    <w:jc w:val="center"/>
                    <w:rPr>
                      <w:rFonts w:hint="default"/>
                      <w:u w:val="single"/>
                      <w:lang w:val="en-US"/>
                    </w:rPr>
                  </w:pPr>
                </w:p>
              </w:tc>
              <w:tc>
                <w:tcPr>
                  <w:tcW w:w="4555" w:type="dxa"/>
                  <w:tcBorders>
                    <w:tl2br w:val="nil"/>
                    <w:tr2bl w:val="nil"/>
                  </w:tcBorders>
                  <w:vAlign w:val="center"/>
                </w:tcPr>
                <w:p>
                  <w:pPr>
                    <w:jc w:val="center"/>
                    <w:rPr>
                      <w:u w:val="single"/>
                    </w:rPr>
                  </w:pPr>
                  <w:r>
                    <w:rPr>
                      <w:u w:val="single"/>
                    </w:rPr>
                    <w:t>高锰酸钾消耗量</w:t>
                  </w:r>
                  <w:r>
                    <w:rPr>
                      <w:rFonts w:hint="eastAsia"/>
                      <w:u w:val="single"/>
                      <w:lang w:eastAsia="zh-CN"/>
                    </w:rPr>
                    <w:t>、</w:t>
                  </w:r>
                  <w:r>
                    <w:rPr>
                      <w:u w:val="single"/>
                    </w:rPr>
                    <w:t>重金属</w:t>
                  </w:r>
                </w:p>
              </w:tc>
              <w:tc>
                <w:tcPr>
                  <w:tcW w:w="3098" w:type="dxa"/>
                  <w:tcBorders>
                    <w:tl2br w:val="nil"/>
                    <w:tr2bl w:val="nil"/>
                  </w:tcBorders>
                  <w:vAlign w:val="center"/>
                </w:tcPr>
                <w:p>
                  <w:pPr>
                    <w:jc w:val="center"/>
                    <w:rPr>
                      <w:u w:val="single"/>
                    </w:rPr>
                  </w:pPr>
                  <w:r>
                    <w:rPr>
                      <w:u w:val="single"/>
                    </w:rPr>
                    <w:t>《食品安全国家标准 食品接触材料及制品迁移试验预处理方法通则》GB 5009.156-2016|《食品安全国家标准 食品接触材料及制品高锰酸钾消耗量的测定》GB 31604.2-2016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vMerge w:val="continue"/>
                  <w:tcBorders>
                    <w:tl2br w:val="nil"/>
                    <w:tr2bl w:val="nil"/>
                  </w:tcBorders>
                  <w:vAlign w:val="center"/>
                </w:tcPr>
                <w:p>
                  <w:pPr>
                    <w:jc w:val="center"/>
                    <w:rPr>
                      <w:rFonts w:hint="default"/>
                      <w:u w:val="single"/>
                      <w:lang w:val="en-US"/>
                    </w:rPr>
                  </w:pPr>
                </w:p>
              </w:tc>
              <w:tc>
                <w:tcPr>
                  <w:tcW w:w="4555" w:type="dxa"/>
                  <w:tcBorders>
                    <w:tl2br w:val="nil"/>
                    <w:tr2bl w:val="nil"/>
                  </w:tcBorders>
                  <w:vAlign w:val="center"/>
                </w:tcPr>
                <w:p>
                  <w:pPr>
                    <w:jc w:val="center"/>
                    <w:rPr>
                      <w:rFonts w:hint="eastAsia"/>
                      <w:u w:val="single"/>
                      <w:lang w:val="en-US" w:eastAsia="zh-CN"/>
                    </w:rPr>
                  </w:pPr>
                  <w:r>
                    <w:rPr>
                      <w:u w:val="single"/>
                    </w:rPr>
                    <w:t>脱色试验</w:t>
                  </w:r>
                  <w:r>
                    <w:rPr>
                      <w:rFonts w:hint="eastAsia"/>
                      <w:u w:val="single"/>
                      <w:lang w:eastAsia="zh-CN"/>
                    </w:rPr>
                    <w:t>、</w:t>
                  </w:r>
                  <w:r>
                    <w:rPr>
                      <w:u w:val="single"/>
                    </w:rPr>
                    <w:t>蒸发残渣</w:t>
                  </w:r>
                  <w:r>
                    <w:rPr>
                      <w:rFonts w:hint="eastAsia"/>
                      <w:u w:val="single"/>
                      <w:lang w:eastAsia="zh-CN"/>
                    </w:rPr>
                    <w:t>、</w:t>
                  </w:r>
                  <w:r>
                    <w:rPr>
                      <w:u w:val="single"/>
                    </w:rPr>
                    <w:t>干燥失重</w:t>
                  </w:r>
                  <w:r>
                    <w:rPr>
                      <w:rFonts w:hint="eastAsia"/>
                      <w:u w:val="single"/>
                      <w:lang w:eastAsia="zh-CN"/>
                    </w:rPr>
                    <w:t>、</w:t>
                  </w:r>
                  <w:r>
                    <w:rPr>
                      <w:u w:val="single"/>
                    </w:rPr>
                    <w:t>灼烧残渣</w:t>
                  </w:r>
                  <w:r>
                    <w:rPr>
                      <w:rFonts w:hint="eastAsia"/>
                      <w:u w:val="single"/>
                      <w:lang w:eastAsia="zh-CN"/>
                    </w:rPr>
                    <w:t>、</w:t>
                  </w:r>
                  <w:r>
                    <w:rPr>
                      <w:u w:val="single"/>
                    </w:rPr>
                    <w:t>正己烷提取物</w:t>
                  </w:r>
                </w:p>
              </w:tc>
              <w:tc>
                <w:tcPr>
                  <w:tcW w:w="3098" w:type="dxa"/>
                  <w:tcBorders>
                    <w:tl2br w:val="nil"/>
                    <w:tr2bl w:val="nil"/>
                  </w:tcBorders>
                  <w:vAlign w:val="center"/>
                </w:tcPr>
                <w:p>
                  <w:pPr>
                    <w:jc w:val="center"/>
                    <w:rPr>
                      <w:rFonts w:hint="eastAsia"/>
                      <w:u w:val="single"/>
                      <w:lang w:val="en-US" w:eastAsia="zh-CN"/>
                    </w:rPr>
                  </w:pPr>
                  <w:r>
                    <w:rPr>
                      <w:u w:val="single"/>
                    </w:rPr>
                    <w:t>食品安全国家标准 GB31604</w:t>
                  </w:r>
                  <w:r>
                    <w:rPr>
                      <w:rFonts w:hint="eastAsia"/>
                      <w:u w:val="single"/>
                      <w:lang w:val="en-US" w:eastAsia="zh-CN"/>
                    </w:rPr>
                    <w:t>系列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8" w:type="dxa"/>
                  <w:right w:w="108" w:type="dxa"/>
                </w:tblCellMar>
              </w:tblPrEx>
              <w:trPr>
                <w:cantSplit/>
                <w:trHeight w:val="23" w:hRule="atLeast"/>
                <w:jc w:val="center"/>
              </w:trPr>
              <w:tc>
                <w:tcPr>
                  <w:tcW w:w="806" w:type="dxa"/>
                  <w:tcBorders>
                    <w:tl2br w:val="nil"/>
                    <w:tr2bl w:val="nil"/>
                  </w:tcBorders>
                  <w:vAlign w:val="center"/>
                </w:tcPr>
                <w:p>
                  <w:pPr>
                    <w:jc w:val="center"/>
                    <w:rPr>
                      <w:rFonts w:hint="default"/>
                      <w:u w:val="single"/>
                      <w:lang w:val="en-US"/>
                    </w:rPr>
                  </w:pPr>
                  <w:r>
                    <w:rPr>
                      <w:u w:val="single"/>
                    </w:rPr>
                    <w:t>食品微生物检测参 数</w:t>
                  </w:r>
                </w:p>
              </w:tc>
              <w:tc>
                <w:tcPr>
                  <w:tcW w:w="4555" w:type="dxa"/>
                  <w:tcBorders>
                    <w:tl2br w:val="nil"/>
                    <w:tr2bl w:val="nil"/>
                  </w:tcBorders>
                  <w:vAlign w:val="center"/>
                </w:tcPr>
                <w:p>
                  <w:pPr>
                    <w:jc w:val="center"/>
                    <w:rPr>
                      <w:rFonts w:hint="eastAsia"/>
                      <w:u w:val="single"/>
                      <w:lang w:val="en-US" w:eastAsia="zh-CN"/>
                    </w:rPr>
                  </w:pPr>
                  <w:r>
                    <w:rPr>
                      <w:u w:val="single"/>
                    </w:rPr>
                    <w:t>菌落总数</w:t>
                  </w:r>
                  <w:r>
                    <w:rPr>
                      <w:rFonts w:hint="eastAsia"/>
                      <w:u w:val="single"/>
                      <w:lang w:eastAsia="zh-CN"/>
                    </w:rPr>
                    <w:t>、</w:t>
                  </w:r>
                  <w:r>
                    <w:rPr>
                      <w:u w:val="single"/>
                    </w:rPr>
                    <w:t>大肠菌群</w:t>
                  </w:r>
                  <w:r>
                    <w:rPr>
                      <w:rFonts w:hint="eastAsia"/>
                      <w:u w:val="single"/>
                      <w:lang w:eastAsia="zh-CN"/>
                    </w:rPr>
                    <w:t>、</w:t>
                  </w:r>
                  <w:r>
                    <w:rPr>
                      <w:u w:val="single"/>
                    </w:rPr>
                    <w:t>沙门氏菌</w:t>
                  </w:r>
                  <w:r>
                    <w:rPr>
                      <w:rFonts w:hint="eastAsia"/>
                      <w:u w:val="single"/>
                      <w:lang w:eastAsia="zh-CN"/>
                    </w:rPr>
                    <w:t>、</w:t>
                  </w:r>
                  <w:r>
                    <w:rPr>
                      <w:u w:val="single"/>
                    </w:rPr>
                    <w:t>志贺氏菌</w:t>
                  </w:r>
                  <w:r>
                    <w:rPr>
                      <w:rFonts w:hint="eastAsia"/>
                      <w:u w:val="single"/>
                      <w:lang w:eastAsia="zh-CN"/>
                    </w:rPr>
                    <w:t>、</w:t>
                  </w:r>
                  <w:r>
                    <w:rPr>
                      <w:u w:val="single"/>
                    </w:rPr>
                    <w:t>副溶血性弧菌</w:t>
                  </w:r>
                  <w:r>
                    <w:rPr>
                      <w:rFonts w:hint="eastAsia"/>
                      <w:u w:val="single"/>
                      <w:lang w:eastAsia="zh-CN"/>
                    </w:rPr>
                    <w:t>、</w:t>
                  </w:r>
                  <w:r>
                    <w:rPr>
                      <w:u w:val="single"/>
                    </w:rPr>
                    <w:t>致泻大肠埃希氏菌</w:t>
                  </w:r>
                  <w:r>
                    <w:rPr>
                      <w:rFonts w:hint="eastAsia"/>
                      <w:u w:val="single"/>
                      <w:lang w:eastAsia="zh-CN"/>
                    </w:rPr>
                    <w:t>、</w:t>
                  </w:r>
                  <w:r>
                    <w:rPr>
                      <w:u w:val="single"/>
                    </w:rPr>
                    <w:t>金黄色葡萄球菌</w:t>
                  </w:r>
                  <w:r>
                    <w:rPr>
                      <w:rFonts w:hint="eastAsia"/>
                      <w:u w:val="single"/>
                      <w:lang w:eastAsia="zh-CN"/>
                    </w:rPr>
                    <w:t>、</w:t>
                  </w:r>
                  <w:r>
                    <w:rPr>
                      <w:u w:val="single"/>
                    </w:rPr>
                    <w:t>腊样芽胞杆菌</w:t>
                  </w:r>
                  <w:r>
                    <w:rPr>
                      <w:rFonts w:hint="eastAsia"/>
                      <w:u w:val="single"/>
                      <w:lang w:eastAsia="zh-CN"/>
                    </w:rPr>
                    <w:t>、</w:t>
                  </w:r>
                  <w:r>
                    <w:rPr>
                      <w:u w:val="single"/>
                    </w:rPr>
                    <w:t>霉菌与酵母菌</w:t>
                  </w:r>
                  <w:r>
                    <w:rPr>
                      <w:rFonts w:hint="eastAsia"/>
                      <w:u w:val="single"/>
                      <w:lang w:eastAsia="zh-CN"/>
                    </w:rPr>
                    <w:t>、</w:t>
                  </w:r>
                  <w:r>
                    <w:rPr>
                      <w:u w:val="single"/>
                    </w:rPr>
                    <w:t>单核细胞增生李氏特菌</w:t>
                  </w:r>
                  <w:r>
                    <w:rPr>
                      <w:rFonts w:hint="eastAsia"/>
                      <w:u w:val="single"/>
                      <w:lang w:eastAsia="zh-CN"/>
                    </w:rPr>
                    <w:t>、</w:t>
                  </w:r>
                  <w:r>
                    <w:rPr>
                      <w:u w:val="single"/>
                    </w:rPr>
                    <w:t>阪崎肠杆菌</w:t>
                  </w:r>
                </w:p>
              </w:tc>
              <w:tc>
                <w:tcPr>
                  <w:tcW w:w="3098" w:type="dxa"/>
                  <w:tcBorders>
                    <w:tl2br w:val="nil"/>
                    <w:tr2bl w:val="nil"/>
                  </w:tcBorders>
                  <w:vAlign w:val="center"/>
                </w:tcPr>
                <w:p>
                  <w:pPr>
                    <w:jc w:val="center"/>
                    <w:rPr>
                      <w:rFonts w:hint="eastAsia"/>
                      <w:u w:val="single"/>
                      <w:lang w:val="en-US" w:eastAsia="zh-CN"/>
                    </w:rPr>
                  </w:pPr>
                  <w:r>
                    <w:rPr>
                      <w:u w:val="single"/>
                    </w:rPr>
                    <w:t>食品安全国家标准</w:t>
                  </w:r>
                  <w:r>
                    <w:rPr>
                      <w:rFonts w:hint="eastAsia"/>
                      <w:u w:val="single"/>
                      <w:lang w:eastAsia="zh-CN"/>
                    </w:rPr>
                    <w:t>，</w:t>
                  </w:r>
                  <w:r>
                    <w:rPr>
                      <w:u w:val="single"/>
                    </w:rPr>
                    <w:t>GB4789</w:t>
                  </w:r>
                  <w:r>
                    <w:rPr>
                      <w:rFonts w:hint="eastAsia"/>
                      <w:u w:val="single"/>
                      <w:lang w:val="en-US" w:eastAsia="zh-CN"/>
                    </w:rPr>
                    <w:t>系列</w:t>
                  </w:r>
                </w:p>
              </w:tc>
            </w:tr>
          </w:tbl>
          <w:p>
            <w:pPr>
              <w:pStyle w:val="21"/>
              <w:jc w:val="center"/>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表2-4  主要原辅材料</w:t>
            </w:r>
          </w:p>
          <w:tbl>
            <w:tblPr>
              <w:tblW w:w="86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tblLayout w:type="fixed"/>
              <w:tblCellMar>
                <w:top w:w="0" w:type="dxa"/>
                <w:left w:w="108" w:type="dxa"/>
                <w:bottom w:w="0" w:type="dxa"/>
                <w:right w:w="108" w:type="dxa"/>
              </w:tblCellMar>
            </w:tblPr>
            <w:tblGrid>
              <w:gridCol w:w="1610"/>
              <w:gridCol w:w="1486"/>
              <w:gridCol w:w="1362"/>
              <w:gridCol w:w="42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61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bdr w:val="none" w:color="auto" w:sz="0" w:space="0"/>
                      <w:lang w:val="en-US" w:eastAsia="zh-CN" w:bidi="ar"/>
                    </w:rPr>
                    <w:t>名称</w:t>
                  </w:r>
                </w:p>
              </w:tc>
              <w:tc>
                <w:tcPr>
                  <w:tcW w:w="1486"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bdr w:val="none" w:color="auto" w:sz="0" w:space="0"/>
                      <w:lang w:val="en-US" w:eastAsia="zh-CN" w:bidi="ar"/>
                    </w:rPr>
                    <w:t>年用量</w:t>
                  </w:r>
                </w:p>
              </w:tc>
              <w:tc>
                <w:tcPr>
                  <w:tcW w:w="1362"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b/>
                      <w:bCs/>
                      <w:i w:val="0"/>
                      <w:iCs w:val="0"/>
                      <w:color w:val="000000"/>
                      <w:kern w:val="0"/>
                      <w:sz w:val="21"/>
                      <w:szCs w:val="21"/>
                      <w:u w:val="single"/>
                      <w:bdr w:val="none" w:color="auto" w:sz="0" w:space="0"/>
                      <w:lang w:val="en-US" w:eastAsia="zh-CN" w:bidi="ar"/>
                    </w:rPr>
                    <w:t>单位</w:t>
                  </w:r>
                </w:p>
              </w:tc>
              <w:tc>
                <w:tcPr>
                  <w:tcW w:w="420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b/>
                      <w:bCs/>
                      <w:i w:val="0"/>
                      <w:iCs w:val="0"/>
                      <w:color w:val="000000"/>
                      <w:kern w:val="0"/>
                      <w:sz w:val="21"/>
                      <w:szCs w:val="21"/>
                      <w:u w:val="single"/>
                      <w:bdr w:val="none" w:color="auto" w:sz="0" w:space="0"/>
                      <w:lang w:val="en-US" w:eastAsia="zh-CN" w:bidi="ar"/>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1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eastAsia="宋体" w:cs="Times New Roman"/>
                      <w:i w:val="0"/>
                      <w:iCs w:val="0"/>
                      <w:color w:val="000000"/>
                      <w:sz w:val="21"/>
                      <w:szCs w:val="21"/>
                      <w:u w:val="single"/>
                      <w:lang w:val="en-US" w:eastAsia="zh-CN"/>
                    </w:rPr>
                    <w:t>固体药品</w:t>
                  </w:r>
                </w:p>
              </w:tc>
              <w:tc>
                <w:tcPr>
                  <w:tcW w:w="1486"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eastAsia="宋体" w:cs="Times New Roman"/>
                      <w:i w:val="0"/>
                      <w:iCs w:val="0"/>
                      <w:color w:val="000000"/>
                      <w:sz w:val="21"/>
                      <w:szCs w:val="21"/>
                      <w:u w:val="single"/>
                      <w:lang w:val="en-US" w:eastAsia="zh-CN"/>
                    </w:rPr>
                    <w:t>10</w:t>
                  </w:r>
                </w:p>
              </w:tc>
              <w:tc>
                <w:tcPr>
                  <w:tcW w:w="1362"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single"/>
                      <w:lang w:val="en-US" w:eastAsia="zh-CN"/>
                    </w:rPr>
                  </w:pPr>
                  <w:r>
                    <w:rPr>
                      <w:rFonts w:hint="default" w:ascii="Times New Roman" w:hAnsi="Times New Roman" w:eastAsia="宋体" w:cs="Times New Roman"/>
                      <w:b w:val="0"/>
                      <w:bCs w:val="0"/>
                      <w:i w:val="0"/>
                      <w:iCs w:val="0"/>
                      <w:color w:val="000000"/>
                      <w:kern w:val="0"/>
                      <w:sz w:val="21"/>
                      <w:szCs w:val="21"/>
                      <w:u w:val="single"/>
                      <w:lang w:val="en-US" w:eastAsia="zh-CN" w:bidi="ar"/>
                    </w:rPr>
                    <w:t>kg</w:t>
                  </w:r>
                </w:p>
              </w:tc>
              <w:tc>
                <w:tcPr>
                  <w:tcW w:w="420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氢氧化钠、</w:t>
                  </w:r>
                  <w:r>
                    <w:rPr>
                      <w:rFonts w:hint="default" w:ascii="Times New Roman" w:hAnsi="Times New Roman" w:eastAsia="宋体" w:cs="Times New Roman"/>
                      <w:i w:val="0"/>
                      <w:iCs w:val="0"/>
                      <w:color w:val="000000"/>
                      <w:kern w:val="0"/>
                      <w:sz w:val="21"/>
                      <w:szCs w:val="21"/>
                      <w:u w:val="single"/>
                      <w:lang w:val="en-US" w:eastAsia="zh-CN" w:bidi="ar"/>
                    </w:rPr>
                    <w:t>EDTA二钠</w:t>
                  </w:r>
                  <w:r>
                    <w:rPr>
                      <w:rFonts w:hint="default" w:ascii="Times New Roman" w:hAnsi="Times New Roman"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碘化钾</w:t>
                  </w:r>
                  <w:r>
                    <w:rPr>
                      <w:rFonts w:hint="default" w:ascii="Times New Roman" w:hAnsi="Times New Roman" w:cs="Times New Roman"/>
                      <w:i w:val="0"/>
                      <w:iCs w:val="0"/>
                      <w:color w:val="000000"/>
                      <w:kern w:val="0"/>
                      <w:sz w:val="21"/>
                      <w:szCs w:val="21"/>
                      <w:u w:val="single"/>
                      <w:lang w:val="en-US" w:eastAsia="zh-CN" w:bidi="ar"/>
                    </w:rPr>
                    <w:t>、等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1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eastAsia="宋体" w:cs="Times New Roman"/>
                      <w:i w:val="0"/>
                      <w:iCs w:val="0"/>
                      <w:color w:val="000000"/>
                      <w:sz w:val="21"/>
                      <w:szCs w:val="21"/>
                      <w:u w:val="single"/>
                      <w:lang w:val="en-US" w:eastAsia="zh-CN"/>
                    </w:rPr>
                    <w:t>液体试剂</w:t>
                  </w:r>
                </w:p>
              </w:tc>
              <w:tc>
                <w:tcPr>
                  <w:tcW w:w="1486"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eastAsia="宋体" w:cs="Times New Roman"/>
                      <w:i w:val="0"/>
                      <w:iCs w:val="0"/>
                      <w:color w:val="000000"/>
                      <w:sz w:val="21"/>
                      <w:szCs w:val="21"/>
                      <w:u w:val="single"/>
                      <w:lang w:val="en-US" w:eastAsia="zh-CN"/>
                    </w:rPr>
                    <w:t>50</w:t>
                  </w:r>
                </w:p>
              </w:tc>
              <w:tc>
                <w:tcPr>
                  <w:tcW w:w="1362"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single"/>
                      <w:lang w:val="en-US" w:eastAsia="zh-CN"/>
                    </w:rPr>
                  </w:pPr>
                  <w:r>
                    <w:rPr>
                      <w:rFonts w:hint="default" w:ascii="Times New Roman" w:hAnsi="Times New Roman" w:eastAsia="宋体" w:cs="Times New Roman"/>
                      <w:b w:val="0"/>
                      <w:bCs w:val="0"/>
                      <w:i w:val="0"/>
                      <w:iCs w:val="0"/>
                      <w:color w:val="000000"/>
                      <w:kern w:val="0"/>
                      <w:sz w:val="21"/>
                      <w:szCs w:val="21"/>
                      <w:u w:val="single"/>
                      <w:lang w:val="en-US" w:eastAsia="zh-CN" w:bidi="ar"/>
                    </w:rPr>
                    <w:t>kg</w:t>
                  </w:r>
                </w:p>
              </w:tc>
              <w:tc>
                <w:tcPr>
                  <w:tcW w:w="420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硝酸、磷酸、硫酸、三氯甲烷、乙醇等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161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气体原料</w:t>
                  </w:r>
                </w:p>
              </w:tc>
              <w:tc>
                <w:tcPr>
                  <w:tcW w:w="1486"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30</w:t>
                  </w:r>
                </w:p>
              </w:tc>
              <w:tc>
                <w:tcPr>
                  <w:tcW w:w="1362"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kg</w:t>
                  </w:r>
                </w:p>
              </w:tc>
              <w:tc>
                <w:tcPr>
                  <w:tcW w:w="420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乙炔、氮气、氩气等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161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病理检测试剂</w:t>
                  </w:r>
                </w:p>
              </w:tc>
              <w:tc>
                <w:tcPr>
                  <w:tcW w:w="1486"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20000</w:t>
                  </w:r>
                </w:p>
              </w:tc>
              <w:tc>
                <w:tcPr>
                  <w:tcW w:w="1362"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eastAsia="宋体" w:cs="Times New Roman"/>
                      <w:i w:val="0"/>
                      <w:iCs w:val="0"/>
                      <w:color w:val="000000"/>
                      <w:kern w:val="0"/>
                      <w:sz w:val="21"/>
                      <w:szCs w:val="21"/>
                      <w:u w:val="single"/>
                      <w:bdr w:val="none" w:color="auto" w:sz="0" w:space="0"/>
                      <w:lang w:val="en-US" w:eastAsia="zh-CN" w:bidi="ar"/>
                    </w:rPr>
                    <w:t>盒</w:t>
                  </w:r>
                </w:p>
              </w:tc>
              <w:tc>
                <w:tcPr>
                  <w:tcW w:w="4200" w:type="dxa"/>
                  <w:tcBorders>
                    <w:tl2br w:val="nil"/>
                    <w:tr2bl w:val="nil"/>
                  </w:tcBorders>
                  <w:shd w:val="cle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bdr w:val="none" w:color="auto" w:sz="0" w:space="0"/>
                      <w:lang w:val="en-US" w:eastAsia="zh-CN" w:bidi="ar"/>
                    </w:rPr>
                  </w:pPr>
                  <w:r>
                    <w:rPr>
                      <w:rFonts w:hint="default" w:ascii="Times New Roman" w:hAnsi="Times New Roman" w:cs="Times New Roman"/>
                      <w:u w:val="single"/>
                      <w:lang w:val="en-US" w:eastAsia="zh-CN"/>
                    </w:rPr>
                    <w:t>HIV试剂、流感病毒（甲乙）试剂、新冠病毒检测试剂、麻疹 IgM 抗体检测试剂等</w:t>
                  </w:r>
                </w:p>
              </w:tc>
            </w:tr>
          </w:tbl>
          <w:p>
            <w:pPr>
              <w:pStyle w:val="5"/>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表2</w:t>
            </w:r>
            <w:r>
              <w:rPr>
                <w:rFonts w:hint="eastAsia" w:cs="Times New Roman"/>
                <w:b/>
                <w:bCs/>
                <w:sz w:val="24"/>
                <w:szCs w:val="24"/>
                <w:lang w:val="en-US" w:eastAsia="zh-CN"/>
              </w:rPr>
              <w:t>-5</w:t>
            </w:r>
            <w:r>
              <w:rPr>
                <w:rFonts w:hint="eastAsia" w:ascii="Times New Roman" w:hAnsi="Times New Roman" w:eastAsia="宋体" w:cs="Times New Roman"/>
                <w:b/>
                <w:bCs/>
                <w:sz w:val="24"/>
                <w:szCs w:val="24"/>
                <w:lang w:val="en-US" w:eastAsia="zh-CN"/>
              </w:rPr>
              <w:t xml:space="preserve">  主要试剂理化性质</w:t>
            </w:r>
            <w:r>
              <w:rPr>
                <w:rFonts w:hint="eastAsia" w:cs="Times New Roman"/>
                <w:b/>
                <w:bCs/>
                <w:sz w:val="24"/>
                <w:szCs w:val="24"/>
                <w:lang w:val="en-US" w:eastAsia="zh-CN"/>
              </w:rPr>
              <w:t>（部分节选）</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922"/>
              <w:gridCol w:w="1103"/>
              <w:gridCol w:w="3405"/>
              <w:gridCol w:w="14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 w:hRule="atLeast"/>
                <w:jc w:val="center"/>
              </w:trPr>
              <w:tc>
                <w:tcPr>
                  <w:tcW w:w="1177"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试剂名称</w:t>
                  </w:r>
                </w:p>
              </w:tc>
              <w:tc>
                <w:tcPr>
                  <w:tcW w:w="922"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化学式</w:t>
                  </w:r>
                </w:p>
              </w:tc>
              <w:tc>
                <w:tcPr>
                  <w:tcW w:w="1103"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CSA号</w:t>
                  </w:r>
                </w:p>
              </w:tc>
              <w:tc>
                <w:tcPr>
                  <w:tcW w:w="3405"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理化性质</w:t>
                  </w:r>
                </w:p>
              </w:tc>
              <w:tc>
                <w:tcPr>
                  <w:tcW w:w="1450"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毒性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177"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草酸</w:t>
                  </w:r>
                </w:p>
              </w:tc>
              <w:tc>
                <w:tcPr>
                  <w:tcW w:w="922" w:type="dxa"/>
                  <w:tcBorders>
                    <w:tl2br w:val="nil"/>
                    <w:tr2bl w:val="nil"/>
                  </w:tcBorders>
                  <w:vAlign w:val="center"/>
                </w:tcPr>
                <w:p>
                  <w:pPr>
                    <w:jc w:val="center"/>
                    <w:rPr>
                      <w:rFonts w:hint="eastAsia"/>
                      <w:sz w:val="21"/>
                      <w:szCs w:val="21"/>
                    </w:rPr>
                  </w:pPr>
                  <w:r>
                    <w:rPr>
                      <w:rFonts w:hint="eastAsia"/>
                      <w:sz w:val="21"/>
                      <w:szCs w:val="21"/>
                    </w:rPr>
                    <w:t>C</w:t>
                  </w:r>
                  <w:r>
                    <w:rPr>
                      <w:rFonts w:hint="default"/>
                      <w:sz w:val="21"/>
                      <w:szCs w:val="21"/>
                      <w:vertAlign w:val="subscript"/>
                    </w:rPr>
                    <w:t>2</w:t>
                  </w:r>
                  <w:r>
                    <w:rPr>
                      <w:rFonts w:hint="default"/>
                      <w:sz w:val="21"/>
                      <w:szCs w:val="21"/>
                    </w:rPr>
                    <w:t>H</w:t>
                  </w:r>
                  <w:r>
                    <w:rPr>
                      <w:rFonts w:hint="default"/>
                      <w:sz w:val="21"/>
                      <w:szCs w:val="21"/>
                      <w:vertAlign w:val="subscript"/>
                    </w:rPr>
                    <w:t>2</w:t>
                  </w:r>
                  <w:r>
                    <w:rPr>
                      <w:rFonts w:hint="default"/>
                      <w:sz w:val="21"/>
                      <w:szCs w:val="21"/>
                    </w:rPr>
                    <w:t>O</w:t>
                  </w:r>
                  <w:r>
                    <w:rPr>
                      <w:rFonts w:hint="default"/>
                      <w:sz w:val="21"/>
                      <w:szCs w:val="21"/>
                      <w:vertAlign w:val="subscript"/>
                    </w:rPr>
                    <w:t>4</w:t>
                  </w:r>
                </w:p>
              </w:tc>
              <w:tc>
                <w:tcPr>
                  <w:tcW w:w="1103" w:type="dxa"/>
                  <w:tcBorders>
                    <w:tl2br w:val="nil"/>
                    <w:tr2bl w:val="nil"/>
                  </w:tcBorders>
                  <w:vAlign w:val="center"/>
                </w:tcPr>
                <w:p>
                  <w:pPr>
                    <w:jc w:val="center"/>
                    <w:rPr>
                      <w:rFonts w:hint="eastAsia"/>
                      <w:sz w:val="21"/>
                      <w:szCs w:val="21"/>
                    </w:rPr>
                  </w:pPr>
                  <w:r>
                    <w:rPr>
                      <w:rFonts w:hint="eastAsia"/>
                      <w:sz w:val="21"/>
                      <w:szCs w:val="21"/>
                    </w:rPr>
                    <w:t>144-62-7</w:t>
                  </w:r>
                </w:p>
              </w:tc>
              <w:tc>
                <w:tcPr>
                  <w:tcW w:w="3405" w:type="dxa"/>
                  <w:tcBorders>
                    <w:tl2br w:val="nil"/>
                    <w:tr2bl w:val="nil"/>
                  </w:tcBorders>
                  <w:vAlign w:val="center"/>
                </w:tcPr>
                <w:p>
                  <w:pPr>
                    <w:jc w:val="center"/>
                    <w:rPr>
                      <w:rFonts w:hint="eastAsia"/>
                      <w:sz w:val="21"/>
                      <w:szCs w:val="21"/>
                    </w:rPr>
                  </w:pPr>
                  <w:r>
                    <w:rPr>
                      <w:rFonts w:hint="eastAsia"/>
                      <w:sz w:val="21"/>
                      <w:szCs w:val="21"/>
                    </w:rPr>
                    <w:t>无色透明结晶，其晶体结构有两种形态，即α型（菱形）和β型（单斜晶形），熔点分别为，α型：189.5℃，β型：182℃。相对密度，α型：1.900，β型：1.895。折射率1.540。草酸在100℃开始升华，125℃时迅速升华，157℃时大量升华，并开始分解。</w:t>
                  </w:r>
                </w:p>
              </w:tc>
              <w:tc>
                <w:tcPr>
                  <w:tcW w:w="1450" w:type="dxa"/>
                  <w:tcBorders>
                    <w:tl2br w:val="nil"/>
                    <w:tr2bl w:val="nil"/>
                  </w:tcBorders>
                  <w:vAlign w:val="center"/>
                </w:tcPr>
                <w:p>
                  <w:pPr>
                    <w:jc w:val="center"/>
                    <w:rPr>
                      <w:rFonts w:hint="eastAsia"/>
                      <w:sz w:val="21"/>
                      <w:szCs w:val="21"/>
                      <w:lang w:eastAsia="zh-CN"/>
                    </w:rPr>
                  </w:pPr>
                  <w:r>
                    <w:rPr>
                      <w:rFonts w:hint="default"/>
                      <w:sz w:val="21"/>
                      <w:szCs w:val="21"/>
                    </w:rPr>
                    <w:t>对人的最低致死量为：71mg/kg</w:t>
                  </w:r>
                  <w:r>
                    <w:rPr>
                      <w:rFonts w:hint="eastAsia"/>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177"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乙醇</w:t>
                  </w:r>
                </w:p>
              </w:tc>
              <w:tc>
                <w:tcPr>
                  <w:tcW w:w="922"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C</w:t>
                  </w:r>
                  <w:r>
                    <w:rPr>
                      <w:rFonts w:hint="eastAsia"/>
                      <w:sz w:val="21"/>
                      <w:szCs w:val="21"/>
                      <w:vertAlign w:val="subscript"/>
                      <w:lang w:val="en-US" w:eastAsia="zh-CN"/>
                    </w:rPr>
                    <w:t>2</w:t>
                  </w:r>
                  <w:r>
                    <w:rPr>
                      <w:rFonts w:hint="eastAsia"/>
                      <w:sz w:val="21"/>
                      <w:szCs w:val="21"/>
                      <w:lang w:val="en-US" w:eastAsia="zh-CN"/>
                    </w:rPr>
                    <w:t>H</w:t>
                  </w:r>
                  <w:r>
                    <w:rPr>
                      <w:rFonts w:hint="eastAsia"/>
                      <w:sz w:val="21"/>
                      <w:szCs w:val="21"/>
                      <w:vertAlign w:val="subscript"/>
                      <w:lang w:val="en-US" w:eastAsia="zh-CN"/>
                    </w:rPr>
                    <w:t>5</w:t>
                  </w:r>
                  <w:r>
                    <w:rPr>
                      <w:rFonts w:hint="eastAsia"/>
                      <w:sz w:val="21"/>
                      <w:szCs w:val="21"/>
                      <w:lang w:val="en-US" w:eastAsia="zh-CN"/>
                    </w:rPr>
                    <w:t>OH</w:t>
                  </w:r>
                </w:p>
              </w:tc>
              <w:tc>
                <w:tcPr>
                  <w:tcW w:w="1103" w:type="dxa"/>
                  <w:tcBorders>
                    <w:tl2br w:val="nil"/>
                    <w:tr2bl w:val="nil"/>
                  </w:tcBorders>
                  <w:vAlign w:val="center"/>
                </w:tcPr>
                <w:p>
                  <w:pPr>
                    <w:jc w:val="center"/>
                    <w:rPr>
                      <w:rFonts w:hint="eastAsia"/>
                      <w:sz w:val="21"/>
                      <w:szCs w:val="21"/>
                    </w:rPr>
                  </w:pPr>
                  <w:r>
                    <w:rPr>
                      <w:rFonts w:hint="eastAsia"/>
                      <w:sz w:val="21"/>
                      <w:szCs w:val="21"/>
                    </w:rPr>
                    <w:t>64-17-5</w:t>
                  </w:r>
                </w:p>
              </w:tc>
              <w:tc>
                <w:tcPr>
                  <w:tcW w:w="3405" w:type="dxa"/>
                  <w:tcBorders>
                    <w:tl2br w:val="nil"/>
                    <w:tr2bl w:val="nil"/>
                  </w:tcBorders>
                  <w:vAlign w:val="center"/>
                </w:tcPr>
                <w:p>
                  <w:pPr>
                    <w:jc w:val="center"/>
                    <w:rPr>
                      <w:rFonts w:hint="eastAsia"/>
                      <w:sz w:val="21"/>
                      <w:szCs w:val="21"/>
                    </w:rPr>
                  </w:pPr>
                  <w:r>
                    <w:rPr>
                      <w:rFonts w:hint="eastAsia"/>
                      <w:sz w:val="21"/>
                      <w:szCs w:val="21"/>
                    </w:rPr>
                    <w:t>无色透明；易燃易挥发的液体。有酒的气味和刺激性辛辣味。溶于</w:t>
                  </w:r>
                  <w:r>
                    <w:rPr>
                      <w:rFonts w:hint="default"/>
                      <w:sz w:val="21"/>
                      <w:szCs w:val="21"/>
                    </w:rPr>
                    <w:fldChar w:fldCharType="begin"/>
                  </w:r>
                  <w:r>
                    <w:rPr>
                      <w:rFonts w:hint="default"/>
                      <w:sz w:val="21"/>
                      <w:szCs w:val="21"/>
                    </w:rPr>
                    <w:instrText xml:space="preserve"> HYPERLINK "http://www.ichemistry.cn/chemistry/7732-18-5.htm" \t "http://www.ichemistry.cn/chemistry/_blank" </w:instrText>
                  </w:r>
                  <w:r>
                    <w:rPr>
                      <w:rFonts w:hint="default"/>
                      <w:sz w:val="21"/>
                      <w:szCs w:val="21"/>
                    </w:rPr>
                    <w:fldChar w:fldCharType="separate"/>
                  </w:r>
                  <w:r>
                    <w:rPr>
                      <w:rFonts w:hint="default"/>
                      <w:sz w:val="21"/>
                      <w:szCs w:val="21"/>
                    </w:rPr>
                    <w:t>水</w:t>
                  </w:r>
                  <w:r>
                    <w:rPr>
                      <w:rFonts w:hint="default"/>
                      <w:sz w:val="21"/>
                      <w:szCs w:val="21"/>
                    </w:rPr>
                    <w:fldChar w:fldCharType="end"/>
                  </w:r>
                  <w:r>
                    <w:rPr>
                      <w:rFonts w:hint="default"/>
                      <w:sz w:val="21"/>
                      <w:szCs w:val="21"/>
                    </w:rPr>
                    <w:t>、</w:t>
                  </w:r>
                  <w:r>
                    <w:rPr>
                      <w:rFonts w:hint="default"/>
                      <w:sz w:val="21"/>
                      <w:szCs w:val="21"/>
                    </w:rPr>
                    <w:fldChar w:fldCharType="begin"/>
                  </w:r>
                  <w:r>
                    <w:rPr>
                      <w:rFonts w:hint="default"/>
                      <w:sz w:val="21"/>
                      <w:szCs w:val="21"/>
                    </w:rPr>
                    <w:instrText xml:space="preserve"> HYPERLINK "http://www.ichemistry.cn/chemistry/67-56-1.htm" \t "http://www.ichemistry.cn/chemistry/_blank" </w:instrText>
                  </w:r>
                  <w:r>
                    <w:rPr>
                      <w:rFonts w:hint="default"/>
                      <w:sz w:val="21"/>
                      <w:szCs w:val="21"/>
                    </w:rPr>
                    <w:fldChar w:fldCharType="separate"/>
                  </w:r>
                  <w:r>
                    <w:rPr>
                      <w:rFonts w:hint="default"/>
                      <w:sz w:val="21"/>
                      <w:szCs w:val="21"/>
                    </w:rPr>
                    <w:t>甲醇</w:t>
                  </w:r>
                  <w:r>
                    <w:rPr>
                      <w:rFonts w:hint="default"/>
                      <w:sz w:val="21"/>
                      <w:szCs w:val="21"/>
                    </w:rPr>
                    <w:fldChar w:fldCharType="end"/>
                  </w:r>
                  <w:r>
                    <w:rPr>
                      <w:rFonts w:hint="default"/>
                      <w:sz w:val="21"/>
                      <w:szCs w:val="21"/>
                    </w:rPr>
                    <w:t>、</w:t>
                  </w:r>
                  <w:r>
                    <w:rPr>
                      <w:rFonts w:hint="default"/>
                      <w:sz w:val="21"/>
                      <w:szCs w:val="21"/>
                    </w:rPr>
                    <w:fldChar w:fldCharType="begin"/>
                  </w:r>
                  <w:r>
                    <w:rPr>
                      <w:rFonts w:hint="default"/>
                      <w:sz w:val="21"/>
                      <w:szCs w:val="21"/>
                    </w:rPr>
                    <w:instrText xml:space="preserve"> HYPERLINK "http://www.ichemistry.cn/chemistry/60-29-7.htm" \t "http://www.ichemistry.cn/chemistry/_blank" </w:instrText>
                  </w:r>
                  <w:r>
                    <w:rPr>
                      <w:rFonts w:hint="default"/>
                      <w:sz w:val="21"/>
                      <w:szCs w:val="21"/>
                    </w:rPr>
                    <w:fldChar w:fldCharType="separate"/>
                  </w:r>
                  <w:r>
                    <w:rPr>
                      <w:rFonts w:hint="default"/>
                      <w:sz w:val="21"/>
                      <w:szCs w:val="21"/>
                    </w:rPr>
                    <w:t>乙醚</w:t>
                  </w:r>
                  <w:r>
                    <w:rPr>
                      <w:rFonts w:hint="default"/>
                      <w:sz w:val="21"/>
                      <w:szCs w:val="21"/>
                    </w:rPr>
                    <w:fldChar w:fldCharType="end"/>
                  </w:r>
                  <w:r>
                    <w:rPr>
                      <w:rFonts w:hint="default"/>
                      <w:sz w:val="21"/>
                      <w:szCs w:val="21"/>
                    </w:rPr>
                    <w:t>和</w:t>
                  </w:r>
                  <w:r>
                    <w:rPr>
                      <w:rFonts w:hint="default"/>
                      <w:sz w:val="21"/>
                      <w:szCs w:val="21"/>
                    </w:rPr>
                    <w:fldChar w:fldCharType="begin"/>
                  </w:r>
                  <w:r>
                    <w:rPr>
                      <w:rFonts w:hint="default"/>
                      <w:sz w:val="21"/>
                      <w:szCs w:val="21"/>
                    </w:rPr>
                    <w:instrText xml:space="preserve"> HYPERLINK "http://www.ichemistry.cn/chemistry/67-66-3.htm" \t "http://www.ichemistry.cn/chemistry/_blank" </w:instrText>
                  </w:r>
                  <w:r>
                    <w:rPr>
                      <w:rFonts w:hint="default"/>
                      <w:sz w:val="21"/>
                      <w:szCs w:val="21"/>
                    </w:rPr>
                    <w:fldChar w:fldCharType="separate"/>
                  </w:r>
                  <w:r>
                    <w:rPr>
                      <w:rFonts w:hint="default"/>
                      <w:sz w:val="21"/>
                      <w:szCs w:val="21"/>
                    </w:rPr>
                    <w:t>氯仿</w:t>
                  </w:r>
                  <w:r>
                    <w:rPr>
                      <w:rFonts w:hint="default"/>
                      <w:sz w:val="21"/>
                      <w:szCs w:val="21"/>
                    </w:rPr>
                    <w:fldChar w:fldCharType="end"/>
                  </w:r>
                  <w:r>
                    <w:rPr>
                      <w:rFonts w:hint="default"/>
                      <w:sz w:val="21"/>
                      <w:szCs w:val="21"/>
                    </w:rPr>
                    <w:t>。能溶解许多有机化合物和若干无机化合物。具有吸湿性。能与水形成共沸混合物。</w:t>
                  </w:r>
                </w:p>
              </w:tc>
              <w:tc>
                <w:tcPr>
                  <w:tcW w:w="1450" w:type="dxa"/>
                  <w:tcBorders>
                    <w:tl2br w:val="nil"/>
                    <w:tr2bl w:val="nil"/>
                  </w:tcBorders>
                  <w:vAlign w:val="center"/>
                </w:tcPr>
                <w:p>
                  <w:pPr>
                    <w:jc w:val="center"/>
                    <w:rPr>
                      <w:rFonts w:hint="eastAsia"/>
                      <w:sz w:val="21"/>
                      <w:szCs w:val="21"/>
                      <w:lang w:val="en-US" w:eastAsia="zh-CN"/>
                    </w:rPr>
                  </w:pPr>
                  <w:r>
                    <w:rPr>
                      <w:rFonts w:hint="default"/>
                      <w:sz w:val="21"/>
                      <w:szCs w:val="21"/>
                    </w:rPr>
                    <w:t>LD5</w:t>
                  </w:r>
                  <w:r>
                    <w:rPr>
                      <w:rFonts w:hint="eastAsia"/>
                      <w:sz w:val="21"/>
                      <w:szCs w:val="21"/>
                      <w:lang w:val="en-US" w:eastAsia="zh-CN"/>
                    </w:rPr>
                    <w:t>0:</w:t>
                  </w:r>
                </w:p>
                <w:p>
                  <w:pPr>
                    <w:jc w:val="center"/>
                    <w:rPr>
                      <w:rFonts w:hint="eastAsia"/>
                      <w:sz w:val="21"/>
                      <w:szCs w:val="21"/>
                      <w:lang w:eastAsia="zh-CN"/>
                    </w:rPr>
                  </w:pPr>
                  <w:r>
                    <w:rPr>
                      <w:rFonts w:hint="default"/>
                      <w:sz w:val="21"/>
                      <w:szCs w:val="21"/>
                    </w:rPr>
                    <w:t>7060mg/kg（大鼠经口）7060mg/kg（兔经口）</w:t>
                  </w:r>
                  <w:r>
                    <w:rPr>
                      <w:rFonts w:hint="eastAsia"/>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177"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硫酸</w:t>
                  </w:r>
                </w:p>
              </w:tc>
              <w:tc>
                <w:tcPr>
                  <w:tcW w:w="922" w:type="dxa"/>
                  <w:tcBorders>
                    <w:tl2br w:val="nil"/>
                    <w:tr2bl w:val="nil"/>
                  </w:tcBorders>
                  <w:vAlign w:val="center"/>
                </w:tcPr>
                <w:p>
                  <w:pPr>
                    <w:jc w:val="center"/>
                    <w:rPr>
                      <w:rFonts w:hint="eastAsia"/>
                      <w:sz w:val="21"/>
                      <w:szCs w:val="21"/>
                      <w:lang w:val="en-US" w:eastAsia="zh-CN"/>
                    </w:rPr>
                  </w:pPr>
                  <w:r>
                    <w:rPr>
                      <w:rFonts w:hint="eastAsia"/>
                      <w:sz w:val="21"/>
                      <w:szCs w:val="21"/>
                    </w:rPr>
                    <w:t>H</w:t>
                  </w:r>
                  <w:r>
                    <w:rPr>
                      <w:rFonts w:hint="default"/>
                      <w:sz w:val="21"/>
                      <w:szCs w:val="21"/>
                      <w:vertAlign w:val="subscript"/>
                    </w:rPr>
                    <w:t>2</w:t>
                  </w:r>
                  <w:r>
                    <w:rPr>
                      <w:rFonts w:hint="default"/>
                      <w:sz w:val="21"/>
                      <w:szCs w:val="21"/>
                    </w:rPr>
                    <w:t>SO</w:t>
                  </w:r>
                  <w:r>
                    <w:rPr>
                      <w:rFonts w:hint="default"/>
                      <w:sz w:val="21"/>
                      <w:szCs w:val="21"/>
                      <w:vertAlign w:val="subscript"/>
                    </w:rPr>
                    <w:t>4</w:t>
                  </w:r>
                </w:p>
              </w:tc>
              <w:tc>
                <w:tcPr>
                  <w:tcW w:w="1103" w:type="dxa"/>
                  <w:tcBorders>
                    <w:tl2br w:val="nil"/>
                    <w:tr2bl w:val="nil"/>
                  </w:tcBorders>
                  <w:vAlign w:val="center"/>
                </w:tcPr>
                <w:p>
                  <w:pPr>
                    <w:jc w:val="center"/>
                    <w:rPr>
                      <w:rFonts w:hint="eastAsia"/>
                      <w:sz w:val="21"/>
                      <w:szCs w:val="21"/>
                    </w:rPr>
                  </w:pPr>
                  <w:r>
                    <w:rPr>
                      <w:rFonts w:hint="eastAsia"/>
                      <w:sz w:val="21"/>
                      <w:szCs w:val="21"/>
                    </w:rPr>
                    <w:t>7664-93-9</w:t>
                  </w:r>
                </w:p>
              </w:tc>
              <w:tc>
                <w:tcPr>
                  <w:tcW w:w="3405"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无色透明液体，浓硫酸呈黏稠状，具有强脱水性、氧化性；熔点10</w:t>
                  </w:r>
                  <w:r>
                    <w:rPr>
                      <w:rFonts w:hint="eastAsia"/>
                      <w:sz w:val="21"/>
                      <w:szCs w:val="21"/>
                    </w:rPr>
                    <w:t>ºC</w:t>
                  </w:r>
                  <w:r>
                    <w:rPr>
                      <w:rFonts w:hint="eastAsia"/>
                      <w:sz w:val="21"/>
                      <w:szCs w:val="21"/>
                      <w:lang w:val="en-US" w:eastAsia="zh-CN"/>
                    </w:rPr>
                    <w:t>,沸点</w:t>
                  </w:r>
                  <w:r>
                    <w:rPr>
                      <w:rFonts w:hint="eastAsia"/>
                      <w:sz w:val="21"/>
                      <w:szCs w:val="21"/>
                    </w:rPr>
                    <w:t>290ºC</w:t>
                  </w:r>
                  <w:r>
                    <w:rPr>
                      <w:rFonts w:hint="eastAsia"/>
                      <w:sz w:val="21"/>
                      <w:szCs w:val="21"/>
                      <w:lang w:eastAsia="zh-CN"/>
                    </w:rPr>
                    <w:t>，</w:t>
                  </w:r>
                  <w:r>
                    <w:rPr>
                      <w:rFonts w:hint="eastAsia"/>
                      <w:sz w:val="21"/>
                      <w:szCs w:val="21"/>
                      <w:lang w:val="en-US" w:eastAsia="zh-CN"/>
                    </w:rPr>
                    <w:t>密度1.84kg/m3,可与水任意比例户溶。</w:t>
                  </w:r>
                </w:p>
              </w:tc>
              <w:tc>
                <w:tcPr>
                  <w:tcW w:w="1450"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LD50:</w:t>
                  </w:r>
                </w:p>
                <w:p>
                  <w:pPr>
                    <w:jc w:val="center"/>
                    <w:rPr>
                      <w:rFonts w:hint="eastAsia"/>
                      <w:sz w:val="21"/>
                      <w:szCs w:val="21"/>
                    </w:rPr>
                  </w:pPr>
                  <w:r>
                    <w:rPr>
                      <w:rFonts w:hint="eastAsia"/>
                      <w:sz w:val="21"/>
                      <w:szCs w:val="21"/>
                    </w:rPr>
                    <w:t>2140mg/kg</w:t>
                  </w:r>
                </w:p>
                <w:p>
                  <w:pPr>
                    <w:jc w:val="center"/>
                    <w:rPr>
                      <w:rFonts w:hint="eastAsia"/>
                      <w:sz w:val="21"/>
                      <w:szCs w:val="21"/>
                    </w:rPr>
                  </w:pPr>
                  <w:r>
                    <w:rPr>
                      <w:rFonts w:hint="eastAsia"/>
                      <w:sz w:val="21"/>
                      <w:szCs w:val="21"/>
                    </w:rPr>
                    <w:t>(大鼠经口)</w:t>
                  </w:r>
                </w:p>
                <w:p>
                  <w:pPr>
                    <w:jc w:val="center"/>
                    <w:rPr>
                      <w:rFonts w:hint="eastAsia"/>
                      <w:sz w:val="21"/>
                      <w:szCs w:val="21"/>
                      <w:lang w:val="en-US" w:eastAsia="zh-CN"/>
                    </w:rPr>
                  </w:pPr>
                  <w:r>
                    <w:rPr>
                      <w:rFonts w:hint="eastAsia"/>
                      <w:sz w:val="21"/>
                      <w:szCs w:val="21"/>
                      <w:lang w:val="en-US" w:eastAsia="zh-CN"/>
                    </w:rPr>
                    <w:t>LC50:</w:t>
                  </w:r>
                </w:p>
                <w:p>
                  <w:pPr>
                    <w:jc w:val="center"/>
                    <w:rPr>
                      <w:rFonts w:hint="eastAsia"/>
                      <w:sz w:val="21"/>
                      <w:szCs w:val="21"/>
                      <w:lang w:val="en-US" w:eastAsia="zh-CN"/>
                    </w:rPr>
                  </w:pPr>
                  <w:r>
                    <w:rPr>
                      <w:rFonts w:hint="eastAsia"/>
                      <w:sz w:val="21"/>
                      <w:szCs w:val="21"/>
                      <w:lang w:val="en-US" w:eastAsia="zh-CN"/>
                    </w:rPr>
                    <w:t>510mg/m³</w:t>
                  </w:r>
                </w:p>
                <w:p>
                  <w:pPr>
                    <w:jc w:val="center"/>
                    <w:rPr>
                      <w:rFonts w:hint="default"/>
                      <w:sz w:val="21"/>
                      <w:szCs w:val="21"/>
                      <w:lang w:val="en-US" w:eastAsia="zh-CN"/>
                    </w:rPr>
                  </w:pPr>
                  <w:r>
                    <w:rPr>
                      <w:rFonts w:hint="eastAsia"/>
                      <w:sz w:val="21"/>
                      <w:szCs w:val="21"/>
                    </w:rPr>
                    <w:t>(大鼠吸入)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35" w:hRule="atLeast"/>
                <w:jc w:val="center"/>
              </w:trPr>
              <w:tc>
                <w:tcPr>
                  <w:tcW w:w="1177"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硝酸</w:t>
                  </w:r>
                </w:p>
              </w:tc>
              <w:tc>
                <w:tcPr>
                  <w:tcW w:w="922" w:type="dxa"/>
                  <w:tcBorders>
                    <w:tl2br w:val="nil"/>
                    <w:tr2bl w:val="nil"/>
                  </w:tcBorders>
                  <w:vAlign w:val="center"/>
                </w:tcPr>
                <w:p>
                  <w:pPr>
                    <w:jc w:val="center"/>
                    <w:rPr>
                      <w:rFonts w:hint="eastAsia"/>
                      <w:sz w:val="21"/>
                      <w:szCs w:val="21"/>
                      <w:lang w:val="en-US" w:eastAsia="zh-CN"/>
                    </w:rPr>
                  </w:pPr>
                  <w:r>
                    <w:rPr>
                      <w:rFonts w:hint="eastAsia"/>
                      <w:sz w:val="21"/>
                      <w:szCs w:val="21"/>
                    </w:rPr>
                    <w:t>HNO</w:t>
                  </w:r>
                  <w:r>
                    <w:rPr>
                      <w:rFonts w:hint="default"/>
                      <w:sz w:val="21"/>
                      <w:szCs w:val="21"/>
                      <w:vertAlign w:val="subscript"/>
                    </w:rPr>
                    <w:t>3</w:t>
                  </w:r>
                </w:p>
              </w:tc>
              <w:tc>
                <w:tcPr>
                  <w:tcW w:w="1103" w:type="dxa"/>
                  <w:tcBorders>
                    <w:tl2br w:val="nil"/>
                    <w:tr2bl w:val="nil"/>
                  </w:tcBorders>
                  <w:vAlign w:val="center"/>
                </w:tcPr>
                <w:p>
                  <w:pPr>
                    <w:jc w:val="center"/>
                    <w:rPr>
                      <w:rFonts w:hint="eastAsia"/>
                      <w:sz w:val="21"/>
                      <w:szCs w:val="21"/>
                    </w:rPr>
                  </w:pPr>
                  <w:r>
                    <w:rPr>
                      <w:rFonts w:hint="eastAsia"/>
                      <w:sz w:val="21"/>
                      <w:szCs w:val="21"/>
                    </w:rPr>
                    <w:t>52583-42-3</w:t>
                  </w:r>
                </w:p>
              </w:tc>
              <w:tc>
                <w:tcPr>
                  <w:tcW w:w="3405"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无色透明状液体，有酸味，熔点-42</w:t>
                  </w:r>
                  <w:r>
                    <w:rPr>
                      <w:rFonts w:hint="eastAsia"/>
                      <w:sz w:val="21"/>
                      <w:szCs w:val="21"/>
                    </w:rPr>
                    <w:t>ºC</w:t>
                  </w:r>
                  <w:r>
                    <w:rPr>
                      <w:rFonts w:hint="eastAsia"/>
                      <w:sz w:val="21"/>
                      <w:szCs w:val="21"/>
                      <w:lang w:val="en-US" w:eastAsia="zh-CN"/>
                    </w:rPr>
                    <w:t>,沸点86</w:t>
                  </w:r>
                  <w:r>
                    <w:rPr>
                      <w:rFonts w:hint="eastAsia"/>
                      <w:sz w:val="21"/>
                      <w:szCs w:val="21"/>
                    </w:rPr>
                    <w:t>ºC</w:t>
                  </w:r>
                  <w:r>
                    <w:rPr>
                      <w:rFonts w:hint="eastAsia"/>
                      <w:sz w:val="21"/>
                      <w:szCs w:val="21"/>
                      <w:lang w:val="en-US" w:eastAsia="zh-CN"/>
                    </w:rPr>
                    <w:t>,20</w:t>
                  </w:r>
                  <w:r>
                    <w:rPr>
                      <w:rFonts w:hint="eastAsia"/>
                      <w:sz w:val="21"/>
                      <w:szCs w:val="21"/>
                    </w:rPr>
                    <w:t>ºC</w:t>
                  </w:r>
                  <w:r>
                    <w:rPr>
                      <w:rFonts w:hint="eastAsia"/>
                      <w:sz w:val="21"/>
                      <w:szCs w:val="21"/>
                      <w:lang w:val="en-US" w:eastAsia="zh-CN"/>
                    </w:rPr>
                    <w:t>,饱和蒸汽压4.4.KPa，具有强氧化性、腐蚀性</w:t>
                  </w:r>
                </w:p>
              </w:tc>
              <w:tc>
                <w:tcPr>
                  <w:tcW w:w="1450" w:type="dxa"/>
                  <w:tcBorders>
                    <w:tl2br w:val="nil"/>
                    <w:tr2bl w:val="nil"/>
                  </w:tcBorders>
                  <w:vAlign w:val="center"/>
                </w:tcPr>
                <w:p>
                  <w:pPr>
                    <w:jc w:val="center"/>
                    <w:rPr>
                      <w:sz w:val="21"/>
                      <w:szCs w:val="21"/>
                    </w:rPr>
                  </w:pPr>
                  <w:r>
                    <w:rPr>
                      <w:sz w:val="21"/>
                      <w:szCs w:val="21"/>
                    </w:rPr>
                    <w:t>LD50</w:t>
                  </w:r>
                  <w:r>
                    <w:rPr>
                      <w:rFonts w:hint="eastAsia"/>
                      <w:sz w:val="21"/>
                      <w:szCs w:val="21"/>
                      <w:lang w:eastAsia="zh-CN"/>
                    </w:rPr>
                    <w:t>：</w:t>
                  </w:r>
                  <w:r>
                    <w:rPr>
                      <w:sz w:val="21"/>
                      <w:szCs w:val="21"/>
                    </w:rPr>
                    <w:t>4820mg/kg（大鼠经口），2350mg/cm3 （大鼠吸入）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69" w:hRule="atLeast"/>
                <w:jc w:val="center"/>
              </w:trPr>
              <w:tc>
                <w:tcPr>
                  <w:tcW w:w="1177" w:type="dxa"/>
                  <w:tcBorders>
                    <w:tl2br w:val="nil"/>
                    <w:tr2bl w:val="nil"/>
                  </w:tcBorders>
                  <w:vAlign w:val="center"/>
                </w:tcPr>
                <w:p>
                  <w:pPr>
                    <w:jc w:val="center"/>
                    <w:rPr>
                      <w:rFonts w:hint="eastAsia"/>
                      <w:sz w:val="21"/>
                      <w:szCs w:val="21"/>
                      <w:lang w:val="en-US" w:eastAsia="zh-CN"/>
                    </w:rPr>
                  </w:pPr>
                  <w:r>
                    <w:rPr>
                      <w:rFonts w:hint="eastAsia"/>
                      <w:lang w:val="en-US" w:eastAsia="zh-CN"/>
                    </w:rPr>
                    <w:t>盐酸</w:t>
                  </w:r>
                </w:p>
              </w:tc>
              <w:tc>
                <w:tcPr>
                  <w:tcW w:w="922"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HCl</w:t>
                  </w:r>
                </w:p>
              </w:tc>
              <w:tc>
                <w:tcPr>
                  <w:tcW w:w="1103" w:type="dxa"/>
                  <w:tcBorders>
                    <w:tl2br w:val="nil"/>
                    <w:tr2bl w:val="nil"/>
                  </w:tcBorders>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7647-01-0</w:t>
                  </w:r>
                </w:p>
              </w:tc>
              <w:tc>
                <w:tcPr>
                  <w:tcW w:w="3405"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透明无色或稍带黄色的强腐蚀性液体，有刺激性气味。可与水和</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"http://www.ichemistry.cn/chemistry/64-17-5.htm" \t "http://www.ichemistry.cn/chemistry/_blank"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乙醇</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混溶。</w:t>
                  </w:r>
                  <w:r>
                    <w:rPr>
                      <w:rFonts w:hint="eastAsia" w:cs="Times New Roman"/>
                      <w:sz w:val="21"/>
                      <w:szCs w:val="21"/>
                      <w:lang w:val="en-US" w:eastAsia="zh-CN"/>
                    </w:rPr>
                    <w:t>一般</w:t>
                  </w:r>
                  <w:r>
                    <w:rPr>
                      <w:rFonts w:hint="default" w:ascii="Times New Roman" w:hAnsi="Times New Roman" w:eastAsia="宋体" w:cs="Times New Roman"/>
                      <w:sz w:val="21"/>
                      <w:szCs w:val="21"/>
                      <w:lang w:val="en-US" w:eastAsia="zh-CN"/>
                    </w:rPr>
                    <w:t>浓盐</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"http://www.ichemistry.cn/cas/.CB.E1" \t "http://www.ichemistry.cn/chemistry/_blank"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酸</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含HCl38%，相对密度1.19，熔点－112℃，沸点－83.7℃。遇氨产生白烟。3.6%水溶液的pH值为0.1。于108.58℃馏出相对密度1.104、浓度20.24%的盐酸。</w:t>
                  </w:r>
                </w:p>
              </w:tc>
              <w:tc>
                <w:tcPr>
                  <w:tcW w:w="1450" w:type="dxa"/>
                  <w:tcBorders>
                    <w:tl2br w:val="nil"/>
                    <w:tr2bl w:val="nil"/>
                  </w:tcBorders>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LD50:900mg/kg(兔经口)</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LC50:3124ppm 1小时(大鼠吸入)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54" w:hRule="atLeast"/>
                <w:jc w:val="center"/>
              </w:trPr>
              <w:tc>
                <w:tcPr>
                  <w:tcW w:w="1177" w:type="dxa"/>
                  <w:tcBorders>
                    <w:tl2br w:val="nil"/>
                    <w:tr2bl w:val="nil"/>
                  </w:tcBorders>
                  <w:vAlign w:val="center"/>
                </w:tcPr>
                <w:p>
                  <w:pPr>
                    <w:jc w:val="center"/>
                    <w:rPr>
                      <w:rFonts w:hint="default"/>
                      <w:lang w:val="en-US" w:eastAsia="zh-CN"/>
                    </w:rPr>
                  </w:pPr>
                  <w:r>
                    <w:rPr>
                      <w:rFonts w:hint="eastAsia"/>
                      <w:lang w:val="en-US" w:eastAsia="zh-CN"/>
                    </w:rPr>
                    <w:t>三氯甲烷</w:t>
                  </w:r>
                </w:p>
              </w:tc>
              <w:tc>
                <w:tcPr>
                  <w:tcW w:w="922" w:type="dxa"/>
                  <w:tcBorders>
                    <w:tl2br w:val="nil"/>
                    <w:tr2bl w:val="nil"/>
                  </w:tcBorders>
                  <w:vAlign w:val="center"/>
                </w:tcPr>
                <w:p>
                  <w:pPr>
                    <w:jc w:val="center"/>
                    <w:rPr>
                      <w:rFonts w:hint="eastAsia"/>
                      <w:sz w:val="21"/>
                      <w:szCs w:val="21"/>
                      <w:lang w:val="en-US" w:eastAsia="zh-CN"/>
                    </w:rPr>
                  </w:pPr>
                  <w:r>
                    <w:rPr>
                      <w:rFonts w:hint="eastAsia" w:ascii="Tahoma" w:hAnsi="Tahoma" w:eastAsia="Tahoma" w:cs="Tahoma"/>
                      <w:i w:val="0"/>
                      <w:iCs w:val="0"/>
                      <w:caps w:val="0"/>
                      <w:color w:val="000000"/>
                      <w:spacing w:val="0"/>
                      <w:sz w:val="21"/>
                      <w:szCs w:val="21"/>
                    </w:rPr>
                    <w:t>CHCl</w:t>
                  </w:r>
                  <w:r>
                    <w:rPr>
                      <w:rFonts w:hint="default" w:ascii="Tahoma" w:hAnsi="Tahoma" w:eastAsia="Tahoma" w:cs="Tahoma"/>
                      <w:i w:val="0"/>
                      <w:iCs w:val="0"/>
                      <w:caps w:val="0"/>
                      <w:color w:val="000000"/>
                      <w:spacing w:val="0"/>
                      <w:sz w:val="24"/>
                      <w:szCs w:val="24"/>
                      <w:vertAlign w:val="subscript"/>
                    </w:rPr>
                    <w:t>3</w:t>
                  </w:r>
                </w:p>
              </w:tc>
              <w:tc>
                <w:tcPr>
                  <w:tcW w:w="1103" w:type="dxa"/>
                  <w:tcBorders>
                    <w:tl2br w:val="nil"/>
                    <w:tr2bl w:val="nil"/>
                  </w:tcBorders>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67-66-3</w:t>
                  </w:r>
                </w:p>
              </w:tc>
              <w:tc>
                <w:tcPr>
                  <w:tcW w:w="3405"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无色透明、高折射率、易挥发的液体，有特殊香甜气味。凝固点-63.5℃，沸点61.3℃，熔点-63.2℃，相对密度1.4984（15/4℃），1.4840（20/20℃），折光率1.4476，折射率1.4422，黏度（20℃）0.563mPa·s。不易燃，与火焰接触会燃烧，并放出光气。一般加入0.6-1的</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"http://www.ichemistry.cn/chemistry/64-17-5.htm" \t "http://www.ichemistry.cn/chemistry/_blank"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乙醇</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作稳定剂。</w:t>
                  </w:r>
                </w:p>
              </w:tc>
              <w:tc>
                <w:tcPr>
                  <w:tcW w:w="1450" w:type="dxa"/>
                  <w:tcBorders>
                    <w:tl2br w:val="nil"/>
                    <w:tr2bl w:val="nil"/>
                  </w:tcBorders>
                  <w:vAlign w:val="center"/>
                </w:tcPr>
                <w:p>
                  <w:pPr>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LD</w:t>
                  </w:r>
                  <w:r>
                    <w:rPr>
                      <w:rFonts w:hint="eastAsia" w:ascii="Times New Roman" w:hAnsi="Times New Roman" w:eastAsia="宋体" w:cs="Times New Roman"/>
                      <w:sz w:val="21"/>
                      <w:szCs w:val="21"/>
                      <w:lang w:val="en-US" w:eastAsia="zh-CN"/>
                    </w:rPr>
                    <w:t>50</w:t>
                  </w:r>
                  <w:r>
                    <w:rPr>
                      <w:rFonts w:ascii="Times New Roman" w:hAnsi="Times New Roman" w:eastAsia="宋体" w:cs="Times New Roman"/>
                      <w:sz w:val="21"/>
                      <w:szCs w:val="21"/>
                    </w:rPr>
                    <w:t>：908mg/kg（大鼠经口）LC</w:t>
                  </w:r>
                  <w:r>
                    <w:rPr>
                      <w:rFonts w:hint="eastAsia" w:ascii="Times New Roman" w:hAnsi="Times New Roman" w:eastAsia="宋体" w:cs="Times New Roman"/>
                      <w:sz w:val="21"/>
                      <w:szCs w:val="21"/>
                      <w:lang w:val="en-US" w:eastAsia="zh-CN"/>
                    </w:rPr>
                    <w:t>50</w:t>
                  </w:r>
                  <w:r>
                    <w:rPr>
                      <w:rFonts w:ascii="Times New Roman" w:hAnsi="Times New Roman" w:eastAsia="宋体" w:cs="Times New Roman"/>
                      <w:sz w:val="21"/>
                      <w:szCs w:val="21"/>
                    </w:rPr>
                    <w:t>：47702mg/m³（大鼠吸入，4h）</w:t>
                  </w:r>
                </w:p>
              </w:tc>
            </w:tr>
          </w:tbl>
          <w:p>
            <w:pPr>
              <w:pStyle w:val="5"/>
              <w:ind w:left="0" w:leftChars="0" w:firstLine="0" w:firstLineChars="0"/>
              <w:jc w:val="both"/>
              <w:rPr>
                <w:rFonts w:hint="eastAsia" w:ascii="Times New Roman" w:hAnsi="Times New Roman"/>
                <w:b/>
                <w:color w:val="auto"/>
                <w:sz w:val="24"/>
                <w:szCs w:val="24"/>
                <w:u w:val="none" w:color="auto"/>
              </w:rPr>
            </w:pPr>
            <w:r>
              <w:rPr>
                <w:rFonts w:hint="eastAsia" w:cs="Times New Roman"/>
                <w:b/>
                <w:bCs/>
                <w:sz w:val="24"/>
                <w:szCs w:val="24"/>
                <w:lang w:val="en-US" w:eastAsia="zh-CN"/>
              </w:rPr>
              <w:t>五</w:t>
            </w:r>
            <w:r>
              <w:rPr>
                <w:rFonts w:hint="eastAsia" w:ascii="Times New Roman" w:hAnsi="Times New Roman" w:eastAsia="宋体" w:cs="Times New Roman"/>
                <w:b/>
                <w:bCs/>
                <w:sz w:val="24"/>
                <w:szCs w:val="24"/>
                <w:lang w:val="en-US" w:eastAsia="zh-CN"/>
              </w:rPr>
              <w:t>、</w:t>
            </w:r>
            <w:r>
              <w:rPr>
                <w:rFonts w:hint="eastAsia" w:ascii="Times New Roman" w:hAnsi="Times New Roman"/>
                <w:b/>
                <w:color w:val="auto"/>
                <w:sz w:val="24"/>
                <w:szCs w:val="24"/>
                <w:u w:val="none" w:color="auto"/>
              </w:rPr>
              <w:t>职工定员及工作制度</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b w:val="0"/>
                <w:bCs/>
                <w:color w:val="auto"/>
                <w:sz w:val="24"/>
                <w:szCs w:val="24"/>
                <w:u w:val="none" w:color="auto"/>
                <w:lang w:val="en-US" w:eastAsia="zh-CN"/>
              </w:rPr>
            </w:pPr>
            <w:r>
              <w:rPr>
                <w:rFonts w:hint="eastAsia" w:ascii="Times New Roman" w:hAnsi="Times New Roman"/>
                <w:b w:val="0"/>
                <w:bCs/>
                <w:color w:val="auto"/>
                <w:sz w:val="24"/>
                <w:szCs w:val="24"/>
                <w:u w:val="none" w:color="auto"/>
                <w:lang w:val="en-US" w:eastAsia="zh-CN"/>
              </w:rPr>
              <w:t>靖州县疾控中心现定员44人，本项目从原有人员中进行调配，不新增人员</w:t>
            </w:r>
            <w:r>
              <w:rPr>
                <w:rFonts w:hint="eastAsia"/>
                <w:b w:val="0"/>
                <w:bCs/>
                <w:color w:val="auto"/>
                <w:sz w:val="24"/>
                <w:szCs w:val="24"/>
                <w:u w:val="none" w:color="auto"/>
                <w:lang w:val="en-US" w:eastAsia="zh-CN"/>
              </w:rPr>
              <w:t>。项目</w:t>
            </w:r>
            <w:r>
              <w:rPr>
                <w:rFonts w:hint="eastAsia" w:ascii="Times New Roman" w:hAnsi="Times New Roman"/>
                <w:b w:val="0"/>
                <w:bCs/>
                <w:color w:val="auto"/>
                <w:sz w:val="24"/>
                <w:szCs w:val="24"/>
                <w:u w:val="none" w:color="auto"/>
                <w:lang w:val="en-US" w:eastAsia="zh-CN"/>
              </w:rPr>
              <w:t>年工作2</w:t>
            </w:r>
            <w:r>
              <w:rPr>
                <w:rFonts w:hint="eastAsia"/>
                <w:b w:val="0"/>
                <w:bCs/>
                <w:color w:val="auto"/>
                <w:sz w:val="24"/>
                <w:szCs w:val="24"/>
                <w:u w:val="none" w:color="auto"/>
                <w:lang w:val="en-US" w:eastAsia="zh-CN"/>
              </w:rPr>
              <w:t>5</w:t>
            </w:r>
            <w:r>
              <w:rPr>
                <w:rFonts w:hint="eastAsia" w:ascii="Times New Roman" w:hAnsi="Times New Roman"/>
                <w:b w:val="0"/>
                <w:bCs/>
                <w:color w:val="auto"/>
                <w:sz w:val="24"/>
                <w:szCs w:val="24"/>
                <w:u w:val="none" w:color="auto"/>
                <w:lang w:val="en-US" w:eastAsia="zh-CN"/>
              </w:rPr>
              <w:t>0日</w:t>
            </w:r>
            <w:r>
              <w:rPr>
                <w:rFonts w:hint="eastAsia"/>
                <w:b w:val="0"/>
                <w:bCs/>
                <w:color w:val="auto"/>
                <w:sz w:val="24"/>
                <w:szCs w:val="24"/>
                <w:u w:val="none" w:color="auto"/>
                <w:lang w:val="en-US" w:eastAsia="zh-CN"/>
              </w:rPr>
              <w:t>，每天工作8小时，实行一班制。项目设有食堂一座，每天约有18用餐（仅中餐）。</w:t>
            </w:r>
          </w:p>
          <w:p>
            <w:pPr>
              <w:spacing w:line="360" w:lineRule="auto"/>
              <w:textAlignment w:val="center"/>
              <w:rPr>
                <w:rFonts w:hint="eastAsia" w:ascii="Times New Roman" w:hAnsi="Times New Roman"/>
                <w:b/>
                <w:color w:val="auto"/>
                <w:sz w:val="24"/>
                <w:szCs w:val="24"/>
                <w:u w:val="none" w:color="auto"/>
              </w:rPr>
            </w:pPr>
            <w:r>
              <w:rPr>
                <w:rFonts w:hint="eastAsia"/>
                <w:b/>
                <w:color w:val="auto"/>
                <w:sz w:val="24"/>
                <w:szCs w:val="24"/>
                <w:u w:val="none" w:color="auto"/>
                <w:lang w:val="en-US" w:eastAsia="zh-CN"/>
              </w:rPr>
              <w:t>六</w:t>
            </w:r>
            <w:r>
              <w:rPr>
                <w:rFonts w:hint="eastAsia" w:ascii="Times New Roman" w:hAnsi="Times New Roman"/>
                <w:b/>
                <w:color w:val="auto"/>
                <w:sz w:val="24"/>
                <w:szCs w:val="24"/>
                <w:u w:val="none" w:color="auto"/>
                <w:lang w:val="en-US" w:eastAsia="zh-CN"/>
              </w:rPr>
              <w:t>、</w:t>
            </w:r>
            <w:r>
              <w:rPr>
                <w:rFonts w:hint="eastAsia" w:ascii="Times New Roman" w:hAnsi="Times New Roman"/>
                <w:b/>
                <w:color w:val="auto"/>
                <w:sz w:val="24"/>
                <w:szCs w:val="24"/>
                <w:u w:val="none" w:color="auto"/>
              </w:rPr>
              <w:t>公用工程</w:t>
            </w:r>
          </w:p>
          <w:p>
            <w:pPr>
              <w:spacing w:line="360" w:lineRule="auto"/>
              <w:ind w:firstLine="470" w:firstLineChars="196"/>
              <w:textAlignment w:val="center"/>
              <w:rPr>
                <w:rFonts w:hint="eastAsia" w:ascii="Times New Roman" w:hAnsi="Times New Roman"/>
                <w:color w:val="auto"/>
                <w:sz w:val="24"/>
                <w:szCs w:val="24"/>
                <w:u w:val="none" w:color="auto"/>
              </w:rPr>
            </w:pPr>
            <w:r>
              <w:rPr>
                <w:rFonts w:hint="eastAsia" w:ascii="Times New Roman" w:hAnsi="Times New Roman"/>
                <w:color w:val="auto"/>
                <w:sz w:val="24"/>
                <w:szCs w:val="24"/>
                <w:u w:val="none" w:color="auto"/>
              </w:rPr>
              <w:t>给排水工程</w:t>
            </w:r>
          </w:p>
          <w:p>
            <w:pPr>
              <w:spacing w:line="360" w:lineRule="auto"/>
              <w:textAlignment w:val="center"/>
              <w:rPr>
                <w:rFonts w:hint="eastAsia" w:ascii="Times New Roman" w:hAnsi="Times New Roman"/>
                <w:b/>
                <w:bCs/>
                <w:color w:val="auto"/>
                <w:sz w:val="24"/>
                <w:szCs w:val="24"/>
                <w:u w:val="none" w:color="auto"/>
              </w:rPr>
            </w:pPr>
            <w:r>
              <w:rPr>
                <w:rFonts w:hint="eastAsia" w:ascii="Times New Roman" w:hAnsi="Times New Roman"/>
                <w:b/>
                <w:bCs/>
                <w:color w:val="auto"/>
                <w:sz w:val="24"/>
                <w:szCs w:val="24"/>
                <w:u w:val="none" w:color="auto"/>
              </w:rPr>
              <w:t>（1）给水</w:t>
            </w:r>
          </w:p>
          <w:p>
            <w:pPr>
              <w:spacing w:line="360" w:lineRule="auto"/>
              <w:ind w:firstLine="470" w:firstLineChars="196"/>
              <w:textAlignment w:val="center"/>
              <w:rPr>
                <w:rFonts w:hint="default" w:ascii="Times New Roman" w:hAnsi="Times New Roman" w:eastAsia="宋体"/>
                <w:color w:val="auto"/>
                <w:sz w:val="24"/>
                <w:szCs w:val="24"/>
                <w:u w:val="none" w:color="auto"/>
                <w:lang w:val="en-US" w:eastAsia="zh-CN"/>
              </w:rPr>
            </w:pPr>
            <w:r>
              <w:rPr>
                <w:rFonts w:hint="eastAsia" w:ascii="Times New Roman" w:hAnsi="Times New Roman"/>
                <w:color w:val="auto"/>
                <w:sz w:val="24"/>
                <w:szCs w:val="24"/>
                <w:u w:val="none" w:color="auto"/>
                <w:lang w:val="en-US" w:eastAsia="zh-CN"/>
              </w:rPr>
              <w:t>项目用水主要为生活用水及实验室用水，由市政自来水管网接入。</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eastAsia" w:ascii="Times New Roman" w:hAnsi="Times New Roman"/>
                <w:b/>
                <w:bCs w:val="0"/>
                <w:color w:val="auto"/>
                <w:sz w:val="24"/>
                <w:szCs w:val="24"/>
                <w:u w:val="none" w:color="auto"/>
                <w:lang w:val="en-US" w:eastAsia="zh-CN"/>
              </w:rPr>
            </w:pPr>
            <w:r>
              <w:rPr>
                <w:rFonts w:hint="eastAsia" w:ascii="Times New Roman" w:hAnsi="Times New Roman"/>
                <w:b/>
                <w:bCs w:val="0"/>
                <w:color w:val="auto"/>
                <w:sz w:val="24"/>
                <w:szCs w:val="24"/>
                <w:u w:val="none" w:color="auto"/>
                <w:lang w:val="en-US" w:eastAsia="zh-CN"/>
              </w:rPr>
              <w:t>（2）排水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b w:val="0"/>
                <w:bCs/>
                <w:color w:val="auto"/>
                <w:sz w:val="24"/>
                <w:szCs w:val="24"/>
                <w:u w:val="none" w:color="auto"/>
                <w:lang w:val="en-US" w:eastAsia="zh-CN"/>
              </w:rPr>
            </w:pPr>
            <w:r>
              <w:rPr>
                <w:rFonts w:hint="eastAsia" w:ascii="Times New Roman" w:hAnsi="Times New Roman"/>
                <w:b w:val="0"/>
                <w:bCs/>
                <w:color w:val="auto"/>
                <w:sz w:val="24"/>
                <w:szCs w:val="24"/>
                <w:u w:val="none" w:color="auto"/>
                <w:lang w:val="en-US" w:eastAsia="zh-CN"/>
              </w:rPr>
              <w:t>由于靖州县疾控中心</w:t>
            </w:r>
            <w:r>
              <w:rPr>
                <w:rFonts w:hint="eastAsia" w:ascii="Times New Roman" w:hAnsi="Times New Roman" w:eastAsia="宋体" w:cs="Times New Roman"/>
                <w:b w:val="0"/>
                <w:bCs/>
                <w:color w:val="auto"/>
                <w:sz w:val="24"/>
                <w:szCs w:val="24"/>
                <w:u w:val="none" w:color="auto"/>
                <w:lang w:val="en-US" w:eastAsia="zh-CN"/>
              </w:rPr>
              <w:t>位于渠阳镇江东街，当地未接入污水管网，因此</w:t>
            </w:r>
            <w:r>
              <w:rPr>
                <w:rFonts w:hint="eastAsia" w:cs="Times New Roman"/>
                <w:b w:val="0"/>
                <w:bCs/>
                <w:color w:val="auto"/>
                <w:sz w:val="24"/>
                <w:szCs w:val="24"/>
                <w:u w:val="none" w:color="auto"/>
                <w:lang w:val="en-US" w:eastAsia="zh-CN"/>
              </w:rPr>
              <w:t>实验室废水（医疗废水）经</w:t>
            </w:r>
            <w:r>
              <w:rPr>
                <w:rFonts w:hint="eastAsia"/>
                <w:b w:val="0"/>
                <w:bCs/>
                <w:color w:val="auto"/>
                <w:sz w:val="24"/>
                <w:szCs w:val="24"/>
                <w:u w:val="none" w:color="auto"/>
                <w:lang w:val="en-US" w:eastAsia="zh-CN"/>
              </w:rPr>
              <w:t>污水处理设备净化</w:t>
            </w:r>
            <w:r>
              <w:rPr>
                <w:rFonts w:hint="eastAsia" w:ascii="Times New Roman" w:hAnsi="Times New Roman"/>
                <w:b w:val="0"/>
                <w:bCs/>
                <w:color w:val="auto"/>
                <w:sz w:val="24"/>
                <w:szCs w:val="24"/>
                <w:u w:val="none" w:color="auto"/>
                <w:lang w:val="en-US" w:eastAsia="zh-CN"/>
              </w:rPr>
              <w:t>后</w:t>
            </w:r>
            <w:r>
              <w:rPr>
                <w:rFonts w:hint="eastAsia"/>
                <w:b w:val="0"/>
                <w:bCs/>
                <w:color w:val="auto"/>
                <w:sz w:val="24"/>
                <w:szCs w:val="24"/>
                <w:u w:val="none" w:color="auto"/>
                <w:lang w:val="en-US" w:eastAsia="zh-CN"/>
              </w:rPr>
              <w:t>排入文昌溪；生活</w:t>
            </w:r>
            <w:r>
              <w:rPr>
                <w:rFonts w:hint="eastAsia" w:ascii="Times New Roman" w:hAnsi="Times New Roman"/>
                <w:b w:val="0"/>
                <w:bCs/>
                <w:color w:val="auto"/>
                <w:sz w:val="24"/>
                <w:szCs w:val="24"/>
                <w:u w:val="none" w:color="auto"/>
                <w:lang w:val="en-US" w:eastAsia="zh-CN"/>
              </w:rPr>
              <w:t>污水</w:t>
            </w:r>
            <w:r>
              <w:rPr>
                <w:rFonts w:hint="eastAsia"/>
                <w:b w:val="0"/>
                <w:bCs/>
                <w:color w:val="auto"/>
                <w:sz w:val="24"/>
                <w:szCs w:val="24"/>
                <w:u w:val="none" w:color="auto"/>
                <w:lang w:val="en-US" w:eastAsia="zh-CN"/>
              </w:rPr>
              <w:t>由清粪车定期清运至靖州县县城污水处理厂。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eastAsia" w:cs="Times New Roman"/>
                <w:b/>
                <w:bCs w:val="0"/>
                <w:color w:val="auto"/>
                <w:sz w:val="24"/>
                <w:szCs w:val="24"/>
                <w:u w:val="none" w:color="auto"/>
                <w:lang w:val="en-US" w:eastAsia="zh-CN"/>
              </w:rPr>
            </w:pPr>
            <w:r>
              <w:rPr>
                <w:rFonts w:hint="eastAsia" w:cs="Times New Roman"/>
                <w:b/>
                <w:bCs w:val="0"/>
                <w:color w:val="auto"/>
                <w:sz w:val="24"/>
                <w:szCs w:val="24"/>
                <w:u w:val="none" w:color="auto"/>
                <w:lang w:val="en-US" w:eastAsia="zh-CN"/>
              </w:rPr>
              <w:t>（3）改建前后水平衡分析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b w:val="0"/>
                <w:bCs/>
                <w:color w:val="auto"/>
                <w:sz w:val="24"/>
                <w:szCs w:val="24"/>
                <w:u w:val="none" w:color="auto"/>
                <w:lang w:val="en-US" w:eastAsia="zh-CN"/>
              </w:rPr>
            </w:pPr>
            <w:r>
              <w:rPr>
                <w:rFonts w:hint="eastAsia"/>
                <w:b w:val="0"/>
                <w:bCs/>
                <w:color w:val="auto"/>
                <w:sz w:val="24"/>
                <w:szCs w:val="24"/>
                <w:u w:val="none" w:color="auto"/>
                <w:lang w:val="en-US" w:eastAsia="zh-CN"/>
              </w:rPr>
              <w:t>靖州县疾控中心主要用水为生活用水、实验用水。</w:t>
            </w:r>
          </w:p>
          <w:p>
            <w:pPr>
              <w:tabs>
                <w:tab w:val="left" w:pos="1440"/>
                <w:tab w:val="left" w:pos="1800"/>
              </w:tabs>
              <w:spacing w:line="360" w:lineRule="auto"/>
              <w:ind w:firstLine="361" w:firstLineChars="150"/>
              <w:rPr>
                <w:rFonts w:hint="default"/>
                <w:b/>
                <w:bCs/>
                <w:sz w:val="24"/>
                <w:lang w:val="en-US" w:eastAsia="zh-CN"/>
              </w:rPr>
            </w:pPr>
            <w:r>
              <w:rPr>
                <w:rFonts w:hint="eastAsia"/>
                <w:b/>
                <w:bCs/>
                <w:sz w:val="24"/>
                <w:lang w:val="en-US" w:eastAsia="zh-CN"/>
              </w:rPr>
              <w:t>A、生活用水及生活污水</w:t>
            </w:r>
          </w:p>
          <w:p>
            <w:pPr>
              <w:tabs>
                <w:tab w:val="left" w:pos="1440"/>
                <w:tab w:val="left" w:pos="1800"/>
              </w:tabs>
              <w:spacing w:line="360" w:lineRule="auto"/>
              <w:ind w:firstLine="360" w:firstLineChars="150"/>
              <w:rPr>
                <w:rFonts w:hint="eastAsia" w:cs="Times New Roman"/>
                <w:sz w:val="24"/>
                <w:lang w:val="en-US" w:eastAsia="zh-CN"/>
              </w:rPr>
            </w:pPr>
            <w:r>
              <w:rPr>
                <w:rFonts w:hint="eastAsia"/>
                <w:sz w:val="24"/>
                <w:lang w:val="en-US" w:eastAsia="zh-CN"/>
              </w:rPr>
              <w:t>改建前，靖州县疾控中心在职职工44人，参照《湖南省用水定额》（DB43/T388-2020），生活用水以办公楼用水38</w:t>
            </w:r>
            <w:r>
              <w:rPr>
                <w:rFonts w:hint="eastAsia" w:ascii="Times New Roman" w:hAnsi="Times New Roman" w:eastAsia="宋体" w:cs="Times New Roman"/>
                <w:sz w:val="24"/>
                <w:lang w:val="en-US" w:eastAsia="zh-CN"/>
              </w:rPr>
              <w:t>L/人·天计，产</w:t>
            </w:r>
            <w:r>
              <w:rPr>
                <w:rFonts w:hint="eastAsia" w:cs="Times New Roman"/>
                <w:sz w:val="24"/>
                <w:lang w:val="en-US" w:eastAsia="zh-CN"/>
              </w:rPr>
              <w:t>污</w:t>
            </w:r>
            <w:r>
              <w:rPr>
                <w:rFonts w:hint="eastAsia" w:ascii="Times New Roman" w:hAnsi="Times New Roman" w:eastAsia="宋体" w:cs="Times New Roman"/>
                <w:sz w:val="24"/>
                <w:lang w:val="en-US" w:eastAsia="zh-CN"/>
              </w:rPr>
              <w:t>系数</w:t>
            </w:r>
            <w:r>
              <w:rPr>
                <w:rFonts w:hint="eastAsia" w:cs="Times New Roman"/>
                <w:sz w:val="24"/>
                <w:lang w:val="en-US" w:eastAsia="zh-CN"/>
              </w:rPr>
              <w:t>取0</w:t>
            </w:r>
            <w:r>
              <w:rPr>
                <w:rFonts w:hint="eastAsia" w:ascii="Times New Roman" w:hAnsi="Times New Roman" w:eastAsia="宋体" w:cs="Times New Roman"/>
                <w:sz w:val="24"/>
                <w:lang w:val="en-US" w:eastAsia="zh-CN"/>
              </w:rPr>
              <w:t>.</w:t>
            </w:r>
            <w:r>
              <w:rPr>
                <w:rFonts w:hint="eastAsia" w:cs="Times New Roman"/>
                <w:sz w:val="24"/>
                <w:lang w:val="en-US" w:eastAsia="zh-CN"/>
              </w:rPr>
              <w:t>85</w:t>
            </w:r>
            <w:r>
              <w:rPr>
                <w:rFonts w:hint="eastAsia" w:ascii="Times New Roman" w:hAnsi="Times New Roman" w:eastAsia="宋体" w:cs="Times New Roman"/>
                <w:sz w:val="24"/>
                <w:lang w:val="en-US" w:eastAsia="zh-CN"/>
              </w:rPr>
              <w:t>，则生活用水量</w:t>
            </w:r>
            <w:r>
              <w:rPr>
                <w:rFonts w:hint="eastAsia" w:cs="Times New Roman"/>
                <w:sz w:val="24"/>
                <w:lang w:val="en-US" w:eastAsia="zh-CN"/>
              </w:rPr>
              <w:t>418</w:t>
            </w:r>
            <w:r>
              <w:rPr>
                <w:rFonts w:hint="eastAsia" w:ascii="Times New Roman" w:hAnsi="Times New Roman" w:eastAsia="宋体" w:cs="Times New Roman"/>
                <w:sz w:val="24"/>
                <w:lang w:val="en-US" w:eastAsia="zh-CN"/>
              </w:rPr>
              <w:t>t/a，生活污水排水量</w:t>
            </w:r>
            <w:r>
              <w:rPr>
                <w:rFonts w:hint="eastAsia" w:cs="Times New Roman"/>
                <w:sz w:val="24"/>
                <w:lang w:val="en-US" w:eastAsia="zh-CN"/>
              </w:rPr>
              <w:t>355.3</w:t>
            </w:r>
            <w:r>
              <w:rPr>
                <w:rFonts w:hint="eastAsia" w:ascii="Times New Roman" w:hAnsi="Times New Roman" w:eastAsia="宋体" w:cs="Times New Roman"/>
                <w:sz w:val="24"/>
                <w:lang w:val="en-US" w:eastAsia="zh-CN"/>
              </w:rPr>
              <w:t>t/a</w:t>
            </w:r>
            <w:r>
              <w:rPr>
                <w:rFonts w:hint="eastAsia" w:cs="Times New Roman"/>
                <w:sz w:val="24"/>
                <w:lang w:val="en-US" w:eastAsia="zh-CN"/>
              </w:rPr>
              <w:t>。</w:t>
            </w:r>
          </w:p>
          <w:p>
            <w:pPr>
              <w:tabs>
                <w:tab w:val="left" w:pos="1440"/>
                <w:tab w:val="left" w:pos="1800"/>
              </w:tabs>
              <w:spacing w:line="360" w:lineRule="auto"/>
              <w:ind w:firstLine="360" w:firstLineChars="150"/>
              <w:rPr>
                <w:rFonts w:hint="default" w:ascii="Times New Roman" w:hAnsi="Times New Roman" w:eastAsia="宋体" w:cs="Times New Roman"/>
                <w:sz w:val="24"/>
                <w:lang w:val="en-US" w:eastAsia="zh-CN"/>
              </w:rPr>
            </w:pPr>
            <w:r>
              <w:rPr>
                <w:rFonts w:hint="eastAsia" w:cs="Times New Roman"/>
                <w:sz w:val="24"/>
                <w:lang w:val="en-US" w:eastAsia="zh-CN"/>
              </w:rPr>
              <w:t>改建后，无新增职工，生活污水产排量不变。</w:t>
            </w:r>
          </w:p>
          <w:p>
            <w:pPr>
              <w:tabs>
                <w:tab w:val="left" w:pos="1440"/>
                <w:tab w:val="left" w:pos="1800"/>
              </w:tabs>
              <w:spacing w:line="360" w:lineRule="auto"/>
              <w:ind w:firstLine="316" w:firstLineChars="150"/>
              <w:rPr>
                <w:b/>
                <w:bCs/>
              </w:rPr>
            </w:pPr>
            <w:r>
              <w:rPr>
                <w:rFonts w:hint="eastAsia"/>
                <w:b/>
                <w:bCs/>
                <w:lang w:val="en-US" w:eastAsia="zh-CN"/>
              </w:rPr>
              <w:t>B、</w:t>
            </w:r>
            <w:r>
              <w:rPr>
                <w:rFonts w:hint="eastAsia"/>
                <w:b/>
                <w:bCs/>
                <w:sz w:val="24"/>
                <w:lang w:val="en-US" w:eastAsia="zh-CN"/>
              </w:rPr>
              <w:t>实验室用水及实验室废水</w:t>
            </w:r>
            <w:r>
              <w:rPr>
                <w:rFonts w:hint="eastAsia" w:ascii="Times New Roman" w:hAnsi="Times New Roman" w:eastAsia="宋体" w:cs="Times New Roman"/>
                <w:b/>
                <w:bCs/>
                <w:sz w:val="24"/>
                <w:lang w:val="en-US" w:eastAsia="zh-CN"/>
              </w:rPr>
              <w:t>（医疗废水）</w:t>
            </w:r>
          </w:p>
          <w:p>
            <w:pPr>
              <w:keepNext w:val="0"/>
              <w:keepLines w:val="0"/>
              <w:pageBreakBefore w:val="0"/>
              <w:widowControl w:val="0"/>
              <w:tabs>
                <w:tab w:val="left" w:pos="1440"/>
                <w:tab w:val="left" w:pos="1800"/>
              </w:tabs>
              <w:kinsoku w:val="0"/>
              <w:wordWrap w:val="0"/>
              <w:overflowPunct/>
              <w:topLinePunct w:val="0"/>
              <w:autoSpaceDE/>
              <w:autoSpaceDN/>
              <w:bidi w:val="0"/>
              <w:adjustRightInd/>
              <w:snapToGrid/>
              <w:spacing w:line="360" w:lineRule="auto"/>
              <w:ind w:firstLine="360" w:firstLineChars="150"/>
              <w:textAlignment w:val="auto"/>
              <w:rPr>
                <w:rFonts w:hint="default"/>
                <w:sz w:val="24"/>
                <w:lang w:val="en-US" w:eastAsia="zh-CN"/>
              </w:rPr>
            </w:pPr>
            <w:r>
              <w:rPr>
                <w:rFonts w:hint="eastAsia"/>
                <w:sz w:val="24"/>
                <w:lang w:val="en-US" w:eastAsia="zh-CN"/>
              </w:rPr>
              <w:t>实验室用水主要为纯水制备用水、器皿清洗用水，产生的废水经污水处理设备净化后达《医疗机构水污染物排放标准》（GB18466—2005）标准排入文昌溪（于下游750m处汇入渠水）。</w:t>
            </w:r>
          </w:p>
          <w:p>
            <w:pPr>
              <w:keepNext w:val="0"/>
              <w:keepLines w:val="0"/>
              <w:pageBreakBefore w:val="0"/>
              <w:widowControl w:val="0"/>
              <w:tabs>
                <w:tab w:val="left" w:pos="1440"/>
                <w:tab w:val="left" w:pos="1800"/>
              </w:tabs>
              <w:kinsoku w:val="0"/>
              <w:wordWrap w:val="0"/>
              <w:overflowPunct/>
              <w:topLinePunct w:val="0"/>
              <w:autoSpaceDE/>
              <w:autoSpaceDN/>
              <w:bidi w:val="0"/>
              <w:adjustRightInd/>
              <w:snapToGrid/>
              <w:spacing w:line="360" w:lineRule="auto"/>
              <w:ind w:firstLine="360" w:firstLineChars="150"/>
              <w:textAlignment w:val="auto"/>
              <w:rPr>
                <w:rFonts w:hint="eastAsia"/>
                <w:sz w:val="24"/>
                <w:u w:val="single"/>
                <w:lang w:val="en-US" w:eastAsia="zh-CN"/>
              </w:rPr>
            </w:pPr>
            <w:r>
              <w:rPr>
                <w:rFonts w:hint="eastAsia"/>
                <w:sz w:val="24"/>
                <w:u w:val="single"/>
                <w:lang w:val="en-US" w:eastAsia="zh-CN"/>
              </w:rPr>
              <w:t>本疾控中心使用RO反渗透技术进行纯水制备，原水通过该渗透膜时，70%的盐分含量较高的浓水排入污水处理设备，30%的纯水用于样品配置、标液配置、器皿清洗等。经咨询建设单位，纯水制备每月进行5次，每次使用自来水1.8t，制得纯水0.54t，产生浓水1.26t，项目年工作时间250d，则纯水制备耗水73.97t/a，产出纯水22.19t/a，浓水51.78t/a。</w:t>
            </w:r>
          </w:p>
          <w:p>
            <w:pPr>
              <w:keepNext w:val="0"/>
              <w:keepLines w:val="0"/>
              <w:pageBreakBefore w:val="0"/>
              <w:widowControl w:val="0"/>
              <w:tabs>
                <w:tab w:val="left" w:pos="1440"/>
                <w:tab w:val="left" w:pos="1800"/>
              </w:tabs>
              <w:kinsoku w:val="0"/>
              <w:wordWrap w:val="0"/>
              <w:overflowPunct/>
              <w:topLinePunct w:val="0"/>
              <w:autoSpaceDE/>
              <w:autoSpaceDN/>
              <w:bidi w:val="0"/>
              <w:adjustRightInd/>
              <w:snapToGrid/>
              <w:spacing w:line="360" w:lineRule="auto"/>
              <w:ind w:firstLine="360" w:firstLineChars="150"/>
              <w:textAlignment w:val="auto"/>
              <w:rPr>
                <w:rFonts w:hint="eastAsia"/>
                <w:sz w:val="24"/>
                <w:u w:val="single"/>
                <w:lang w:val="en-US" w:eastAsia="zh-CN"/>
              </w:rPr>
            </w:pPr>
            <w:r>
              <w:rPr>
                <w:rFonts w:hint="eastAsia"/>
                <w:sz w:val="24"/>
                <w:u w:val="single"/>
                <w:lang w:val="en-US" w:eastAsia="zh-CN"/>
              </w:rPr>
              <w:t>经咨询建设单位，清洗器皿纯水用量约50t/a，实验室总纯水用水量=73.97+50=123.97t/a，产污系数取0.9，则实验室废水产生量111.573t/a。</w:t>
            </w:r>
          </w:p>
          <w:p>
            <w:pPr>
              <w:keepNext w:val="0"/>
              <w:keepLines w:val="0"/>
              <w:pageBreakBefore w:val="0"/>
              <w:widowControl w:val="0"/>
              <w:tabs>
                <w:tab w:val="left" w:pos="1440"/>
                <w:tab w:val="left" w:pos="1800"/>
              </w:tabs>
              <w:kinsoku w:val="0"/>
              <w:wordWrap w:val="0"/>
              <w:overflowPunct/>
              <w:topLinePunct w:val="0"/>
              <w:autoSpaceDE/>
              <w:autoSpaceDN/>
              <w:bidi w:val="0"/>
              <w:adjustRightInd/>
              <w:snapToGrid/>
              <w:spacing w:line="360" w:lineRule="auto"/>
              <w:ind w:firstLine="360" w:firstLineChars="150"/>
              <w:textAlignment w:val="auto"/>
              <w:rPr>
                <w:rFonts w:hint="eastAsia"/>
                <w:color w:val="0000FF"/>
                <w:sz w:val="24"/>
                <w:u w:val="single"/>
                <w:lang w:val="en-US" w:eastAsia="zh-CN"/>
              </w:rPr>
            </w:pPr>
            <w:r>
              <w:rPr>
                <w:rFonts w:hint="eastAsia"/>
                <w:color w:val="0000FF"/>
                <w:sz w:val="24"/>
                <w:u w:val="single"/>
                <w:lang w:val="en-US" w:eastAsia="zh-CN"/>
              </w:rPr>
              <w:t>改建后，实验规模、频次基本不变，因此纯水制备用水量基本持平，仍为73.97t/a；由于新增了部分仪器，因此器皿清洗用水增加至70t/a，产污系数取0.9，可得改建后用水量143.97t/a；废水产生量129.573t/a。</w:t>
            </w:r>
          </w:p>
          <w:p>
            <w:pPr>
              <w:pStyle w:val="21"/>
              <w:jc w:val="center"/>
              <w:rPr>
                <w:rFonts w:hint="default"/>
                <w:b/>
                <w:bCs/>
                <w:lang w:val="en-US" w:eastAsia="zh-CN"/>
              </w:rPr>
            </w:pPr>
            <w:r>
              <w:rPr>
                <w:rFonts w:hint="eastAsia"/>
                <w:b/>
                <w:bCs/>
                <w:lang w:val="en-US" w:eastAsia="zh-CN"/>
              </w:rPr>
              <w:t>表</w:t>
            </w:r>
            <w:r>
              <w:rPr>
                <w:rFonts w:hint="default" w:ascii="Times New Roman" w:hAnsi="Times New Roman" w:cs="Times New Roman"/>
                <w:b/>
                <w:bCs/>
                <w:lang w:val="en-US" w:eastAsia="zh-CN"/>
              </w:rPr>
              <w:t>2-</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w:t>
            </w:r>
            <w:r>
              <w:rPr>
                <w:rFonts w:hint="eastAsia"/>
                <w:b/>
                <w:bCs/>
                <w:lang w:val="en-US" w:eastAsia="zh-CN"/>
              </w:rPr>
              <w:t xml:space="preserve"> 项目改建前后水平衡</w:t>
            </w:r>
          </w:p>
          <w:tbl>
            <w:tblPr>
              <w:tblStyle w:val="16"/>
              <w:tblW w:w="86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77"/>
              <w:gridCol w:w="1424"/>
              <w:gridCol w:w="1287"/>
              <w:gridCol w:w="1287"/>
              <w:gridCol w:w="1287"/>
              <w:gridCol w:w="1287"/>
              <w:gridCol w:w="12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55" w:hRule="atLeast"/>
                <w:jc w:val="center"/>
              </w:trPr>
              <w:tc>
                <w:tcPr>
                  <w:tcW w:w="220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用水项目</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改建前年用水量（</w:t>
                  </w:r>
                  <w:r>
                    <w:rPr>
                      <w:rFonts w:hint="default" w:ascii="Times New Roman" w:hAnsi="Times New Roman" w:eastAsia="宋体" w:cs="Times New Roman"/>
                      <w:i w:val="0"/>
                      <w:iCs w:val="0"/>
                      <w:color w:val="000000"/>
                      <w:kern w:val="0"/>
                      <w:sz w:val="21"/>
                      <w:szCs w:val="21"/>
                      <w:u w:val="single"/>
                      <w:lang w:val="en-US" w:eastAsia="zh-CN" w:bidi="ar"/>
                    </w:rPr>
                    <w:t>t/a</w:t>
                  </w:r>
                  <w:r>
                    <w:rPr>
                      <w:rFonts w:hint="eastAsia" w:ascii="宋体" w:hAnsi="宋体" w:eastAsia="宋体" w:cs="宋体"/>
                      <w:i w:val="0"/>
                      <w:iCs w:val="0"/>
                      <w:color w:val="000000"/>
                      <w:kern w:val="0"/>
                      <w:sz w:val="21"/>
                      <w:szCs w:val="21"/>
                      <w:u w:val="single"/>
                      <w:lang w:val="en-US" w:eastAsia="zh-CN" w:bidi="ar"/>
                    </w:rPr>
                    <w:t>）</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改建后年用水量（</w:t>
                  </w:r>
                  <w:r>
                    <w:rPr>
                      <w:rFonts w:hint="default" w:ascii="Times New Roman" w:hAnsi="Times New Roman" w:eastAsia="宋体" w:cs="Times New Roman"/>
                      <w:i w:val="0"/>
                      <w:iCs w:val="0"/>
                      <w:color w:val="000000"/>
                      <w:kern w:val="0"/>
                      <w:sz w:val="21"/>
                      <w:szCs w:val="21"/>
                      <w:u w:val="single"/>
                      <w:lang w:val="en-US" w:eastAsia="zh-CN" w:bidi="ar"/>
                    </w:rPr>
                    <w:t>t/a</w:t>
                  </w:r>
                  <w:r>
                    <w:rPr>
                      <w:rFonts w:hint="eastAsia" w:ascii="宋体" w:hAnsi="宋体" w:eastAsia="宋体" w:cs="宋体"/>
                      <w:i w:val="0"/>
                      <w:iCs w:val="0"/>
                      <w:color w:val="000000"/>
                      <w:kern w:val="0"/>
                      <w:sz w:val="21"/>
                      <w:szCs w:val="21"/>
                      <w:u w:val="single"/>
                      <w:lang w:val="en-US" w:eastAsia="zh-CN" w:bidi="ar"/>
                    </w:rPr>
                    <w:t>）</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排污系数</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改建前废水产生量（</w:t>
                  </w:r>
                  <w:r>
                    <w:rPr>
                      <w:rFonts w:hint="default" w:ascii="Times New Roman" w:hAnsi="Times New Roman" w:eastAsia="宋体" w:cs="Times New Roman"/>
                      <w:i w:val="0"/>
                      <w:iCs w:val="0"/>
                      <w:color w:val="000000"/>
                      <w:kern w:val="0"/>
                      <w:sz w:val="21"/>
                      <w:szCs w:val="21"/>
                      <w:u w:val="single"/>
                      <w:lang w:val="en-US" w:eastAsia="zh-CN" w:bidi="ar"/>
                    </w:rPr>
                    <w:t>t/a</w:t>
                  </w:r>
                  <w:r>
                    <w:rPr>
                      <w:rFonts w:hint="eastAsia" w:ascii="宋体" w:hAnsi="宋体" w:eastAsia="宋体" w:cs="宋体"/>
                      <w:i w:val="0"/>
                      <w:iCs w:val="0"/>
                      <w:color w:val="000000"/>
                      <w:kern w:val="0"/>
                      <w:sz w:val="21"/>
                      <w:szCs w:val="21"/>
                      <w:u w:val="single"/>
                      <w:lang w:val="en-US" w:eastAsia="zh-CN" w:bidi="ar"/>
                    </w:rPr>
                    <w:t>）</w:t>
                  </w:r>
                </w:p>
              </w:tc>
              <w:tc>
                <w:tcPr>
                  <w:tcW w:w="128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改建后废水产生量（</w:t>
                  </w:r>
                  <w:r>
                    <w:rPr>
                      <w:rFonts w:hint="default" w:ascii="Times New Roman" w:hAnsi="Times New Roman" w:eastAsia="宋体" w:cs="Times New Roman"/>
                      <w:i w:val="0"/>
                      <w:iCs w:val="0"/>
                      <w:color w:val="000000"/>
                      <w:kern w:val="0"/>
                      <w:sz w:val="21"/>
                      <w:szCs w:val="21"/>
                      <w:u w:val="single"/>
                      <w:lang w:val="en-US" w:eastAsia="zh-CN" w:bidi="ar"/>
                    </w:rPr>
                    <w:t>t/a</w:t>
                  </w:r>
                  <w:r>
                    <w:rPr>
                      <w:rFonts w:hint="eastAsia" w:ascii="宋体" w:hAnsi="宋体" w:eastAsia="宋体" w:cs="宋体"/>
                      <w:i w:val="0"/>
                      <w:iCs w:val="0"/>
                      <w:color w:val="000000"/>
                      <w:kern w:val="0"/>
                      <w:sz w:val="21"/>
                      <w:szCs w:val="21"/>
                      <w:u w:val="singl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9" w:hRule="atLeast"/>
                <w:jc w:val="center"/>
              </w:trPr>
              <w:tc>
                <w:tcPr>
                  <w:tcW w:w="220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生活用水</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418</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418</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0.85</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355.3</w:t>
                  </w:r>
                </w:p>
              </w:tc>
              <w:tc>
                <w:tcPr>
                  <w:tcW w:w="12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cs="Times New Roman"/>
                      <w:i w:val="0"/>
                      <w:iCs w:val="0"/>
                      <w:color w:val="000000"/>
                      <w:sz w:val="21"/>
                      <w:szCs w:val="21"/>
                      <w:u w:val="single"/>
                      <w:lang w:val="en-US" w:eastAsia="zh-CN"/>
                    </w:rPr>
                    <w:t>355.3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7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实验用水</w:t>
                  </w:r>
                </w:p>
              </w:tc>
              <w:tc>
                <w:tcPr>
                  <w:tcW w:w="142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纯水制备</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73.97</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cs="Times New Roman"/>
                      <w:i w:val="0"/>
                      <w:iCs w:val="0"/>
                      <w:color w:val="000000"/>
                      <w:sz w:val="21"/>
                      <w:szCs w:val="21"/>
                      <w:u w:val="single"/>
                      <w:lang w:val="en-US" w:eastAsia="zh-CN"/>
                    </w:rPr>
                    <w:t>73.97</w:t>
                  </w:r>
                </w:p>
              </w:tc>
              <w:tc>
                <w:tcPr>
                  <w:tcW w:w="128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0.9</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lang w:val="en-US" w:eastAsia="zh-CN"/>
                    </w:rPr>
                  </w:pPr>
                  <w:r>
                    <w:rPr>
                      <w:rFonts w:hint="default" w:ascii="Times New Roman" w:hAnsi="Times New Roman" w:cs="Times New Roman"/>
                      <w:i w:val="0"/>
                      <w:iCs w:val="0"/>
                      <w:color w:val="000000"/>
                      <w:sz w:val="21"/>
                      <w:szCs w:val="21"/>
                      <w:u w:val="single"/>
                      <w:lang w:val="en-US" w:eastAsia="zh-CN"/>
                    </w:rPr>
                    <w:t>66.573</w:t>
                  </w:r>
                </w:p>
              </w:tc>
              <w:tc>
                <w:tcPr>
                  <w:tcW w:w="12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cs="Times New Roman"/>
                      <w:i w:val="0"/>
                      <w:iCs w:val="0"/>
                      <w:color w:val="000000"/>
                      <w:sz w:val="21"/>
                      <w:szCs w:val="21"/>
                      <w:u w:val="single"/>
                      <w:lang w:val="en-US" w:eastAsia="zh-CN"/>
                    </w:rPr>
                    <w:t>66.573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jc w:val="center"/>
              </w:trPr>
              <w:tc>
                <w:tcPr>
                  <w:tcW w:w="777" w:type="dxa"/>
                  <w:vMerge w:val="continue"/>
                  <w:tcBorders>
                    <w:tl2br w:val="nil"/>
                    <w:tr2bl w:val="nil"/>
                  </w:tcBorders>
                  <w:shd w:val="clear" w:color="auto" w:fill="auto"/>
                  <w:vAlign w:val="center"/>
                </w:tcPr>
                <w:p>
                  <w:pPr>
                    <w:keepNext w:val="0"/>
                    <w:keepLines w:val="0"/>
                    <w:widowControl/>
                    <w:suppressLineNumbers w:val="0"/>
                    <w:jc w:val="center"/>
                    <w:textAlignment w:val="center"/>
                    <w:rPr>
                      <w:u w:val="single"/>
                    </w:rPr>
                  </w:pPr>
                </w:p>
              </w:tc>
              <w:tc>
                <w:tcPr>
                  <w:tcW w:w="142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清洗用水</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single"/>
                      <w:lang w:val="en-US" w:eastAsia="zh-CN" w:bidi="ar"/>
                    </w:rPr>
                  </w:pPr>
                  <w:r>
                    <w:rPr>
                      <w:rFonts w:hint="default" w:ascii="Times New Roman" w:hAnsi="Times New Roman" w:cs="Times New Roman"/>
                      <w:i w:val="0"/>
                      <w:iCs w:val="0"/>
                      <w:color w:val="0000FF"/>
                      <w:sz w:val="21"/>
                      <w:szCs w:val="21"/>
                      <w:u w:val="single"/>
                      <w:lang w:val="en-US" w:eastAsia="zh-CN"/>
                    </w:rPr>
                    <w:t>50</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single"/>
                      <w:lang w:val="en-US" w:eastAsia="zh-CN" w:bidi="ar"/>
                    </w:rPr>
                  </w:pPr>
                  <w:r>
                    <w:rPr>
                      <w:rFonts w:hint="default" w:ascii="Times New Roman" w:hAnsi="Times New Roman" w:cs="Times New Roman"/>
                      <w:i w:val="0"/>
                      <w:iCs w:val="0"/>
                      <w:color w:val="0000FF"/>
                      <w:kern w:val="0"/>
                      <w:sz w:val="21"/>
                      <w:szCs w:val="21"/>
                      <w:u w:val="single"/>
                      <w:lang w:val="en-US" w:eastAsia="zh-CN" w:bidi="ar"/>
                    </w:rPr>
                    <w:t>70</w:t>
                  </w:r>
                </w:p>
              </w:tc>
              <w:tc>
                <w:tcPr>
                  <w:tcW w:w="1287"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single"/>
                      <w:lang w:val="en-US" w:eastAsia="zh-CN" w:bidi="ar"/>
                    </w:rPr>
                  </w:pP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single"/>
                      <w:lang w:val="en-US" w:eastAsia="zh-CN" w:bidi="ar"/>
                    </w:rPr>
                  </w:pPr>
                  <w:r>
                    <w:rPr>
                      <w:rFonts w:hint="default" w:ascii="Times New Roman" w:hAnsi="Times New Roman" w:cs="Times New Roman"/>
                      <w:i w:val="0"/>
                      <w:iCs w:val="0"/>
                      <w:color w:val="0000FF"/>
                      <w:kern w:val="0"/>
                      <w:sz w:val="21"/>
                      <w:szCs w:val="21"/>
                      <w:u w:val="single"/>
                      <w:lang w:val="en-US" w:eastAsia="zh-CN" w:bidi="ar"/>
                    </w:rPr>
                    <w:t>45</w:t>
                  </w:r>
                </w:p>
              </w:tc>
              <w:tc>
                <w:tcPr>
                  <w:tcW w:w="12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single"/>
                      <w:lang w:val="en-US" w:eastAsia="zh-CN" w:bidi="ar"/>
                    </w:rPr>
                  </w:pPr>
                  <w:r>
                    <w:rPr>
                      <w:rFonts w:hint="default" w:ascii="Times New Roman" w:hAnsi="Times New Roman" w:cs="Times New Roman"/>
                      <w:i w:val="0"/>
                      <w:iCs w:val="0"/>
                      <w:color w:val="0000FF"/>
                      <w:kern w:val="0"/>
                      <w:sz w:val="21"/>
                      <w:szCs w:val="21"/>
                      <w:u w:val="single"/>
                      <w:lang w:val="en-US" w:eastAsia="zh-CN" w:bidi="ar"/>
                    </w:rPr>
                    <w:t>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220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single"/>
                      <w:lang w:val="en-US" w:eastAsia="zh-CN"/>
                    </w:rPr>
                  </w:pPr>
                  <w:r>
                    <w:rPr>
                      <w:rFonts w:hint="eastAsia" w:ascii="宋体" w:hAnsi="宋体" w:cs="宋体"/>
                      <w:i w:val="0"/>
                      <w:iCs w:val="0"/>
                      <w:color w:val="000000"/>
                      <w:sz w:val="21"/>
                      <w:szCs w:val="21"/>
                      <w:u w:val="single"/>
                      <w:lang w:val="en-US" w:eastAsia="zh-CN"/>
                    </w:rPr>
                    <w:t>合计</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541.97</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561.97</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single"/>
                      <w:lang w:val="en-US" w:eastAsia="zh-CN"/>
                    </w:rPr>
                  </w:pPr>
                  <w:r>
                    <w:rPr>
                      <w:rFonts w:hint="eastAsia" w:ascii="Times New Roman" w:hAnsi="Times New Roman" w:cs="Times New Roman"/>
                      <w:i w:val="0"/>
                      <w:iCs w:val="0"/>
                      <w:color w:val="000000"/>
                      <w:sz w:val="21"/>
                      <w:szCs w:val="21"/>
                      <w:u w:val="single"/>
                      <w:lang w:val="en-US" w:eastAsia="zh-CN"/>
                    </w:rPr>
                    <w:t>/</w:t>
                  </w:r>
                </w:p>
              </w:tc>
              <w:tc>
                <w:tcPr>
                  <w:tcW w:w="12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466.873</w:t>
                  </w:r>
                </w:p>
              </w:tc>
              <w:tc>
                <w:tcPr>
                  <w:tcW w:w="12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484.873</w:t>
                  </w:r>
                </w:p>
              </w:tc>
            </w:tr>
          </w:tbl>
          <w:p>
            <w:pPr>
              <w:spacing w:line="360" w:lineRule="auto"/>
              <w:ind w:firstLine="472" w:firstLineChars="196"/>
              <w:jc w:val="center"/>
              <w:textAlignment w:val="center"/>
              <w:rPr>
                <w:rFonts w:hint="eastAsia"/>
                <w:b/>
                <w:bCs/>
                <w:color w:val="auto"/>
                <w:sz w:val="24"/>
                <w:szCs w:val="24"/>
                <w:highlight w:val="none"/>
                <w:u w:val="none" w:color="auto"/>
                <w:lang w:val="en-US" w:eastAsia="zh-CN"/>
              </w:rPr>
            </w:pPr>
            <w:r>
              <w:rPr>
                <w:rFonts w:hint="eastAsia"/>
                <w:b/>
                <w:bCs/>
                <w:color w:val="auto"/>
                <w:sz w:val="24"/>
                <w:szCs w:val="24"/>
                <w:highlight w:val="none"/>
                <w:u w:val="single" w:color="auto"/>
                <w:lang w:val="en-US" w:eastAsia="zh-CN"/>
              </w:rPr>
              <w:drawing>
                <wp:anchor distT="0" distB="0" distL="114935" distR="114935" simplePos="0" relativeHeight="251667456" behindDoc="0" locked="0" layoutInCell="1" allowOverlap="1">
                  <wp:simplePos x="0" y="0"/>
                  <wp:positionH relativeFrom="column">
                    <wp:posOffset>387350</wp:posOffset>
                  </wp:positionH>
                  <wp:positionV relativeFrom="paragraph">
                    <wp:posOffset>173355</wp:posOffset>
                  </wp:positionV>
                  <wp:extent cx="5036820" cy="1936750"/>
                  <wp:effectExtent l="0" t="0" r="11430" b="0"/>
                  <wp:wrapTopAndBottom/>
                  <wp:docPr id="12" name="ECB019B1-382A-4266-B25C-5B523AA43C14-15" descr="C:/Users/Administrator/AppData/Local/Temp/wps.cxrMs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5" descr="C:/Users/Administrator/AppData/Local/Temp/wps.cxrMsXwps"/>
                          <pic:cNvPicPr>
                            <a:picLocks noChangeAspect="1"/>
                          </pic:cNvPicPr>
                        </pic:nvPicPr>
                        <pic:blipFill>
                          <a:blip r:embed="rId8"/>
                          <a:srcRect l="4600" t="11048" r="2390" b="1796"/>
                          <a:stretch>
                            <a:fillRect/>
                          </a:stretch>
                        </pic:blipFill>
                        <pic:spPr>
                          <a:xfrm>
                            <a:off x="0" y="0"/>
                            <a:ext cx="5036820" cy="1936750"/>
                          </a:xfrm>
                          <a:prstGeom prst="rect">
                            <a:avLst/>
                          </a:prstGeom>
                        </pic:spPr>
                      </pic:pic>
                    </a:graphicData>
                  </a:graphic>
                </wp:anchor>
              </w:drawing>
            </w:r>
          </w:p>
          <w:p>
            <w:pPr>
              <w:jc w:val="center"/>
              <w:rPr>
                <w:rFonts w:hint="eastAsia"/>
                <w:b/>
                <w:bCs/>
                <w:color w:val="auto"/>
                <w:sz w:val="24"/>
                <w:szCs w:val="24"/>
                <w:highlight w:val="none"/>
                <w:u w:val="single" w:color="auto"/>
                <w:lang w:val="en-US" w:eastAsia="zh-CN"/>
              </w:rPr>
            </w:pPr>
            <w:r>
              <w:rPr>
                <w:rFonts w:hint="eastAsia"/>
                <w:b/>
                <w:bCs/>
                <w:color w:val="auto"/>
                <w:sz w:val="24"/>
                <w:szCs w:val="24"/>
                <w:highlight w:val="none"/>
                <w:u w:val="single" w:color="auto"/>
                <w:lang w:val="en-US" w:eastAsia="zh-CN"/>
              </w:rPr>
              <w:t>图2-1  改建前水平衡图（t/a）</w:t>
            </w:r>
          </w:p>
          <w:p>
            <w:pPr>
              <w:pStyle w:val="21"/>
              <w:rPr>
                <w:rFonts w:hint="eastAsia"/>
                <w:lang w:val="en-US" w:eastAsia="zh-CN"/>
              </w:rPr>
            </w:pPr>
          </w:p>
          <w:p>
            <w:pPr>
              <w:pStyle w:val="21"/>
              <w:rPr>
                <w:rFonts w:hint="eastAsia"/>
                <w:color w:val="auto"/>
                <w:sz w:val="24"/>
                <w:szCs w:val="24"/>
                <w:highlight w:val="yellow"/>
                <w:u w:val="none" w:color="auto"/>
                <w:lang w:val="en-US" w:eastAsia="zh-CN"/>
              </w:rPr>
            </w:pPr>
            <w:r>
              <w:rPr>
                <w:rFonts w:hint="eastAsia"/>
                <w:color w:val="auto"/>
                <w:sz w:val="24"/>
                <w:szCs w:val="24"/>
                <w:highlight w:val="none"/>
                <w:u w:val="none" w:color="auto"/>
                <w:lang w:val="en-US" w:eastAsia="zh-CN"/>
              </w:rPr>
              <w:drawing>
                <wp:inline distT="0" distB="0" distL="114300" distR="114300">
                  <wp:extent cx="5693410" cy="2138045"/>
                  <wp:effectExtent l="0" t="0" r="0" b="0"/>
                  <wp:docPr id="4" name="ECB019B1-382A-4266-B25C-5B523AA43C14-14" descr="C:/Users/Administrator/AppData/Local/Temp/wps.ftxpR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4" descr="C:/Users/Administrator/AppData/Local/Temp/wps.ftxpRIwps"/>
                          <pic:cNvPicPr>
                            <a:picLocks noChangeAspect="1"/>
                          </pic:cNvPicPr>
                        </pic:nvPicPr>
                        <pic:blipFill>
                          <a:blip r:embed="rId9"/>
                          <a:stretch>
                            <a:fillRect/>
                          </a:stretch>
                        </pic:blipFill>
                        <pic:spPr>
                          <a:xfrm>
                            <a:off x="0" y="0"/>
                            <a:ext cx="5693410" cy="2138045"/>
                          </a:xfrm>
                          <a:prstGeom prst="rect">
                            <a:avLst/>
                          </a:prstGeom>
                        </pic:spPr>
                      </pic:pic>
                    </a:graphicData>
                  </a:graphic>
                </wp:inline>
              </w:drawing>
            </w:r>
          </w:p>
          <w:p>
            <w:pPr>
              <w:spacing w:line="360" w:lineRule="auto"/>
              <w:ind w:firstLine="472" w:firstLineChars="196"/>
              <w:jc w:val="center"/>
              <w:textAlignment w:val="center"/>
              <w:rPr>
                <w:rFonts w:hint="eastAsia"/>
                <w:b/>
                <w:bCs/>
                <w:color w:val="auto"/>
                <w:sz w:val="24"/>
                <w:szCs w:val="24"/>
                <w:highlight w:val="none"/>
                <w:u w:val="single" w:color="auto"/>
                <w:lang w:val="en-US" w:eastAsia="zh-CN"/>
              </w:rPr>
            </w:pPr>
            <w:r>
              <w:rPr>
                <w:rFonts w:hint="eastAsia"/>
                <w:b/>
                <w:bCs/>
                <w:color w:val="auto"/>
                <w:sz w:val="24"/>
                <w:szCs w:val="24"/>
                <w:highlight w:val="none"/>
                <w:u w:val="single" w:color="auto"/>
                <w:lang w:val="en-US" w:eastAsia="zh-CN"/>
              </w:rPr>
              <w:t>图2-2  改建后平水衡图（t/a）</w:t>
            </w:r>
          </w:p>
          <w:p>
            <w:pPr>
              <w:spacing w:line="360" w:lineRule="auto"/>
              <w:textAlignment w:val="center"/>
              <w:rPr>
                <w:rFonts w:hint="eastAsia" w:ascii="Times New Roman" w:hAnsi="Times New Roman"/>
                <w:b/>
                <w:bCs/>
                <w:color w:val="auto"/>
                <w:sz w:val="24"/>
                <w:szCs w:val="24"/>
                <w:u w:val="none" w:color="auto"/>
              </w:rPr>
            </w:pPr>
            <w:r>
              <w:rPr>
                <w:rFonts w:hint="eastAsia" w:ascii="Times New Roman" w:hAnsi="Times New Roman"/>
                <w:b/>
                <w:bCs/>
                <w:color w:val="auto"/>
                <w:sz w:val="24"/>
                <w:szCs w:val="24"/>
                <w:u w:val="none" w:color="auto"/>
                <w:lang w:val="en-US" w:eastAsia="zh-CN"/>
              </w:rPr>
              <w:t>（3）</w:t>
            </w:r>
            <w:r>
              <w:rPr>
                <w:rFonts w:hint="eastAsia" w:ascii="Times New Roman" w:hAnsi="Times New Roman"/>
                <w:b/>
                <w:bCs/>
                <w:color w:val="auto"/>
                <w:sz w:val="24"/>
                <w:szCs w:val="24"/>
                <w:u w:val="none" w:color="auto"/>
              </w:rPr>
              <w:t>供电工程</w:t>
            </w:r>
          </w:p>
          <w:p>
            <w:pPr>
              <w:spacing w:line="360" w:lineRule="auto"/>
              <w:ind w:firstLine="482"/>
              <w:rPr>
                <w:rFonts w:ascii="Times New Roman" w:hAnsi="Times New Roman"/>
                <w:color w:val="auto"/>
                <w:sz w:val="24"/>
                <w:u w:val="none" w:color="auto"/>
              </w:rPr>
            </w:pPr>
            <w:r>
              <w:rPr>
                <w:rFonts w:ascii="Times New Roman" w:hAnsi="Times New Roman"/>
                <w:color w:val="auto"/>
                <w:sz w:val="24"/>
                <w:szCs w:val="24"/>
              </w:rPr>
              <w:t>本项目</w:t>
            </w:r>
            <w:r>
              <w:rPr>
                <w:rFonts w:hint="eastAsia" w:ascii="Times New Roman" w:hAnsi="Times New Roman"/>
                <w:color w:val="auto"/>
                <w:sz w:val="24"/>
                <w:szCs w:val="24"/>
                <w:lang w:val="en-US" w:eastAsia="zh-CN"/>
              </w:rPr>
              <w:t>电力</w:t>
            </w:r>
            <w:r>
              <w:rPr>
                <w:rFonts w:ascii="Times New Roman" w:hAnsi="Times New Roman"/>
                <w:color w:val="auto"/>
                <w:sz w:val="24"/>
                <w:szCs w:val="24"/>
              </w:rPr>
              <w:t>由</w:t>
            </w:r>
            <w:r>
              <w:rPr>
                <w:rFonts w:hint="eastAsia" w:ascii="Times New Roman" w:hAnsi="Times New Roman"/>
                <w:color w:val="auto"/>
                <w:sz w:val="24"/>
                <w:szCs w:val="24"/>
                <w:lang w:val="en-US" w:eastAsia="zh-CN"/>
              </w:rPr>
              <w:t>靖州县</w:t>
            </w:r>
            <w:r>
              <w:rPr>
                <w:rFonts w:ascii="Times New Roman" w:hAnsi="Times New Roman"/>
                <w:color w:val="auto"/>
                <w:sz w:val="24"/>
                <w:szCs w:val="24"/>
              </w:rPr>
              <w:t>电力公司通过电网提供，可满足项目</w:t>
            </w:r>
            <w:r>
              <w:rPr>
                <w:rFonts w:hint="eastAsia" w:ascii="Times New Roman" w:hAnsi="Times New Roman"/>
                <w:color w:val="auto"/>
                <w:sz w:val="24"/>
                <w:szCs w:val="24"/>
                <w:lang w:val="en-US" w:eastAsia="zh-CN"/>
              </w:rPr>
              <w:t>用电</w:t>
            </w:r>
            <w:r>
              <w:rPr>
                <w:rFonts w:ascii="Times New Roman" w:hAnsi="Times New Roman"/>
                <w:color w:val="auto"/>
                <w:sz w:val="24"/>
                <w:szCs w:val="24"/>
              </w:rPr>
              <w:t>需求</w:t>
            </w:r>
            <w:r>
              <w:rPr>
                <w:rFonts w:hint="eastAsia" w:ascii="Times New Roman" w:hAnsi="Times New Roman"/>
                <w:color w:val="auto"/>
                <w:sz w:val="24"/>
                <w:u w:val="none" w:color="auto"/>
              </w:rPr>
              <w:t>。</w:t>
            </w:r>
          </w:p>
          <w:p>
            <w:pPr>
              <w:spacing w:line="360" w:lineRule="auto"/>
              <w:textAlignment w:val="center"/>
              <w:rPr>
                <w:rFonts w:hint="eastAsia" w:ascii="Times New Roman" w:hAnsi="Times New Roman" w:eastAsia="宋体"/>
                <w:b/>
                <w:color w:val="auto"/>
                <w:sz w:val="24"/>
                <w:szCs w:val="24"/>
                <w:u w:val="none" w:color="auto"/>
                <w:lang w:eastAsia="zh-CN"/>
              </w:rPr>
            </w:pPr>
            <w:r>
              <w:rPr>
                <w:rFonts w:hint="eastAsia"/>
                <w:b/>
                <w:color w:val="auto"/>
                <w:sz w:val="24"/>
                <w:szCs w:val="24"/>
                <w:u w:val="none" w:color="auto"/>
                <w:lang w:val="en-US" w:eastAsia="zh-CN"/>
              </w:rPr>
              <w:t>七</w:t>
            </w:r>
            <w:r>
              <w:rPr>
                <w:rFonts w:hint="eastAsia" w:ascii="Times New Roman" w:hAnsi="Times New Roman"/>
                <w:b/>
                <w:color w:val="auto"/>
                <w:sz w:val="24"/>
                <w:szCs w:val="24"/>
                <w:u w:val="none" w:color="auto"/>
              </w:rPr>
              <w:t xml:space="preserve"> </w:t>
            </w:r>
            <w:r>
              <w:rPr>
                <w:rFonts w:hint="eastAsia" w:ascii="Times New Roman" w:hAnsi="Times New Roman"/>
                <w:b/>
                <w:color w:val="auto"/>
                <w:sz w:val="24"/>
                <w:szCs w:val="24"/>
                <w:u w:val="none" w:color="auto"/>
                <w:lang w:eastAsia="zh-CN"/>
              </w:rPr>
              <w:t>平面布置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b w:val="0"/>
                <w:bCs/>
                <w:color w:val="auto"/>
                <w:sz w:val="24"/>
                <w:szCs w:val="24"/>
                <w:u w:val="none" w:color="auto"/>
                <w:lang w:val="en-US" w:eastAsia="zh-CN"/>
              </w:rPr>
            </w:pPr>
            <w:r>
              <w:rPr>
                <w:rFonts w:hint="eastAsia" w:ascii="Times New Roman" w:hAnsi="Times New Roman"/>
                <w:b w:val="0"/>
                <w:bCs/>
                <w:color w:val="auto"/>
                <w:sz w:val="24"/>
                <w:szCs w:val="24"/>
                <w:u w:val="none" w:color="auto"/>
                <w:lang w:val="en-US" w:eastAsia="zh-CN"/>
              </w:rPr>
              <w:t>靖州县疾控中心平面布置呈现U字形结构，东面为行政办公楼，南面为</w:t>
            </w:r>
            <w:r>
              <w:rPr>
                <w:rFonts w:hint="eastAsia"/>
                <w:b w:val="0"/>
                <w:bCs/>
                <w:color w:val="auto"/>
                <w:sz w:val="24"/>
                <w:szCs w:val="24"/>
                <w:u w:val="none" w:color="auto"/>
                <w:lang w:val="en-US" w:eastAsia="zh-CN"/>
              </w:rPr>
              <w:t>检验</w:t>
            </w:r>
            <w:r>
              <w:rPr>
                <w:rFonts w:hint="eastAsia" w:ascii="Times New Roman" w:hAnsi="Times New Roman"/>
                <w:b w:val="0"/>
                <w:bCs/>
                <w:color w:val="auto"/>
                <w:sz w:val="24"/>
                <w:szCs w:val="24"/>
                <w:u w:val="none" w:color="auto"/>
                <w:lang w:val="en-US" w:eastAsia="zh-CN"/>
              </w:rPr>
              <w:t>楼，西面为拟改建</w:t>
            </w:r>
            <w:r>
              <w:rPr>
                <w:rFonts w:hint="eastAsia"/>
                <w:b w:val="0"/>
                <w:bCs/>
                <w:color w:val="auto"/>
                <w:sz w:val="24"/>
                <w:szCs w:val="24"/>
                <w:u w:val="none" w:color="auto"/>
                <w:lang w:val="en-US" w:eastAsia="zh-CN"/>
              </w:rPr>
              <w:t>检验检测</w:t>
            </w:r>
            <w:r>
              <w:rPr>
                <w:rFonts w:hint="eastAsia" w:ascii="Times New Roman" w:hAnsi="Times New Roman"/>
                <w:b w:val="0"/>
                <w:bCs/>
                <w:color w:val="auto"/>
                <w:sz w:val="24"/>
                <w:szCs w:val="24"/>
                <w:u w:val="none" w:color="auto"/>
                <w:lang w:val="en-US" w:eastAsia="zh-CN"/>
              </w:rPr>
              <w:t>楼，北面为卫生计生综合监督执法局</w:t>
            </w:r>
            <w:r>
              <w:rPr>
                <w:rFonts w:hint="eastAsia"/>
                <w:b w:val="0"/>
                <w:bCs/>
                <w:color w:val="auto"/>
                <w:sz w:val="24"/>
                <w:szCs w:val="24"/>
                <w:u w:val="none" w:color="auto"/>
                <w:lang w:val="en-US" w:eastAsia="zh-CN"/>
              </w:rPr>
              <w:t>，中间为露天停车场</w:t>
            </w:r>
            <w:r>
              <w:rPr>
                <w:rFonts w:hint="eastAsia" w:ascii="Times New Roman" w:hAnsi="Times New Roman"/>
                <w:b w:val="0"/>
                <w:bCs/>
                <w:color w:val="auto"/>
                <w:sz w:val="24"/>
                <w:szCs w:val="24"/>
                <w:u w:val="none" w:color="auto"/>
                <w:lang w:val="en-US" w:eastAsia="zh-CN"/>
              </w:rPr>
              <w:t>（不属于靖州县疾控中心</w:t>
            </w:r>
            <w:r>
              <w:rPr>
                <w:rFonts w:hint="eastAsia"/>
                <w:b w:val="0"/>
                <w:bCs/>
                <w:color w:val="auto"/>
                <w:sz w:val="24"/>
                <w:szCs w:val="24"/>
                <w:u w:val="none" w:color="auto"/>
                <w:lang w:val="en-US" w:eastAsia="zh-CN"/>
              </w:rPr>
              <w:t>），</w:t>
            </w:r>
            <w:r>
              <w:rPr>
                <w:rFonts w:hint="eastAsia" w:ascii="Times New Roman" w:hAnsi="Times New Roman"/>
                <w:b w:val="0"/>
                <w:bCs/>
                <w:color w:val="auto"/>
                <w:sz w:val="24"/>
                <w:szCs w:val="24"/>
                <w:u w:val="none" w:color="auto"/>
                <w:lang w:val="en-US" w:eastAsia="zh-CN"/>
              </w:rPr>
              <w:t>详见附图</w:t>
            </w:r>
            <w:r>
              <w:rPr>
                <w:rFonts w:hint="eastAsia"/>
                <w:b w:val="0"/>
                <w:bCs/>
                <w:color w:val="auto"/>
                <w:sz w:val="24"/>
                <w:szCs w:val="24"/>
                <w:u w:val="none" w:color="auto"/>
                <w:lang w:val="en-US" w:eastAsia="zh-CN"/>
              </w:rPr>
              <w:t>2</w:t>
            </w:r>
            <w:r>
              <w:rPr>
                <w:rFonts w:hint="eastAsia" w:ascii="Times New Roman" w:hAnsi="Times New Roman"/>
                <w:b w:val="0"/>
                <w:bCs/>
                <w:color w:val="auto"/>
                <w:sz w:val="24"/>
                <w:szCs w:val="24"/>
                <w:u w:val="none" w:color="auto"/>
                <w:lang w:val="en-US" w:eastAsia="zh-CN"/>
              </w:rPr>
              <w:t>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jc w:val="center"/>
        </w:trPr>
        <w:tc>
          <w:tcPr>
            <w:tcW w:w="494" w:type="dxa"/>
            <w:vAlign w:val="center"/>
          </w:tcPr>
          <w:p>
            <w:pPr>
              <w:pStyle w:val="4"/>
              <w:bidi w:val="0"/>
              <w:rPr>
                <w:rFonts w:hint="eastAsia"/>
                <w:lang w:val="en-US" w:eastAsia="zh-CN"/>
              </w:rPr>
            </w:pPr>
            <w:bookmarkStart w:id="4" w:name="_Toc8763"/>
            <w:r>
              <w:rPr>
                <w:rFonts w:hint="eastAsia"/>
              </w:rPr>
              <w:t>工艺流程和产排污环节</w:t>
            </w:r>
            <w:bookmarkEnd w:id="4"/>
          </w:p>
        </w:tc>
        <w:tc>
          <w:tcPr>
            <w:tcW w:w="9185" w:type="dxa"/>
            <w:vAlign w:val="top"/>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eastAsia"/>
                <w:b/>
                <w:bCs/>
                <w:sz w:val="24"/>
                <w:szCs w:val="24"/>
                <w:lang w:val="en-US" w:eastAsia="zh-CN"/>
              </w:rPr>
            </w:pPr>
            <w:r>
              <w:rPr>
                <w:rFonts w:hint="eastAsia"/>
                <w:b/>
                <w:bCs/>
                <w:sz w:val="24"/>
                <w:szCs w:val="24"/>
                <w:lang w:val="en-US" w:eastAsia="zh-CN"/>
              </w:rPr>
              <w:t>八、工艺流程及产排污环节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eastAsia"/>
                <w:b/>
                <w:bCs/>
                <w:sz w:val="24"/>
                <w:szCs w:val="24"/>
                <w:lang w:val="en-US" w:eastAsia="zh-CN"/>
              </w:rPr>
            </w:pPr>
            <w:r>
              <w:rPr>
                <w:rFonts w:hint="eastAsia"/>
                <w:b/>
                <w:bCs/>
                <w:sz w:val="24"/>
                <w:szCs w:val="24"/>
                <w:lang w:val="en-US" w:eastAsia="zh-CN"/>
              </w:rPr>
              <w:t>（1）施工期工艺流程和产污节点</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szCs w:val="24"/>
                <w:lang w:val="en-US" w:eastAsia="zh-CN"/>
              </w:rPr>
            </w:pPr>
            <w:r>
              <w:rPr>
                <w:rFonts w:hint="eastAsia"/>
                <w:sz w:val="24"/>
                <w:szCs w:val="24"/>
                <w:lang w:val="en-US" w:eastAsia="zh-CN"/>
              </w:rPr>
              <w:t>项目施工期总体工程较小，主要进行墙体、屋顶翻修以及设备安装，并在检验楼及检验检测楼二、三层之间新建一条连廊，总改造面积为</w:t>
            </w:r>
            <w:r>
              <w:rPr>
                <w:rFonts w:hint="default"/>
                <w:sz w:val="24"/>
                <w:szCs w:val="24"/>
                <w:lang w:val="en-US" w:eastAsia="zh-CN"/>
              </w:rPr>
              <w:t>1313.96m</w:t>
            </w:r>
            <w:r>
              <w:rPr>
                <w:rFonts w:hint="default"/>
                <w:sz w:val="24"/>
                <w:szCs w:val="24"/>
                <w:vertAlign w:val="superscript"/>
                <w:lang w:val="en-US" w:eastAsia="zh-CN"/>
              </w:rPr>
              <w:t>2</w:t>
            </w:r>
            <w:r>
              <w:rPr>
                <w:rFonts w:hint="eastAsia"/>
                <w:sz w:val="24"/>
                <w:szCs w:val="24"/>
                <w:lang w:val="en-US" w:eastAsia="zh-CN"/>
              </w:rPr>
              <w:t>主要产生施工扬尘、废渣土等污染物。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eastAsia"/>
                <w:b/>
                <w:bCs/>
                <w:sz w:val="24"/>
                <w:szCs w:val="24"/>
                <w:lang w:val="en-US" w:eastAsia="zh-CN"/>
              </w:rPr>
            </w:pPr>
            <w:r>
              <w:rPr>
                <w:rFonts w:hint="eastAsia"/>
                <w:b/>
                <w:bCs/>
                <w:sz w:val="24"/>
                <w:szCs w:val="24"/>
                <w:lang w:val="en-US" w:eastAsia="zh-CN"/>
              </w:rPr>
              <w:t>（2）运营期工艺流程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b/>
                <w:bCs/>
                <w:sz w:val="24"/>
                <w:szCs w:val="24"/>
                <w:lang w:val="en-US" w:eastAsia="zh-CN"/>
              </w:rPr>
            </w:pPr>
            <w:r>
              <w:rPr>
                <w:rFonts w:hint="eastAsia"/>
                <w:b/>
                <w:bCs/>
                <w:sz w:val="24"/>
                <w:szCs w:val="24"/>
                <w:lang w:val="en-US" w:eastAsia="zh-CN"/>
              </w:rPr>
              <w:t>A、总体工艺流程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szCs w:val="24"/>
                <w:u w:val="single"/>
                <w:lang w:val="en-US" w:eastAsia="zh-CN"/>
              </w:rPr>
            </w:pPr>
            <w:r>
              <w:rPr>
                <w:rFonts w:hint="eastAsia"/>
                <w:sz w:val="24"/>
                <w:szCs w:val="24"/>
                <w:u w:val="single"/>
                <w:lang w:val="en-US" w:eastAsia="zh-CN"/>
              </w:rPr>
              <w:t>本建设项目属于疾控中心，目前承担着全县传染病、结核病、艾滋病、地方病、寄生虫病的防控工作，负责处置突发公共卫生、事件应急处置、研究指导教学及提供戒毒医疗服务。</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lang w:val="en-US" w:eastAsia="zh-CN"/>
              </w:rPr>
            </w:pPr>
            <w:r>
              <w:rPr>
                <w:rFonts w:hint="eastAsia"/>
                <w:sz w:val="24"/>
                <w:szCs w:val="24"/>
                <w:u w:val="single"/>
                <w:lang w:val="en-US" w:eastAsia="zh-CN"/>
              </w:rPr>
              <w:t>本单位目前已取得了检验检测机构资质认定证书（见</w:t>
            </w:r>
            <w:r>
              <w:rPr>
                <w:rFonts w:hint="eastAsia"/>
                <w:sz w:val="24"/>
                <w:szCs w:val="24"/>
                <w:highlight w:val="none"/>
                <w:u w:val="single"/>
                <w:lang w:val="en-US" w:eastAsia="zh-CN"/>
              </w:rPr>
              <w:t>附件八</w:t>
            </w:r>
            <w:r>
              <w:rPr>
                <w:rFonts w:hint="eastAsia"/>
                <w:sz w:val="24"/>
                <w:szCs w:val="24"/>
                <w:u w:val="single"/>
                <w:lang w:val="en-US" w:eastAsia="zh-CN"/>
              </w:rPr>
              <w:t>），主要进行公共场所卫生检测、疫情信息检测、饮用水水质检测、慢性病检测、食品检测等工作。产污环节可分为实验室产污、生活产污、戒毒门诊产污及污水处理设备产污，总体工艺流程及产污环节图如下：</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7"/>
        <w:tblW w:w="13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2" w:hRule="atLeast"/>
          <w:jc w:val="center"/>
        </w:trPr>
        <w:tc>
          <w:tcPr>
            <w:tcW w:w="526" w:type="dxa"/>
            <w:vAlign w:val="center"/>
          </w:tcPr>
          <w:p>
            <w:pPr>
              <w:pStyle w:val="4"/>
              <w:bidi w:val="0"/>
              <w:rPr>
                <w:rFonts w:hint="eastAsia"/>
                <w:lang w:val="en-US" w:eastAsia="zh-CN"/>
              </w:rPr>
            </w:pPr>
            <w:r>
              <w:rPr>
                <w:rFonts w:hint="eastAsia"/>
              </w:rPr>
              <w:t>工艺流程和产排污环节</w:t>
            </w:r>
          </w:p>
        </w:tc>
        <w:tc>
          <w:tcPr>
            <w:tcW w:w="12993" w:type="dxa"/>
            <w:vAlign w:val="top"/>
          </w:tcPr>
          <w:p>
            <w:pPr>
              <w:jc w:val="center"/>
              <w:rPr>
                <w:rFonts w:hint="default"/>
                <w:lang w:val="en-US" w:eastAsia="zh-CN"/>
              </w:rPr>
            </w:pPr>
            <w:r>
              <w:rPr>
                <w:rFonts w:hint="eastAsia"/>
                <w:sz w:val="24"/>
                <w:szCs w:val="24"/>
                <w:u w:val="single"/>
                <w:lang w:val="en-US" w:eastAsia="zh-CN"/>
              </w:rPr>
              <w:drawing>
                <wp:anchor distT="0" distB="0" distL="114935" distR="114935" simplePos="0" relativeHeight="251668480" behindDoc="0" locked="0" layoutInCell="1" allowOverlap="1">
                  <wp:simplePos x="0" y="0"/>
                  <wp:positionH relativeFrom="column">
                    <wp:posOffset>-22225</wp:posOffset>
                  </wp:positionH>
                  <wp:positionV relativeFrom="paragraph">
                    <wp:posOffset>97790</wp:posOffset>
                  </wp:positionV>
                  <wp:extent cx="8070215" cy="4796790"/>
                  <wp:effectExtent l="0" t="0" r="0" b="0"/>
                  <wp:wrapTopAndBottom/>
                  <wp:docPr id="21" name="ECB019B1-382A-4266-B25C-5B523AA43C14-3" descr="C:/Users/Administrator/AppData/Local/Temp/wps.Tzyik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3" descr="C:/Users/Administrator/AppData/Local/Temp/wps.Tzyikzwps"/>
                          <pic:cNvPicPr>
                            <a:picLocks noChangeAspect="1"/>
                          </pic:cNvPicPr>
                        </pic:nvPicPr>
                        <pic:blipFill>
                          <a:blip r:embed="rId10"/>
                          <a:srcRect l="4868" t="973" r="2883"/>
                          <a:stretch>
                            <a:fillRect/>
                          </a:stretch>
                        </pic:blipFill>
                        <pic:spPr>
                          <a:xfrm>
                            <a:off x="0" y="0"/>
                            <a:ext cx="8070215" cy="4796790"/>
                          </a:xfrm>
                          <a:prstGeom prst="rect">
                            <a:avLst/>
                          </a:prstGeom>
                        </pic:spPr>
                      </pic:pic>
                    </a:graphicData>
                  </a:graphic>
                </wp:anchor>
              </w:drawing>
            </w:r>
            <w:r>
              <w:rPr>
                <w:rFonts w:hint="eastAsia"/>
                <w:b/>
                <w:bCs/>
                <w:sz w:val="24"/>
                <w:szCs w:val="24"/>
                <w:u w:val="single"/>
                <w:lang w:val="en-US" w:eastAsia="zh-CN"/>
              </w:rPr>
              <w:t>图2-3  总工艺流程图</w:t>
            </w:r>
          </w:p>
        </w:tc>
      </w:tr>
    </w:tbl>
    <w:p>
      <w:pPr>
        <w:pStyle w:val="21"/>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tbl>
      <w:tblPr>
        <w:tblStyle w:val="17"/>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jc w:val="center"/>
        </w:trPr>
        <w:tc>
          <w:tcPr>
            <w:tcW w:w="494" w:type="dxa"/>
            <w:vAlign w:val="center"/>
          </w:tcPr>
          <w:p/>
        </w:tc>
        <w:tc>
          <w:tcPr>
            <w:tcW w:w="9185" w:type="dxa"/>
            <w:vAlign w:val="top"/>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szCs w:val="24"/>
                <w:u w:val="single"/>
                <w:lang w:val="en-US" w:eastAsia="zh-CN"/>
              </w:rPr>
            </w:pPr>
            <w:r>
              <w:rPr>
                <w:rFonts w:hint="eastAsia"/>
                <w:b/>
                <w:bCs/>
                <w:sz w:val="24"/>
                <w:szCs w:val="24"/>
                <w:u w:val="single"/>
                <w:lang w:val="en-US" w:eastAsia="zh-CN"/>
              </w:rPr>
              <w:t>A、生活产污</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本单位内设有食堂、厕所、洗手池等基础设施，员工自早上八点工作至下午五点，因此将会产生一部分生活污水、生活垃圾及食堂油烟。</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textAlignment w:val="baseline"/>
              <w:rPr>
                <w:rFonts w:hint="default"/>
                <w:b/>
                <w:bCs/>
                <w:sz w:val="24"/>
                <w:szCs w:val="24"/>
                <w:u w:val="single"/>
                <w:lang w:val="en-US" w:eastAsia="zh-CN"/>
              </w:rPr>
            </w:pPr>
            <w:r>
              <w:rPr>
                <w:rFonts w:hint="default"/>
                <w:b/>
                <w:bCs/>
                <w:sz w:val="24"/>
                <w:szCs w:val="24"/>
                <w:u w:val="single"/>
                <w:lang w:val="en-US" w:eastAsia="zh-CN"/>
              </w:rPr>
              <w:drawing>
                <wp:anchor distT="0" distB="0" distL="114935" distR="114935" simplePos="0" relativeHeight="251677696" behindDoc="0" locked="0" layoutInCell="1" allowOverlap="1">
                  <wp:simplePos x="0" y="0"/>
                  <wp:positionH relativeFrom="column">
                    <wp:posOffset>401955</wp:posOffset>
                  </wp:positionH>
                  <wp:positionV relativeFrom="paragraph">
                    <wp:posOffset>57785</wp:posOffset>
                  </wp:positionV>
                  <wp:extent cx="4803140" cy="2570480"/>
                  <wp:effectExtent l="0" t="0" r="16510" b="0"/>
                  <wp:wrapTopAndBottom/>
                  <wp:docPr id="19" name="ECB019B1-382A-4266-B25C-5B523AA43C14-4" descr="C:/Users/Administrator/AppData/Local/Temp/wps.qTJfm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4" descr="C:/Users/Administrator/AppData/Local/Temp/wps.qTJfmjwps"/>
                          <pic:cNvPicPr>
                            <a:picLocks noChangeAspect="1"/>
                          </pic:cNvPicPr>
                        </pic:nvPicPr>
                        <pic:blipFill>
                          <a:blip r:embed="rId11"/>
                          <a:srcRect l="6127" r="9452" b="8092"/>
                          <a:stretch>
                            <a:fillRect/>
                          </a:stretch>
                        </pic:blipFill>
                        <pic:spPr>
                          <a:xfrm>
                            <a:off x="0" y="0"/>
                            <a:ext cx="4803140" cy="2570480"/>
                          </a:xfrm>
                          <a:prstGeom prst="rect">
                            <a:avLst/>
                          </a:prstGeom>
                        </pic:spPr>
                      </pic:pic>
                    </a:graphicData>
                  </a:graphic>
                </wp:anchor>
              </w:drawing>
            </w:r>
            <w:r>
              <w:rPr>
                <w:rFonts w:hint="eastAsia"/>
                <w:b/>
                <w:bCs/>
                <w:sz w:val="24"/>
                <w:szCs w:val="24"/>
                <w:u w:val="single"/>
                <w:lang w:val="en-US" w:eastAsia="zh-CN"/>
              </w:rPr>
              <w:t>图2-4  生活产污流程图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b/>
                <w:bCs/>
                <w:sz w:val="24"/>
                <w:szCs w:val="24"/>
                <w:lang w:val="en-US" w:eastAsia="zh-CN"/>
              </w:rPr>
            </w:pPr>
            <w:r>
              <w:rPr>
                <w:rFonts w:hint="eastAsia"/>
                <w:b/>
                <w:bCs/>
                <w:sz w:val="24"/>
                <w:szCs w:val="24"/>
                <w:lang w:val="en-US" w:eastAsia="zh-CN"/>
              </w:rPr>
              <w:t>B、实验室流程及产污</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b/>
                <w:bCs/>
                <w:sz w:val="24"/>
                <w:szCs w:val="24"/>
                <w:lang w:val="en-US" w:eastAsia="zh-CN"/>
              </w:rPr>
            </w:pPr>
            <w:r>
              <w:rPr>
                <w:rFonts w:hint="eastAsia"/>
                <w:b/>
                <w:bCs/>
                <w:sz w:val="24"/>
                <w:szCs w:val="24"/>
                <w:lang w:val="en-US" w:eastAsia="zh-CN"/>
              </w:rPr>
              <w:t>a、理化工艺流程图（食品检测、水质监测）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u w:val="single"/>
                <w:lang w:val="en-US" w:eastAsia="zh-CN"/>
              </w:rPr>
            </w:pPr>
            <w:r>
              <w:rPr>
                <w:rFonts w:hint="eastAsia"/>
                <w:sz w:val="24"/>
                <w:szCs w:val="24"/>
                <w:u w:val="single"/>
                <w:lang w:val="en-US" w:eastAsia="zh-CN"/>
              </w:rPr>
              <w:t>1、前处理：针对不同样品前处理方式有所区别，大体上可分为消解、萃取、过滤几种类型。消解时向样品加入硝酸等试剂后进行加热处理，由于硝酸受热分解，因此将产生少量NO</w:t>
            </w:r>
            <w:r>
              <w:rPr>
                <w:rFonts w:hint="eastAsia"/>
                <w:sz w:val="24"/>
                <w:szCs w:val="24"/>
                <w:u w:val="single"/>
                <w:vertAlign w:val="subscript"/>
                <w:lang w:val="en-US" w:eastAsia="zh-CN"/>
              </w:rPr>
              <w:t>2</w:t>
            </w:r>
            <w:r>
              <w:rPr>
                <w:rFonts w:hint="eastAsia"/>
                <w:sz w:val="24"/>
                <w:szCs w:val="24"/>
                <w:u w:val="single"/>
                <w:lang w:val="en-US" w:eastAsia="zh-CN"/>
              </w:rPr>
              <w:t>、酸雾。气象色谱分析有机物时将三氯甲烷作为萃取剂，因此将挥发出少量有机废气，用于分析后的样品仍含有三氯甲烷，需作为危废处理；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2、仪器分析：操作人员将前处理后的样品送入仪器上机分析，读取分析结果后记录；</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u w:val="single"/>
                <w:lang w:val="en-US" w:eastAsia="zh-CN"/>
              </w:rPr>
            </w:pPr>
            <w:r>
              <w:rPr>
                <w:rFonts w:hint="eastAsia"/>
                <w:sz w:val="24"/>
                <w:szCs w:val="24"/>
                <w:u w:val="single"/>
                <w:lang w:val="en-US" w:eastAsia="zh-CN"/>
              </w:rPr>
              <w:t>3、清洗：清洗过程中，大部分器皿使用清水清洗即可，多余的样品及废水排入污水处理设备；少量器皿需要通过酸浸，使用后的废酸液属于危险废物，需交由有资质单位处置。另外，污水处理工作时也会无组织会发出少量恶臭气体。</w:t>
            </w:r>
          </w:p>
          <w:p>
            <w:pPr>
              <w:spacing w:line="360" w:lineRule="auto"/>
              <w:ind w:firstLine="472" w:firstLineChars="196"/>
              <w:jc w:val="center"/>
              <w:textAlignment w:val="center"/>
              <w:rPr>
                <w:rFonts w:hint="eastAsia"/>
                <w:b/>
                <w:bCs/>
                <w:sz w:val="24"/>
                <w:szCs w:val="24"/>
                <w:lang w:val="en-US" w:eastAsia="zh-CN"/>
              </w:rPr>
            </w:pPr>
            <w:r>
              <w:rPr>
                <w:rFonts w:hint="eastAsia"/>
                <w:b/>
                <w:bCs/>
                <w:sz w:val="24"/>
                <w:szCs w:val="24"/>
                <w:lang w:val="en-US" w:eastAsia="zh-CN"/>
              </w:rPr>
              <w:drawing>
                <wp:anchor distT="0" distB="0" distL="114935" distR="114935" simplePos="0" relativeHeight="251678720" behindDoc="0" locked="0" layoutInCell="1" allowOverlap="1">
                  <wp:simplePos x="0" y="0"/>
                  <wp:positionH relativeFrom="column">
                    <wp:posOffset>349250</wp:posOffset>
                  </wp:positionH>
                  <wp:positionV relativeFrom="paragraph">
                    <wp:posOffset>64770</wp:posOffset>
                  </wp:positionV>
                  <wp:extent cx="4900295" cy="2247265"/>
                  <wp:effectExtent l="0" t="0" r="0" b="0"/>
                  <wp:wrapTopAndBottom/>
                  <wp:docPr id="1" name="ECB019B1-382A-4266-B25C-5B523AA43C14-5" descr="C:/Users/Administrator/AppData/Local/Temp/wps.eoPAQ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5" descr="C:/Users/Administrator/AppData/Local/Temp/wps.eoPAQDwps"/>
                          <pic:cNvPicPr>
                            <a:picLocks noChangeAspect="1"/>
                          </pic:cNvPicPr>
                        </pic:nvPicPr>
                        <pic:blipFill>
                          <a:blip r:embed="rId12"/>
                          <a:srcRect l="5324" t="11560" r="2095" b="-795"/>
                          <a:stretch>
                            <a:fillRect/>
                          </a:stretch>
                        </pic:blipFill>
                        <pic:spPr>
                          <a:xfrm>
                            <a:off x="0" y="0"/>
                            <a:ext cx="4900295" cy="2247265"/>
                          </a:xfrm>
                          <a:prstGeom prst="rect">
                            <a:avLst/>
                          </a:prstGeom>
                          <a:ln w="12700">
                            <a:noFill/>
                          </a:ln>
                        </pic:spPr>
                      </pic:pic>
                    </a:graphicData>
                  </a:graphic>
                </wp:anchor>
              </w:drawing>
            </w:r>
            <w:r>
              <w:rPr>
                <w:rFonts w:hint="eastAsia"/>
                <w:b/>
                <w:bCs/>
                <w:sz w:val="24"/>
                <w:szCs w:val="24"/>
                <w:lang w:val="en-US" w:eastAsia="zh-CN"/>
              </w:rPr>
              <w:t>图2-5  理化实验工艺流程及产污节点</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szCs w:val="24"/>
                <w:lang w:val="en-US" w:eastAsia="zh-CN"/>
              </w:rPr>
            </w:pPr>
            <w:r>
              <w:rPr>
                <w:rFonts w:hint="eastAsia"/>
                <w:b/>
                <w:bCs/>
                <w:sz w:val="24"/>
                <w:szCs w:val="24"/>
                <w:lang w:val="en-US" w:eastAsia="zh-CN"/>
              </w:rPr>
              <w:t>b、微生物实验流程（疾病检测）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szCs w:val="24"/>
                <w:lang w:val="en-US" w:eastAsia="zh-CN"/>
              </w:rPr>
            </w:pPr>
            <w:r>
              <w:rPr>
                <w:rFonts w:hint="eastAsia"/>
                <w:sz w:val="24"/>
                <w:szCs w:val="24"/>
                <w:lang w:val="en-US" w:eastAsia="zh-CN"/>
              </w:rPr>
              <w:t>1、制作培养基：调配一定量的微生物培养液，该过程中产生一定量废液、废培养基（危险废物）；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2、接种：用接种环将样品接种制作好的培养基内。该过程均在生物安全柜内操作，废气经过HEPA滤网滤后内循环；更换下的HEPA滤网属于危险废物；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3、培养：将接种后样品至于恒温培养箱内，进行微生物培养；</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4、鉴定：加入相应的试剂，对培养后的细菌进行鉴定；</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szCs w:val="24"/>
                <w:lang w:val="en-US" w:eastAsia="zh-CN"/>
              </w:rPr>
            </w:pPr>
            <w:r>
              <w:rPr>
                <w:rFonts w:hint="eastAsia"/>
                <w:sz w:val="24"/>
                <w:szCs w:val="24"/>
                <w:lang w:val="en-US" w:eastAsia="zh-CN"/>
              </w:rPr>
              <w:t>5、清洗：清洗培养基产生的废水排入污水处理设备。</w:t>
            </w:r>
          </w:p>
          <w:p>
            <w:pPr>
              <w:pStyle w:val="21"/>
              <w:rPr>
                <w:rFonts w:hint="default"/>
                <w:sz w:val="24"/>
                <w:szCs w:val="24"/>
                <w:lang w:val="en-US" w:eastAsia="zh-CN"/>
              </w:rPr>
            </w:pPr>
            <w:r>
              <w:rPr>
                <w:rFonts w:hint="default"/>
                <w:sz w:val="24"/>
                <w:szCs w:val="24"/>
                <w:lang w:val="en-US" w:eastAsia="zh-CN"/>
              </w:rPr>
              <w:drawing>
                <wp:inline distT="0" distB="0" distL="114300" distR="114300">
                  <wp:extent cx="5634355" cy="3215005"/>
                  <wp:effectExtent l="0" t="0" r="0" b="0"/>
                  <wp:docPr id="15" name="ECB019B1-382A-4266-B25C-5B523AA43C14-6" descr="C:/Users/Administrator/AppData/Local/Temp/wps.eIiiF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6" descr="C:/Users/Administrator/AppData/Local/Temp/wps.eIiiFCwps"/>
                          <pic:cNvPicPr>
                            <a:picLocks noChangeAspect="1"/>
                          </pic:cNvPicPr>
                        </pic:nvPicPr>
                        <pic:blipFill>
                          <a:blip r:embed="rId13"/>
                          <a:stretch>
                            <a:fillRect/>
                          </a:stretch>
                        </pic:blipFill>
                        <pic:spPr>
                          <a:xfrm>
                            <a:off x="0" y="0"/>
                            <a:ext cx="5634355" cy="321500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baseline"/>
              <w:rPr>
                <w:rFonts w:hint="eastAsia"/>
                <w:b/>
                <w:bCs/>
                <w:sz w:val="24"/>
                <w:szCs w:val="24"/>
                <w:lang w:val="en-US" w:eastAsia="zh-CN"/>
              </w:rPr>
            </w:pPr>
            <w:r>
              <w:rPr>
                <w:rFonts w:hint="eastAsia"/>
                <w:b/>
                <w:bCs/>
                <w:sz w:val="24"/>
                <w:szCs w:val="24"/>
                <w:lang w:val="en-US" w:eastAsia="zh-CN"/>
              </w:rPr>
              <w:t>图2-6  微生物实验流程及产污节点</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szCs w:val="24"/>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szCs w:val="24"/>
                <w:lang w:val="en-US" w:eastAsia="zh-CN"/>
              </w:rPr>
            </w:pPr>
            <w:r>
              <w:rPr>
                <w:rFonts w:hint="eastAsia"/>
                <w:b/>
                <w:bCs/>
                <w:sz w:val="24"/>
                <w:szCs w:val="24"/>
                <w:lang w:val="en-US" w:eastAsia="zh-CN"/>
              </w:rPr>
              <w:t>c、PCR荧光实验流程（疾病检测）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1、核酸提取：将样品及试剂加入核酸自动提取仪内，分离核酸。该过程均在生物安全柜内（共2台）操作，废气经过HEPA滤网滤后外排或内循环（1台安全柜外排，另一台内循环）；</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2、PCR扩增：将分离的核酸后的样品放入荧光定量PCR仪内，进行PCR扩增；该过程中产生的废试管、样品属于医疗废物（危险废物），交由有资质的单位进行处置；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lang w:val="en-US" w:eastAsia="zh-CN"/>
              </w:rPr>
            </w:pPr>
            <w:r>
              <w:rPr>
                <w:rFonts w:hint="eastAsia"/>
                <w:sz w:val="24"/>
                <w:szCs w:val="24"/>
                <w:lang w:val="en-US" w:eastAsia="zh-CN"/>
              </w:rPr>
              <w:t>3、结果分析：操作人员读取分析结果，出具检测报告。</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baseline"/>
              <w:rPr>
                <w:rFonts w:hint="eastAsia"/>
                <w:lang w:val="en-US" w:eastAsia="zh-CN"/>
              </w:rPr>
            </w:pPr>
            <w:r>
              <w:rPr>
                <w:rFonts w:hint="eastAsia"/>
                <w:lang w:val="en-US" w:eastAsia="zh-CN"/>
              </w:rPr>
              <w:drawing>
                <wp:inline distT="0" distB="0" distL="114300" distR="114300">
                  <wp:extent cx="4062730" cy="2331720"/>
                  <wp:effectExtent l="0" t="0" r="13970" b="12065"/>
                  <wp:docPr id="3" name="ECB019B1-382A-4266-B25C-5B523AA43C14-7" descr="C:/Users/Administrator/AppData/Local/Temp/wps.CUMdq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7" descr="C:/Users/Administrator/AppData/Local/Temp/wps.CUMdqwwps"/>
                          <pic:cNvPicPr>
                            <a:picLocks noChangeAspect="1"/>
                          </pic:cNvPicPr>
                        </pic:nvPicPr>
                        <pic:blipFill>
                          <a:blip r:embed="rId14"/>
                          <a:srcRect l="5849" t="8718" r="4152" b="8382"/>
                          <a:stretch>
                            <a:fillRect/>
                          </a:stretch>
                        </pic:blipFill>
                        <pic:spPr>
                          <a:xfrm>
                            <a:off x="0" y="0"/>
                            <a:ext cx="4062730" cy="2331720"/>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baseline"/>
              <w:rPr>
                <w:rFonts w:hint="eastAsia"/>
                <w:b/>
                <w:bCs/>
                <w:sz w:val="24"/>
                <w:szCs w:val="24"/>
                <w:lang w:val="en-US" w:eastAsia="zh-CN"/>
              </w:rPr>
            </w:pPr>
            <w:r>
              <w:rPr>
                <w:rFonts w:hint="eastAsia"/>
                <w:b/>
                <w:bCs/>
                <w:sz w:val="24"/>
                <w:szCs w:val="24"/>
                <w:lang w:val="en-US" w:eastAsia="zh-CN"/>
              </w:rPr>
              <w:t>图2-7  PCR荧光实验流程图</w:t>
            </w:r>
          </w:p>
          <w:p>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b/>
                <w:bCs/>
                <w:u w:val="single"/>
                <w:lang w:val="en-US" w:eastAsia="zh-CN"/>
              </w:rPr>
            </w:pPr>
            <w:r>
              <w:rPr>
                <w:rFonts w:hint="eastAsia"/>
                <w:b/>
                <w:bCs/>
                <w:u w:val="single"/>
                <w:lang w:val="en-US" w:eastAsia="zh-CN"/>
              </w:rPr>
              <w:t>C、戒毒门诊运营流程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szCs w:val="24"/>
                <w:u w:val="single"/>
                <w:lang w:val="en-US" w:eastAsia="zh-CN"/>
              </w:rPr>
            </w:pPr>
            <w:r>
              <w:rPr>
                <w:rFonts w:hint="eastAsia"/>
                <w:sz w:val="24"/>
                <w:szCs w:val="24"/>
                <w:u w:val="single"/>
                <w:lang w:val="en-US" w:eastAsia="zh-CN"/>
              </w:rPr>
              <w:t>戒毒人员定期来到门诊后，服用美沙酮替代毒品，以减缓戒毒带来的不适感，随后离开。产生的废美沙酮桶属于危险废物。</w:t>
            </w:r>
          </w:p>
          <w:p>
            <w:pPr>
              <w:pStyle w:val="21"/>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b/>
                <w:bCs/>
                <w:highlight w:val="none"/>
                <w:u w:val="single"/>
                <w:lang w:val="en-US" w:eastAsia="zh-CN"/>
              </w:rPr>
            </w:pPr>
            <w:r>
              <w:rPr>
                <w:rFonts w:hint="eastAsia"/>
                <w:b/>
                <w:bCs/>
                <w:highlight w:val="none"/>
                <w:u w:val="single"/>
                <w:lang w:val="en-US" w:eastAsia="zh-CN"/>
              </w:rPr>
              <w:drawing>
                <wp:anchor distT="0" distB="0" distL="114935" distR="114935" simplePos="0" relativeHeight="251676672" behindDoc="0" locked="0" layoutInCell="1" allowOverlap="1">
                  <wp:simplePos x="0" y="0"/>
                  <wp:positionH relativeFrom="column">
                    <wp:posOffset>109855</wp:posOffset>
                  </wp:positionH>
                  <wp:positionV relativeFrom="paragraph">
                    <wp:posOffset>25400</wp:posOffset>
                  </wp:positionV>
                  <wp:extent cx="5537200" cy="2400300"/>
                  <wp:effectExtent l="0" t="0" r="0" b="0"/>
                  <wp:wrapTopAndBottom/>
                  <wp:docPr id="13" name="ECB019B1-382A-4266-B25C-5B523AA43C14-8" descr="C:/Users/Administrator/AppData/Local/Temp/wps.xSYXX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8" descr="C:/Users/Administrator/AppData/Local/Temp/wps.xSYXXpwps"/>
                          <pic:cNvPicPr>
                            <a:picLocks noChangeAspect="1"/>
                          </pic:cNvPicPr>
                        </pic:nvPicPr>
                        <pic:blipFill>
                          <a:blip r:embed="rId15"/>
                          <a:stretch>
                            <a:fillRect/>
                          </a:stretch>
                        </pic:blipFill>
                        <pic:spPr>
                          <a:xfrm>
                            <a:off x="0" y="0"/>
                            <a:ext cx="5537200" cy="2400300"/>
                          </a:xfrm>
                          <a:prstGeom prst="rect">
                            <a:avLst/>
                          </a:prstGeom>
                        </pic:spPr>
                      </pic:pic>
                    </a:graphicData>
                  </a:graphic>
                </wp:anchor>
              </w:drawing>
            </w:r>
            <w:r>
              <w:rPr>
                <w:rFonts w:hint="eastAsia"/>
                <w:b/>
                <w:bCs/>
                <w:highlight w:val="none"/>
                <w:u w:val="single"/>
                <w:lang w:val="en-US" w:eastAsia="zh-CN"/>
              </w:rPr>
              <w:t>图</w:t>
            </w:r>
            <w:r>
              <w:rPr>
                <w:rFonts w:hint="default" w:ascii="Times New Roman" w:hAnsi="Times New Roman" w:cs="Times New Roman"/>
                <w:b/>
                <w:bCs/>
                <w:highlight w:val="none"/>
                <w:u w:val="single"/>
                <w:lang w:val="en-US" w:eastAsia="zh-CN"/>
              </w:rPr>
              <w:t xml:space="preserve">2-8 </w:t>
            </w:r>
            <w:r>
              <w:rPr>
                <w:rFonts w:hint="eastAsia"/>
                <w:b/>
                <w:bCs/>
                <w:highlight w:val="none"/>
                <w:u w:val="single"/>
                <w:lang w:val="en-US" w:eastAsia="zh-CN"/>
              </w:rPr>
              <w:t xml:space="preserve"> 戒毒门诊运营流程图</w:t>
            </w:r>
          </w:p>
          <w:p>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eastAsia="宋体" w:cs="宋体"/>
                <w:b/>
                <w:bCs/>
                <w:u w:val="single"/>
                <w:lang w:val="en-US" w:eastAsia="zh-CN"/>
              </w:rPr>
            </w:pPr>
            <w:r>
              <w:rPr>
                <w:rFonts w:hint="eastAsia" w:ascii="宋体" w:eastAsia="宋体" w:cs="宋体"/>
                <w:b/>
                <w:bCs/>
                <w:u w:val="single"/>
                <w:lang w:val="en-US" w:eastAsia="zh-CN"/>
              </w:rPr>
              <w:t>D、污水处理工艺及产</w:t>
            </w:r>
            <w:r>
              <w:rPr>
                <w:rFonts w:hint="eastAsia" w:cs="宋体"/>
                <w:b/>
                <w:bCs/>
                <w:u w:val="single"/>
                <w:lang w:val="en-US" w:eastAsia="zh-CN"/>
              </w:rPr>
              <w:t>污</w:t>
            </w:r>
            <w:r>
              <w:rPr>
                <w:rFonts w:hint="eastAsia" w:ascii="宋体" w:eastAsia="宋体" w:cs="宋体"/>
                <w:b/>
                <w:bCs/>
                <w:u w:val="single"/>
                <w:lang w:val="en-US" w:eastAsia="zh-CN"/>
              </w:rPr>
              <w:t>环节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1、综合调节：实验室废水排入调节池内，同时加入</w:t>
            </w:r>
            <w:r>
              <w:rPr>
                <w:rFonts w:hint="eastAsia" w:cs="Times New Roman"/>
                <w:sz w:val="24"/>
                <w:szCs w:val="24"/>
                <w:u w:val="single"/>
                <w:lang w:val="en-US" w:eastAsia="zh-CN"/>
              </w:rPr>
              <w:t>消毒剂</w:t>
            </w:r>
            <w:r>
              <w:rPr>
                <w:rFonts w:hint="eastAsia" w:ascii="Times New Roman" w:hAnsi="Times New Roman" w:eastAsia="宋体" w:cs="Times New Roman"/>
                <w:sz w:val="24"/>
                <w:szCs w:val="24"/>
                <w:u w:val="single"/>
                <w:lang w:val="en-US" w:eastAsia="zh-CN"/>
              </w:rPr>
              <w:t>消毒处理；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2、絮凝沉淀：调解后的废水进入絮凝沉淀池，投加PAC及</w:t>
            </w:r>
            <w:r>
              <w:rPr>
                <w:rFonts w:hint="eastAsia" w:cs="Times New Roman"/>
                <w:sz w:val="24"/>
                <w:szCs w:val="24"/>
                <w:u w:val="single"/>
                <w:lang w:val="en-US" w:eastAsia="zh-CN"/>
              </w:rPr>
              <w:t>消毒剂</w:t>
            </w:r>
            <w:r>
              <w:rPr>
                <w:rFonts w:hint="eastAsia" w:ascii="Times New Roman" w:hAnsi="Times New Roman" w:eastAsia="宋体" w:cs="Times New Roman"/>
                <w:sz w:val="24"/>
                <w:szCs w:val="24"/>
                <w:u w:val="single"/>
                <w:lang w:val="en-US" w:eastAsia="zh-CN"/>
              </w:rPr>
              <w:t>，实现固液分离并进一步消毒；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3、将絮凝产生的污泥装桶，投入一定量的消毒剂后干化处理，干化后送至有资质单位处理；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4、脱氯：经絮凝后的废水进入脱氯池，投加脱氯剂，降低余氯含量；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5、经脱氯后的废水各污染物浓度已显著降低，达《医疗机构水污染物排放标准》（GB18466-2005）后排入文昌溪。</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6、净化污水时，设备将产生微量氯气、硫化氢、氨气等恶臭气体，将以无组织形式挥发。</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drawing>
                <wp:inline distT="0" distB="0" distL="114300" distR="114300">
                  <wp:extent cx="5144770" cy="2900680"/>
                  <wp:effectExtent l="0" t="0" r="0" b="0"/>
                  <wp:docPr id="28" name="ECB019B1-382A-4266-B25C-5B523AA43C14-9" descr="C:/Users/Administrator/AppData/Local/Temp/wps.fByxj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9" descr="C:/Users/Administrator/AppData/Local/Temp/wps.fByxjQwps"/>
                          <pic:cNvPicPr>
                            <a:picLocks noChangeAspect="1"/>
                          </pic:cNvPicPr>
                        </pic:nvPicPr>
                        <pic:blipFill>
                          <a:blip r:embed="rId16"/>
                          <a:stretch>
                            <a:fillRect/>
                          </a:stretch>
                        </pic:blipFill>
                        <pic:spPr>
                          <a:xfrm>
                            <a:off x="0" y="0"/>
                            <a:ext cx="5144770" cy="2900680"/>
                          </a:xfrm>
                          <a:prstGeom prst="rect">
                            <a:avLst/>
                          </a:prstGeom>
                        </pic:spPr>
                      </pic:pic>
                    </a:graphicData>
                  </a:graphic>
                </wp:inline>
              </w:drawing>
            </w:r>
          </w:p>
          <w:p>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rPr>
                <w:rFonts w:hint="default"/>
                <w:b/>
                <w:bCs/>
                <w:u w:val="single"/>
                <w:lang w:val="en-US" w:eastAsia="zh-CN"/>
              </w:rPr>
            </w:pPr>
            <w:r>
              <w:rPr>
                <w:rFonts w:hint="eastAsia"/>
                <w:b/>
                <w:bCs/>
                <w:u w:val="single"/>
                <w:lang w:val="en-US" w:eastAsia="zh-CN"/>
              </w:rPr>
              <w:t>图2-9  本项目污水处理工艺及产污环节图</w:t>
            </w:r>
          </w:p>
          <w:p>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b/>
                <w:bCs/>
                <w:lang w:val="en-US" w:eastAsia="zh-CN"/>
              </w:rPr>
            </w:pPr>
            <w:r>
              <w:rPr>
                <w:rFonts w:hint="eastAsia"/>
                <w:b/>
                <w:bCs/>
                <w:lang w:val="en-US" w:eastAsia="zh-CN"/>
              </w:rPr>
              <w:t>E、工艺流程及产污环节汇总</w:t>
            </w:r>
          </w:p>
          <w:p>
            <w:pPr>
              <w:jc w:val="center"/>
              <w:rPr>
                <w:rFonts w:hint="default"/>
                <w:b/>
                <w:bCs/>
                <w:u w:val="single"/>
                <w:lang w:val="en-US" w:eastAsia="zh-CN"/>
              </w:rPr>
            </w:pPr>
            <w:r>
              <w:rPr>
                <w:rFonts w:hint="eastAsia"/>
                <w:b/>
                <w:bCs/>
                <w:sz w:val="24"/>
                <w:szCs w:val="24"/>
                <w:u w:val="single"/>
                <w:lang w:val="en-US" w:eastAsia="zh-CN"/>
              </w:rPr>
              <w:t>表2-7  本项目产污环节汇总</w:t>
            </w:r>
          </w:p>
          <w:tbl>
            <w:tblPr>
              <w:tblStyle w:val="17"/>
              <w:tblW w:w="85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150"/>
              <w:gridCol w:w="1485"/>
              <w:gridCol w:w="2392"/>
              <w:gridCol w:w="2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54" w:type="dxa"/>
                  <w:tcBorders>
                    <w:bottom w:val="single" w:color="auto" w:sz="12" w:space="0"/>
                  </w:tcBorders>
                  <w:vAlign w:val="center"/>
                </w:tcPr>
                <w:p>
                  <w:pPr>
                    <w:jc w:val="center"/>
                    <w:rPr>
                      <w:rFonts w:hint="default"/>
                      <w:b/>
                      <w:bCs/>
                      <w:sz w:val="21"/>
                      <w:szCs w:val="21"/>
                      <w:u w:val="single"/>
                      <w:lang w:val="en-US" w:eastAsia="zh-CN"/>
                    </w:rPr>
                  </w:pPr>
                  <w:r>
                    <w:rPr>
                      <w:rFonts w:hint="eastAsia"/>
                      <w:b/>
                      <w:bCs/>
                      <w:sz w:val="21"/>
                      <w:szCs w:val="21"/>
                      <w:u w:val="single"/>
                      <w:lang w:val="en-US" w:eastAsia="zh-CN"/>
                    </w:rPr>
                    <w:t>产污环节</w:t>
                  </w:r>
                </w:p>
              </w:tc>
              <w:tc>
                <w:tcPr>
                  <w:tcW w:w="1150" w:type="dxa"/>
                  <w:tcBorders>
                    <w:bottom w:val="single" w:color="auto" w:sz="12" w:space="0"/>
                  </w:tcBorders>
                  <w:vAlign w:val="center"/>
                </w:tcPr>
                <w:p>
                  <w:pPr>
                    <w:jc w:val="center"/>
                    <w:rPr>
                      <w:rFonts w:hint="default"/>
                      <w:b/>
                      <w:bCs/>
                      <w:sz w:val="21"/>
                      <w:szCs w:val="21"/>
                      <w:u w:val="single"/>
                      <w:lang w:val="en-US" w:eastAsia="zh-CN"/>
                    </w:rPr>
                  </w:pPr>
                  <w:r>
                    <w:rPr>
                      <w:rFonts w:hint="eastAsia"/>
                      <w:b/>
                      <w:bCs/>
                      <w:sz w:val="21"/>
                      <w:szCs w:val="21"/>
                      <w:u w:val="single"/>
                      <w:lang w:val="en-US" w:eastAsia="zh-CN"/>
                    </w:rPr>
                    <w:t>污染形式</w:t>
                  </w:r>
                </w:p>
              </w:tc>
              <w:tc>
                <w:tcPr>
                  <w:tcW w:w="1485" w:type="dxa"/>
                  <w:tcBorders>
                    <w:bottom w:val="single" w:color="auto" w:sz="12" w:space="0"/>
                  </w:tcBorders>
                  <w:vAlign w:val="center"/>
                </w:tcPr>
                <w:p>
                  <w:pPr>
                    <w:jc w:val="center"/>
                    <w:rPr>
                      <w:rFonts w:hint="default"/>
                      <w:b/>
                      <w:bCs/>
                      <w:sz w:val="21"/>
                      <w:szCs w:val="21"/>
                      <w:u w:val="single"/>
                      <w:lang w:val="en-US" w:eastAsia="zh-CN"/>
                    </w:rPr>
                  </w:pPr>
                  <w:r>
                    <w:rPr>
                      <w:rFonts w:hint="eastAsia"/>
                      <w:b/>
                      <w:bCs/>
                      <w:sz w:val="21"/>
                      <w:szCs w:val="21"/>
                      <w:u w:val="single"/>
                      <w:lang w:val="en-US" w:eastAsia="zh-CN"/>
                    </w:rPr>
                    <w:t>污染物类型</w:t>
                  </w:r>
                </w:p>
              </w:tc>
              <w:tc>
                <w:tcPr>
                  <w:tcW w:w="2392" w:type="dxa"/>
                  <w:tcBorders>
                    <w:bottom w:val="single" w:color="auto" w:sz="12" w:space="0"/>
                  </w:tcBorders>
                  <w:vAlign w:val="center"/>
                </w:tcPr>
                <w:p>
                  <w:pPr>
                    <w:jc w:val="center"/>
                    <w:rPr>
                      <w:rFonts w:hint="default"/>
                      <w:b/>
                      <w:bCs/>
                      <w:sz w:val="21"/>
                      <w:szCs w:val="21"/>
                      <w:u w:val="single"/>
                      <w:lang w:val="en-US" w:eastAsia="zh-CN"/>
                    </w:rPr>
                  </w:pPr>
                  <w:r>
                    <w:rPr>
                      <w:rFonts w:hint="eastAsia"/>
                      <w:b/>
                      <w:bCs/>
                      <w:sz w:val="21"/>
                      <w:szCs w:val="21"/>
                      <w:u w:val="single"/>
                      <w:lang w:val="en-US" w:eastAsia="zh-CN"/>
                    </w:rPr>
                    <w:t>污染因子</w:t>
                  </w:r>
                </w:p>
              </w:tc>
              <w:tc>
                <w:tcPr>
                  <w:tcW w:w="2356" w:type="dxa"/>
                  <w:tcBorders>
                    <w:bottom w:val="single" w:color="auto" w:sz="12" w:space="0"/>
                  </w:tcBorders>
                  <w:vAlign w:val="center"/>
                </w:tcPr>
                <w:p>
                  <w:pPr>
                    <w:jc w:val="center"/>
                    <w:rPr>
                      <w:rFonts w:hint="default"/>
                      <w:b/>
                      <w:bCs/>
                      <w:sz w:val="21"/>
                      <w:szCs w:val="21"/>
                      <w:u w:val="single"/>
                      <w:lang w:val="en-US" w:eastAsia="zh-CN"/>
                    </w:rPr>
                  </w:pPr>
                  <w:r>
                    <w:rPr>
                      <w:rFonts w:hint="eastAsia"/>
                      <w:b/>
                      <w:bCs/>
                      <w:sz w:val="21"/>
                      <w:szCs w:val="21"/>
                      <w:u w:val="single"/>
                      <w:lang w:val="en-US" w:eastAsia="zh-CN"/>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537" w:type="dxa"/>
                  <w:gridSpan w:val="5"/>
                  <w:tcBorders>
                    <w:top w:val="single" w:color="auto" w:sz="12" w:space="0"/>
                    <w:bottom w:val="single" w:color="auto" w:sz="4" w:space="0"/>
                  </w:tcBorders>
                  <w:vAlign w:val="center"/>
                </w:tcPr>
                <w:p>
                  <w:pPr>
                    <w:jc w:val="center"/>
                    <w:rPr>
                      <w:rFonts w:hint="default"/>
                      <w:b/>
                      <w:bCs/>
                      <w:sz w:val="21"/>
                      <w:szCs w:val="21"/>
                      <w:u w:val="single"/>
                      <w:lang w:val="en-US" w:eastAsia="zh-CN"/>
                    </w:rPr>
                  </w:pPr>
                  <w:r>
                    <w:rPr>
                      <w:rFonts w:hint="eastAsia"/>
                      <w:b/>
                      <w:bCs/>
                      <w:sz w:val="21"/>
                      <w:szCs w:val="21"/>
                      <w:u w:val="single"/>
                      <w:lang w:val="en-US" w:eastAsia="zh-CN"/>
                    </w:rPr>
                    <w:t>生活产污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154" w:type="dxa"/>
                  <w:vMerge w:val="restart"/>
                  <w:tcBorders>
                    <w:top w:val="single" w:color="auto" w:sz="4" w:space="0"/>
                    <w:left w:val="single" w:color="auto" w:sz="12" w:space="0"/>
                    <w:bottom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行政办公、指导教学</w:t>
                  </w:r>
                </w:p>
              </w:tc>
              <w:tc>
                <w:tcPr>
                  <w:tcW w:w="1150" w:type="dxa"/>
                  <w:tcBorders>
                    <w:top w:val="single" w:color="auto" w:sz="4" w:space="0"/>
                    <w:bottom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废气</w:t>
                  </w:r>
                </w:p>
              </w:tc>
              <w:tc>
                <w:tcPr>
                  <w:tcW w:w="1485" w:type="dxa"/>
                  <w:tcBorders>
                    <w:top w:val="single" w:color="auto" w:sz="4" w:space="0"/>
                    <w:bottom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食堂油烟</w:t>
                  </w:r>
                </w:p>
              </w:tc>
              <w:tc>
                <w:tcPr>
                  <w:tcW w:w="2392" w:type="dxa"/>
                  <w:tcBorders>
                    <w:top w:val="single" w:color="auto" w:sz="4" w:space="0"/>
                    <w:bottom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油烟</w:t>
                  </w:r>
                </w:p>
              </w:tc>
              <w:tc>
                <w:tcPr>
                  <w:tcW w:w="2356" w:type="dxa"/>
                  <w:tcBorders>
                    <w:top w:val="single" w:color="auto" w:sz="4" w:space="0"/>
                    <w:bottom w:val="single" w:color="auto" w:sz="4" w:space="0"/>
                    <w:right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抽油烟机引至室外低空无组织排放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154" w:type="dxa"/>
                  <w:vMerge w:val="continue"/>
                  <w:tcBorders>
                    <w:top w:val="single" w:color="auto" w:sz="4" w:space="0"/>
                    <w:left w:val="single" w:color="auto" w:sz="12" w:space="0"/>
                  </w:tcBorders>
                  <w:vAlign w:val="center"/>
                </w:tcPr>
                <w:p>
                  <w:pPr>
                    <w:jc w:val="center"/>
                    <w:rPr>
                      <w:rFonts w:hint="default"/>
                      <w:sz w:val="21"/>
                      <w:szCs w:val="21"/>
                      <w:u w:val="single"/>
                      <w:lang w:val="en-US" w:eastAsia="zh-CN"/>
                    </w:rPr>
                  </w:pPr>
                </w:p>
              </w:tc>
              <w:tc>
                <w:tcPr>
                  <w:tcW w:w="1150" w:type="dxa"/>
                  <w:tcBorders>
                    <w:top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废水</w:t>
                  </w:r>
                </w:p>
              </w:tc>
              <w:tc>
                <w:tcPr>
                  <w:tcW w:w="1485" w:type="dxa"/>
                  <w:tcBorders>
                    <w:top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生活污水</w:t>
                  </w:r>
                </w:p>
              </w:tc>
              <w:tc>
                <w:tcPr>
                  <w:tcW w:w="2392" w:type="dxa"/>
                  <w:tcBorders>
                    <w:top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COD、BOD</w:t>
                  </w:r>
                  <w:r>
                    <w:rPr>
                      <w:rFonts w:hint="eastAsia"/>
                      <w:sz w:val="21"/>
                      <w:szCs w:val="21"/>
                      <w:u w:val="single"/>
                      <w:vertAlign w:val="subscript"/>
                      <w:lang w:val="en-US" w:eastAsia="zh-CN"/>
                    </w:rPr>
                    <w:t>5</w:t>
                  </w:r>
                  <w:r>
                    <w:rPr>
                      <w:rFonts w:hint="eastAsia"/>
                      <w:sz w:val="21"/>
                      <w:szCs w:val="21"/>
                      <w:u w:val="single"/>
                      <w:lang w:val="en-US" w:eastAsia="zh-CN"/>
                    </w:rPr>
                    <w:t>、氨氮、SS</w:t>
                  </w:r>
                </w:p>
              </w:tc>
              <w:tc>
                <w:tcPr>
                  <w:tcW w:w="2356" w:type="dxa"/>
                  <w:tcBorders>
                    <w:top w:val="single" w:color="auto" w:sz="4" w:space="0"/>
                    <w:right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外委相关单位转运利用清粪车至县城污水处理厂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1154" w:type="dxa"/>
                  <w:vMerge w:val="continue"/>
                  <w:tcBorders>
                    <w:left w:val="single" w:color="auto" w:sz="12" w:space="0"/>
                    <w:bottom w:val="single" w:color="auto" w:sz="12" w:space="0"/>
                  </w:tcBorders>
                  <w:vAlign w:val="center"/>
                </w:tcPr>
                <w:p>
                  <w:pPr>
                    <w:jc w:val="center"/>
                    <w:rPr>
                      <w:rFonts w:hint="eastAsia"/>
                      <w:sz w:val="21"/>
                      <w:szCs w:val="21"/>
                      <w:u w:val="single"/>
                      <w:lang w:val="en-US" w:eastAsia="zh-CN"/>
                    </w:rPr>
                  </w:pPr>
                </w:p>
              </w:tc>
              <w:tc>
                <w:tcPr>
                  <w:tcW w:w="1150" w:type="dxa"/>
                  <w:tcBorders>
                    <w:bottom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固废</w:t>
                  </w:r>
                </w:p>
              </w:tc>
              <w:tc>
                <w:tcPr>
                  <w:tcW w:w="1485" w:type="dxa"/>
                  <w:tcBorders>
                    <w:bottom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生活垃圾</w:t>
                  </w:r>
                </w:p>
              </w:tc>
              <w:tc>
                <w:tcPr>
                  <w:tcW w:w="2392" w:type="dxa"/>
                  <w:tcBorders>
                    <w:bottom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w:t>
                  </w:r>
                </w:p>
              </w:tc>
              <w:tc>
                <w:tcPr>
                  <w:tcW w:w="2356" w:type="dxa"/>
                  <w:tcBorders>
                    <w:bottom w:val="single" w:color="auto" w:sz="12" w:space="0"/>
                    <w:right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交由当地环卫部门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537" w:type="dxa"/>
                  <w:gridSpan w:val="5"/>
                  <w:tcBorders>
                    <w:top w:val="single" w:color="auto" w:sz="12" w:space="0"/>
                    <w:tl2br w:val="nil"/>
                    <w:tr2bl w:val="nil"/>
                  </w:tcBorders>
                  <w:vAlign w:val="center"/>
                </w:tcPr>
                <w:p>
                  <w:pPr>
                    <w:jc w:val="center"/>
                    <w:rPr>
                      <w:rFonts w:hint="default"/>
                      <w:sz w:val="21"/>
                      <w:szCs w:val="21"/>
                      <w:u w:val="single"/>
                      <w:lang w:val="en-US" w:eastAsia="zh-CN"/>
                    </w:rPr>
                  </w:pPr>
                  <w:r>
                    <w:rPr>
                      <w:rFonts w:hint="eastAsia"/>
                      <w:b/>
                      <w:bCs/>
                      <w:sz w:val="21"/>
                      <w:szCs w:val="21"/>
                      <w:u w:val="single"/>
                      <w:lang w:val="en-US" w:eastAsia="zh-CN"/>
                    </w:rPr>
                    <w:t>实验室产污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154"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消解</w:t>
                  </w:r>
                </w:p>
              </w:tc>
              <w:tc>
                <w:tcPr>
                  <w:tcW w:w="1150" w:type="dxa"/>
                  <w:vMerge w:val="restar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废气</w:t>
                  </w:r>
                </w:p>
              </w:tc>
              <w:tc>
                <w:tcPr>
                  <w:tcW w:w="1485" w:type="dxa"/>
                  <w:tcBorders>
                    <w:tl2br w:val="nil"/>
                    <w:tr2bl w:val="nil"/>
                  </w:tcBorders>
                  <w:vAlign w:val="center"/>
                </w:tcPr>
                <w:p>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消解废气</w:t>
                  </w:r>
                </w:p>
              </w:tc>
              <w:tc>
                <w:tcPr>
                  <w:tcW w:w="2392"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氮氧化物</w:t>
                  </w:r>
                </w:p>
              </w:tc>
              <w:tc>
                <w:tcPr>
                  <w:tcW w:w="2356"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风机引至屋顶15m排气口排放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1154"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试剂挥发</w:t>
                  </w:r>
                </w:p>
              </w:tc>
              <w:tc>
                <w:tcPr>
                  <w:tcW w:w="1150" w:type="dxa"/>
                  <w:vMerge w:val="continue"/>
                  <w:tcBorders>
                    <w:tl2br w:val="nil"/>
                    <w:tr2bl w:val="nil"/>
                  </w:tcBorders>
                  <w:vAlign w:val="center"/>
                </w:tcPr>
                <w:p>
                  <w:pPr>
                    <w:jc w:val="center"/>
                    <w:rPr>
                      <w:rFonts w:hint="eastAsia"/>
                      <w:sz w:val="21"/>
                      <w:szCs w:val="21"/>
                      <w:u w:val="single"/>
                      <w:lang w:val="en-US" w:eastAsia="zh-CN"/>
                    </w:rPr>
                  </w:pPr>
                </w:p>
              </w:tc>
              <w:tc>
                <w:tcPr>
                  <w:tcW w:w="1485" w:type="dxa"/>
                  <w:tcBorders>
                    <w:tl2br w:val="nil"/>
                    <w:tr2bl w:val="nil"/>
                  </w:tcBorders>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试剂挥发废气</w:t>
                  </w:r>
                </w:p>
              </w:tc>
              <w:tc>
                <w:tcPr>
                  <w:tcW w:w="2392"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硝酸雾、硫酸雾、磷酸雾、盐酸雾、三氯甲烷</w:t>
                  </w:r>
                </w:p>
              </w:tc>
              <w:tc>
                <w:tcPr>
                  <w:tcW w:w="2356"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加强通风及绿化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1154"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微生物实验、PCR荧光实验</w:t>
                  </w:r>
                </w:p>
              </w:tc>
              <w:tc>
                <w:tcPr>
                  <w:tcW w:w="1150" w:type="dxa"/>
                  <w:vMerge w:val="continue"/>
                  <w:tcBorders>
                    <w:tl2br w:val="nil"/>
                    <w:tr2bl w:val="nil"/>
                  </w:tcBorders>
                  <w:vAlign w:val="center"/>
                </w:tcPr>
                <w:p>
                  <w:pPr>
                    <w:jc w:val="center"/>
                    <w:rPr>
                      <w:rFonts w:hint="eastAsia"/>
                      <w:sz w:val="21"/>
                      <w:szCs w:val="21"/>
                      <w:u w:val="single"/>
                      <w:lang w:val="en-US" w:eastAsia="zh-CN"/>
                    </w:rPr>
                  </w:pPr>
                </w:p>
              </w:tc>
              <w:tc>
                <w:tcPr>
                  <w:tcW w:w="1485" w:type="dxa"/>
                  <w:tcBorders>
                    <w:tl2br w:val="nil"/>
                    <w:tr2bl w:val="nil"/>
                  </w:tcBorders>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微生物实验废气</w:t>
                  </w:r>
                </w:p>
              </w:tc>
              <w:tc>
                <w:tcPr>
                  <w:tcW w:w="2392"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含有害微生物废气</w:t>
                  </w:r>
                </w:p>
              </w:tc>
              <w:tc>
                <w:tcPr>
                  <w:tcW w:w="2356"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生物安全柜处理后外排或内循环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1154"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器皿清洗、实验操作</w:t>
                  </w:r>
                </w:p>
              </w:tc>
              <w:tc>
                <w:tcPr>
                  <w:tcW w:w="1150"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废水</w:t>
                  </w:r>
                </w:p>
              </w:tc>
              <w:tc>
                <w:tcPr>
                  <w:tcW w:w="1485"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实验室废水</w:t>
                  </w:r>
                </w:p>
              </w:tc>
              <w:tc>
                <w:tcPr>
                  <w:tcW w:w="2392"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COD、BOD</w:t>
                  </w:r>
                  <w:r>
                    <w:rPr>
                      <w:rFonts w:hint="eastAsia"/>
                      <w:sz w:val="21"/>
                      <w:szCs w:val="21"/>
                      <w:u w:val="single"/>
                      <w:vertAlign w:val="subscript"/>
                      <w:lang w:val="en-US" w:eastAsia="zh-CN"/>
                    </w:rPr>
                    <w:t>5</w:t>
                  </w:r>
                  <w:r>
                    <w:rPr>
                      <w:rFonts w:hint="eastAsia"/>
                      <w:sz w:val="21"/>
                      <w:szCs w:val="21"/>
                      <w:u w:val="single"/>
                      <w:lang w:val="en-US" w:eastAsia="zh-CN"/>
                    </w:rPr>
                    <w:t>、氨氮、SS、分大肠杆菌、沙氏杆菌、志贺氏菌</w:t>
                  </w:r>
                </w:p>
              </w:tc>
              <w:tc>
                <w:tcPr>
                  <w:tcW w:w="2356"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污水处理设备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54"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微生物实验、PCR荧光实验</w:t>
                  </w:r>
                </w:p>
              </w:tc>
              <w:tc>
                <w:tcPr>
                  <w:tcW w:w="1150" w:type="dxa"/>
                  <w:vMerge w:val="restar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固废</w:t>
                  </w:r>
                </w:p>
              </w:tc>
              <w:tc>
                <w:tcPr>
                  <w:tcW w:w="1485"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医疗废物</w:t>
                  </w:r>
                </w:p>
              </w:tc>
              <w:tc>
                <w:tcPr>
                  <w:tcW w:w="2392"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废培养基、废人体样品</w:t>
                  </w:r>
                </w:p>
              </w:tc>
              <w:tc>
                <w:tcPr>
                  <w:tcW w:w="2356" w:type="dxa"/>
                  <w:vMerge w:val="restar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154" w:type="dxa"/>
                  <w:vMerge w:val="restar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理化实验</w:t>
                  </w:r>
                </w:p>
              </w:tc>
              <w:tc>
                <w:tcPr>
                  <w:tcW w:w="1150" w:type="dxa"/>
                  <w:vMerge w:val="continue"/>
                  <w:tcBorders>
                    <w:tl2br w:val="nil"/>
                    <w:tr2bl w:val="nil"/>
                  </w:tcBorders>
                  <w:vAlign w:val="center"/>
                </w:tcPr>
                <w:p>
                  <w:pPr>
                    <w:jc w:val="center"/>
                    <w:rPr>
                      <w:rFonts w:hint="eastAsia"/>
                      <w:sz w:val="21"/>
                      <w:szCs w:val="21"/>
                      <w:u w:val="single"/>
                      <w:lang w:val="en-US" w:eastAsia="zh-CN"/>
                    </w:rPr>
                  </w:pPr>
                </w:p>
              </w:tc>
              <w:tc>
                <w:tcPr>
                  <w:tcW w:w="1485"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废试剂</w:t>
                  </w:r>
                </w:p>
              </w:tc>
              <w:tc>
                <w:tcPr>
                  <w:tcW w:w="2392"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高浓度酸液、碱液、三氯甲烷、甲醇</w:t>
                  </w:r>
                </w:p>
              </w:tc>
              <w:tc>
                <w:tcPr>
                  <w:tcW w:w="2356" w:type="dxa"/>
                  <w:vMerge w:val="continue"/>
                  <w:tcBorders>
                    <w:tl2br w:val="nil"/>
                    <w:tr2bl w:val="nil"/>
                  </w:tcBorders>
                  <w:vAlign w:val="center"/>
                </w:tcPr>
                <w:p>
                  <w:pPr>
                    <w:jc w:val="center"/>
                    <w:rPr>
                      <w:rFonts w:hint="eastAsia"/>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154" w:type="dxa"/>
                  <w:vMerge w:val="continue"/>
                  <w:tcBorders>
                    <w:tl2br w:val="nil"/>
                    <w:tr2bl w:val="nil"/>
                  </w:tcBorders>
                  <w:vAlign w:val="center"/>
                </w:tcPr>
                <w:p>
                  <w:pPr>
                    <w:jc w:val="center"/>
                    <w:rPr>
                      <w:rFonts w:hint="eastAsia"/>
                      <w:sz w:val="21"/>
                      <w:szCs w:val="21"/>
                      <w:u w:val="single"/>
                      <w:lang w:val="en-US" w:eastAsia="zh-CN"/>
                    </w:rPr>
                  </w:pPr>
                </w:p>
              </w:tc>
              <w:tc>
                <w:tcPr>
                  <w:tcW w:w="1150" w:type="dxa"/>
                  <w:vMerge w:val="continue"/>
                  <w:tcBorders>
                    <w:tl2br w:val="nil"/>
                    <w:tr2bl w:val="nil"/>
                  </w:tcBorders>
                  <w:vAlign w:val="center"/>
                </w:tcPr>
                <w:p>
                  <w:pPr>
                    <w:jc w:val="center"/>
                    <w:rPr>
                      <w:rFonts w:hint="eastAsia"/>
                      <w:sz w:val="21"/>
                      <w:szCs w:val="21"/>
                      <w:u w:val="single"/>
                      <w:lang w:val="en-US" w:eastAsia="zh-CN"/>
                    </w:rPr>
                  </w:pPr>
                </w:p>
              </w:tc>
              <w:tc>
                <w:tcPr>
                  <w:tcW w:w="1485" w:type="dxa"/>
                  <w:tcBorders>
                    <w:bottom w:val="single" w:color="auto" w:sz="4" w:space="0"/>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废试剂瓶</w:t>
                  </w:r>
                </w:p>
              </w:tc>
              <w:tc>
                <w:tcPr>
                  <w:tcW w:w="2392" w:type="dxa"/>
                  <w:tcBorders>
                    <w:bottom w:val="single" w:color="auto" w:sz="4" w:space="0"/>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废酸液、碱液、三氯甲烷、甲醇瓶</w:t>
                  </w:r>
                </w:p>
              </w:tc>
              <w:tc>
                <w:tcPr>
                  <w:tcW w:w="2356" w:type="dxa"/>
                  <w:vMerge w:val="continue"/>
                  <w:tcBorders>
                    <w:tl2br w:val="nil"/>
                    <w:tr2bl w:val="nil"/>
                  </w:tcBorders>
                  <w:vAlign w:val="center"/>
                </w:tcPr>
                <w:p>
                  <w:pPr>
                    <w:jc w:val="center"/>
                    <w:rPr>
                      <w:rFonts w:hint="eastAsia"/>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537" w:type="dxa"/>
                  <w:gridSpan w:val="5"/>
                  <w:tcBorders>
                    <w:top w:val="single" w:color="auto" w:sz="12" w:space="0"/>
                    <w:bottom w:val="single" w:color="auto" w:sz="4" w:space="0"/>
                  </w:tcBorders>
                  <w:vAlign w:val="center"/>
                </w:tcPr>
                <w:p>
                  <w:pPr>
                    <w:jc w:val="center"/>
                    <w:rPr>
                      <w:rFonts w:hint="default"/>
                      <w:sz w:val="21"/>
                      <w:szCs w:val="21"/>
                      <w:u w:val="single"/>
                      <w:lang w:val="en-US" w:eastAsia="zh-CN"/>
                    </w:rPr>
                  </w:pPr>
                  <w:r>
                    <w:rPr>
                      <w:rFonts w:hint="eastAsia"/>
                      <w:b/>
                      <w:bCs/>
                      <w:sz w:val="21"/>
                      <w:szCs w:val="21"/>
                      <w:u w:val="single"/>
                      <w:lang w:val="en-US" w:eastAsia="zh-CN"/>
                    </w:rPr>
                    <w:t>戒毒门诊产污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154" w:type="dxa"/>
                  <w:tcBorders>
                    <w:top w:val="single" w:color="auto" w:sz="4" w:space="0"/>
                    <w:bottom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戒毒门诊</w:t>
                  </w:r>
                </w:p>
              </w:tc>
              <w:tc>
                <w:tcPr>
                  <w:tcW w:w="1150" w:type="dxa"/>
                  <w:tcBorders>
                    <w:top w:val="single" w:color="auto" w:sz="4" w:space="0"/>
                    <w:bottom w:val="single" w:color="auto" w:sz="12" w:space="0"/>
                  </w:tcBorders>
                  <w:vAlign w:val="center"/>
                </w:tcPr>
                <w:p>
                  <w:pPr>
                    <w:jc w:val="center"/>
                    <w:rPr>
                      <w:rFonts w:hint="eastAsia"/>
                      <w:sz w:val="21"/>
                      <w:szCs w:val="21"/>
                      <w:u w:val="single"/>
                      <w:lang w:val="en-US" w:eastAsia="zh-CN"/>
                    </w:rPr>
                  </w:pPr>
                  <w:r>
                    <w:rPr>
                      <w:rFonts w:hint="eastAsia"/>
                      <w:sz w:val="21"/>
                      <w:szCs w:val="21"/>
                      <w:u w:val="single"/>
                      <w:lang w:val="en-US" w:eastAsia="zh-CN"/>
                    </w:rPr>
                    <w:t>固废</w:t>
                  </w:r>
                </w:p>
              </w:tc>
              <w:tc>
                <w:tcPr>
                  <w:tcW w:w="1485" w:type="dxa"/>
                  <w:tcBorders>
                    <w:top w:val="single" w:color="auto" w:sz="4" w:space="0"/>
                    <w:bottom w:val="single" w:color="auto" w:sz="12" w:space="0"/>
                  </w:tcBorders>
                  <w:vAlign w:val="center"/>
                </w:tcPr>
                <w:p>
                  <w:pPr>
                    <w:jc w:val="center"/>
                    <w:rPr>
                      <w:rFonts w:hint="default"/>
                      <w:sz w:val="21"/>
                      <w:szCs w:val="21"/>
                      <w:u w:val="single"/>
                      <w:lang w:val="en-US" w:eastAsia="zh-CN"/>
                    </w:rPr>
                  </w:pPr>
                  <w:r>
                    <w:rPr>
                      <w:rFonts w:hint="eastAsia"/>
                      <w:sz w:val="21"/>
                      <w:szCs w:val="21"/>
                      <w:u w:val="single"/>
                      <w:lang w:val="en-US" w:eastAsia="zh-CN"/>
                    </w:rPr>
                    <w:t>废美沙酮桶</w:t>
                  </w:r>
                </w:p>
              </w:tc>
              <w:tc>
                <w:tcPr>
                  <w:tcW w:w="2392" w:type="dxa"/>
                  <w:tcBorders>
                    <w:top w:val="single" w:color="auto" w:sz="4" w:space="0"/>
                    <w:bottom w:val="single" w:color="auto" w:sz="12" w:space="0"/>
                  </w:tcBorders>
                  <w:vAlign w:val="center"/>
                </w:tcPr>
                <w:p>
                  <w:pPr>
                    <w:jc w:val="center"/>
                    <w:rPr>
                      <w:rFonts w:hint="eastAsia"/>
                      <w:sz w:val="21"/>
                      <w:szCs w:val="21"/>
                      <w:u w:val="single"/>
                      <w:lang w:val="en-US" w:eastAsia="zh-CN"/>
                    </w:rPr>
                  </w:pPr>
                  <w:r>
                    <w:rPr>
                      <w:rFonts w:hint="eastAsia"/>
                      <w:sz w:val="21"/>
                      <w:szCs w:val="21"/>
                      <w:u w:val="single"/>
                      <w:lang w:val="en-US" w:eastAsia="zh-CN"/>
                    </w:rPr>
                    <w:t>废美沙酮桶</w:t>
                  </w:r>
                </w:p>
              </w:tc>
              <w:tc>
                <w:tcPr>
                  <w:tcW w:w="2356" w:type="dxa"/>
                  <w:tcBorders>
                    <w:top w:val="single" w:color="auto" w:sz="4" w:space="0"/>
                    <w:bottom w:val="single" w:color="auto" w:sz="12" w:space="0"/>
                  </w:tcBorders>
                  <w:vAlign w:val="center"/>
                </w:tcPr>
                <w:p>
                  <w:pPr>
                    <w:jc w:val="center"/>
                    <w:rPr>
                      <w:rFonts w:hint="eastAsia"/>
                      <w:sz w:val="21"/>
                      <w:szCs w:val="21"/>
                      <w:u w:val="single"/>
                      <w:lang w:val="en-US" w:eastAsia="zh-CN"/>
                    </w:rPr>
                  </w:pPr>
                  <w:r>
                    <w:rPr>
                      <w:rFonts w:hint="eastAsia"/>
                      <w:sz w:val="21"/>
                      <w:szCs w:val="21"/>
                      <w:u w:val="single"/>
                      <w:lang w:val="en-US" w:eastAsia="zh-CN"/>
                    </w:rPr>
                    <w:t>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8537" w:type="dxa"/>
                  <w:gridSpan w:val="5"/>
                  <w:tcBorders>
                    <w:top w:val="single" w:color="auto" w:sz="12" w:space="0"/>
                    <w:bottom w:val="single" w:color="auto" w:sz="4" w:space="0"/>
                  </w:tcBorders>
                  <w:vAlign w:val="center"/>
                </w:tcPr>
                <w:p>
                  <w:pPr>
                    <w:jc w:val="center"/>
                    <w:rPr>
                      <w:rFonts w:hint="default"/>
                      <w:sz w:val="21"/>
                      <w:szCs w:val="21"/>
                      <w:u w:val="single"/>
                      <w:lang w:val="en-US" w:eastAsia="zh-CN"/>
                    </w:rPr>
                  </w:pPr>
                  <w:r>
                    <w:rPr>
                      <w:rFonts w:hint="eastAsia"/>
                      <w:b/>
                      <w:bCs/>
                      <w:sz w:val="21"/>
                      <w:szCs w:val="21"/>
                      <w:u w:val="single"/>
                      <w:lang w:val="en-US" w:eastAsia="zh-CN"/>
                    </w:rPr>
                    <w:t>污水处理设备产污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154" w:type="dxa"/>
                  <w:vMerge w:val="restart"/>
                  <w:tcBorders>
                    <w:top w:val="single" w:color="auto" w:sz="4" w:space="0"/>
                  </w:tcBorders>
                  <w:vAlign w:val="center"/>
                </w:tcPr>
                <w:p>
                  <w:pPr>
                    <w:jc w:val="center"/>
                    <w:rPr>
                      <w:rFonts w:hint="eastAsia"/>
                      <w:sz w:val="21"/>
                      <w:szCs w:val="21"/>
                      <w:u w:val="single"/>
                      <w:lang w:val="en-US" w:eastAsia="zh-CN"/>
                    </w:rPr>
                  </w:pPr>
                  <w:r>
                    <w:rPr>
                      <w:rFonts w:hint="eastAsia"/>
                      <w:sz w:val="21"/>
                      <w:szCs w:val="21"/>
                      <w:u w:val="single"/>
                      <w:lang w:val="en-US" w:eastAsia="zh-CN"/>
                    </w:rPr>
                    <w:t>实验室污水处理</w:t>
                  </w:r>
                </w:p>
              </w:tc>
              <w:tc>
                <w:tcPr>
                  <w:tcW w:w="1150" w:type="dxa"/>
                  <w:tcBorders>
                    <w:top w:val="single" w:color="auto" w:sz="4" w:space="0"/>
                    <w:bottom w:val="single" w:color="auto" w:sz="4" w:space="0"/>
                  </w:tcBorders>
                  <w:vAlign w:val="center"/>
                </w:tcPr>
                <w:p>
                  <w:pPr>
                    <w:jc w:val="center"/>
                    <w:rPr>
                      <w:rFonts w:hint="eastAsia"/>
                      <w:sz w:val="21"/>
                      <w:szCs w:val="21"/>
                      <w:u w:val="single"/>
                      <w:lang w:val="en-US" w:eastAsia="zh-CN"/>
                    </w:rPr>
                  </w:pPr>
                  <w:r>
                    <w:rPr>
                      <w:rFonts w:hint="eastAsia"/>
                      <w:sz w:val="21"/>
                      <w:szCs w:val="21"/>
                      <w:u w:val="single"/>
                      <w:lang w:val="en-US" w:eastAsia="zh-CN"/>
                    </w:rPr>
                    <w:t>废气</w:t>
                  </w:r>
                </w:p>
              </w:tc>
              <w:tc>
                <w:tcPr>
                  <w:tcW w:w="1485" w:type="dxa"/>
                  <w:tcBorders>
                    <w:top w:val="single" w:color="auto" w:sz="4" w:space="0"/>
                    <w:bottom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恶臭气体</w:t>
                  </w:r>
                </w:p>
              </w:tc>
              <w:tc>
                <w:tcPr>
                  <w:tcW w:w="2392" w:type="dxa"/>
                  <w:tcBorders>
                    <w:top w:val="single" w:color="auto" w:sz="4" w:space="0"/>
                    <w:bottom w:val="single" w:color="auto" w:sz="4" w:space="0"/>
                  </w:tcBorders>
                  <w:vAlign w:val="center"/>
                </w:tcPr>
                <w:p>
                  <w:pPr>
                    <w:jc w:val="center"/>
                    <w:rPr>
                      <w:rFonts w:hint="eastAsia"/>
                      <w:sz w:val="21"/>
                      <w:szCs w:val="21"/>
                      <w:u w:val="single"/>
                      <w:lang w:val="en-US" w:eastAsia="zh-CN"/>
                    </w:rPr>
                  </w:pPr>
                  <w:r>
                    <w:rPr>
                      <w:rFonts w:hint="eastAsia"/>
                      <w:b w:val="0"/>
                      <w:bCs/>
                      <w:color w:val="auto"/>
                      <w:sz w:val="21"/>
                      <w:szCs w:val="21"/>
                      <w:u w:val="none" w:color="auto"/>
                      <w:lang w:val="en-US" w:eastAsia="zh-CN"/>
                    </w:rPr>
                    <w:t>NH</w:t>
                  </w:r>
                  <w:r>
                    <w:rPr>
                      <w:rFonts w:hint="eastAsia"/>
                      <w:b w:val="0"/>
                      <w:bCs/>
                      <w:color w:val="auto"/>
                      <w:sz w:val="21"/>
                      <w:szCs w:val="21"/>
                      <w:u w:val="none" w:color="auto"/>
                      <w:vertAlign w:val="subscript"/>
                      <w:lang w:val="en-US" w:eastAsia="zh-CN"/>
                    </w:rPr>
                    <w:t>3</w:t>
                  </w:r>
                  <w:r>
                    <w:rPr>
                      <w:rFonts w:hint="eastAsia"/>
                      <w:b w:val="0"/>
                      <w:bCs/>
                      <w:color w:val="auto"/>
                      <w:sz w:val="21"/>
                      <w:szCs w:val="21"/>
                      <w:u w:val="none" w:color="auto"/>
                      <w:lang w:val="en-US" w:eastAsia="zh-CN"/>
                    </w:rPr>
                    <w:t>、H</w:t>
                  </w:r>
                  <w:r>
                    <w:rPr>
                      <w:rFonts w:hint="eastAsia"/>
                      <w:b w:val="0"/>
                      <w:bCs/>
                      <w:color w:val="auto"/>
                      <w:sz w:val="21"/>
                      <w:szCs w:val="21"/>
                      <w:u w:val="none" w:color="auto"/>
                      <w:vertAlign w:val="subscript"/>
                      <w:lang w:val="en-US" w:eastAsia="zh-CN"/>
                    </w:rPr>
                    <w:t>2</w:t>
                  </w:r>
                  <w:r>
                    <w:rPr>
                      <w:rFonts w:hint="eastAsia"/>
                      <w:b w:val="0"/>
                      <w:bCs/>
                      <w:color w:val="auto"/>
                      <w:sz w:val="21"/>
                      <w:szCs w:val="21"/>
                      <w:u w:val="none" w:color="auto"/>
                      <w:lang w:val="en-US" w:eastAsia="zh-CN"/>
                    </w:rPr>
                    <w:t>S、臭气浓度、Cl</w:t>
                  </w:r>
                  <w:r>
                    <w:rPr>
                      <w:rFonts w:hint="eastAsia"/>
                      <w:b w:val="0"/>
                      <w:bCs/>
                      <w:color w:val="auto"/>
                      <w:sz w:val="21"/>
                      <w:szCs w:val="21"/>
                      <w:u w:val="none" w:color="auto"/>
                      <w:vertAlign w:val="subscript"/>
                      <w:lang w:val="en-US" w:eastAsia="zh-CN"/>
                    </w:rPr>
                    <w:t>2</w:t>
                  </w:r>
                  <w:r>
                    <w:rPr>
                      <w:rFonts w:hint="eastAsia"/>
                      <w:b w:val="0"/>
                      <w:bCs/>
                      <w:color w:val="auto"/>
                      <w:sz w:val="21"/>
                      <w:szCs w:val="21"/>
                      <w:u w:val="none" w:color="auto"/>
                      <w:lang w:val="en-US" w:eastAsia="zh-CN"/>
                    </w:rPr>
                    <w:t>、CH</w:t>
                  </w:r>
                  <w:r>
                    <w:rPr>
                      <w:rFonts w:hint="eastAsia"/>
                      <w:b w:val="0"/>
                      <w:bCs/>
                      <w:color w:val="auto"/>
                      <w:sz w:val="21"/>
                      <w:szCs w:val="21"/>
                      <w:u w:val="none" w:color="auto"/>
                      <w:vertAlign w:val="subscript"/>
                      <w:lang w:val="en-US" w:eastAsia="zh-CN"/>
                    </w:rPr>
                    <w:t>4</w:t>
                  </w:r>
                </w:p>
              </w:tc>
              <w:tc>
                <w:tcPr>
                  <w:tcW w:w="2356" w:type="dxa"/>
                  <w:tcBorders>
                    <w:top w:val="single" w:color="auto" w:sz="4" w:space="0"/>
                    <w:bottom w:val="single" w:color="auto" w:sz="4" w:space="0"/>
                  </w:tcBorders>
                  <w:vAlign w:val="center"/>
                </w:tcPr>
                <w:p>
                  <w:pPr>
                    <w:jc w:val="center"/>
                    <w:rPr>
                      <w:rFonts w:hint="eastAsia"/>
                      <w:sz w:val="21"/>
                      <w:szCs w:val="21"/>
                      <w:u w:val="single"/>
                      <w:lang w:val="en-US" w:eastAsia="zh-CN"/>
                    </w:rPr>
                  </w:pPr>
                  <w:r>
                    <w:rPr>
                      <w:rFonts w:hint="eastAsia"/>
                      <w:sz w:val="21"/>
                      <w:szCs w:val="21"/>
                      <w:u w:val="single"/>
                      <w:lang w:val="en-US" w:eastAsia="zh-CN"/>
                    </w:rPr>
                    <w:t>加强密封及绿化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154" w:type="dxa"/>
                  <w:vMerge w:val="continue"/>
                  <w:vAlign w:val="center"/>
                </w:tcPr>
                <w:p>
                  <w:pPr>
                    <w:jc w:val="center"/>
                    <w:rPr>
                      <w:rFonts w:hint="eastAsia"/>
                      <w:sz w:val="21"/>
                      <w:szCs w:val="21"/>
                      <w:u w:val="single"/>
                      <w:lang w:val="en-US" w:eastAsia="zh-CN"/>
                    </w:rPr>
                  </w:pPr>
                </w:p>
              </w:tc>
              <w:tc>
                <w:tcPr>
                  <w:tcW w:w="1150" w:type="dxa"/>
                  <w:tcBorders>
                    <w:top w:val="single" w:color="auto" w:sz="4" w:space="0"/>
                  </w:tcBorders>
                  <w:vAlign w:val="center"/>
                </w:tcPr>
                <w:p>
                  <w:pPr>
                    <w:jc w:val="center"/>
                    <w:rPr>
                      <w:rFonts w:hint="eastAsia"/>
                      <w:sz w:val="21"/>
                      <w:szCs w:val="21"/>
                      <w:u w:val="single"/>
                      <w:lang w:val="en-US" w:eastAsia="zh-CN"/>
                    </w:rPr>
                  </w:pPr>
                  <w:r>
                    <w:rPr>
                      <w:rFonts w:hint="eastAsia"/>
                      <w:sz w:val="21"/>
                      <w:szCs w:val="21"/>
                      <w:u w:val="single"/>
                      <w:lang w:val="en-US" w:eastAsia="zh-CN"/>
                    </w:rPr>
                    <w:t>固废</w:t>
                  </w:r>
                </w:p>
              </w:tc>
              <w:tc>
                <w:tcPr>
                  <w:tcW w:w="1485" w:type="dxa"/>
                  <w:tcBorders>
                    <w:top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污水处理设备污泥</w:t>
                  </w:r>
                </w:p>
              </w:tc>
              <w:tc>
                <w:tcPr>
                  <w:tcW w:w="2392" w:type="dxa"/>
                  <w:tcBorders>
                    <w:top w:val="single" w:color="auto" w:sz="4" w:space="0"/>
                  </w:tcBorders>
                  <w:vAlign w:val="center"/>
                </w:tcPr>
                <w:p>
                  <w:pPr>
                    <w:jc w:val="center"/>
                    <w:rPr>
                      <w:rFonts w:hint="default"/>
                      <w:sz w:val="21"/>
                      <w:szCs w:val="21"/>
                      <w:u w:val="single"/>
                      <w:lang w:val="en-US" w:eastAsia="zh-CN"/>
                    </w:rPr>
                  </w:pPr>
                  <w:r>
                    <w:rPr>
                      <w:rFonts w:hint="eastAsia"/>
                      <w:sz w:val="21"/>
                      <w:szCs w:val="21"/>
                      <w:u w:val="single"/>
                      <w:lang w:val="en-US" w:eastAsia="zh-CN"/>
                    </w:rPr>
                    <w:t>污泥</w:t>
                  </w:r>
                </w:p>
              </w:tc>
              <w:tc>
                <w:tcPr>
                  <w:tcW w:w="2356" w:type="dxa"/>
                  <w:tcBorders>
                    <w:top w:val="single" w:color="auto" w:sz="4" w:space="0"/>
                  </w:tcBorders>
                  <w:vAlign w:val="center"/>
                </w:tcPr>
                <w:p>
                  <w:pPr>
                    <w:jc w:val="center"/>
                    <w:rPr>
                      <w:rFonts w:hint="eastAsia"/>
                      <w:sz w:val="21"/>
                      <w:szCs w:val="21"/>
                      <w:u w:val="single"/>
                      <w:lang w:val="en-US" w:eastAsia="zh-CN"/>
                    </w:rPr>
                  </w:pPr>
                  <w:r>
                    <w:rPr>
                      <w:rFonts w:hint="eastAsia"/>
                      <w:sz w:val="21"/>
                      <w:szCs w:val="21"/>
                      <w:u w:val="single"/>
                      <w:lang w:val="en-US" w:eastAsia="zh-CN"/>
                    </w:rPr>
                    <w:t>交由有资质单位处置</w:t>
                  </w:r>
                </w:p>
              </w:tc>
            </w:tr>
          </w:tbl>
          <w:p>
            <w:pPr>
              <w:rPr>
                <w:rFonts w:hint="default"/>
                <w:lang w:val="en-US" w:eastAsia="zh-CN"/>
              </w:rPr>
            </w:pPr>
          </w:p>
        </w:tc>
      </w:tr>
    </w:tbl>
    <w:p>
      <w:pPr>
        <w:pStyle w:val="21"/>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5" w:name="_Toc19453"/>
    </w:p>
    <w:tbl>
      <w:tblPr>
        <w:tblStyle w:val="17"/>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pPr>
              <w:pStyle w:val="4"/>
              <w:bidi w:val="0"/>
              <w:jc w:val="center"/>
              <w:rPr>
                <w:rFonts w:hint="eastAsia"/>
                <w:lang w:val="en-US" w:eastAsia="zh-CN"/>
              </w:rPr>
            </w:pPr>
            <w:r>
              <w:rPr>
                <w:rFonts w:hint="eastAsia"/>
              </w:rPr>
              <w:t>与项目有关的原有环境污染问题</w:t>
            </w:r>
            <w:bookmarkEnd w:id="5"/>
          </w:p>
        </w:tc>
        <w:tc>
          <w:tcPr>
            <w:tcW w:w="9185" w:type="dxa"/>
            <w:vAlign w:val="top"/>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default"/>
                <w:b/>
                <w:bCs w:val="0"/>
                <w:color w:val="auto"/>
                <w:sz w:val="24"/>
                <w:szCs w:val="24"/>
                <w:u w:val="none" w:color="auto"/>
                <w:lang w:val="en-US" w:eastAsia="zh-CN"/>
              </w:rPr>
            </w:pPr>
            <w:r>
              <w:rPr>
                <w:rFonts w:hint="eastAsia"/>
                <w:b/>
                <w:bCs w:val="0"/>
                <w:color w:val="auto"/>
                <w:sz w:val="24"/>
                <w:szCs w:val="24"/>
                <w:u w:val="none" w:color="auto"/>
                <w:lang w:val="en-US" w:eastAsia="zh-CN"/>
              </w:rPr>
              <w:t>一、现有工程、产污环节及环保措施分析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default"/>
                <w:b/>
                <w:bCs w:val="0"/>
                <w:color w:val="auto"/>
                <w:sz w:val="24"/>
                <w:szCs w:val="24"/>
                <w:u w:val="none" w:color="auto"/>
                <w:lang w:val="en-US" w:eastAsia="zh-CN"/>
              </w:rPr>
            </w:pPr>
            <w:r>
              <w:rPr>
                <w:rFonts w:hint="eastAsia"/>
                <w:b/>
                <w:bCs w:val="0"/>
                <w:color w:val="auto"/>
                <w:sz w:val="24"/>
                <w:szCs w:val="24"/>
                <w:u w:val="none" w:color="auto"/>
                <w:lang w:val="en-US" w:eastAsia="zh-CN"/>
              </w:rPr>
              <w:t>（1）废气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val="0"/>
                <w:color w:val="auto"/>
                <w:sz w:val="24"/>
                <w:szCs w:val="24"/>
                <w:u w:val="none" w:color="auto"/>
                <w:lang w:val="en-US" w:eastAsia="zh-CN"/>
              </w:rPr>
            </w:pPr>
            <w:r>
              <w:rPr>
                <w:rFonts w:hint="eastAsia"/>
                <w:b/>
                <w:bCs w:val="0"/>
                <w:color w:val="auto"/>
                <w:sz w:val="24"/>
                <w:szCs w:val="24"/>
                <w:u w:val="none" w:color="auto"/>
                <w:lang w:val="en-US" w:eastAsia="zh-CN"/>
              </w:rPr>
              <w:t>A、实验室废气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sz w:val="24"/>
                <w:lang w:val="en-US" w:eastAsia="zh-CN"/>
              </w:rPr>
            </w:pPr>
            <w:r>
              <w:rPr>
                <w:rFonts w:hint="eastAsia"/>
                <w:sz w:val="24"/>
                <w:lang w:val="en-US" w:eastAsia="zh-CN"/>
              </w:rPr>
              <w:t>实验室废气主要包括消解废气、试剂挥发废气以及微生物实验废气。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val="0"/>
                <w:color w:val="auto"/>
                <w:sz w:val="24"/>
                <w:szCs w:val="24"/>
                <w:u w:val="none" w:color="auto"/>
                <w:lang w:val="en-US" w:eastAsia="zh-CN"/>
              </w:rPr>
            </w:pPr>
            <w:r>
              <w:rPr>
                <w:rFonts w:hint="eastAsia"/>
                <w:b/>
                <w:bCs w:val="0"/>
                <w:color w:val="auto"/>
                <w:sz w:val="24"/>
                <w:szCs w:val="24"/>
                <w:u w:val="none" w:color="auto"/>
                <w:lang w:val="en-US" w:eastAsia="zh-CN"/>
              </w:rPr>
              <w:t>a、消解废气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eastAsia"/>
                <w:sz w:val="24"/>
                <w:lang w:val="en-US" w:eastAsia="zh-CN"/>
              </w:rPr>
            </w:pPr>
            <w:r>
              <w:rPr>
                <w:rFonts w:hint="eastAsia"/>
                <w:sz w:val="24"/>
                <w:lang w:val="en-US" w:eastAsia="zh-CN"/>
              </w:rPr>
              <w:t>部分样品在上机分析前需进行消解，在已有检验楼内进行。消解时将硝酸及样品加入坩埚内，放置于电加热板上加热，产生的废气由风机引至屋顶经15m排气口有组织排放（DA001）。</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eastAsia"/>
                <w:sz w:val="24"/>
                <w:lang w:val="en-US" w:eastAsia="zh-CN"/>
              </w:rPr>
            </w:pPr>
            <w:r>
              <w:rPr>
                <w:rFonts w:hint="eastAsia"/>
                <w:sz w:val="24"/>
                <w:lang w:val="en-US" w:eastAsia="zh-CN"/>
              </w:rPr>
              <w:t>受热状态下，部分硝酸挥发为硝酸雾与氮氧化物。硝酸雾为雾状硝酸其粒径小于水，约为0.1~10μm，介于烟气与水雾之间，具有较强的腐蚀性。由于我国暂无现行的硝酸雾排放标准，且目前使用主流监测方法（HJ/T43等）进行采样氮氧化物时，硝酸雾同样也会以氮氧化物的结果体现，因此环评将硝酸受热产生的硝酸雾统一以氮氧化物计。</w:t>
            </w:r>
          </w:p>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0" w:firstLineChars="150"/>
              <w:textAlignment w:val="auto"/>
              <w:rPr>
                <w:rFonts w:hint="default"/>
                <w:sz w:val="24"/>
                <w:vertAlign w:val="baseline"/>
                <w:lang w:val="en-US" w:eastAsia="zh-CN"/>
              </w:rPr>
            </w:pPr>
            <w:r>
              <w:rPr>
                <w:rFonts w:hint="eastAsia"/>
                <w:sz w:val="24"/>
                <w:lang w:val="en-US" w:eastAsia="zh-CN"/>
              </w:rPr>
              <w:t>由于消解时化学反应复杂，暂无相关NO</w:t>
            </w:r>
            <w:r>
              <w:rPr>
                <w:rFonts w:hint="eastAsia"/>
                <w:sz w:val="24"/>
                <w:vertAlign w:val="subscript"/>
                <w:lang w:val="en-US" w:eastAsia="zh-CN"/>
              </w:rPr>
              <w:t>x</w:t>
            </w:r>
            <w:r>
              <w:rPr>
                <w:rFonts w:hint="eastAsia"/>
                <w:sz w:val="24"/>
                <w:vertAlign w:val="baseline"/>
                <w:lang w:val="en-US" w:eastAsia="zh-CN"/>
              </w:rPr>
              <w:t>产污系数，环评以最不利影响考虑，假设硝酸受热后全部挥发，产物全部为NO</w:t>
            </w:r>
            <w:r>
              <w:rPr>
                <w:rFonts w:hint="eastAsia"/>
                <w:sz w:val="24"/>
                <w:vertAlign w:val="subscript"/>
                <w:lang w:val="en-US" w:eastAsia="zh-CN"/>
              </w:rPr>
              <w:t>2</w:t>
            </w:r>
            <w:r>
              <w:rPr>
                <w:rFonts w:hint="eastAsia"/>
                <w:sz w:val="24"/>
                <w:vertAlign w:val="baseline"/>
                <w:lang w:val="en-US" w:eastAsia="zh-CN"/>
              </w:rPr>
              <w:t>（NO</w:t>
            </w:r>
            <w:r>
              <w:rPr>
                <w:rFonts w:hint="eastAsia"/>
                <w:sz w:val="24"/>
                <w:vertAlign w:val="subscript"/>
                <w:lang w:val="en-US" w:eastAsia="zh-CN"/>
              </w:rPr>
              <w:t>2</w:t>
            </w:r>
            <w:r>
              <w:rPr>
                <w:rFonts w:hint="eastAsia"/>
                <w:sz w:val="24"/>
                <w:vertAlign w:val="baseline"/>
                <w:lang w:val="en-US" w:eastAsia="zh-CN"/>
              </w:rPr>
              <w:t>相对分子质量大于NO，因此核算出的NO</w:t>
            </w:r>
            <w:r>
              <w:rPr>
                <w:rFonts w:hint="eastAsia"/>
                <w:sz w:val="24"/>
                <w:vertAlign w:val="subscript"/>
                <w:lang w:val="en-US" w:eastAsia="zh-CN"/>
              </w:rPr>
              <w:t>x</w:t>
            </w:r>
            <w:r>
              <w:rPr>
                <w:rFonts w:hint="eastAsia"/>
                <w:sz w:val="24"/>
                <w:vertAlign w:val="baseline"/>
                <w:lang w:val="en-US" w:eastAsia="zh-CN"/>
              </w:rPr>
              <w:t>总量最大），结合其他条件可作出如下计算：</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sz w:val="24"/>
                <w:u w:val="single"/>
                <w:vertAlign w:val="baseline"/>
                <w:lang w:val="en-US" w:eastAsia="zh-CN"/>
              </w:rPr>
            </w:pPr>
            <w:r>
              <w:rPr>
                <w:rFonts w:hint="eastAsia"/>
                <w:sz w:val="24"/>
                <w:u w:val="single"/>
                <w:lang w:val="en-US" w:eastAsia="zh-CN"/>
              </w:rPr>
              <w:t>经询问建设单位，实验室每年用于消解的浓硝酸（浓度65％）量约2瓶（500ml/瓶），65％的硝酸密度为1.38g/cm</w:t>
            </w:r>
            <w:r>
              <w:rPr>
                <w:rFonts w:hint="eastAsia"/>
                <w:sz w:val="24"/>
                <w:u w:val="single"/>
                <w:vertAlign w:val="superscript"/>
                <w:lang w:val="en-US" w:eastAsia="zh-CN"/>
              </w:rPr>
              <w:t>3</w:t>
            </w:r>
            <w:r>
              <w:rPr>
                <w:rFonts w:hint="eastAsia"/>
                <w:sz w:val="24"/>
                <w:u w:val="single"/>
                <w:lang w:val="en-US" w:eastAsia="zh-CN"/>
              </w:rPr>
              <w:t>；通过N原子守恒可计算得出NO</w:t>
            </w:r>
            <w:r>
              <w:rPr>
                <w:rFonts w:hint="eastAsia"/>
                <w:sz w:val="24"/>
                <w:u w:val="single"/>
                <w:vertAlign w:val="subscript"/>
                <w:lang w:val="en-US" w:eastAsia="zh-CN"/>
              </w:rPr>
              <w:t>2</w:t>
            </w:r>
            <w:r>
              <w:rPr>
                <w:rFonts w:hint="eastAsia"/>
                <w:sz w:val="24"/>
                <w:u w:val="single"/>
                <w:vertAlign w:val="baseline"/>
                <w:lang w:val="en-US" w:eastAsia="zh-CN"/>
              </w:rPr>
              <w:t>挥发总量=</w:t>
            </w:r>
            <w:r>
              <w:rPr>
                <w:rFonts w:hint="default" w:ascii="Times New Roman" w:hAnsi="Times New Roman" w:cs="Times New Roman"/>
                <w:sz w:val="24"/>
                <w:u w:val="single"/>
                <w:vertAlign w:val="baseline"/>
                <w:lang w:val="en-US" w:eastAsia="zh-CN"/>
              </w:rPr>
              <w:t>((</w:t>
            </w:r>
            <w:r>
              <w:rPr>
                <w:rFonts w:hint="eastAsia" w:cs="Times New Roman"/>
                <w:sz w:val="24"/>
                <w:u w:val="single"/>
                <w:vertAlign w:val="baseline"/>
                <w:lang w:val="en-US" w:eastAsia="zh-CN"/>
              </w:rPr>
              <w:t>500</w:t>
            </w:r>
            <w:r>
              <w:rPr>
                <w:rFonts w:hint="default" w:ascii="Times New Roman" w:hAnsi="Times New Roman" w:cs="Times New Roman"/>
                <w:sz w:val="24"/>
                <w:u w:val="single"/>
                <w:vertAlign w:val="baseline"/>
                <w:lang w:val="en-US" w:eastAsia="zh-CN"/>
              </w:rPr>
              <w:t>×</w:t>
            </w:r>
            <w:r>
              <w:rPr>
                <w:rFonts w:hint="eastAsia" w:cs="Times New Roman"/>
                <w:sz w:val="24"/>
                <w:u w:val="single"/>
                <w:vertAlign w:val="baseline"/>
                <w:lang w:val="en-US" w:eastAsia="zh-CN"/>
              </w:rPr>
              <w:t>2</w:t>
            </w:r>
            <w:r>
              <w:rPr>
                <w:rFonts w:hint="default" w:ascii="Times New Roman" w:hAnsi="Times New Roman" w:cs="Times New Roman"/>
                <w:sz w:val="24"/>
                <w:u w:val="single"/>
                <w:vertAlign w:val="baseline"/>
                <w:lang w:val="en-US" w:eastAsia="zh-CN"/>
              </w:rPr>
              <w:t>×</w:t>
            </w:r>
            <w:r>
              <w:rPr>
                <w:rFonts w:hint="eastAsia" w:cs="Times New Roman"/>
                <w:sz w:val="24"/>
                <w:u w:val="single"/>
                <w:vertAlign w:val="baseline"/>
                <w:lang w:val="en-US" w:eastAsia="zh-CN"/>
              </w:rPr>
              <w:t>10</w:t>
            </w:r>
            <w:r>
              <w:rPr>
                <w:rFonts w:hint="eastAsia" w:cs="Times New Roman"/>
                <w:sz w:val="24"/>
                <w:u w:val="single"/>
                <w:vertAlign w:val="superscript"/>
                <w:lang w:val="en-US" w:eastAsia="zh-CN"/>
              </w:rPr>
              <w:t>-3</w:t>
            </w:r>
            <w:r>
              <w:rPr>
                <w:rFonts w:hint="default" w:ascii="Times New Roman" w:hAnsi="Times New Roman" w:cs="Times New Roman"/>
                <w:sz w:val="24"/>
                <w:u w:val="single"/>
                <w:vertAlign w:val="baseline"/>
                <w:lang w:val="en-US" w:eastAsia="zh-CN"/>
              </w:rPr>
              <w:t>×1.38×0.65</w:t>
            </w:r>
            <w:r>
              <w:rPr>
                <w:rFonts w:hint="eastAsia" w:cs="Times New Roman"/>
                <w:sz w:val="24"/>
                <w:u w:val="single"/>
                <w:vertAlign w:val="baseline"/>
                <w:lang w:val="en-US" w:eastAsia="zh-CN"/>
              </w:rPr>
              <w:t>)</w:t>
            </w:r>
            <w:r>
              <w:rPr>
                <w:rFonts w:hint="default" w:ascii="Times New Roman" w:hAnsi="Times New Roman" w:cs="Times New Roman"/>
                <w:sz w:val="24"/>
                <w:u w:val="single"/>
                <w:vertAlign w:val="baseline"/>
                <w:lang w:val="en-US" w:eastAsia="zh-CN"/>
              </w:rPr>
              <w:t>/63)×46=</w:t>
            </w:r>
            <w:r>
              <w:rPr>
                <w:rFonts w:hint="eastAsia" w:cs="Times New Roman"/>
                <w:sz w:val="24"/>
                <w:u w:val="single"/>
                <w:vertAlign w:val="baseline"/>
                <w:lang w:val="en-US" w:eastAsia="zh-CN"/>
              </w:rPr>
              <w:t>0.655k</w:t>
            </w:r>
            <w:r>
              <w:rPr>
                <w:rFonts w:hint="default" w:ascii="Times New Roman" w:hAnsi="Times New Roman" w:cs="Times New Roman"/>
                <w:sz w:val="24"/>
                <w:u w:val="single"/>
                <w:vertAlign w:val="baseline"/>
                <w:lang w:val="en-US" w:eastAsia="zh-CN"/>
              </w:rPr>
              <w:t>g</w:t>
            </w:r>
            <w:r>
              <w:rPr>
                <w:rFonts w:hint="eastAsia" w:ascii="Times New Roman" w:hAnsi="Times New Roman" w:cs="Times New Roman"/>
                <w:sz w:val="24"/>
                <w:u w:val="single"/>
                <w:vertAlign w:val="baseline"/>
                <w:lang w:val="en-US" w:eastAsia="zh-CN"/>
              </w:rPr>
              <w:t>/</w:t>
            </w:r>
            <w:r>
              <w:rPr>
                <w:rFonts w:hint="eastAsia" w:cs="Times New Roman"/>
                <w:sz w:val="24"/>
                <w:u w:val="single"/>
                <w:vertAlign w:val="baseline"/>
                <w:lang w:val="en-US" w:eastAsia="zh-CN"/>
              </w:rPr>
              <w:t>a。实验室年消解时间共30h，风机风量2000m</w:t>
            </w:r>
            <w:r>
              <w:rPr>
                <w:rFonts w:hint="eastAsia" w:cs="Times New Roman"/>
                <w:sz w:val="24"/>
                <w:u w:val="single"/>
                <w:vertAlign w:val="superscript"/>
                <w:lang w:val="en-US" w:eastAsia="zh-CN"/>
              </w:rPr>
              <w:t>3</w:t>
            </w:r>
            <w:r>
              <w:rPr>
                <w:rFonts w:hint="eastAsia" w:cs="Times New Roman"/>
                <w:sz w:val="24"/>
                <w:u w:val="single"/>
                <w:vertAlign w:val="baseline"/>
                <w:lang w:val="en-US" w:eastAsia="zh-CN"/>
              </w:rPr>
              <w:t>，则氮氧化物排放速率=0.655/30=0.0218k</w:t>
            </w:r>
            <w:r>
              <w:rPr>
                <w:rFonts w:hint="default" w:ascii="Times New Roman" w:hAnsi="Times New Roman" w:cs="Times New Roman"/>
                <w:sz w:val="24"/>
                <w:u w:val="single"/>
                <w:vertAlign w:val="baseline"/>
                <w:lang w:val="en-US" w:eastAsia="zh-CN"/>
              </w:rPr>
              <w:t>g</w:t>
            </w:r>
            <w:r>
              <w:rPr>
                <w:rFonts w:hint="eastAsia" w:ascii="Times New Roman" w:hAnsi="Times New Roman" w:cs="Times New Roman"/>
                <w:sz w:val="24"/>
                <w:u w:val="single"/>
                <w:vertAlign w:val="baseline"/>
                <w:lang w:val="en-US" w:eastAsia="zh-CN"/>
              </w:rPr>
              <w:t>/</w:t>
            </w:r>
            <w:r>
              <w:rPr>
                <w:rFonts w:hint="eastAsia" w:cs="Times New Roman"/>
                <w:sz w:val="24"/>
                <w:u w:val="single"/>
                <w:vertAlign w:val="baseline"/>
                <w:lang w:val="en-US" w:eastAsia="zh-CN"/>
              </w:rPr>
              <w:t>h，排放浓度=10.92mg/m</w:t>
            </w:r>
            <w:r>
              <w:rPr>
                <w:rFonts w:hint="eastAsia" w:cs="Times New Roman"/>
                <w:sz w:val="24"/>
                <w:u w:val="single"/>
                <w:vertAlign w:val="superscript"/>
                <w:lang w:val="en-US" w:eastAsia="zh-CN"/>
              </w:rPr>
              <w:t>3</w:t>
            </w:r>
            <w:r>
              <w:rPr>
                <w:rFonts w:hint="eastAsia" w:cs="Times New Roman"/>
                <w:sz w:val="24"/>
                <w:u w:val="single"/>
                <w:vertAlign w:val="baseline"/>
                <w:lang w:val="en-US" w:eastAsia="zh-CN"/>
              </w:rPr>
              <w:t>。满足</w:t>
            </w:r>
            <w:r>
              <w:rPr>
                <w:rFonts w:hint="eastAsia"/>
                <w:kern w:val="0"/>
                <w:sz w:val="24"/>
                <w:u w:val="single"/>
                <w:lang w:val="en-US" w:eastAsia="zh-CN"/>
              </w:rPr>
              <w:t>《大气污染物综合排放标准》（</w:t>
            </w:r>
            <w:r>
              <w:rPr>
                <w:rFonts w:hint="default"/>
                <w:kern w:val="0"/>
                <w:sz w:val="24"/>
                <w:u w:val="single"/>
                <w:lang w:val="en-US" w:eastAsia="zh-CN"/>
              </w:rPr>
              <w:t>GB16297-1996</w:t>
            </w:r>
            <w:r>
              <w:rPr>
                <w:rFonts w:hint="eastAsia"/>
                <w:kern w:val="0"/>
                <w:sz w:val="24"/>
                <w:u w:val="single"/>
                <w:lang w:val="en-US" w:eastAsia="zh-CN"/>
              </w:rPr>
              <w:t>）之表2中15m排气筒排放限值，排放速率＜0.77kg/h，排放浓度＜240</w:t>
            </w:r>
            <w:r>
              <w:rPr>
                <w:rFonts w:hint="eastAsia" w:cs="Times New Roman"/>
                <w:sz w:val="24"/>
                <w:u w:val="single"/>
                <w:vertAlign w:val="baseline"/>
                <w:lang w:val="en-US" w:eastAsia="zh-CN"/>
              </w:rPr>
              <w:t>mg/m</w:t>
            </w:r>
            <w:r>
              <w:rPr>
                <w:rFonts w:hint="eastAsia" w:cs="Times New Roman"/>
                <w:sz w:val="24"/>
                <w:u w:val="single"/>
                <w:vertAlign w:val="superscript"/>
                <w:lang w:val="en-US" w:eastAsia="zh-CN"/>
              </w:rPr>
              <w:t>3</w:t>
            </w:r>
          </w:p>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1" w:firstLineChars="150"/>
              <w:textAlignment w:val="auto"/>
              <w:rPr>
                <w:rFonts w:hint="eastAsia"/>
                <w:b/>
                <w:bCs w:val="0"/>
                <w:color w:val="auto"/>
                <w:sz w:val="24"/>
                <w:szCs w:val="24"/>
                <w:u w:val="none" w:color="auto"/>
                <w:vertAlign w:val="baseline"/>
                <w:lang w:val="en-US" w:eastAsia="zh-CN"/>
              </w:rPr>
            </w:pPr>
            <w:r>
              <w:rPr>
                <w:rFonts w:hint="eastAsia"/>
                <w:b/>
                <w:bCs w:val="0"/>
                <w:color w:val="auto"/>
                <w:sz w:val="24"/>
                <w:szCs w:val="24"/>
                <w:u w:val="none" w:color="auto"/>
                <w:vertAlign w:val="baseline"/>
                <w:lang w:val="en-US" w:eastAsia="zh-CN"/>
              </w:rPr>
              <w:t>b、试剂挥发废气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eastAsia"/>
                <w:sz w:val="24"/>
                <w:vertAlign w:val="baseline"/>
                <w:lang w:val="en-US" w:eastAsia="zh-CN"/>
              </w:rPr>
            </w:pPr>
            <w:r>
              <w:rPr>
                <w:rFonts w:hint="eastAsia"/>
                <w:sz w:val="24"/>
                <w:vertAlign w:val="baseline"/>
                <w:lang w:val="en-US" w:eastAsia="zh-CN"/>
              </w:rPr>
              <w:t>实验过程中使用的试剂也会以无组织形式会发出部分酸雾、有机废气。</w:t>
            </w:r>
          </w:p>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1" w:firstLineChars="150"/>
              <w:textAlignment w:val="auto"/>
              <w:rPr>
                <w:rFonts w:hint="eastAsia"/>
                <w:b/>
                <w:bCs/>
                <w:sz w:val="24"/>
                <w:vertAlign w:val="baseline"/>
                <w:lang w:val="en-US" w:eastAsia="zh-CN"/>
              </w:rPr>
            </w:pPr>
            <w:r>
              <w:rPr>
                <w:rFonts w:hint="eastAsia"/>
                <w:b/>
                <w:bCs/>
                <w:sz w:val="24"/>
                <w:vertAlign w:val="baseline"/>
                <w:lang w:val="en-US" w:eastAsia="zh-CN"/>
              </w:rPr>
              <w:t>酸雾：</w:t>
            </w:r>
          </w:p>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0" w:firstLineChars="150"/>
              <w:textAlignment w:val="auto"/>
              <w:rPr>
                <w:rFonts w:hint="default"/>
                <w:sz w:val="24"/>
                <w:vertAlign w:val="baseline"/>
                <w:lang w:val="en-US" w:eastAsia="zh-CN"/>
              </w:rPr>
            </w:pPr>
            <w:r>
              <w:rPr>
                <w:rFonts w:hint="eastAsia"/>
                <w:sz w:val="24"/>
                <w:vertAlign w:val="baseline"/>
                <w:lang w:val="en-US" w:eastAsia="zh-CN"/>
              </w:rPr>
              <w:t>依据《大气环境工程师实用手册》（四川科学技术出版社，</w:t>
            </w:r>
            <w:r>
              <w:rPr>
                <w:rFonts w:hint="default"/>
                <w:sz w:val="24"/>
                <w:vertAlign w:val="baseline"/>
                <w:lang w:val="en-US" w:eastAsia="zh-CN"/>
              </w:rPr>
              <w:t>1989</w:t>
            </w:r>
            <w:r>
              <w:rPr>
                <w:rFonts w:hint="eastAsia"/>
                <w:sz w:val="24"/>
                <w:vertAlign w:val="baseline"/>
                <w:lang w:val="en-US" w:eastAsia="zh-CN"/>
              </w:rPr>
              <w:t>年）酸雾挥发可采用以下统计公式计算</w:t>
            </w:r>
          </w:p>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0" w:firstLineChars="150"/>
              <w:jc w:val="center"/>
              <w:textAlignment w:val="auto"/>
              <w:rPr>
                <w:rFonts w:hint="default"/>
                <w:sz w:val="24"/>
                <w:vertAlign w:val="baseline"/>
                <w:lang w:val="en-US" w:eastAsia="zh-CN"/>
              </w:rPr>
            </w:pPr>
            <w:r>
              <w:rPr>
                <w:rFonts w:hint="default"/>
                <w:sz w:val="24"/>
                <w:vertAlign w:val="baseline"/>
                <w:lang w:val="en-US" w:eastAsia="zh-CN"/>
              </w:rPr>
              <w:t>Gz=M</w:t>
            </w:r>
            <w:r>
              <w:rPr>
                <w:rFonts w:hint="eastAsia"/>
                <w:sz w:val="24"/>
                <w:vertAlign w:val="baseline"/>
                <w:lang w:val="en-US" w:eastAsia="zh-CN"/>
              </w:rPr>
              <w:t>（</w:t>
            </w:r>
            <w:r>
              <w:rPr>
                <w:rFonts w:hint="default"/>
                <w:sz w:val="24"/>
                <w:vertAlign w:val="baseline"/>
                <w:lang w:val="en-US" w:eastAsia="zh-CN"/>
              </w:rPr>
              <w:t>0.000352+0.000786V</w:t>
            </w:r>
            <w:r>
              <w:rPr>
                <w:rFonts w:hint="eastAsia"/>
                <w:sz w:val="24"/>
                <w:vertAlign w:val="baseline"/>
                <w:lang w:val="en-US" w:eastAsia="zh-CN"/>
              </w:rPr>
              <w:t>）</w:t>
            </w:r>
            <w:r>
              <w:rPr>
                <w:rFonts w:hint="default"/>
                <w:sz w:val="24"/>
                <w:vertAlign w:val="baseline"/>
                <w:lang w:val="en-US" w:eastAsia="zh-CN"/>
              </w:rPr>
              <w:t>P·F</w:t>
            </w:r>
            <w:r>
              <w:rPr>
                <w:rFonts w:hint="eastAsia"/>
                <w:sz w:val="24"/>
                <w:vertAlign w:val="baseline"/>
                <w:lang w:val="en-US" w:eastAsia="zh-CN"/>
              </w:rPr>
              <w:t xml:space="preserve">     （式A.1）</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式中：</w:t>
            </w:r>
            <w:r>
              <w:rPr>
                <w:rFonts w:hint="default"/>
                <w:b w:val="0"/>
                <w:bCs/>
                <w:color w:val="auto"/>
                <w:sz w:val="24"/>
                <w:szCs w:val="24"/>
                <w:u w:val="none" w:color="auto"/>
                <w:lang w:val="en-US" w:eastAsia="zh-CN"/>
              </w:rPr>
              <w:t>Gz——</w:t>
            </w:r>
            <w:r>
              <w:rPr>
                <w:rFonts w:hint="eastAsia"/>
                <w:b w:val="0"/>
                <w:bCs/>
                <w:color w:val="auto"/>
                <w:sz w:val="24"/>
                <w:szCs w:val="24"/>
                <w:u w:val="none" w:color="auto"/>
                <w:lang w:val="en-US" w:eastAsia="zh-CN"/>
              </w:rPr>
              <w:t>溶液的蒸发量，</w:t>
            </w:r>
            <w:r>
              <w:rPr>
                <w:rFonts w:hint="default"/>
                <w:b w:val="0"/>
                <w:bCs/>
                <w:color w:val="auto"/>
                <w:sz w:val="24"/>
                <w:szCs w:val="24"/>
                <w:u w:val="none" w:color="auto"/>
                <w:lang w:val="en-US" w:eastAsia="zh-CN"/>
              </w:rPr>
              <w:t>kg/h</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M——</w:t>
            </w:r>
            <w:r>
              <w:rPr>
                <w:rFonts w:hint="eastAsia"/>
                <w:b w:val="0"/>
                <w:bCs/>
                <w:color w:val="auto"/>
                <w:sz w:val="24"/>
                <w:szCs w:val="24"/>
                <w:u w:val="none" w:color="auto"/>
                <w:lang w:val="en-US" w:eastAsia="zh-CN"/>
              </w:rPr>
              <w:t>分子量；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V——</w:t>
            </w:r>
            <w:r>
              <w:rPr>
                <w:rFonts w:hint="eastAsia"/>
                <w:b w:val="0"/>
                <w:bCs/>
                <w:color w:val="auto"/>
                <w:sz w:val="24"/>
                <w:szCs w:val="24"/>
                <w:u w:val="none" w:color="auto"/>
                <w:lang w:val="en-US" w:eastAsia="zh-CN"/>
              </w:rPr>
              <w:t>溶液表面上的空气流速，</w:t>
            </w:r>
            <w:r>
              <w:rPr>
                <w:rFonts w:hint="default"/>
                <w:b w:val="0"/>
                <w:bCs/>
                <w:color w:val="auto"/>
                <w:sz w:val="24"/>
                <w:szCs w:val="24"/>
                <w:u w:val="none" w:color="auto"/>
                <w:lang w:val="en-US" w:eastAsia="zh-CN"/>
              </w:rPr>
              <w:t>m/s</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P——</w:t>
            </w:r>
            <w:r>
              <w:rPr>
                <w:rFonts w:hint="eastAsia"/>
                <w:b w:val="0"/>
                <w:bCs/>
                <w:color w:val="auto"/>
                <w:sz w:val="24"/>
                <w:szCs w:val="24"/>
                <w:u w:val="none" w:color="auto"/>
                <w:lang w:val="en-US" w:eastAsia="zh-CN"/>
              </w:rPr>
              <w:t>相应于液体温度下空气的饱和蒸汽压力，</w:t>
            </w:r>
            <w:r>
              <w:rPr>
                <w:rFonts w:hint="default"/>
                <w:b w:val="0"/>
                <w:bCs/>
                <w:color w:val="auto"/>
                <w:sz w:val="24"/>
                <w:szCs w:val="24"/>
                <w:u w:val="none" w:color="auto"/>
                <w:lang w:val="en-US" w:eastAsia="zh-CN"/>
              </w:rPr>
              <w:t>mmHg</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vertAlign w:val="baseline"/>
                <w:lang w:val="en-US" w:eastAsia="zh-CN"/>
              </w:rPr>
            </w:pPr>
            <w:r>
              <w:rPr>
                <w:rFonts w:hint="default"/>
                <w:b w:val="0"/>
                <w:bCs/>
                <w:color w:val="auto"/>
                <w:sz w:val="24"/>
                <w:szCs w:val="24"/>
                <w:u w:val="none" w:color="auto"/>
                <w:lang w:val="en-US" w:eastAsia="zh-CN"/>
              </w:rPr>
              <w:t>F——</w:t>
            </w:r>
            <w:r>
              <w:rPr>
                <w:rFonts w:hint="eastAsia"/>
                <w:b w:val="0"/>
                <w:bCs/>
                <w:color w:val="auto"/>
                <w:sz w:val="24"/>
                <w:szCs w:val="24"/>
                <w:u w:val="none" w:color="auto"/>
                <w:lang w:val="en-US" w:eastAsia="zh-CN"/>
              </w:rPr>
              <w:t>溶液蒸发面的表面积，</w:t>
            </w:r>
            <w:r>
              <w:rPr>
                <w:rFonts w:hint="default"/>
                <w:b w:val="0"/>
                <w:bCs/>
                <w:color w:val="auto"/>
                <w:sz w:val="24"/>
                <w:szCs w:val="24"/>
                <w:u w:val="none" w:color="auto"/>
                <w:lang w:val="en-US" w:eastAsia="zh-CN"/>
              </w:rPr>
              <w:t>m</w:t>
            </w:r>
            <w:r>
              <w:rPr>
                <w:rFonts w:hint="default"/>
                <w:b w:val="0"/>
                <w:bCs/>
                <w:color w:val="auto"/>
                <w:sz w:val="24"/>
                <w:szCs w:val="24"/>
                <w:u w:val="none" w:color="auto"/>
                <w:vertAlign w:val="superscript"/>
                <w:lang w:val="en-US" w:eastAsia="zh-CN"/>
              </w:rPr>
              <w:t>2</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sz w:val="24"/>
                <w:vertAlign w:val="baseline"/>
                <w:lang w:val="en-US" w:eastAsia="zh-CN"/>
              </w:rPr>
            </w:pPr>
            <w:r>
              <w:rPr>
                <w:rFonts w:hint="eastAsia"/>
                <w:sz w:val="24"/>
                <w:vertAlign w:val="baseline"/>
                <w:lang w:val="en-US" w:eastAsia="zh-CN"/>
              </w:rPr>
              <w:t>实验使用的酸性试剂浓度及年使用量：硫酸（98％）1L/a、磷酸（85％）0.5L/a、硝酸（65％）19L/a、（盐酸37％）2.5L/a。依据上式A.1，M以化学试剂分子质量为准；V取0.5m/s；P经查阅相关实验数据确定；假定试剂盛放容器半径为5cm则</w:t>
            </w:r>
            <w:r>
              <w:rPr>
                <w:rFonts w:hint="default"/>
                <w:sz w:val="24"/>
                <w:vertAlign w:val="baseline"/>
                <w:lang w:val="en-US" w:eastAsia="zh-CN"/>
              </w:rPr>
              <w:t>F</w:t>
            </w:r>
            <w:r>
              <w:rPr>
                <w:rFonts w:hint="eastAsia"/>
                <w:sz w:val="24"/>
                <w:vertAlign w:val="baseline"/>
                <w:lang w:val="en-US" w:eastAsia="zh-CN"/>
              </w:rPr>
              <w:t>=0.0078</w:t>
            </w:r>
            <w:r>
              <w:rPr>
                <w:rFonts w:hint="default"/>
                <w:b w:val="0"/>
                <w:bCs/>
                <w:color w:val="auto"/>
                <w:sz w:val="24"/>
                <w:szCs w:val="24"/>
                <w:u w:val="none" w:color="auto"/>
                <w:lang w:val="en-US" w:eastAsia="zh-CN"/>
              </w:rPr>
              <w:t>m</w:t>
            </w:r>
            <w:r>
              <w:rPr>
                <w:rFonts w:hint="default"/>
                <w:b w:val="0"/>
                <w:bCs/>
                <w:color w:val="auto"/>
                <w:sz w:val="24"/>
                <w:szCs w:val="24"/>
                <w:u w:val="none" w:color="auto"/>
                <w:vertAlign w:val="superscript"/>
                <w:lang w:val="en-US" w:eastAsia="zh-CN"/>
              </w:rPr>
              <w:t>2</w:t>
            </w:r>
            <w:r>
              <w:rPr>
                <w:rFonts w:hint="eastAsia"/>
                <w:sz w:val="24"/>
                <w:vertAlign w:val="baseline"/>
                <w:lang w:val="en-US" w:eastAsia="zh-CN"/>
              </w:rPr>
              <w:t>，实验时各类试剂敞开时间以</w:t>
            </w:r>
            <w:r>
              <w:rPr>
                <w:rFonts w:hint="default"/>
                <w:sz w:val="24"/>
                <w:vertAlign w:val="baseline"/>
                <w:lang w:val="en-US" w:eastAsia="zh-CN"/>
              </w:rPr>
              <w:t>30min/d</w:t>
            </w:r>
            <w:r>
              <w:rPr>
                <w:rFonts w:hint="eastAsia"/>
                <w:sz w:val="24"/>
                <w:vertAlign w:val="baseline"/>
                <w:lang w:val="en-US" w:eastAsia="zh-CN"/>
              </w:rPr>
              <w:t>计，经计算得各化学物质挥发量见下表：</w:t>
            </w:r>
          </w:p>
          <w:p>
            <w:pPr>
              <w:pStyle w:val="21"/>
              <w:jc w:val="center"/>
              <w:rPr>
                <w:rFonts w:hint="default"/>
                <w:b/>
                <w:bCs/>
                <w:lang w:val="en-US" w:eastAsia="zh-CN"/>
              </w:rPr>
            </w:pPr>
            <w:r>
              <w:rPr>
                <w:rFonts w:hint="eastAsia"/>
                <w:b/>
                <w:bCs/>
                <w:lang w:val="en-US" w:eastAsia="zh-CN"/>
              </w:rPr>
              <w:t>表</w:t>
            </w:r>
            <w:r>
              <w:rPr>
                <w:rFonts w:hint="default" w:ascii="Times New Roman" w:hAnsi="Times New Roman" w:cs="Times New Roman"/>
                <w:b/>
                <w:bCs/>
                <w:lang w:val="en-US" w:eastAsia="zh-CN"/>
              </w:rPr>
              <w:t>2-</w:t>
            </w:r>
            <w:r>
              <w:rPr>
                <w:rFonts w:hint="eastAsia" w:ascii="Times New Roman" w:hAnsi="Times New Roman" w:cs="Times New Roman"/>
                <w:b/>
                <w:bCs/>
                <w:lang w:val="en-US" w:eastAsia="zh-CN"/>
              </w:rPr>
              <w:t>8</w:t>
            </w:r>
            <w:r>
              <w:rPr>
                <w:rFonts w:hint="eastAsia"/>
                <w:b/>
                <w:bCs/>
                <w:lang w:val="en-US" w:eastAsia="zh-CN"/>
              </w:rPr>
              <w:t xml:space="preserve">  酸性试剂挥发速率计算</w:t>
            </w:r>
          </w:p>
          <w:tbl>
            <w:tblPr>
              <w:tblStyle w:val="16"/>
              <w:tblW w:w="8806" w:type="dxa"/>
              <w:tblInd w:w="-3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0"/>
              <w:gridCol w:w="836"/>
              <w:gridCol w:w="957"/>
              <w:gridCol w:w="1206"/>
              <w:gridCol w:w="1076"/>
              <w:gridCol w:w="1174"/>
              <w:gridCol w:w="1174"/>
              <w:gridCol w:w="1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trPr>
              <w:tc>
                <w:tcPr>
                  <w:tcW w:w="1100" w:type="dxa"/>
                  <w:tcBorders>
                    <w:tl2br w:val="nil"/>
                    <w:tr2bl w:val="nil"/>
                  </w:tcBorders>
                  <w:shd w:val="clear" w:color="auto" w:fill="auto"/>
                  <w:noWrap/>
                  <w:vAlign w:val="center"/>
                </w:tcPr>
                <w:p>
                  <w:pPr>
                    <w:jc w:val="center"/>
                    <w:rPr>
                      <w:rFonts w:hint="eastAsia"/>
                      <w:b/>
                      <w:bCs/>
                      <w:sz w:val="21"/>
                      <w:szCs w:val="21"/>
                    </w:rPr>
                  </w:pPr>
                  <w:r>
                    <w:rPr>
                      <w:rFonts w:hint="eastAsia"/>
                      <w:b/>
                      <w:bCs/>
                      <w:sz w:val="21"/>
                      <w:szCs w:val="21"/>
                      <w:lang w:val="en-US" w:eastAsia="zh-CN"/>
                    </w:rPr>
                    <w:t>试剂种类</w:t>
                  </w:r>
                </w:p>
              </w:tc>
              <w:tc>
                <w:tcPr>
                  <w:tcW w:w="836" w:type="dxa"/>
                  <w:tcBorders>
                    <w:tl2br w:val="nil"/>
                    <w:tr2bl w:val="nil"/>
                  </w:tcBorders>
                  <w:shd w:val="clear" w:color="auto" w:fill="auto"/>
                  <w:noWrap/>
                  <w:vAlign w:val="center"/>
                </w:tcPr>
                <w:p>
                  <w:pPr>
                    <w:jc w:val="center"/>
                    <w:rPr>
                      <w:rFonts w:hint="eastAsia"/>
                      <w:b/>
                      <w:bCs/>
                      <w:sz w:val="21"/>
                      <w:szCs w:val="21"/>
                    </w:rPr>
                  </w:pPr>
                  <w:r>
                    <w:rPr>
                      <w:rFonts w:hint="eastAsia"/>
                      <w:b/>
                      <w:bCs/>
                      <w:sz w:val="21"/>
                      <w:szCs w:val="21"/>
                      <w:lang w:val="en-US" w:eastAsia="zh-CN"/>
                    </w:rPr>
                    <w:t>M</w:t>
                  </w:r>
                </w:p>
              </w:tc>
              <w:tc>
                <w:tcPr>
                  <w:tcW w:w="957" w:type="dxa"/>
                  <w:tcBorders>
                    <w:tl2br w:val="nil"/>
                    <w:tr2bl w:val="nil"/>
                  </w:tcBorders>
                  <w:shd w:val="clear" w:color="auto" w:fill="auto"/>
                  <w:noWrap/>
                  <w:vAlign w:val="center"/>
                </w:tcPr>
                <w:p>
                  <w:pPr>
                    <w:jc w:val="center"/>
                    <w:rPr>
                      <w:rFonts w:hint="eastAsia"/>
                      <w:b/>
                      <w:bCs/>
                      <w:sz w:val="21"/>
                      <w:szCs w:val="21"/>
                    </w:rPr>
                  </w:pPr>
                  <w:r>
                    <w:rPr>
                      <w:rFonts w:hint="eastAsia"/>
                      <w:b/>
                      <w:bCs/>
                      <w:sz w:val="21"/>
                      <w:szCs w:val="21"/>
                      <w:lang w:val="en-US" w:eastAsia="zh-CN"/>
                    </w:rPr>
                    <w:t>V</w:t>
                  </w:r>
                </w:p>
              </w:tc>
              <w:tc>
                <w:tcPr>
                  <w:tcW w:w="1206" w:type="dxa"/>
                  <w:tcBorders>
                    <w:tl2br w:val="nil"/>
                    <w:tr2bl w:val="nil"/>
                  </w:tcBorders>
                  <w:shd w:val="clear" w:color="auto" w:fill="auto"/>
                  <w:noWrap/>
                  <w:vAlign w:val="center"/>
                </w:tcPr>
                <w:p>
                  <w:pPr>
                    <w:jc w:val="center"/>
                    <w:rPr>
                      <w:rFonts w:hint="eastAsia"/>
                      <w:b/>
                      <w:bCs/>
                      <w:sz w:val="21"/>
                      <w:szCs w:val="21"/>
                    </w:rPr>
                  </w:pPr>
                  <w:r>
                    <w:rPr>
                      <w:rFonts w:hint="eastAsia"/>
                      <w:b/>
                      <w:bCs/>
                      <w:sz w:val="21"/>
                      <w:szCs w:val="21"/>
                      <w:lang w:val="en-US" w:eastAsia="zh-CN"/>
                    </w:rPr>
                    <w:t>P</w:t>
                  </w:r>
                </w:p>
              </w:tc>
              <w:tc>
                <w:tcPr>
                  <w:tcW w:w="1076" w:type="dxa"/>
                  <w:tcBorders>
                    <w:tl2br w:val="nil"/>
                    <w:tr2bl w:val="nil"/>
                  </w:tcBorders>
                  <w:shd w:val="clear" w:color="auto" w:fill="auto"/>
                  <w:noWrap/>
                  <w:vAlign w:val="center"/>
                </w:tcPr>
                <w:p>
                  <w:pPr>
                    <w:jc w:val="center"/>
                    <w:rPr>
                      <w:rFonts w:hint="eastAsia"/>
                      <w:b/>
                      <w:bCs/>
                      <w:sz w:val="21"/>
                      <w:szCs w:val="21"/>
                    </w:rPr>
                  </w:pPr>
                  <w:r>
                    <w:rPr>
                      <w:rFonts w:hint="eastAsia"/>
                      <w:b/>
                      <w:bCs/>
                      <w:sz w:val="21"/>
                      <w:szCs w:val="21"/>
                      <w:lang w:val="en-US" w:eastAsia="zh-CN"/>
                    </w:rPr>
                    <w:t>F</w:t>
                  </w:r>
                </w:p>
              </w:tc>
              <w:tc>
                <w:tcPr>
                  <w:tcW w:w="1174" w:type="dxa"/>
                  <w:tcBorders>
                    <w:tl2br w:val="nil"/>
                    <w:tr2bl w:val="nil"/>
                  </w:tcBorders>
                  <w:shd w:val="clear" w:color="auto" w:fill="auto"/>
                  <w:noWrap/>
                  <w:vAlign w:val="center"/>
                </w:tcPr>
                <w:p>
                  <w:pPr>
                    <w:jc w:val="center"/>
                    <w:rPr>
                      <w:rFonts w:hint="eastAsia"/>
                      <w:b/>
                      <w:bCs/>
                      <w:sz w:val="21"/>
                      <w:szCs w:val="21"/>
                      <w:lang w:val="en-US" w:eastAsia="zh-CN"/>
                    </w:rPr>
                  </w:pPr>
                  <w:r>
                    <w:rPr>
                      <w:rFonts w:hint="eastAsia"/>
                      <w:b/>
                      <w:bCs/>
                      <w:sz w:val="21"/>
                      <w:szCs w:val="21"/>
                      <w:lang w:val="en-US" w:eastAsia="zh-CN"/>
                    </w:rPr>
                    <w:t>G</w:t>
                  </w:r>
                  <w:r>
                    <w:rPr>
                      <w:rFonts w:hint="eastAsia"/>
                      <w:b/>
                      <w:bCs/>
                      <w:sz w:val="21"/>
                      <w:szCs w:val="21"/>
                      <w:vertAlign w:val="subscript"/>
                      <w:lang w:val="en-US" w:eastAsia="zh-CN"/>
                    </w:rPr>
                    <w:t>Z</w:t>
                  </w:r>
                </w:p>
              </w:tc>
              <w:tc>
                <w:tcPr>
                  <w:tcW w:w="1174" w:type="dxa"/>
                  <w:tcBorders>
                    <w:tl2br w:val="nil"/>
                    <w:tr2bl w:val="nil"/>
                  </w:tcBorders>
                  <w:shd w:val="clear" w:color="auto" w:fill="auto"/>
                  <w:noWrap/>
                  <w:vAlign w:val="center"/>
                </w:tcPr>
                <w:p>
                  <w:pPr>
                    <w:jc w:val="center"/>
                    <w:rPr>
                      <w:rFonts w:hint="eastAsia"/>
                      <w:b/>
                      <w:bCs/>
                      <w:sz w:val="21"/>
                      <w:szCs w:val="21"/>
                      <w:lang w:val="en-US" w:eastAsia="zh-CN"/>
                    </w:rPr>
                  </w:pPr>
                  <w:r>
                    <w:rPr>
                      <w:rFonts w:hint="eastAsia"/>
                      <w:b/>
                      <w:bCs/>
                      <w:sz w:val="21"/>
                      <w:szCs w:val="21"/>
                      <w:lang w:val="en-US" w:eastAsia="zh-CN"/>
                    </w:rPr>
                    <w:t>挥发时间</w:t>
                  </w:r>
                </w:p>
              </w:tc>
              <w:tc>
                <w:tcPr>
                  <w:tcW w:w="1283" w:type="dxa"/>
                  <w:tcBorders>
                    <w:tl2br w:val="nil"/>
                    <w:tr2bl w:val="nil"/>
                  </w:tcBorders>
                  <w:shd w:val="clear" w:color="auto" w:fill="auto"/>
                  <w:noWrap/>
                  <w:vAlign w:val="center"/>
                </w:tcPr>
                <w:p>
                  <w:pPr>
                    <w:jc w:val="center"/>
                    <w:rPr>
                      <w:rFonts w:hint="eastAsia"/>
                      <w:b/>
                      <w:bCs/>
                      <w:sz w:val="21"/>
                      <w:szCs w:val="21"/>
                      <w:lang w:val="en-US" w:eastAsia="zh-CN"/>
                    </w:rPr>
                  </w:pPr>
                  <w:r>
                    <w:rPr>
                      <w:rFonts w:hint="eastAsia"/>
                      <w:b/>
                      <w:bCs/>
                      <w:sz w:val="21"/>
                      <w:szCs w:val="21"/>
                      <w:lang w:val="en-US" w:eastAsia="zh-CN"/>
                    </w:rPr>
                    <w:t>挥发总量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1100"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硫酸</w:t>
                  </w:r>
                </w:p>
              </w:tc>
              <w:tc>
                <w:tcPr>
                  <w:tcW w:w="83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98</w:t>
                  </w:r>
                </w:p>
              </w:tc>
              <w:tc>
                <w:tcPr>
                  <w:tcW w:w="957"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0.5</w:t>
                  </w:r>
                </w:p>
              </w:tc>
              <w:tc>
                <w:tcPr>
                  <w:tcW w:w="120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2.475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076" w:type="dxa"/>
                  <w:tcBorders>
                    <w:tl2br w:val="nil"/>
                    <w:tr2bl w:val="nil"/>
                  </w:tcBorders>
                  <w:shd w:val="clear" w:color="auto" w:fill="auto"/>
                  <w:noWrap/>
                  <w:vAlign w:val="center"/>
                </w:tcPr>
                <w:p>
                  <w:pPr>
                    <w:jc w:val="center"/>
                    <w:rPr>
                      <w:rFonts w:hint="default"/>
                      <w:sz w:val="21"/>
                      <w:szCs w:val="21"/>
                    </w:rPr>
                  </w:pPr>
                  <w:r>
                    <w:rPr>
                      <w:rFonts w:hint="default"/>
                      <w:sz w:val="21"/>
                      <w:szCs w:val="21"/>
                      <w:lang w:val="en-US" w:eastAsia="zh-CN"/>
                    </w:rPr>
                    <w:t>0.0078</w:t>
                  </w:r>
                </w:p>
              </w:tc>
              <w:tc>
                <w:tcPr>
                  <w:tcW w:w="1174"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1.41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-7</w:t>
                  </w:r>
                </w:p>
              </w:tc>
              <w:tc>
                <w:tcPr>
                  <w:tcW w:w="1174" w:type="dxa"/>
                  <w:tcBorders>
                    <w:tl2br w:val="nil"/>
                    <w:tr2bl w:val="nil"/>
                  </w:tcBorders>
                  <w:shd w:val="clear" w:color="auto" w:fill="auto"/>
                  <w:noWrap/>
                  <w:vAlign w:val="center"/>
                </w:tcPr>
                <w:p>
                  <w:pPr>
                    <w:jc w:val="center"/>
                    <w:rPr>
                      <w:rFonts w:hint="eastAsia"/>
                      <w:sz w:val="21"/>
                      <w:szCs w:val="21"/>
                      <w:lang w:val="en-US" w:eastAsia="zh-CN"/>
                    </w:rPr>
                  </w:pPr>
                  <w:r>
                    <w:rPr>
                      <w:rFonts w:hint="eastAsia"/>
                      <w:sz w:val="21"/>
                      <w:szCs w:val="21"/>
                      <w:lang w:val="en-US" w:eastAsia="zh-CN"/>
                    </w:rPr>
                    <w:t>120</w:t>
                  </w:r>
                </w:p>
              </w:tc>
              <w:tc>
                <w:tcPr>
                  <w:tcW w:w="1283"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1.765</w:t>
                  </w:r>
                  <w:r>
                    <w:rPr>
                      <w:rFonts w:hint="default"/>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1100"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磷酸</w:t>
                  </w:r>
                </w:p>
              </w:tc>
              <w:tc>
                <w:tcPr>
                  <w:tcW w:w="83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98</w:t>
                  </w:r>
                </w:p>
              </w:tc>
              <w:tc>
                <w:tcPr>
                  <w:tcW w:w="957"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0.5</w:t>
                  </w:r>
                </w:p>
              </w:tc>
              <w:tc>
                <w:tcPr>
                  <w:tcW w:w="120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3.7503084</w:t>
                  </w:r>
                </w:p>
              </w:tc>
              <w:tc>
                <w:tcPr>
                  <w:tcW w:w="1076" w:type="dxa"/>
                  <w:tcBorders>
                    <w:tl2br w:val="nil"/>
                    <w:tr2bl w:val="nil"/>
                  </w:tcBorders>
                  <w:shd w:val="clear" w:color="auto" w:fill="auto"/>
                  <w:noWrap/>
                  <w:vAlign w:val="center"/>
                </w:tcPr>
                <w:p>
                  <w:pPr>
                    <w:jc w:val="center"/>
                    <w:rPr>
                      <w:rFonts w:hint="default"/>
                      <w:sz w:val="21"/>
                      <w:szCs w:val="21"/>
                    </w:rPr>
                  </w:pPr>
                  <w:r>
                    <w:rPr>
                      <w:rFonts w:hint="default"/>
                      <w:sz w:val="21"/>
                      <w:szCs w:val="21"/>
                      <w:lang w:val="en-US" w:eastAsia="zh-CN"/>
                    </w:rPr>
                    <w:t>0.0078</w:t>
                  </w:r>
                </w:p>
              </w:tc>
              <w:tc>
                <w:tcPr>
                  <w:tcW w:w="1174"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2.14</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-3</w:t>
                  </w:r>
                </w:p>
              </w:tc>
              <w:tc>
                <w:tcPr>
                  <w:tcW w:w="1174" w:type="dxa"/>
                  <w:tcBorders>
                    <w:tl2br w:val="nil"/>
                    <w:tr2bl w:val="nil"/>
                  </w:tcBorders>
                  <w:shd w:val="clear" w:color="auto" w:fill="auto"/>
                  <w:noWrap/>
                  <w:vAlign w:val="center"/>
                </w:tcPr>
                <w:p>
                  <w:pPr>
                    <w:jc w:val="center"/>
                    <w:rPr>
                      <w:rFonts w:hint="eastAsia"/>
                      <w:sz w:val="21"/>
                      <w:szCs w:val="21"/>
                      <w:lang w:val="en-US" w:eastAsia="zh-CN"/>
                    </w:rPr>
                  </w:pPr>
                  <w:r>
                    <w:rPr>
                      <w:rFonts w:hint="eastAsia"/>
                      <w:sz w:val="21"/>
                      <w:szCs w:val="21"/>
                      <w:lang w:val="en-US" w:eastAsia="zh-CN"/>
                    </w:rPr>
                    <w:t>120</w:t>
                  </w:r>
                </w:p>
              </w:tc>
              <w:tc>
                <w:tcPr>
                  <w:tcW w:w="1283" w:type="dxa"/>
                  <w:tcBorders>
                    <w:tl2br w:val="nil"/>
                    <w:tr2bl w:val="nil"/>
                  </w:tcBorders>
                  <w:shd w:val="clear" w:color="auto" w:fill="auto"/>
                  <w:noWrap/>
                  <w:vAlign w:val="center"/>
                </w:tcPr>
                <w:p>
                  <w:pPr>
                    <w:jc w:val="center"/>
                    <w:rPr>
                      <w:rFonts w:hint="eastAsia"/>
                      <w:sz w:val="21"/>
                      <w:szCs w:val="21"/>
                      <w:lang w:val="en-US" w:eastAsia="zh-CN"/>
                    </w:rPr>
                  </w:pPr>
                  <w:r>
                    <w:rPr>
                      <w:rFonts w:hint="eastAsia"/>
                      <w:sz w:val="21"/>
                      <w:szCs w:val="21"/>
                      <w:lang w:val="en-US" w:eastAsia="zh-CN"/>
                    </w:rPr>
                    <w:t>0.2675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00"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硝酸</w:t>
                  </w:r>
                </w:p>
              </w:tc>
              <w:tc>
                <w:tcPr>
                  <w:tcW w:w="83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63</w:t>
                  </w:r>
                </w:p>
              </w:tc>
              <w:tc>
                <w:tcPr>
                  <w:tcW w:w="957"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0.5</w:t>
                  </w:r>
                </w:p>
              </w:tc>
              <w:tc>
                <w:tcPr>
                  <w:tcW w:w="120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2.32</w:t>
                  </w:r>
                </w:p>
              </w:tc>
              <w:tc>
                <w:tcPr>
                  <w:tcW w:w="1076" w:type="dxa"/>
                  <w:tcBorders>
                    <w:tl2br w:val="nil"/>
                    <w:tr2bl w:val="nil"/>
                  </w:tcBorders>
                  <w:shd w:val="clear" w:color="auto" w:fill="auto"/>
                  <w:noWrap/>
                  <w:vAlign w:val="center"/>
                </w:tcPr>
                <w:p>
                  <w:pPr>
                    <w:jc w:val="center"/>
                    <w:rPr>
                      <w:rFonts w:hint="default"/>
                      <w:sz w:val="21"/>
                      <w:szCs w:val="21"/>
                    </w:rPr>
                  </w:pPr>
                  <w:r>
                    <w:rPr>
                      <w:rFonts w:hint="default"/>
                      <w:sz w:val="21"/>
                      <w:szCs w:val="21"/>
                      <w:lang w:val="en-US" w:eastAsia="zh-CN"/>
                    </w:rPr>
                    <w:t>0.0078</w:t>
                  </w:r>
                </w:p>
              </w:tc>
              <w:tc>
                <w:tcPr>
                  <w:tcW w:w="1174"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8.510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174" w:type="dxa"/>
                  <w:tcBorders>
                    <w:tl2br w:val="nil"/>
                    <w:tr2bl w:val="nil"/>
                  </w:tcBorders>
                  <w:shd w:val="clear" w:color="auto" w:fill="auto"/>
                  <w:noWrap/>
                  <w:vAlign w:val="center"/>
                </w:tcPr>
                <w:p>
                  <w:pPr>
                    <w:jc w:val="center"/>
                    <w:rPr>
                      <w:rFonts w:hint="eastAsia"/>
                      <w:sz w:val="21"/>
                      <w:szCs w:val="21"/>
                      <w:lang w:val="en-US" w:eastAsia="zh-CN"/>
                    </w:rPr>
                  </w:pPr>
                  <w:r>
                    <w:rPr>
                      <w:rFonts w:hint="eastAsia"/>
                      <w:sz w:val="21"/>
                      <w:szCs w:val="21"/>
                      <w:lang w:val="en-US" w:eastAsia="zh-CN"/>
                    </w:rPr>
                    <w:t>120</w:t>
                  </w:r>
                </w:p>
              </w:tc>
              <w:tc>
                <w:tcPr>
                  <w:tcW w:w="1283"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0.1064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00"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盐酸</w:t>
                  </w:r>
                </w:p>
              </w:tc>
              <w:tc>
                <w:tcPr>
                  <w:tcW w:w="83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36.5</w:t>
                  </w:r>
                </w:p>
              </w:tc>
              <w:tc>
                <w:tcPr>
                  <w:tcW w:w="957"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0.5</w:t>
                  </w:r>
                </w:p>
              </w:tc>
              <w:tc>
                <w:tcPr>
                  <w:tcW w:w="1206" w:type="dxa"/>
                  <w:tcBorders>
                    <w:tl2br w:val="nil"/>
                    <w:tr2bl w:val="nil"/>
                  </w:tcBorders>
                  <w:shd w:val="clear" w:color="auto" w:fill="auto"/>
                  <w:noWrap/>
                  <w:vAlign w:val="center"/>
                </w:tcPr>
                <w:p>
                  <w:pPr>
                    <w:jc w:val="center"/>
                    <w:rPr>
                      <w:rFonts w:hint="eastAsia"/>
                      <w:sz w:val="21"/>
                      <w:szCs w:val="21"/>
                    </w:rPr>
                  </w:pPr>
                  <w:r>
                    <w:rPr>
                      <w:rFonts w:hint="eastAsia"/>
                      <w:sz w:val="21"/>
                      <w:szCs w:val="21"/>
                      <w:lang w:val="en-US" w:eastAsia="zh-CN"/>
                    </w:rPr>
                    <w:t>4.41</w:t>
                  </w:r>
                </w:p>
              </w:tc>
              <w:tc>
                <w:tcPr>
                  <w:tcW w:w="1076" w:type="dxa"/>
                  <w:tcBorders>
                    <w:tl2br w:val="nil"/>
                    <w:tr2bl w:val="nil"/>
                  </w:tcBorders>
                  <w:shd w:val="clear" w:color="auto" w:fill="auto"/>
                  <w:noWrap/>
                  <w:vAlign w:val="center"/>
                </w:tcPr>
                <w:p>
                  <w:pPr>
                    <w:jc w:val="center"/>
                    <w:rPr>
                      <w:rFonts w:hint="default"/>
                      <w:sz w:val="21"/>
                      <w:szCs w:val="21"/>
                    </w:rPr>
                  </w:pPr>
                  <w:r>
                    <w:rPr>
                      <w:rFonts w:hint="default"/>
                      <w:sz w:val="21"/>
                      <w:szCs w:val="21"/>
                      <w:lang w:val="en-US" w:eastAsia="zh-CN"/>
                    </w:rPr>
                    <w:t>0.0078</w:t>
                  </w:r>
                </w:p>
              </w:tc>
              <w:tc>
                <w:tcPr>
                  <w:tcW w:w="1174"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9.372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174" w:type="dxa"/>
                  <w:tcBorders>
                    <w:tl2br w:val="nil"/>
                    <w:tr2bl w:val="nil"/>
                  </w:tcBorders>
                  <w:shd w:val="clear" w:color="auto" w:fill="auto"/>
                  <w:noWrap/>
                  <w:vAlign w:val="center"/>
                </w:tcPr>
                <w:p>
                  <w:pPr>
                    <w:jc w:val="center"/>
                    <w:rPr>
                      <w:rFonts w:hint="eastAsia"/>
                      <w:sz w:val="21"/>
                      <w:szCs w:val="21"/>
                      <w:lang w:val="en-US" w:eastAsia="zh-CN"/>
                    </w:rPr>
                  </w:pPr>
                  <w:r>
                    <w:rPr>
                      <w:rFonts w:hint="eastAsia"/>
                      <w:sz w:val="21"/>
                      <w:szCs w:val="21"/>
                      <w:lang w:val="en-US" w:eastAsia="zh-CN"/>
                    </w:rPr>
                    <w:t>120</w:t>
                  </w:r>
                </w:p>
              </w:tc>
              <w:tc>
                <w:tcPr>
                  <w:tcW w:w="1283" w:type="dxa"/>
                  <w:tcBorders>
                    <w:tl2br w:val="nil"/>
                    <w:tr2bl w:val="nil"/>
                  </w:tcBorders>
                  <w:shd w:val="clear" w:color="auto" w:fill="auto"/>
                  <w:noWrap/>
                  <w:vAlign w:val="center"/>
                </w:tcPr>
                <w:p>
                  <w:pPr>
                    <w:jc w:val="center"/>
                    <w:rPr>
                      <w:rFonts w:hint="default"/>
                      <w:sz w:val="21"/>
                      <w:szCs w:val="21"/>
                      <w:lang w:val="en-US" w:eastAsia="zh-CN"/>
                    </w:rPr>
                  </w:pPr>
                  <w:r>
                    <w:rPr>
                      <w:rFonts w:hint="eastAsia"/>
                      <w:sz w:val="21"/>
                      <w:szCs w:val="21"/>
                      <w:lang w:val="en-US" w:eastAsia="zh-CN"/>
                    </w:rPr>
                    <w:t>0.1171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806" w:type="dxa"/>
                  <w:gridSpan w:val="8"/>
                  <w:tcBorders>
                    <w:tl2br w:val="nil"/>
                    <w:tr2bl w:val="nil"/>
                  </w:tcBorders>
                  <w:shd w:val="clear" w:color="auto" w:fill="auto"/>
                  <w:noWrap/>
                  <w:vAlign w:val="center"/>
                </w:tcPr>
                <w:p>
                  <w:pPr>
                    <w:jc w:val="left"/>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说明</w:t>
                  </w:r>
                </w:p>
                <w:p>
                  <w:pPr>
                    <w:ind w:firstLine="360" w:firstLineChars="200"/>
                    <w:jc w:val="left"/>
                    <w:rPr>
                      <w:rFonts w:hint="default"/>
                      <w:b w:val="0"/>
                      <w:bCs w:val="0"/>
                      <w:sz w:val="21"/>
                      <w:szCs w:val="21"/>
                      <w:lang w:val="en-US" w:eastAsia="zh-CN"/>
                    </w:rPr>
                  </w:pPr>
                  <w:r>
                    <w:rPr>
                      <w:rFonts w:hint="eastAsia" w:ascii="仿宋" w:hAnsi="仿宋" w:eastAsia="仿宋" w:cs="仿宋"/>
                      <w:b w:val="0"/>
                      <w:bCs w:val="0"/>
                      <w:sz w:val="18"/>
                      <w:szCs w:val="18"/>
                      <w:lang w:val="en-US" w:eastAsia="zh-CN"/>
                    </w:rPr>
                    <w:t>1、关于单位：挥发时间为h，挥发总量为kg/a，其余单位在式A.1已给出。</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1"/>
                <w:szCs w:val="21"/>
                <w:lang w:val="en-US" w:eastAsia="zh-CN"/>
              </w:rPr>
            </w:pPr>
            <w:r>
              <w:rPr>
                <w:rFonts w:hint="eastAsia"/>
                <w:b w:val="0"/>
                <w:bCs/>
                <w:color w:val="auto"/>
                <w:sz w:val="24"/>
                <w:szCs w:val="24"/>
                <w:u w:val="none" w:color="auto"/>
                <w:lang w:val="en-US" w:eastAsia="zh-CN"/>
              </w:rPr>
              <w:t>可见，实验室酸性试剂无组织挥发出的各污染物总量：硫酸雾</w:t>
            </w:r>
            <w:r>
              <w:rPr>
                <w:rFonts w:hint="eastAsia"/>
                <w:sz w:val="24"/>
                <w:szCs w:val="24"/>
                <w:lang w:val="en-US" w:eastAsia="zh-CN"/>
              </w:rPr>
              <w:t>1.765</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-5</w:t>
            </w:r>
            <w:r>
              <w:rPr>
                <w:rFonts w:hint="eastAsia"/>
                <w:sz w:val="24"/>
                <w:szCs w:val="24"/>
                <w:lang w:val="en-US" w:eastAsia="zh-CN"/>
              </w:rPr>
              <w:t>kg/a</w:t>
            </w:r>
            <w:r>
              <w:rPr>
                <w:rFonts w:hint="eastAsia" w:ascii="仿宋" w:hAnsi="仿宋" w:eastAsia="仿宋" w:cs="仿宋"/>
                <w:b w:val="0"/>
                <w:bCs w:val="0"/>
                <w:sz w:val="18"/>
                <w:szCs w:val="18"/>
                <w:lang w:val="en-US" w:eastAsia="zh-CN"/>
              </w:rPr>
              <w:t>、</w:t>
            </w:r>
            <w:r>
              <w:rPr>
                <w:rFonts w:hint="eastAsia"/>
                <w:b w:val="0"/>
                <w:bCs/>
                <w:color w:val="auto"/>
                <w:sz w:val="24"/>
                <w:szCs w:val="24"/>
                <w:u w:val="none" w:color="auto"/>
                <w:lang w:val="en-US" w:eastAsia="zh-CN"/>
              </w:rPr>
              <w:t>磷酸雾</w:t>
            </w:r>
            <w:r>
              <w:rPr>
                <w:rFonts w:hint="eastAsia"/>
                <w:sz w:val="24"/>
                <w:szCs w:val="24"/>
                <w:lang w:val="en-US" w:eastAsia="zh-CN"/>
              </w:rPr>
              <w:t>0.2675kg/a</w:t>
            </w:r>
            <w:r>
              <w:rPr>
                <w:rFonts w:hint="eastAsia" w:ascii="仿宋" w:hAnsi="仿宋" w:eastAsia="仿宋" w:cs="仿宋"/>
                <w:b w:val="0"/>
                <w:bCs w:val="0"/>
                <w:sz w:val="18"/>
                <w:szCs w:val="18"/>
                <w:lang w:val="en-US" w:eastAsia="zh-CN"/>
              </w:rPr>
              <w:t>、</w:t>
            </w:r>
            <w:r>
              <w:rPr>
                <w:rFonts w:hint="eastAsia"/>
                <w:b w:val="0"/>
                <w:bCs/>
                <w:color w:val="auto"/>
                <w:sz w:val="24"/>
                <w:szCs w:val="24"/>
                <w:u w:val="none" w:color="auto"/>
                <w:lang w:val="en-US" w:eastAsia="zh-CN"/>
              </w:rPr>
              <w:t>硝酸雾</w:t>
            </w:r>
            <w:r>
              <w:rPr>
                <w:rFonts w:hint="eastAsia"/>
                <w:sz w:val="24"/>
                <w:szCs w:val="24"/>
                <w:lang w:val="en-US" w:eastAsia="zh-CN"/>
              </w:rPr>
              <w:t>0.1064kg/a</w:t>
            </w:r>
            <w:r>
              <w:rPr>
                <w:rFonts w:hint="eastAsia"/>
                <w:sz w:val="21"/>
                <w:szCs w:val="21"/>
                <w:lang w:val="en-US" w:eastAsia="zh-CN"/>
              </w:rPr>
              <w:t>、</w:t>
            </w:r>
            <w:r>
              <w:rPr>
                <w:rFonts w:hint="eastAsia"/>
                <w:b w:val="0"/>
                <w:bCs/>
                <w:color w:val="auto"/>
                <w:sz w:val="24"/>
                <w:szCs w:val="24"/>
                <w:u w:val="none" w:color="auto"/>
                <w:lang w:val="en-US" w:eastAsia="zh-CN"/>
              </w:rPr>
              <w:t>盐酸雾</w:t>
            </w:r>
            <w:r>
              <w:rPr>
                <w:rFonts w:hint="eastAsia"/>
                <w:sz w:val="24"/>
                <w:szCs w:val="24"/>
                <w:lang w:val="en-US" w:eastAsia="zh-CN"/>
              </w:rPr>
              <w:t>0.1171kg/a，酸雾产生量共计0.49105kg/a。挥发产生酸雾量极小，基本不对环境构成影响。另外，由于盐酸雾、硝酸雾暂无排放标准，因此以环评将其以HCl、氮氧化物统计。</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vertAlign w:val="baseline"/>
                <w:lang w:val="en-US" w:eastAsia="zh-CN"/>
              </w:rPr>
            </w:pPr>
            <w:r>
              <w:rPr>
                <w:rFonts w:hint="eastAsia"/>
                <w:b/>
                <w:bCs/>
                <w:sz w:val="24"/>
                <w:vertAlign w:val="baseline"/>
                <w:lang w:val="en-US" w:eastAsia="zh-CN"/>
              </w:rPr>
              <w:t>有机废气：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b w:val="0"/>
                <w:bCs/>
                <w:color w:val="auto"/>
                <w:sz w:val="24"/>
                <w:szCs w:val="24"/>
                <w:u w:val="none" w:color="auto"/>
                <w:lang w:val="en-US" w:eastAsia="zh-CN"/>
              </w:rPr>
            </w:pPr>
            <w:r>
              <w:rPr>
                <w:rFonts w:hint="eastAsia"/>
                <w:b w:val="0"/>
                <w:bCs/>
                <w:color w:val="auto"/>
                <w:sz w:val="24"/>
                <w:szCs w:val="24"/>
                <w:u w:val="none" w:color="auto"/>
                <w:lang w:val="en-US" w:eastAsia="zh-CN"/>
              </w:rPr>
              <w:t>实验室主要使用的连续流动注射仪使用三氯甲烷作为萃取溶剂，三氯甲烷年使用量5L，因此环评选取三氯甲烷作为主要特征污染物。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根据赵焕平在《有机容积挥发量之估算方法》提出的方法：“在特定温度下（</w:t>
            </w:r>
            <w:r>
              <w:rPr>
                <w:rFonts w:hint="default"/>
                <w:b w:val="0"/>
                <w:bCs/>
                <w:color w:val="auto"/>
                <w:sz w:val="24"/>
                <w:szCs w:val="24"/>
                <w:u w:val="none" w:color="auto"/>
                <w:lang w:val="en-US" w:eastAsia="zh-CN"/>
              </w:rPr>
              <w:t>25</w:t>
            </w:r>
            <w:r>
              <w:rPr>
                <w:rFonts w:hint="eastAsia"/>
                <w:b w:val="0"/>
                <w:bCs/>
                <w:color w:val="auto"/>
                <w:sz w:val="24"/>
                <w:szCs w:val="24"/>
                <w:u w:val="none" w:color="auto"/>
                <w:lang w:val="en-US" w:eastAsia="zh-CN"/>
              </w:rPr>
              <w:t xml:space="preserve">℃），当有机物挥发量除以其他饱和蒸汽压后再乘以其分子量的平方根将趋近于常数（此常数可以用平均值 </w:t>
            </w:r>
            <w:r>
              <w:rPr>
                <w:rFonts w:hint="default"/>
                <w:b w:val="0"/>
                <w:bCs/>
                <w:color w:val="auto"/>
                <w:sz w:val="24"/>
                <w:szCs w:val="24"/>
                <w:u w:val="none" w:color="auto"/>
                <w:lang w:val="en-US" w:eastAsia="zh-CN"/>
              </w:rPr>
              <w:t>1.38×10</w:t>
            </w:r>
            <w:r>
              <w:rPr>
                <w:rFonts w:hint="default"/>
                <w:b w:val="0"/>
                <w:bCs/>
                <w:color w:val="auto"/>
                <w:sz w:val="24"/>
                <w:szCs w:val="24"/>
                <w:u w:val="none" w:color="auto"/>
                <w:vertAlign w:val="superscript"/>
                <w:lang w:val="en-US" w:eastAsia="zh-CN"/>
              </w:rPr>
              <w:t>-3</w:t>
            </w:r>
            <w:r>
              <w:rPr>
                <w:rFonts w:hint="eastAsia"/>
                <w:b w:val="0"/>
                <w:bCs/>
                <w:color w:val="auto"/>
                <w:sz w:val="24"/>
                <w:szCs w:val="24"/>
                <w:u w:val="none" w:color="auto"/>
                <w:lang w:val="en-US" w:eastAsia="zh-CN"/>
              </w:rPr>
              <w:t>代替），则可以推导出有机物挥发量的计算公式：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baseline"/>
              <w:rPr>
                <w:rFonts w:hint="default"/>
                <w:b w:val="0"/>
                <w:bCs/>
                <w:color w:val="auto"/>
                <w:sz w:val="24"/>
                <w:szCs w:val="24"/>
                <w:u w:val="none" w:color="auto"/>
                <w:vertAlign w:val="baseline"/>
                <w:lang w:val="en-US" w:eastAsia="zh-CN"/>
              </w:rPr>
            </w:pPr>
            <w:r>
              <w:rPr>
                <w:rFonts w:hint="default"/>
                <w:b w:val="0"/>
                <w:bCs/>
                <w:color w:val="auto"/>
                <w:sz w:val="24"/>
                <w:szCs w:val="24"/>
                <w:u w:val="none" w:color="auto"/>
                <w:lang w:val="en-US" w:eastAsia="zh-CN"/>
              </w:rPr>
              <w:t>Q=C•P•F•T/M</w:t>
            </w:r>
            <w:r>
              <w:rPr>
                <w:rFonts w:hint="eastAsia"/>
                <w:b w:val="0"/>
                <w:bCs/>
                <w:color w:val="auto"/>
                <w:sz w:val="24"/>
                <w:szCs w:val="24"/>
                <w:u w:val="none" w:color="auto"/>
                <w:vertAlign w:val="superscript"/>
                <w:lang w:val="en-US" w:eastAsia="zh-CN"/>
              </w:rPr>
              <w:t>1/2</w:t>
            </w:r>
            <w:r>
              <w:rPr>
                <w:rFonts w:hint="eastAsia"/>
                <w:b w:val="0"/>
                <w:bCs/>
                <w:color w:val="auto"/>
                <w:sz w:val="24"/>
                <w:szCs w:val="24"/>
                <w:u w:val="none" w:color="auto"/>
                <w:vertAlign w:val="baseline"/>
                <w:lang w:val="en-US" w:eastAsia="zh-CN"/>
              </w:rPr>
              <w:t xml:space="preserve">    （式A.2）</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式中：</w:t>
            </w:r>
            <w:r>
              <w:rPr>
                <w:rFonts w:hint="default"/>
                <w:b w:val="0"/>
                <w:bCs/>
                <w:color w:val="auto"/>
                <w:sz w:val="24"/>
                <w:szCs w:val="24"/>
                <w:u w:val="none" w:color="auto"/>
                <w:lang w:val="en-US" w:eastAsia="zh-CN"/>
              </w:rPr>
              <w:t>Q——</w:t>
            </w:r>
            <w:r>
              <w:rPr>
                <w:rFonts w:hint="eastAsia"/>
                <w:b w:val="0"/>
                <w:bCs/>
                <w:color w:val="auto"/>
                <w:sz w:val="24"/>
                <w:szCs w:val="24"/>
                <w:u w:val="none" w:color="auto"/>
                <w:lang w:val="en-US" w:eastAsia="zh-CN"/>
              </w:rPr>
              <w:t>有机物挥发量，</w:t>
            </w:r>
            <w:r>
              <w:rPr>
                <w:rFonts w:hint="default"/>
                <w:b w:val="0"/>
                <w:bCs/>
                <w:color w:val="auto"/>
                <w:sz w:val="24"/>
                <w:szCs w:val="24"/>
                <w:u w:val="none" w:color="auto"/>
                <w:lang w:val="en-US" w:eastAsia="zh-CN"/>
              </w:rPr>
              <w:t>g</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C——</w:t>
            </w:r>
            <w:r>
              <w:rPr>
                <w:rFonts w:hint="eastAsia"/>
                <w:b w:val="0"/>
                <w:bCs/>
                <w:color w:val="auto"/>
                <w:sz w:val="24"/>
                <w:szCs w:val="24"/>
                <w:u w:val="none" w:color="auto"/>
                <w:lang w:val="en-US" w:eastAsia="zh-CN"/>
              </w:rPr>
              <w:t>常数，取值</w:t>
            </w:r>
            <w:r>
              <w:rPr>
                <w:rFonts w:hint="default"/>
                <w:b w:val="0"/>
                <w:bCs/>
                <w:color w:val="auto"/>
                <w:sz w:val="24"/>
                <w:szCs w:val="24"/>
                <w:u w:val="none" w:color="auto"/>
                <w:lang w:val="en-US" w:eastAsia="zh-CN"/>
              </w:rPr>
              <w:t>1.38×10</w:t>
            </w:r>
            <w:r>
              <w:rPr>
                <w:rFonts w:hint="default"/>
                <w:b w:val="0"/>
                <w:bCs/>
                <w:color w:val="auto"/>
                <w:sz w:val="24"/>
                <w:szCs w:val="24"/>
                <w:u w:val="none" w:color="auto"/>
                <w:vertAlign w:val="superscript"/>
                <w:lang w:val="en-US" w:eastAsia="zh-CN"/>
              </w:rPr>
              <w:t>-3</w:t>
            </w:r>
            <w:r>
              <w:rPr>
                <w:rFonts w:hint="eastAsia"/>
                <w:b w:val="0"/>
                <w:bCs/>
                <w:color w:val="auto"/>
                <w:sz w:val="24"/>
                <w:szCs w:val="24"/>
                <w:u w:val="none" w:color="auto"/>
                <w:lang w:val="en-US" w:eastAsia="zh-CN"/>
              </w:rPr>
              <w:t>，</w:t>
            </w:r>
            <w:r>
              <w:rPr>
                <w:rFonts w:hint="default"/>
                <w:b w:val="0"/>
                <w:bCs/>
                <w:color w:val="auto"/>
                <w:sz w:val="24"/>
                <w:szCs w:val="24"/>
                <w:u w:val="none" w:color="auto"/>
                <w:lang w:val="en-US" w:eastAsia="zh-CN"/>
              </w:rPr>
              <w:t>g/</w:t>
            </w:r>
            <w:r>
              <w:rPr>
                <w:rFonts w:hint="eastAsia"/>
                <w:b w:val="0"/>
                <w:bCs/>
                <w:color w:val="auto"/>
                <w:sz w:val="24"/>
                <w:szCs w:val="24"/>
                <w:u w:val="none" w:color="auto"/>
                <w:lang w:val="en-US" w:eastAsia="zh-CN"/>
              </w:rPr>
              <w:t>（</w:t>
            </w:r>
            <w:r>
              <w:rPr>
                <w:rFonts w:hint="default"/>
                <w:b w:val="0"/>
                <w:bCs/>
                <w:color w:val="auto"/>
                <w:sz w:val="24"/>
                <w:szCs w:val="24"/>
                <w:u w:val="none" w:color="auto"/>
                <w:lang w:val="en-US" w:eastAsia="zh-CN"/>
              </w:rPr>
              <w:t>m</w:t>
            </w:r>
            <w:r>
              <w:rPr>
                <w:rFonts w:hint="default"/>
                <w:b w:val="0"/>
                <w:bCs/>
                <w:color w:val="auto"/>
                <w:sz w:val="24"/>
                <w:szCs w:val="24"/>
                <w:u w:val="none" w:color="auto"/>
                <w:vertAlign w:val="superscript"/>
                <w:lang w:val="en-US" w:eastAsia="zh-CN"/>
              </w:rPr>
              <w:t>2</w:t>
            </w:r>
            <w:r>
              <w:rPr>
                <w:rFonts w:hint="default"/>
                <w:b w:val="0"/>
                <w:bCs/>
                <w:color w:val="auto"/>
                <w:sz w:val="24"/>
                <w:szCs w:val="24"/>
                <w:u w:val="none" w:color="auto"/>
                <w:lang w:val="en-US" w:eastAsia="zh-CN"/>
              </w:rPr>
              <w:t>•min•mmHg</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M——</w:t>
            </w:r>
            <w:r>
              <w:rPr>
                <w:rFonts w:hint="eastAsia"/>
                <w:b w:val="0"/>
                <w:bCs/>
                <w:color w:val="auto"/>
                <w:sz w:val="24"/>
                <w:szCs w:val="24"/>
                <w:u w:val="none" w:color="auto"/>
                <w:lang w:val="en-US" w:eastAsia="zh-CN"/>
              </w:rPr>
              <w:t>分子量；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P——</w:t>
            </w:r>
            <w:r>
              <w:rPr>
                <w:rFonts w:hint="eastAsia"/>
                <w:b w:val="0"/>
                <w:bCs/>
                <w:color w:val="auto"/>
                <w:sz w:val="24"/>
                <w:szCs w:val="24"/>
                <w:u w:val="none" w:color="auto"/>
                <w:lang w:val="en-US" w:eastAsia="zh-CN"/>
              </w:rPr>
              <w:t>相应于液体温度下空气的饱和蒸汽压，</w:t>
            </w:r>
            <w:r>
              <w:rPr>
                <w:rFonts w:hint="default"/>
                <w:b w:val="0"/>
                <w:bCs/>
                <w:color w:val="auto"/>
                <w:sz w:val="24"/>
                <w:szCs w:val="24"/>
                <w:u w:val="none" w:color="auto"/>
                <w:lang w:val="en-US" w:eastAsia="zh-CN"/>
              </w:rPr>
              <w:t>mmHg</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F——</w:t>
            </w:r>
            <w:r>
              <w:rPr>
                <w:rFonts w:hint="eastAsia"/>
                <w:b w:val="0"/>
                <w:bCs/>
                <w:color w:val="auto"/>
                <w:sz w:val="24"/>
                <w:szCs w:val="24"/>
                <w:u w:val="none" w:color="auto"/>
                <w:lang w:val="en-US" w:eastAsia="zh-CN"/>
              </w:rPr>
              <w:t>溶液蒸发面的表面积，</w:t>
            </w:r>
            <w:r>
              <w:rPr>
                <w:rFonts w:hint="default"/>
                <w:b w:val="0"/>
                <w:bCs/>
                <w:color w:val="auto"/>
                <w:sz w:val="24"/>
                <w:szCs w:val="24"/>
                <w:u w:val="none" w:color="auto"/>
                <w:lang w:val="en-US" w:eastAsia="zh-CN"/>
              </w:rPr>
              <w:t>m</w:t>
            </w:r>
            <w:r>
              <w:rPr>
                <w:rFonts w:hint="default"/>
                <w:b w:val="0"/>
                <w:bCs/>
                <w:color w:val="auto"/>
                <w:sz w:val="24"/>
                <w:szCs w:val="24"/>
                <w:u w:val="none" w:color="auto"/>
                <w:vertAlign w:val="superscript"/>
                <w:lang w:val="en-US" w:eastAsia="zh-CN"/>
              </w:rPr>
              <w:t>2</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default"/>
                <w:b w:val="0"/>
                <w:bCs/>
                <w:color w:val="auto"/>
                <w:sz w:val="24"/>
                <w:szCs w:val="24"/>
                <w:u w:val="none" w:color="auto"/>
                <w:lang w:val="en-US" w:eastAsia="zh-CN"/>
              </w:rPr>
              <w:t>T——</w:t>
            </w:r>
            <w:r>
              <w:rPr>
                <w:rFonts w:hint="eastAsia"/>
                <w:b w:val="0"/>
                <w:bCs/>
                <w:color w:val="auto"/>
                <w:sz w:val="24"/>
                <w:szCs w:val="24"/>
                <w:u w:val="none" w:color="auto"/>
                <w:lang w:val="en-US" w:eastAsia="zh-CN"/>
              </w:rPr>
              <w:t>溶液蒸发时间，</w:t>
            </w:r>
            <w:r>
              <w:rPr>
                <w:rFonts w:hint="default"/>
                <w:b w:val="0"/>
                <w:bCs/>
                <w:color w:val="auto"/>
                <w:sz w:val="24"/>
                <w:szCs w:val="24"/>
                <w:u w:val="none" w:color="auto"/>
                <w:lang w:val="en-US" w:eastAsia="zh-CN"/>
              </w:rPr>
              <w:t>min</w:t>
            </w:r>
            <w:r>
              <w:rPr>
                <w:rFonts w:hint="eastAsia"/>
                <w:b w:val="0"/>
                <w:bCs/>
                <w:color w:val="auto"/>
                <w:sz w:val="24"/>
                <w:szCs w:val="24"/>
                <w:u w:val="none" w:color="auto"/>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三氯甲烷相对分子质量为119.5，经查阅相关资料并通过计算，25℃下，三氯甲烷饱和蒸汽压为197.42</w:t>
            </w:r>
            <w:r>
              <w:rPr>
                <w:rFonts w:hint="default"/>
                <w:b w:val="0"/>
                <w:bCs/>
                <w:color w:val="auto"/>
                <w:sz w:val="24"/>
                <w:szCs w:val="24"/>
                <w:u w:val="none" w:color="auto"/>
                <w:lang w:val="en-US" w:eastAsia="zh-CN"/>
              </w:rPr>
              <w:t>mmHg</w:t>
            </w:r>
            <w:r>
              <w:rPr>
                <w:rFonts w:hint="eastAsia"/>
                <w:b w:val="0"/>
                <w:bCs/>
                <w:color w:val="auto"/>
                <w:sz w:val="24"/>
                <w:szCs w:val="24"/>
                <w:u w:val="none" w:color="auto"/>
                <w:lang w:val="en-US" w:eastAsia="zh-CN"/>
              </w:rPr>
              <w:t>，同上，</w:t>
            </w:r>
            <w:r>
              <w:rPr>
                <w:rFonts w:hint="default"/>
                <w:sz w:val="24"/>
                <w:vertAlign w:val="baseline"/>
                <w:lang w:val="en-US" w:eastAsia="zh-CN"/>
              </w:rPr>
              <w:t>F</w:t>
            </w:r>
            <w:r>
              <w:rPr>
                <w:rFonts w:hint="eastAsia"/>
                <w:sz w:val="24"/>
                <w:vertAlign w:val="baseline"/>
                <w:lang w:val="en-US" w:eastAsia="zh-CN"/>
              </w:rPr>
              <w:t>以0.0078计，实验时各类试剂敞开时间以</w:t>
            </w:r>
            <w:r>
              <w:rPr>
                <w:rFonts w:hint="default"/>
                <w:sz w:val="24"/>
                <w:vertAlign w:val="baseline"/>
                <w:lang w:val="en-US" w:eastAsia="zh-CN"/>
              </w:rPr>
              <w:t>30min/d</w:t>
            </w:r>
            <w:r>
              <w:rPr>
                <w:rFonts w:hint="eastAsia"/>
                <w:sz w:val="24"/>
                <w:vertAlign w:val="baseline"/>
                <w:lang w:val="en-US" w:eastAsia="zh-CN"/>
              </w:rPr>
              <w:t>计，则Q=((</w:t>
            </w:r>
            <w:r>
              <w:rPr>
                <w:rFonts w:hint="default"/>
                <w:b w:val="0"/>
                <w:bCs/>
                <w:color w:val="auto"/>
                <w:sz w:val="24"/>
                <w:szCs w:val="24"/>
                <w:u w:val="none" w:color="auto"/>
                <w:lang w:val="en-US" w:eastAsia="zh-CN"/>
              </w:rPr>
              <w:t>1.38×10</w:t>
            </w:r>
            <w:r>
              <w:rPr>
                <w:rFonts w:hint="default"/>
                <w:b w:val="0"/>
                <w:bCs/>
                <w:color w:val="auto"/>
                <w:sz w:val="24"/>
                <w:szCs w:val="24"/>
                <w:u w:val="none" w:color="auto"/>
                <w:vertAlign w:val="superscript"/>
                <w:lang w:val="en-US" w:eastAsia="zh-CN"/>
              </w:rPr>
              <w:t>-3</w:t>
            </w:r>
            <w:r>
              <w:rPr>
                <w:rFonts w:hint="default"/>
                <w:b w:val="0"/>
                <w:bCs/>
                <w:color w:val="auto"/>
                <w:sz w:val="24"/>
                <w:szCs w:val="24"/>
                <w:u w:val="none" w:color="auto"/>
                <w:lang w:val="en-US" w:eastAsia="zh-CN"/>
              </w:rPr>
              <w:t>×</w:t>
            </w:r>
            <w:r>
              <w:rPr>
                <w:rFonts w:hint="eastAsia"/>
                <w:b w:val="0"/>
                <w:bCs/>
                <w:color w:val="auto"/>
                <w:sz w:val="24"/>
                <w:szCs w:val="24"/>
                <w:u w:val="none" w:color="auto"/>
                <w:lang w:val="en-US" w:eastAsia="zh-CN"/>
              </w:rPr>
              <w:t>197.42</w:t>
            </w:r>
            <w:r>
              <w:rPr>
                <w:rFonts w:hint="default"/>
                <w:b w:val="0"/>
                <w:bCs/>
                <w:color w:val="auto"/>
                <w:sz w:val="24"/>
                <w:szCs w:val="24"/>
                <w:u w:val="none" w:color="auto"/>
                <w:lang w:val="en-US" w:eastAsia="zh-CN"/>
              </w:rPr>
              <w:t>×</w:t>
            </w:r>
            <w:r>
              <w:rPr>
                <w:rFonts w:hint="eastAsia"/>
                <w:sz w:val="24"/>
                <w:vertAlign w:val="baseline"/>
                <w:lang w:val="en-US" w:eastAsia="zh-CN"/>
              </w:rPr>
              <w:t>0.0078</w:t>
            </w:r>
            <w:r>
              <w:rPr>
                <w:rFonts w:hint="default"/>
                <w:b w:val="0"/>
                <w:bCs/>
                <w:color w:val="auto"/>
                <w:sz w:val="24"/>
                <w:szCs w:val="24"/>
                <w:u w:val="none" w:color="auto"/>
                <w:lang w:val="en-US" w:eastAsia="zh-CN"/>
              </w:rPr>
              <w:t>×</w:t>
            </w:r>
            <w:r>
              <w:rPr>
                <w:rFonts w:hint="eastAsia"/>
                <w:b w:val="0"/>
                <w:bCs/>
                <w:color w:val="auto"/>
                <w:sz w:val="24"/>
                <w:szCs w:val="24"/>
                <w:u w:val="none" w:color="auto"/>
                <w:lang w:val="en-US" w:eastAsia="zh-CN"/>
              </w:rPr>
              <w:t>30</w:t>
            </w:r>
            <w:r>
              <w:rPr>
                <w:rFonts w:hint="default"/>
                <w:b w:val="0"/>
                <w:bCs/>
                <w:color w:val="auto"/>
                <w:sz w:val="24"/>
                <w:szCs w:val="24"/>
                <w:u w:val="none" w:color="auto"/>
                <w:lang w:val="en-US" w:eastAsia="zh-CN"/>
              </w:rPr>
              <w:t>×</w:t>
            </w:r>
            <w:r>
              <w:rPr>
                <w:rFonts w:hint="eastAsia"/>
                <w:b w:val="0"/>
                <w:bCs/>
                <w:color w:val="auto"/>
                <w:sz w:val="24"/>
                <w:szCs w:val="24"/>
                <w:u w:val="none" w:color="auto"/>
                <w:lang w:val="en-US" w:eastAsia="zh-CN"/>
              </w:rPr>
              <w:t>250)/(119.5)^(0.5))</w:t>
            </w:r>
            <w:r>
              <w:rPr>
                <w:rFonts w:hint="default"/>
                <w:b w:val="0"/>
                <w:bCs/>
                <w:color w:val="auto"/>
                <w:sz w:val="24"/>
                <w:szCs w:val="24"/>
                <w:u w:val="none" w:color="auto"/>
                <w:lang w:val="en-US" w:eastAsia="zh-CN"/>
              </w:rPr>
              <w:t>×10</w:t>
            </w:r>
            <w:r>
              <w:rPr>
                <w:rFonts w:hint="default"/>
                <w:b w:val="0"/>
                <w:bCs/>
                <w:color w:val="auto"/>
                <w:sz w:val="24"/>
                <w:szCs w:val="24"/>
                <w:u w:val="none" w:color="auto"/>
                <w:vertAlign w:val="superscript"/>
                <w:lang w:val="en-US" w:eastAsia="zh-CN"/>
              </w:rPr>
              <w:t>-3</w:t>
            </w:r>
            <w:r>
              <w:rPr>
                <w:rFonts w:hint="eastAsia"/>
                <w:b w:val="0"/>
                <w:bCs/>
                <w:color w:val="auto"/>
                <w:sz w:val="24"/>
                <w:szCs w:val="24"/>
                <w:u w:val="none" w:color="auto"/>
                <w:lang w:val="en-US" w:eastAsia="zh-CN"/>
              </w:rPr>
              <w:t>=0.1134</w:t>
            </w:r>
            <w:r>
              <w:rPr>
                <w:rFonts w:hint="eastAsia"/>
                <w:sz w:val="24"/>
                <w:szCs w:val="24"/>
                <w:lang w:val="en-US" w:eastAsia="zh-CN"/>
              </w:rPr>
              <w:t>kg/a，排放速率=0.0009072kg/h。</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val="0"/>
                <w:color w:val="auto"/>
                <w:sz w:val="24"/>
                <w:szCs w:val="24"/>
                <w:u w:val="none" w:color="auto"/>
                <w:lang w:val="en-US" w:eastAsia="zh-CN"/>
              </w:rPr>
            </w:pPr>
            <w:r>
              <w:rPr>
                <w:rFonts w:hint="eastAsia"/>
                <w:b/>
                <w:bCs w:val="0"/>
                <w:color w:val="auto"/>
                <w:sz w:val="24"/>
                <w:szCs w:val="24"/>
                <w:u w:val="none" w:color="auto"/>
                <w:lang w:val="en-US" w:eastAsia="zh-CN"/>
              </w:rPr>
              <w:t>c、微生物实验废气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本疾控中心涉及微生物操作的实验室有：HIV初筛实验室、微生物病原实验室、生化实验室、霉菌实验室、临检室、PCR实验室等微生物实验室，为了防止实验过程中有害病菌的逃逸，要求所有涉及病原微生物的操作均在生物安全柜中进行（共计安装7台），安全柜采用HEPA滤网，对于0.3μm颗粒的过滤效率≥99.99%（DOP法）；过滤器的实际工作状态压力损失≤85Pa，可几乎完全去除有害病菌。建设单位在HIV初筛实验室废气、微生物病原实验室、生化实验室、霉菌实验室、临检室等微生物实验室处生物各建一台安全柜，采用内循环通风，无废气外排；PCR实验室建设两台生物安全柜，其中一台采取内循环通风，另一台采用外循环通风，净化后的尾气经排气口排至检验检测楼2层屋外（离地高度5m，属于无组织排放）。</w:t>
            </w:r>
          </w:p>
          <w:p>
            <w:pPr>
              <w:jc w:val="center"/>
              <w:rPr>
                <w:rFonts w:hint="default"/>
                <w:b/>
                <w:bCs w:val="0"/>
                <w:lang w:val="en-US" w:eastAsia="zh-CN"/>
              </w:rPr>
            </w:pPr>
            <w:r>
              <w:rPr>
                <w:rFonts w:hint="eastAsia"/>
                <w:b/>
                <w:bCs w:val="0"/>
                <w:color w:val="auto"/>
                <w:sz w:val="24"/>
                <w:szCs w:val="24"/>
                <w:u w:val="none" w:color="auto"/>
                <w:lang w:val="en-US" w:eastAsia="zh-CN"/>
              </w:rPr>
              <w:t>表2-9  微生物废气处理方式</w:t>
            </w:r>
          </w:p>
          <w:tbl>
            <w:tblPr>
              <w:tblStyle w:val="17"/>
              <w:tblW w:w="8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73"/>
              <w:gridCol w:w="2388"/>
              <w:gridCol w:w="1547"/>
              <w:gridCol w:w="1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73"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实验室</w:t>
                  </w:r>
                </w:p>
              </w:tc>
              <w:tc>
                <w:tcPr>
                  <w:tcW w:w="2388"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生物安全柜型号</w:t>
                  </w:r>
                </w:p>
              </w:tc>
              <w:tc>
                <w:tcPr>
                  <w:tcW w:w="1547"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处理方式</w:t>
                  </w:r>
                </w:p>
              </w:tc>
              <w:tc>
                <w:tcPr>
                  <w:tcW w:w="1580"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尾气排放方式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73"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HIV初筛实验室</w:t>
                  </w: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BSC-1500ⅡA2</w:t>
                  </w:r>
                </w:p>
              </w:tc>
              <w:tc>
                <w:tcPr>
                  <w:tcW w:w="1547" w:type="dxa"/>
                  <w:vMerge w:val="restart"/>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HEPA滤网，对于0.3μm颗粒的过滤效率≥99.99%</w:t>
                  </w:r>
                </w:p>
              </w:tc>
              <w:tc>
                <w:tcPr>
                  <w:tcW w:w="158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内循环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73"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微生物病原实验室</w:t>
                  </w: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HFsafe-1200LC</w:t>
                  </w:r>
                </w:p>
              </w:tc>
              <w:tc>
                <w:tcPr>
                  <w:tcW w:w="1547" w:type="dxa"/>
                  <w:vMerge w:val="continue"/>
                  <w:tcBorders>
                    <w:tl2br w:val="nil"/>
                    <w:tr2bl w:val="nil"/>
                  </w:tcBorders>
                  <w:vAlign w:val="center"/>
                </w:tcPr>
                <w:p>
                  <w:pPr>
                    <w:jc w:val="center"/>
                    <w:rPr>
                      <w:rFonts w:hint="eastAsia"/>
                      <w:sz w:val="21"/>
                      <w:szCs w:val="21"/>
                      <w:lang w:val="en-US" w:eastAsia="zh-CN"/>
                    </w:rPr>
                  </w:pPr>
                </w:p>
              </w:tc>
              <w:tc>
                <w:tcPr>
                  <w:tcW w:w="158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73"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生化实验室</w:t>
                  </w: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BSC-110IIA2X</w:t>
                  </w:r>
                </w:p>
              </w:tc>
              <w:tc>
                <w:tcPr>
                  <w:tcW w:w="1547" w:type="dxa"/>
                  <w:vMerge w:val="continue"/>
                  <w:tcBorders>
                    <w:tl2br w:val="nil"/>
                    <w:tr2bl w:val="nil"/>
                  </w:tcBorders>
                  <w:vAlign w:val="center"/>
                </w:tcPr>
                <w:p>
                  <w:pPr>
                    <w:jc w:val="center"/>
                    <w:rPr>
                      <w:rFonts w:hint="eastAsia"/>
                      <w:sz w:val="21"/>
                      <w:szCs w:val="21"/>
                      <w:lang w:val="en-US" w:eastAsia="zh-CN"/>
                    </w:rPr>
                  </w:pPr>
                </w:p>
              </w:tc>
              <w:tc>
                <w:tcPr>
                  <w:tcW w:w="158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73"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霉菌实验室</w:t>
                  </w: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BSC-110IIA2X</w:t>
                  </w:r>
                </w:p>
              </w:tc>
              <w:tc>
                <w:tcPr>
                  <w:tcW w:w="1547" w:type="dxa"/>
                  <w:vMerge w:val="continue"/>
                  <w:tcBorders>
                    <w:tl2br w:val="nil"/>
                    <w:tr2bl w:val="nil"/>
                  </w:tcBorders>
                  <w:vAlign w:val="center"/>
                </w:tcPr>
                <w:p>
                  <w:pPr>
                    <w:jc w:val="center"/>
                    <w:rPr>
                      <w:rFonts w:hint="eastAsia"/>
                      <w:sz w:val="21"/>
                      <w:szCs w:val="21"/>
                      <w:lang w:val="en-US" w:eastAsia="zh-CN"/>
                    </w:rPr>
                  </w:pPr>
                </w:p>
              </w:tc>
              <w:tc>
                <w:tcPr>
                  <w:tcW w:w="158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3"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临检室</w:t>
                  </w: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BSC-110IIA2X</w:t>
                  </w:r>
                </w:p>
              </w:tc>
              <w:tc>
                <w:tcPr>
                  <w:tcW w:w="1547" w:type="dxa"/>
                  <w:vMerge w:val="continue"/>
                  <w:tcBorders>
                    <w:tl2br w:val="nil"/>
                    <w:tr2bl w:val="nil"/>
                  </w:tcBorders>
                  <w:vAlign w:val="center"/>
                </w:tcPr>
                <w:p>
                  <w:pPr>
                    <w:jc w:val="center"/>
                    <w:rPr>
                      <w:rFonts w:hint="eastAsia"/>
                      <w:sz w:val="21"/>
                      <w:szCs w:val="21"/>
                      <w:lang w:val="en-US" w:eastAsia="zh-CN"/>
                    </w:rPr>
                  </w:pPr>
                </w:p>
              </w:tc>
              <w:tc>
                <w:tcPr>
                  <w:tcW w:w="158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773" w:type="dxa"/>
                  <w:vMerge w:val="restart"/>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PCR实验室</w:t>
                  </w: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BSC-110IIB2X</w:t>
                  </w:r>
                </w:p>
              </w:tc>
              <w:tc>
                <w:tcPr>
                  <w:tcW w:w="1547" w:type="dxa"/>
                  <w:vMerge w:val="continue"/>
                  <w:tcBorders>
                    <w:tl2br w:val="nil"/>
                    <w:tr2bl w:val="nil"/>
                  </w:tcBorders>
                  <w:vAlign w:val="center"/>
                </w:tcPr>
                <w:p>
                  <w:pPr>
                    <w:jc w:val="center"/>
                    <w:rPr>
                      <w:rFonts w:hint="eastAsia"/>
                      <w:sz w:val="21"/>
                      <w:szCs w:val="21"/>
                      <w:lang w:val="en-US" w:eastAsia="zh-CN"/>
                    </w:rPr>
                  </w:pPr>
                </w:p>
              </w:tc>
              <w:tc>
                <w:tcPr>
                  <w:tcW w:w="158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773" w:type="dxa"/>
                  <w:vMerge w:val="continue"/>
                  <w:tcBorders>
                    <w:tl2br w:val="nil"/>
                    <w:tr2bl w:val="nil"/>
                  </w:tcBorders>
                  <w:vAlign w:val="center"/>
                </w:tcPr>
                <w:p>
                  <w:pPr>
                    <w:jc w:val="center"/>
                    <w:rPr>
                      <w:rFonts w:hint="eastAsia"/>
                      <w:sz w:val="21"/>
                      <w:szCs w:val="21"/>
                      <w:lang w:val="en-US" w:eastAsia="zh-CN"/>
                    </w:rPr>
                  </w:pPr>
                </w:p>
              </w:tc>
              <w:tc>
                <w:tcPr>
                  <w:tcW w:w="2388" w:type="dxa"/>
                  <w:tcBorders>
                    <w:tl2br w:val="nil"/>
                    <w:tr2bl w:val="nil"/>
                  </w:tcBorders>
                  <w:vAlign w:val="center"/>
                </w:tcPr>
                <w:p>
                  <w:pPr>
                    <w:jc w:val="center"/>
                    <w:rPr>
                      <w:rFonts w:hint="eastAsia"/>
                      <w:sz w:val="21"/>
                      <w:szCs w:val="21"/>
                      <w:lang w:val="en-US" w:eastAsia="zh-CN"/>
                    </w:rPr>
                  </w:pPr>
                  <w:r>
                    <w:rPr>
                      <w:rFonts w:hint="default"/>
                      <w:sz w:val="21"/>
                      <w:szCs w:val="21"/>
                      <w:lang w:val="en-US" w:eastAsia="zh-CN"/>
                    </w:rPr>
                    <w:t>BSC-1500IIB2-X</w:t>
                  </w:r>
                </w:p>
              </w:tc>
              <w:tc>
                <w:tcPr>
                  <w:tcW w:w="1547" w:type="dxa"/>
                  <w:vMerge w:val="continue"/>
                  <w:tcBorders>
                    <w:tl2br w:val="nil"/>
                    <w:tr2bl w:val="nil"/>
                  </w:tcBorders>
                  <w:vAlign w:val="center"/>
                </w:tcPr>
                <w:p>
                  <w:pPr>
                    <w:jc w:val="center"/>
                    <w:rPr>
                      <w:rFonts w:hint="eastAsia"/>
                      <w:sz w:val="21"/>
                      <w:szCs w:val="21"/>
                      <w:lang w:val="en-US" w:eastAsia="zh-CN"/>
                    </w:rPr>
                  </w:pPr>
                </w:p>
              </w:tc>
              <w:tc>
                <w:tcPr>
                  <w:tcW w:w="1580"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排气口排至室外</w:t>
                  </w:r>
                  <w:r>
                    <w:rPr>
                      <w:rFonts w:hint="eastAsia"/>
                      <w:lang w:eastAsia="zh-CN"/>
                    </w:rPr>
                    <w:t>（</w:t>
                  </w:r>
                  <w:r>
                    <w:rPr>
                      <w:rFonts w:hint="eastAsia"/>
                      <w:lang w:val="en-US" w:eastAsia="zh-CN"/>
                    </w:rPr>
                    <w:t>无组织</w:t>
                  </w:r>
                  <w:r>
                    <w:rPr>
                      <w:rFonts w:hint="eastAsia"/>
                      <w:lang w:eastAsia="zh-CN"/>
                    </w:rPr>
                    <w:t>）</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综上，微生物实验废气经生物安全柜型处理后，基本可过滤掉全部细菌；除PCR实验室1台尾气外排外，其余处理尾气均为内循环流通，对周围环境基本没有影响。</w:t>
            </w:r>
          </w:p>
          <w:p>
            <w:pPr>
              <w:tabs>
                <w:tab w:val="left" w:pos="1440"/>
                <w:tab w:val="left" w:pos="1800"/>
              </w:tabs>
              <w:spacing w:line="360" w:lineRule="auto"/>
              <w:ind w:firstLine="316" w:firstLineChars="150"/>
              <w:rPr>
                <w:rFonts w:hint="default"/>
                <w:b/>
                <w:bCs/>
                <w:sz w:val="24"/>
                <w:lang w:val="en-US" w:eastAsia="zh-CN"/>
              </w:rPr>
            </w:pPr>
            <w:r>
              <w:rPr>
                <w:rFonts w:hint="eastAsia"/>
                <w:b/>
                <w:bCs/>
                <w:lang w:val="en-US" w:eastAsia="zh-CN"/>
              </w:rPr>
              <w:t>B、</w:t>
            </w:r>
            <w:r>
              <w:rPr>
                <w:rFonts w:hint="eastAsia"/>
                <w:b/>
                <w:bCs/>
                <w:sz w:val="24"/>
                <w:lang w:val="en-US" w:eastAsia="zh-CN"/>
              </w:rPr>
              <w:t>污水处理站恶臭气体</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lang w:val="en-US" w:eastAsia="zh-CN"/>
              </w:rPr>
            </w:pPr>
            <w:r>
              <w:rPr>
                <w:rFonts w:hint="eastAsia"/>
                <w:b w:val="0"/>
                <w:bCs/>
                <w:color w:val="auto"/>
                <w:sz w:val="24"/>
                <w:szCs w:val="24"/>
                <w:u w:val="none" w:color="auto"/>
                <w:lang w:val="en-US" w:eastAsia="zh-CN"/>
              </w:rPr>
              <w:t>污水处理设备运行时，将产生一定量的恶臭气体，主要污染物包括：NH</w:t>
            </w:r>
            <w:r>
              <w:rPr>
                <w:rFonts w:hint="eastAsia"/>
                <w:b w:val="0"/>
                <w:bCs/>
                <w:color w:val="auto"/>
                <w:sz w:val="24"/>
                <w:szCs w:val="24"/>
                <w:u w:val="none" w:color="auto"/>
                <w:vertAlign w:val="subscript"/>
                <w:lang w:val="en-US" w:eastAsia="zh-CN"/>
              </w:rPr>
              <w:t>3</w:t>
            </w:r>
            <w:r>
              <w:rPr>
                <w:rFonts w:hint="eastAsia"/>
                <w:b w:val="0"/>
                <w:bCs/>
                <w:color w:val="auto"/>
                <w:sz w:val="24"/>
                <w:szCs w:val="24"/>
                <w:u w:val="none" w:color="auto"/>
                <w:lang w:val="en-US" w:eastAsia="zh-CN"/>
              </w:rPr>
              <w:t>、H</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S、臭气浓度、Cl</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、CH</w:t>
            </w:r>
            <w:r>
              <w:rPr>
                <w:rFonts w:hint="eastAsia"/>
                <w:b w:val="0"/>
                <w:bCs/>
                <w:color w:val="auto"/>
                <w:sz w:val="24"/>
                <w:szCs w:val="24"/>
                <w:u w:val="none" w:color="auto"/>
                <w:vertAlign w:val="subscript"/>
                <w:lang w:val="en-US" w:eastAsia="zh-CN"/>
              </w:rPr>
              <w:t>4</w:t>
            </w:r>
            <w:r>
              <w:rPr>
                <w:rFonts w:hint="eastAsia"/>
                <w:b w:val="0"/>
                <w:bCs/>
                <w:color w:val="auto"/>
                <w:sz w:val="24"/>
                <w:szCs w:val="24"/>
                <w:u w:val="none" w:color="auto"/>
                <w:lang w:val="en-US" w:eastAsia="zh-CN"/>
              </w:rPr>
              <w:t>。环评根据美国EPA对城市污水处理厂恶臭污染物产生情况的研究计算源强：“每处理1g的BOD</w:t>
            </w:r>
            <w:r>
              <w:rPr>
                <w:rFonts w:hint="eastAsia"/>
                <w:b w:val="0"/>
                <w:bCs/>
                <w:color w:val="auto"/>
                <w:sz w:val="24"/>
                <w:szCs w:val="24"/>
                <w:u w:val="none" w:color="auto"/>
                <w:vertAlign w:val="subscript"/>
                <w:lang w:val="en-US" w:eastAsia="zh-CN"/>
              </w:rPr>
              <w:t>5</w:t>
            </w:r>
            <w:r>
              <w:rPr>
                <w:rFonts w:hint="eastAsia"/>
                <w:b w:val="0"/>
                <w:bCs/>
                <w:color w:val="auto"/>
                <w:sz w:val="24"/>
                <w:szCs w:val="24"/>
                <w:u w:val="none" w:color="auto"/>
                <w:lang w:val="en-US" w:eastAsia="zh-CN"/>
              </w:rPr>
              <w:t>，可产生0.0031g的NH</w:t>
            </w:r>
            <w:r>
              <w:rPr>
                <w:rFonts w:hint="eastAsia"/>
                <w:b w:val="0"/>
                <w:bCs/>
                <w:color w:val="auto"/>
                <w:sz w:val="24"/>
                <w:szCs w:val="24"/>
                <w:u w:val="none" w:color="auto"/>
                <w:vertAlign w:val="subscript"/>
                <w:lang w:val="en-US" w:eastAsia="zh-CN"/>
              </w:rPr>
              <w:t>3</w:t>
            </w:r>
            <w:r>
              <w:rPr>
                <w:rFonts w:hint="eastAsia"/>
                <w:b w:val="0"/>
                <w:bCs/>
                <w:color w:val="auto"/>
                <w:sz w:val="24"/>
                <w:szCs w:val="24"/>
                <w:u w:val="none" w:color="auto"/>
                <w:lang w:val="en-US" w:eastAsia="zh-CN"/>
              </w:rPr>
              <w:t>和0.00012g的H</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S”。本疾控中心暂无污水处理站进水水质实测数据，</w:t>
            </w:r>
            <w:r>
              <w:rPr>
                <w:rFonts w:hint="eastAsia"/>
                <w:sz w:val="24"/>
                <w:lang w:val="en-US" w:eastAsia="zh-CN"/>
              </w:rPr>
              <w:t>依据类比的污水处理站进水数据及实测的出水数据（进水BOD</w:t>
            </w:r>
            <w:r>
              <w:rPr>
                <w:rFonts w:hint="eastAsia"/>
                <w:sz w:val="24"/>
                <w:vertAlign w:val="subscript"/>
                <w:lang w:val="en-US" w:eastAsia="zh-CN"/>
              </w:rPr>
              <w:t>5</w:t>
            </w:r>
            <w:r>
              <w:rPr>
                <w:rFonts w:hint="eastAsia"/>
                <w:sz w:val="24"/>
                <w:vertAlign w:val="baseline"/>
                <w:lang w:val="en-US" w:eastAsia="zh-CN"/>
              </w:rPr>
              <w:t>：34.5mg/L、出水</w:t>
            </w:r>
            <w:r>
              <w:rPr>
                <w:rFonts w:hint="eastAsia"/>
                <w:sz w:val="24"/>
                <w:lang w:val="en-US" w:eastAsia="zh-CN"/>
              </w:rPr>
              <w:t>BOD</w:t>
            </w:r>
            <w:r>
              <w:rPr>
                <w:rFonts w:hint="eastAsia"/>
                <w:sz w:val="24"/>
                <w:vertAlign w:val="subscript"/>
                <w:lang w:val="en-US" w:eastAsia="zh-CN"/>
              </w:rPr>
              <w:t>5</w:t>
            </w:r>
            <w:r>
              <w:rPr>
                <w:rFonts w:hint="eastAsia"/>
                <w:sz w:val="24"/>
                <w:vertAlign w:val="baseline"/>
                <w:lang w:val="en-US" w:eastAsia="zh-CN"/>
              </w:rPr>
              <w:t>：3.12mg/L，见下表2-13</w:t>
            </w:r>
            <w:r>
              <w:rPr>
                <w:rFonts w:hint="eastAsia"/>
                <w:sz w:val="24"/>
                <w:lang w:val="en-US" w:eastAsia="zh-CN"/>
              </w:rPr>
              <w:t>），再根据水平衡分析（实验室废水产生量排水量111.57t/a），可确定项目BOD</w:t>
            </w:r>
            <w:r>
              <w:rPr>
                <w:rFonts w:hint="eastAsia"/>
                <w:sz w:val="24"/>
                <w:vertAlign w:val="subscript"/>
                <w:lang w:val="en-US" w:eastAsia="zh-CN"/>
              </w:rPr>
              <w:t>5</w:t>
            </w:r>
            <w:r>
              <w:rPr>
                <w:rFonts w:hint="eastAsia"/>
                <w:sz w:val="24"/>
                <w:vertAlign w:val="baseline"/>
                <w:lang w:val="en-US" w:eastAsia="zh-CN"/>
              </w:rPr>
              <w:t>处理量：(34.5-3.12)</w:t>
            </w:r>
            <w:r>
              <w:rPr>
                <w:rFonts w:hint="default" w:ascii="Arial" w:hAnsi="Arial" w:cs="Arial"/>
                <w:sz w:val="24"/>
                <w:vertAlign w:val="baseline"/>
                <w:lang w:val="en-US" w:eastAsia="zh-CN"/>
              </w:rPr>
              <w:t>×</w:t>
            </w:r>
            <w:r>
              <w:rPr>
                <w:rFonts w:hint="eastAsia"/>
                <w:sz w:val="24"/>
                <w:lang w:val="en-US" w:eastAsia="zh-CN"/>
              </w:rPr>
              <w:t>111.57</w:t>
            </w:r>
            <w:r>
              <w:rPr>
                <w:rFonts w:hint="default" w:ascii="Arial" w:hAnsi="Arial" w:cs="Arial"/>
                <w:sz w:val="24"/>
                <w:vertAlign w:val="baseline"/>
                <w:lang w:val="en-US" w:eastAsia="zh-CN"/>
              </w:rPr>
              <w:t>×</w:t>
            </w:r>
            <w:r>
              <w:rPr>
                <w:rFonts w:hint="eastAsia"/>
                <w:sz w:val="24"/>
                <w:lang w:val="en-US" w:eastAsia="zh-CN"/>
              </w:rPr>
              <w:t>10</w:t>
            </w:r>
            <w:r>
              <w:rPr>
                <w:rFonts w:hint="eastAsia" w:ascii="Arial" w:hAnsi="Arial" w:cs="Arial"/>
                <w:sz w:val="24"/>
                <w:vertAlign w:val="superscript"/>
                <w:lang w:val="en-US" w:eastAsia="zh-CN"/>
              </w:rPr>
              <w:t>-3</w:t>
            </w:r>
            <w:r>
              <w:rPr>
                <w:rFonts w:hint="eastAsia"/>
                <w:sz w:val="24"/>
                <w:lang w:val="en-US" w:eastAsia="zh-CN"/>
              </w:rPr>
              <w:t>=3.501kg/a，则</w:t>
            </w:r>
            <w:r>
              <w:rPr>
                <w:rFonts w:hint="eastAsia"/>
                <w:b w:val="0"/>
                <w:bCs/>
                <w:color w:val="auto"/>
                <w:sz w:val="24"/>
                <w:szCs w:val="24"/>
                <w:u w:val="none" w:color="auto"/>
                <w:lang w:val="en-US" w:eastAsia="zh-CN"/>
              </w:rPr>
              <w:t>NH</w:t>
            </w:r>
            <w:r>
              <w:rPr>
                <w:rFonts w:hint="eastAsia"/>
                <w:b w:val="0"/>
                <w:bCs/>
                <w:color w:val="auto"/>
                <w:sz w:val="24"/>
                <w:szCs w:val="24"/>
                <w:u w:val="none" w:color="auto"/>
                <w:vertAlign w:val="subscript"/>
                <w:lang w:val="en-US" w:eastAsia="zh-CN"/>
              </w:rPr>
              <w:t>3</w:t>
            </w:r>
            <w:r>
              <w:rPr>
                <w:rFonts w:hint="eastAsia"/>
                <w:b w:val="0"/>
                <w:bCs/>
                <w:color w:val="auto"/>
                <w:sz w:val="24"/>
                <w:szCs w:val="24"/>
                <w:u w:val="none" w:color="auto"/>
                <w:vertAlign w:val="baseline"/>
                <w:lang w:val="en-US" w:eastAsia="zh-CN"/>
              </w:rPr>
              <w:t>产生量0.0109</w:t>
            </w:r>
            <w:r>
              <w:rPr>
                <w:rFonts w:hint="eastAsia"/>
                <w:sz w:val="24"/>
                <w:lang w:val="en-US" w:eastAsia="zh-CN"/>
              </w:rPr>
              <w:t>kg/a</w:t>
            </w:r>
            <w:r>
              <w:rPr>
                <w:rFonts w:hint="eastAsia"/>
                <w:b w:val="0"/>
                <w:bCs/>
                <w:color w:val="auto"/>
                <w:sz w:val="24"/>
                <w:szCs w:val="24"/>
                <w:u w:val="none" w:color="auto"/>
                <w:vertAlign w:val="baseline"/>
                <w:lang w:val="en-US" w:eastAsia="zh-CN"/>
              </w:rPr>
              <w:t>，</w:t>
            </w:r>
            <w:r>
              <w:rPr>
                <w:rFonts w:hint="eastAsia"/>
                <w:b w:val="0"/>
                <w:bCs/>
                <w:color w:val="auto"/>
                <w:sz w:val="24"/>
                <w:szCs w:val="24"/>
                <w:u w:val="none" w:color="auto"/>
                <w:lang w:val="en-US" w:eastAsia="zh-CN"/>
              </w:rPr>
              <w:t>H</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S</w:t>
            </w:r>
            <w:r>
              <w:rPr>
                <w:rFonts w:hint="eastAsia"/>
                <w:sz w:val="24"/>
                <w:vertAlign w:val="baseline"/>
                <w:lang w:val="en-US" w:eastAsia="zh-CN"/>
              </w:rPr>
              <w:t>产生量0.00042</w:t>
            </w:r>
            <w:r>
              <w:rPr>
                <w:rFonts w:hint="eastAsia"/>
                <w:sz w:val="24"/>
                <w:lang w:val="en-US" w:eastAsia="zh-CN"/>
              </w:rPr>
              <w:t>kg/a。污水处理站设计处理水量2m</w:t>
            </w:r>
            <w:r>
              <w:rPr>
                <w:rFonts w:hint="eastAsia"/>
                <w:sz w:val="24"/>
                <w:vertAlign w:val="superscript"/>
                <w:lang w:val="en-US" w:eastAsia="zh-CN"/>
              </w:rPr>
              <w:t>3</w:t>
            </w:r>
            <w:r>
              <w:rPr>
                <w:rFonts w:hint="eastAsia"/>
                <w:sz w:val="24"/>
                <w:vertAlign w:val="baseline"/>
                <w:lang w:val="en-US" w:eastAsia="zh-CN"/>
              </w:rPr>
              <w:t>/d，即年工作时间1338.84h，</w:t>
            </w:r>
            <w:r>
              <w:rPr>
                <w:rFonts w:hint="eastAsia"/>
                <w:sz w:val="24"/>
                <w:lang w:val="en-US" w:eastAsia="zh-CN"/>
              </w:rPr>
              <w:t>可得</w:t>
            </w:r>
            <w:r>
              <w:rPr>
                <w:rFonts w:hint="eastAsia"/>
                <w:b w:val="0"/>
                <w:bCs/>
                <w:color w:val="auto"/>
                <w:sz w:val="24"/>
                <w:szCs w:val="24"/>
                <w:u w:val="none" w:color="auto"/>
                <w:lang w:val="en-US" w:eastAsia="zh-CN"/>
              </w:rPr>
              <w:t>NH</w:t>
            </w:r>
            <w:r>
              <w:rPr>
                <w:rFonts w:hint="eastAsia"/>
                <w:b w:val="0"/>
                <w:bCs/>
                <w:color w:val="auto"/>
                <w:sz w:val="24"/>
                <w:szCs w:val="24"/>
                <w:u w:val="none" w:color="auto"/>
                <w:vertAlign w:val="subscript"/>
                <w:lang w:val="en-US" w:eastAsia="zh-CN"/>
              </w:rPr>
              <w:t>3</w:t>
            </w:r>
            <w:r>
              <w:rPr>
                <w:rFonts w:hint="eastAsia"/>
                <w:sz w:val="24"/>
                <w:lang w:val="en-US" w:eastAsia="zh-CN"/>
              </w:rPr>
              <w:t>产生速率=0.0109/1338.84=8.14</w:t>
            </w:r>
            <w:r>
              <w:rPr>
                <w:rFonts w:hint="default"/>
                <w:sz w:val="24"/>
                <w:lang w:val="en-US" w:eastAsia="zh-CN"/>
              </w:rPr>
              <w:t>×</w:t>
            </w:r>
            <w:r>
              <w:rPr>
                <w:rFonts w:hint="eastAsia"/>
                <w:sz w:val="24"/>
                <w:lang w:val="en-US" w:eastAsia="zh-CN"/>
              </w:rPr>
              <w:t>10</w:t>
            </w:r>
            <w:r>
              <w:rPr>
                <w:rFonts w:hint="eastAsia"/>
                <w:sz w:val="24"/>
                <w:vertAlign w:val="superscript"/>
                <w:lang w:val="en-US" w:eastAsia="zh-CN"/>
              </w:rPr>
              <w:t>-6</w:t>
            </w:r>
            <w:r>
              <w:rPr>
                <w:rFonts w:hint="eastAsia"/>
                <w:sz w:val="24"/>
                <w:lang w:val="en-US" w:eastAsia="zh-CN"/>
              </w:rPr>
              <w:t>kg/h，H</w:t>
            </w:r>
            <w:r>
              <w:rPr>
                <w:rFonts w:hint="eastAsia"/>
                <w:sz w:val="24"/>
                <w:vertAlign w:val="subscript"/>
                <w:lang w:val="en-US" w:eastAsia="zh-CN"/>
              </w:rPr>
              <w:t>2</w:t>
            </w:r>
            <w:r>
              <w:rPr>
                <w:rFonts w:hint="eastAsia"/>
                <w:sz w:val="24"/>
                <w:lang w:val="en-US" w:eastAsia="zh-CN"/>
              </w:rPr>
              <w:t>S产生速率=</w:t>
            </w:r>
            <w:r>
              <w:rPr>
                <w:rFonts w:hint="eastAsia"/>
                <w:sz w:val="24"/>
                <w:vertAlign w:val="baseline"/>
                <w:lang w:val="en-US" w:eastAsia="zh-CN"/>
              </w:rPr>
              <w:t>0.000535</w:t>
            </w:r>
            <w:r>
              <w:rPr>
                <w:rFonts w:hint="eastAsia"/>
                <w:sz w:val="24"/>
                <w:lang w:val="en-US" w:eastAsia="zh-CN"/>
              </w:rPr>
              <w:t>/1338.84=3.1</w:t>
            </w:r>
            <w:r>
              <w:rPr>
                <w:rFonts w:hint="default"/>
                <w:sz w:val="24"/>
                <w:lang w:val="en-US" w:eastAsia="zh-CN"/>
              </w:rPr>
              <w:t>×</w:t>
            </w:r>
            <w:r>
              <w:rPr>
                <w:rFonts w:hint="eastAsia"/>
                <w:sz w:val="24"/>
                <w:lang w:val="en-US" w:eastAsia="zh-CN"/>
              </w:rPr>
              <w:t>10</w:t>
            </w:r>
            <w:r>
              <w:rPr>
                <w:rFonts w:hint="eastAsia"/>
                <w:sz w:val="24"/>
                <w:vertAlign w:val="superscript"/>
                <w:lang w:val="en-US" w:eastAsia="zh-CN"/>
              </w:rPr>
              <w:t>-7</w:t>
            </w:r>
            <w:r>
              <w:rPr>
                <w:rFonts w:hint="eastAsia"/>
                <w:sz w:val="24"/>
                <w:lang w:val="en-US" w:eastAsia="zh-CN"/>
              </w:rPr>
              <w:t>kg/h。</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lang w:val="en-US" w:eastAsia="zh-CN"/>
              </w:rPr>
            </w:pPr>
            <w:r>
              <w:rPr>
                <w:rFonts w:hint="eastAsia"/>
                <w:sz w:val="24"/>
                <w:lang w:val="en-US" w:eastAsia="zh-CN"/>
              </w:rPr>
              <w:t>另外，经现场勘查，正常情况下污水处理设备周边基本无刺鼻气味，仅在开盖清掏时溢出少部分。对此，环评建议建设单位通过加强绿化、设备密闭的方式减小恶臭气体给环境所带来的负面影响。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lang w:val="en-US" w:eastAsia="zh-CN"/>
              </w:rPr>
            </w:pPr>
            <w:r>
              <w:rPr>
                <w:rFonts w:hint="eastAsia"/>
                <w:b w:val="0"/>
                <w:bCs/>
                <w:color w:val="auto"/>
                <w:sz w:val="24"/>
                <w:szCs w:val="24"/>
                <w:u w:val="none" w:color="auto"/>
                <w:lang w:val="en-US" w:eastAsia="zh-CN"/>
              </w:rPr>
              <w:t>综上，</w:t>
            </w:r>
            <w:r>
              <w:rPr>
                <w:rFonts w:hint="eastAsia"/>
                <w:sz w:val="24"/>
                <w:lang w:val="en-US" w:eastAsia="zh-CN"/>
              </w:rPr>
              <w:t>污水处理站恶臭气体产生量不大，对环境影响较小。</w:t>
            </w:r>
          </w:p>
          <w:p>
            <w:pPr>
              <w:tabs>
                <w:tab w:val="left" w:pos="1440"/>
                <w:tab w:val="left" w:pos="1800"/>
              </w:tabs>
              <w:spacing w:line="360" w:lineRule="auto"/>
              <w:ind w:firstLine="361" w:firstLineChars="150"/>
              <w:rPr>
                <w:rFonts w:hint="eastAsia"/>
                <w:b/>
                <w:bCs/>
                <w:sz w:val="24"/>
                <w:lang w:val="en-US" w:eastAsia="zh-CN"/>
              </w:rPr>
            </w:pPr>
            <w:r>
              <w:rPr>
                <w:rFonts w:hint="eastAsia"/>
                <w:b/>
                <w:bCs/>
                <w:sz w:val="24"/>
                <w:lang w:val="en-US" w:eastAsia="zh-CN"/>
              </w:rPr>
              <w:t>C、厨房油烟</w:t>
            </w:r>
          </w:p>
          <w:p>
            <w:pPr>
              <w:tabs>
                <w:tab w:val="left" w:pos="1440"/>
                <w:tab w:val="left" w:pos="1800"/>
              </w:tabs>
              <w:spacing w:line="360" w:lineRule="auto"/>
              <w:ind w:firstLine="360" w:firstLineChars="150"/>
              <w:rPr>
                <w:rFonts w:hint="eastAsia"/>
                <w:sz w:val="24"/>
                <w:vertAlign w:val="baseline"/>
                <w:lang w:val="en-US" w:eastAsia="zh-CN"/>
              </w:rPr>
            </w:pPr>
            <w:r>
              <w:rPr>
                <w:rFonts w:hint="eastAsia"/>
                <w:sz w:val="24"/>
                <w:lang w:val="en-US" w:eastAsia="zh-CN"/>
              </w:rPr>
              <w:t>目前，每天约有18人中午在食堂用餐，厨房炒菜时有一定的油烟释放，由抽油烟机将油烟引至室外以无组织形式低空排放。</w:t>
            </w:r>
            <w:r>
              <w:rPr>
                <w:rFonts w:hint="eastAsia"/>
                <w:sz w:val="24"/>
              </w:rPr>
              <w:t>一般食堂的食用油耗油系数为30g/人.d（非住宿人员折半计算），则其一天的食用油的用量约为</w:t>
            </w:r>
            <w:r>
              <w:rPr>
                <w:rFonts w:hint="eastAsia"/>
                <w:sz w:val="24"/>
                <w:lang w:val="en-US" w:eastAsia="zh-CN"/>
              </w:rPr>
              <w:t>0.27</w:t>
            </w:r>
            <w:r>
              <w:rPr>
                <w:rFonts w:hint="eastAsia"/>
                <w:sz w:val="24"/>
              </w:rPr>
              <w:t>kg</w:t>
            </w:r>
            <w:r>
              <w:rPr>
                <w:sz w:val="24"/>
              </w:rPr>
              <w:t>/d</w:t>
            </w:r>
            <w:r>
              <w:rPr>
                <w:rFonts w:hint="eastAsia"/>
                <w:sz w:val="24"/>
              </w:rPr>
              <w:t>，</w:t>
            </w:r>
            <w:r>
              <w:rPr>
                <w:rFonts w:hint="eastAsia"/>
                <w:sz w:val="24"/>
                <w:lang w:val="en-US" w:eastAsia="zh-CN"/>
              </w:rPr>
              <w:t>67.5</w:t>
            </w:r>
            <w:r>
              <w:rPr>
                <w:sz w:val="24"/>
              </w:rPr>
              <w:t>kg/a</w:t>
            </w:r>
            <w:r>
              <w:rPr>
                <w:rFonts w:hint="eastAsia"/>
                <w:sz w:val="24"/>
              </w:rPr>
              <w:t>。油烟的挥发量占总耗油量的2％～4％之间，取其均值3％，</w:t>
            </w:r>
            <w:r>
              <w:rPr>
                <w:rFonts w:hint="eastAsia"/>
                <w:sz w:val="24"/>
                <w:lang w:val="en-US" w:eastAsia="zh-CN"/>
              </w:rPr>
              <w:t>抽油烟机风量约1500m</w:t>
            </w:r>
            <w:r>
              <w:rPr>
                <w:rFonts w:hint="eastAsia"/>
                <w:sz w:val="24"/>
                <w:vertAlign w:val="superscript"/>
                <w:lang w:val="en-US" w:eastAsia="zh-CN"/>
              </w:rPr>
              <w:t>3</w:t>
            </w:r>
            <w:r>
              <w:rPr>
                <w:rFonts w:hint="eastAsia"/>
                <w:sz w:val="24"/>
                <w:lang w:val="en-US" w:eastAsia="zh-CN"/>
              </w:rPr>
              <w:t>/h，厨房</w:t>
            </w:r>
            <w:r>
              <w:rPr>
                <w:rFonts w:hint="eastAsia"/>
                <w:sz w:val="24"/>
              </w:rPr>
              <w:t>每天工作3小时</w:t>
            </w:r>
            <w:r>
              <w:rPr>
                <w:rFonts w:hint="eastAsia"/>
                <w:sz w:val="24"/>
                <w:lang w:eastAsia="zh-CN"/>
              </w:rPr>
              <w:t>，</w:t>
            </w:r>
            <w:r>
              <w:rPr>
                <w:rFonts w:hint="eastAsia"/>
                <w:sz w:val="24"/>
              </w:rPr>
              <w:t>则油烟</w:t>
            </w:r>
            <w:r>
              <w:rPr>
                <w:rFonts w:hint="eastAsia"/>
                <w:sz w:val="24"/>
                <w:lang w:val="en-US" w:eastAsia="zh-CN"/>
              </w:rPr>
              <w:t>排放浓度1.8mg/m</w:t>
            </w:r>
            <w:r>
              <w:rPr>
                <w:rFonts w:hint="eastAsia"/>
                <w:sz w:val="24"/>
                <w:vertAlign w:val="superscript"/>
                <w:lang w:val="en-US" w:eastAsia="zh-CN"/>
              </w:rPr>
              <w:t>3</w:t>
            </w:r>
            <w:r>
              <w:rPr>
                <w:rFonts w:hint="eastAsia"/>
                <w:sz w:val="24"/>
                <w:lang w:val="en-US" w:eastAsia="zh-CN"/>
              </w:rPr>
              <w:t>，排</w:t>
            </w:r>
            <w:r>
              <w:rPr>
                <w:rFonts w:hint="eastAsia"/>
                <w:sz w:val="24"/>
                <w:vertAlign w:val="baseline"/>
                <w:lang w:val="en-US" w:eastAsia="zh-CN"/>
              </w:rPr>
              <w:t>放速率0.0027kg/h，满足《饮食业油烟排放标准（试行）》（GB18483-2001）标准限值，油烟≤2.0mg/m</w:t>
            </w:r>
            <w:r>
              <w:rPr>
                <w:rFonts w:hint="eastAsia"/>
                <w:sz w:val="24"/>
                <w:vertAlign w:val="superscript"/>
                <w:lang w:val="en-US" w:eastAsia="zh-CN"/>
              </w:rPr>
              <w:t>3</w:t>
            </w:r>
            <w:r>
              <w:rPr>
                <w:rFonts w:hint="eastAsia"/>
                <w:sz w:val="24"/>
                <w:vertAlign w:val="baseline"/>
                <w:lang w:val="en-US" w:eastAsia="zh-CN"/>
              </w:rPr>
              <w:t>。</w:t>
            </w:r>
          </w:p>
          <w:p>
            <w:pPr>
              <w:tabs>
                <w:tab w:val="left" w:pos="1440"/>
                <w:tab w:val="left" w:pos="1800"/>
              </w:tabs>
              <w:spacing w:line="360" w:lineRule="auto"/>
              <w:ind w:firstLine="360" w:firstLineChars="150"/>
              <w:rPr>
                <w:rFonts w:hint="eastAsia"/>
                <w:sz w:val="24"/>
                <w:lang w:val="en-US" w:eastAsia="zh-CN"/>
              </w:rPr>
            </w:pPr>
            <w:r>
              <w:rPr>
                <w:rFonts w:hint="eastAsia"/>
                <w:sz w:val="24"/>
                <w:lang w:val="en-US" w:eastAsia="zh-CN"/>
              </w:rPr>
              <w:t>综上，项目产生的油烟量不大，且楼外空间开阔，通风良好，并有一定的植被覆盖，油烟可快速被周边空气稀释，不会产生油烟积聚现象，厨房油烟对周围环境影响较小。</w:t>
            </w:r>
          </w:p>
          <w:p>
            <w:pPr>
              <w:tabs>
                <w:tab w:val="left" w:pos="1440"/>
                <w:tab w:val="left" w:pos="1800"/>
              </w:tabs>
              <w:spacing w:line="360" w:lineRule="auto"/>
              <w:ind w:firstLine="361" w:firstLineChars="150"/>
              <w:rPr>
                <w:rFonts w:hint="default"/>
                <w:b/>
                <w:bCs/>
                <w:color w:val="auto"/>
                <w:sz w:val="24"/>
                <w:szCs w:val="24"/>
                <w:u w:val="none" w:color="auto"/>
                <w:lang w:val="en-US" w:eastAsia="zh-CN"/>
              </w:rPr>
            </w:pPr>
            <w:r>
              <w:rPr>
                <w:rFonts w:hint="eastAsia"/>
                <w:b/>
                <w:bCs/>
                <w:sz w:val="24"/>
                <w:lang w:val="en-US" w:eastAsia="zh-CN"/>
              </w:rPr>
              <w:t>D、现有工程废气产排情况总结</w:t>
            </w:r>
          </w:p>
          <w:p>
            <w:pPr>
              <w:tabs>
                <w:tab w:val="left" w:pos="1440"/>
                <w:tab w:val="left" w:pos="1800"/>
              </w:tabs>
              <w:spacing w:line="360" w:lineRule="auto"/>
              <w:ind w:firstLine="360" w:firstLineChars="150"/>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1、改建前，本疾控中心废气主要包括实验室废气（消解废气、试剂挥发废气、微生物实验废气）；污水处理站恶气体及厨房油烟。</w:t>
            </w:r>
          </w:p>
          <w:p>
            <w:pPr>
              <w:tabs>
                <w:tab w:val="left" w:pos="1440"/>
                <w:tab w:val="left" w:pos="1800"/>
              </w:tabs>
              <w:spacing w:line="360" w:lineRule="auto"/>
              <w:ind w:firstLine="360" w:firstLineChars="150"/>
              <w:rPr>
                <w:rFonts w:hint="default"/>
                <w:b w:val="0"/>
                <w:bCs/>
                <w:color w:val="auto"/>
                <w:sz w:val="24"/>
                <w:szCs w:val="24"/>
                <w:u w:val="none" w:color="auto"/>
                <w:lang w:val="en-US" w:eastAsia="zh-CN"/>
              </w:rPr>
            </w:pPr>
            <w:r>
              <w:rPr>
                <w:rFonts w:hint="eastAsia"/>
                <w:b w:val="0"/>
                <w:bCs/>
                <w:color w:val="auto"/>
                <w:sz w:val="24"/>
                <w:szCs w:val="24"/>
                <w:u w:val="none" w:color="auto"/>
                <w:lang w:val="en-US" w:eastAsia="zh-CN"/>
              </w:rPr>
              <w:t>2、消解废气主要污染物为NO</w:t>
            </w:r>
            <w:r>
              <w:rPr>
                <w:rFonts w:hint="eastAsia"/>
                <w:b w:val="0"/>
                <w:bCs/>
                <w:color w:val="auto"/>
                <w:sz w:val="24"/>
                <w:szCs w:val="24"/>
                <w:u w:val="none" w:color="auto"/>
                <w:vertAlign w:val="subscript"/>
                <w:lang w:val="en-US" w:eastAsia="zh-CN"/>
              </w:rPr>
              <w:t>x</w:t>
            </w:r>
            <w:r>
              <w:rPr>
                <w:rFonts w:hint="eastAsia"/>
                <w:b w:val="0"/>
                <w:bCs/>
                <w:color w:val="auto"/>
                <w:sz w:val="24"/>
                <w:szCs w:val="24"/>
                <w:u w:val="none" w:color="auto"/>
                <w:vertAlign w:val="baseline"/>
                <w:lang w:val="en-US" w:eastAsia="zh-CN"/>
              </w:rPr>
              <w:t>，</w:t>
            </w:r>
            <w:r>
              <w:rPr>
                <w:rFonts w:hint="eastAsia"/>
                <w:b w:val="0"/>
                <w:bCs/>
                <w:color w:val="auto"/>
                <w:sz w:val="24"/>
                <w:szCs w:val="24"/>
                <w:u w:val="none" w:color="auto"/>
                <w:lang w:val="en-US" w:eastAsia="zh-CN"/>
              </w:rPr>
              <w:t>排放浓度</w:t>
            </w:r>
            <w:r>
              <w:rPr>
                <w:rFonts w:hint="eastAsia" w:cs="Times New Roman"/>
                <w:sz w:val="24"/>
                <w:u w:val="single"/>
                <w:vertAlign w:val="baseline"/>
                <w:lang w:val="en-US" w:eastAsia="zh-CN"/>
              </w:rPr>
              <w:t>10.92</w:t>
            </w:r>
            <w:r>
              <w:rPr>
                <w:rFonts w:hint="eastAsia"/>
                <w:b w:val="0"/>
                <w:bCs/>
                <w:color w:val="auto"/>
                <w:sz w:val="24"/>
                <w:szCs w:val="24"/>
                <w:u w:val="none" w:color="auto"/>
                <w:lang w:val="en-US" w:eastAsia="zh-CN"/>
              </w:rPr>
              <w:t>mg/m</w:t>
            </w:r>
            <w:r>
              <w:rPr>
                <w:rFonts w:hint="eastAsia"/>
                <w:b w:val="0"/>
                <w:bCs/>
                <w:color w:val="auto"/>
                <w:sz w:val="24"/>
                <w:szCs w:val="24"/>
                <w:u w:val="none" w:color="auto"/>
                <w:vertAlign w:val="superscript"/>
                <w:lang w:val="en-US" w:eastAsia="zh-CN"/>
              </w:rPr>
              <w:t>3</w:t>
            </w:r>
            <w:r>
              <w:rPr>
                <w:rFonts w:hint="eastAsia"/>
                <w:b w:val="0"/>
                <w:bCs/>
                <w:color w:val="auto"/>
                <w:sz w:val="24"/>
                <w:szCs w:val="24"/>
                <w:u w:val="none" w:color="auto"/>
                <w:lang w:val="en-US" w:eastAsia="zh-CN"/>
              </w:rPr>
              <w:t>,排放速率</w:t>
            </w:r>
            <w:r>
              <w:rPr>
                <w:rFonts w:hint="eastAsia" w:cs="Times New Roman"/>
                <w:sz w:val="24"/>
                <w:u w:val="single"/>
                <w:vertAlign w:val="baseline"/>
                <w:lang w:val="en-US" w:eastAsia="zh-CN"/>
              </w:rPr>
              <w:t>0.0218</w:t>
            </w:r>
            <w:r>
              <w:rPr>
                <w:rFonts w:hint="eastAsia"/>
                <w:b w:val="0"/>
                <w:bCs/>
                <w:color w:val="auto"/>
                <w:sz w:val="24"/>
                <w:szCs w:val="24"/>
                <w:u w:val="none" w:color="auto"/>
                <w:lang w:val="en-US" w:eastAsia="zh-CN"/>
              </w:rPr>
              <w:t>kg/h，满足《大气污染物综合排放标准》（GB16297—1996）之表2限值。</w:t>
            </w:r>
          </w:p>
          <w:p>
            <w:pPr>
              <w:tabs>
                <w:tab w:val="left" w:pos="1440"/>
                <w:tab w:val="left" w:pos="1800"/>
              </w:tabs>
              <w:spacing w:line="360" w:lineRule="auto"/>
              <w:ind w:firstLine="360" w:firstLineChars="150"/>
              <w:rPr>
                <w:rFonts w:hint="default"/>
                <w:b w:val="0"/>
                <w:bCs/>
                <w:color w:val="auto"/>
                <w:sz w:val="24"/>
                <w:szCs w:val="24"/>
                <w:u w:val="none" w:color="auto"/>
                <w:lang w:val="en-US" w:eastAsia="zh-CN"/>
              </w:rPr>
            </w:pPr>
            <w:r>
              <w:rPr>
                <w:rFonts w:hint="eastAsia"/>
                <w:b w:val="0"/>
                <w:bCs/>
                <w:color w:val="auto"/>
                <w:sz w:val="24"/>
                <w:szCs w:val="24"/>
                <w:u w:val="none" w:color="auto"/>
                <w:lang w:val="en-US" w:eastAsia="zh-CN"/>
              </w:rPr>
              <w:t>3、试剂挥发废气中各酸性气体挥发后污染物总量：硫酸雾1.765</w:t>
            </w:r>
            <w:r>
              <w:rPr>
                <w:rFonts w:hint="default"/>
                <w:b w:val="0"/>
                <w:bCs/>
                <w:color w:val="auto"/>
                <w:sz w:val="24"/>
                <w:szCs w:val="24"/>
                <w:u w:val="none" w:color="auto"/>
                <w:lang w:val="en-US" w:eastAsia="zh-CN"/>
              </w:rPr>
              <w:t>×</w:t>
            </w:r>
            <w:r>
              <w:rPr>
                <w:rFonts w:hint="eastAsia"/>
                <w:b w:val="0"/>
                <w:bCs/>
                <w:color w:val="auto"/>
                <w:sz w:val="24"/>
                <w:szCs w:val="24"/>
                <w:u w:val="none" w:color="auto"/>
                <w:lang w:val="en-US" w:eastAsia="zh-CN"/>
              </w:rPr>
              <w:t>10</w:t>
            </w:r>
            <w:r>
              <w:rPr>
                <w:rFonts w:hint="eastAsia"/>
                <w:b w:val="0"/>
                <w:bCs/>
                <w:color w:val="auto"/>
                <w:sz w:val="24"/>
                <w:szCs w:val="24"/>
                <w:u w:val="none" w:color="auto"/>
                <w:vertAlign w:val="superscript"/>
                <w:lang w:val="en-US" w:eastAsia="zh-CN"/>
              </w:rPr>
              <w:t>-5</w:t>
            </w:r>
            <w:r>
              <w:rPr>
                <w:rFonts w:hint="eastAsia"/>
                <w:b w:val="0"/>
                <w:bCs/>
                <w:color w:val="auto"/>
                <w:sz w:val="24"/>
                <w:szCs w:val="24"/>
                <w:u w:val="none" w:color="auto"/>
                <w:lang w:val="en-US" w:eastAsia="zh-CN"/>
              </w:rPr>
              <w:t>kg/a、磷酸雾0.2675kg/a、硝酸雾（以NO</w:t>
            </w:r>
            <w:r>
              <w:rPr>
                <w:rFonts w:hint="eastAsia"/>
                <w:b w:val="0"/>
                <w:bCs/>
                <w:color w:val="auto"/>
                <w:sz w:val="24"/>
                <w:szCs w:val="24"/>
                <w:u w:val="none" w:color="auto"/>
                <w:vertAlign w:val="subscript"/>
                <w:lang w:val="en-US" w:eastAsia="zh-CN"/>
              </w:rPr>
              <w:t>x</w:t>
            </w:r>
            <w:r>
              <w:rPr>
                <w:rFonts w:hint="eastAsia"/>
                <w:b w:val="0"/>
                <w:bCs/>
                <w:color w:val="auto"/>
                <w:sz w:val="24"/>
                <w:szCs w:val="24"/>
                <w:u w:val="none" w:color="auto"/>
                <w:vertAlign w:val="baseline"/>
                <w:lang w:val="en-US" w:eastAsia="zh-CN"/>
              </w:rPr>
              <w:t>计</w:t>
            </w:r>
            <w:r>
              <w:rPr>
                <w:rFonts w:hint="eastAsia"/>
                <w:b w:val="0"/>
                <w:bCs/>
                <w:color w:val="auto"/>
                <w:sz w:val="24"/>
                <w:szCs w:val="24"/>
                <w:u w:val="none" w:color="auto"/>
                <w:lang w:val="en-US" w:eastAsia="zh-CN"/>
              </w:rPr>
              <w:t>）0.1064kg/a、盐酸雾（以HCl</w:t>
            </w:r>
            <w:r>
              <w:rPr>
                <w:rFonts w:hint="eastAsia"/>
                <w:b w:val="0"/>
                <w:bCs/>
                <w:color w:val="auto"/>
                <w:sz w:val="24"/>
                <w:szCs w:val="24"/>
                <w:u w:val="none" w:color="auto"/>
                <w:vertAlign w:val="baseline"/>
                <w:lang w:val="en-US" w:eastAsia="zh-CN"/>
              </w:rPr>
              <w:t>计</w:t>
            </w:r>
            <w:r>
              <w:rPr>
                <w:rFonts w:hint="eastAsia"/>
                <w:b w:val="0"/>
                <w:bCs/>
                <w:color w:val="auto"/>
                <w:sz w:val="24"/>
                <w:szCs w:val="24"/>
                <w:u w:val="none" w:color="auto"/>
                <w:lang w:val="en-US" w:eastAsia="zh-CN"/>
              </w:rPr>
              <w:t>）0.1171kg/a，酸雾共计产生0.49105kg/a；三氯甲烷挥发总量0.1134kg/a。试剂无组织挥发产生的污染物总量较小，基本不对环境构成影响。</w:t>
            </w:r>
          </w:p>
          <w:p>
            <w:pPr>
              <w:tabs>
                <w:tab w:val="left" w:pos="1440"/>
                <w:tab w:val="left" w:pos="1800"/>
              </w:tabs>
              <w:spacing w:line="360" w:lineRule="auto"/>
              <w:ind w:firstLine="360" w:firstLineChars="150"/>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4、本疾控中心共建设生物安全柜7座。其中，6座为内循环通风，净化后的尾气不外排；另1座净化后的尾气由排气口排至检验检测楼2层屋外。</w:t>
            </w:r>
          </w:p>
          <w:p>
            <w:pPr>
              <w:tabs>
                <w:tab w:val="left" w:pos="1440"/>
                <w:tab w:val="left" w:pos="1800"/>
              </w:tabs>
              <w:spacing w:line="360" w:lineRule="auto"/>
              <w:ind w:firstLine="360" w:firstLineChars="150"/>
              <w:rPr>
                <w:rFonts w:hint="eastAsia"/>
                <w:sz w:val="24"/>
                <w:lang w:val="en-US" w:eastAsia="zh-CN"/>
              </w:rPr>
            </w:pPr>
            <w:r>
              <w:rPr>
                <w:rFonts w:hint="eastAsia"/>
                <w:b w:val="0"/>
                <w:bCs/>
                <w:color w:val="auto"/>
                <w:sz w:val="24"/>
                <w:szCs w:val="24"/>
                <w:u w:val="none" w:color="auto"/>
                <w:lang w:val="en-US" w:eastAsia="zh-CN"/>
              </w:rPr>
              <w:t>5、污水处理站恶臭气体主要污染物为NH</w:t>
            </w:r>
            <w:r>
              <w:rPr>
                <w:rFonts w:hint="eastAsia"/>
                <w:b w:val="0"/>
                <w:bCs/>
                <w:color w:val="auto"/>
                <w:sz w:val="24"/>
                <w:szCs w:val="24"/>
                <w:u w:val="none" w:color="auto"/>
                <w:vertAlign w:val="subscript"/>
                <w:lang w:val="en-US" w:eastAsia="zh-CN"/>
              </w:rPr>
              <w:t>3</w:t>
            </w:r>
            <w:r>
              <w:rPr>
                <w:rFonts w:hint="eastAsia"/>
                <w:b w:val="0"/>
                <w:bCs/>
                <w:color w:val="auto"/>
                <w:sz w:val="24"/>
                <w:szCs w:val="24"/>
                <w:u w:val="none" w:color="auto"/>
                <w:lang w:val="en-US" w:eastAsia="zh-CN"/>
              </w:rPr>
              <w:t>、H</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S、臭气浓度、Cl</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、CH</w:t>
            </w:r>
            <w:r>
              <w:rPr>
                <w:rFonts w:hint="eastAsia"/>
                <w:b w:val="0"/>
                <w:bCs/>
                <w:color w:val="auto"/>
                <w:sz w:val="24"/>
                <w:szCs w:val="24"/>
                <w:u w:val="none" w:color="auto"/>
                <w:vertAlign w:val="subscript"/>
                <w:lang w:val="en-US" w:eastAsia="zh-CN"/>
              </w:rPr>
              <w:t>4</w:t>
            </w:r>
            <w:r>
              <w:rPr>
                <w:rFonts w:hint="eastAsia"/>
                <w:b w:val="0"/>
                <w:bCs/>
                <w:color w:val="auto"/>
                <w:sz w:val="24"/>
                <w:szCs w:val="24"/>
                <w:u w:val="none" w:color="auto"/>
                <w:vertAlign w:val="baseline"/>
                <w:lang w:val="en-US" w:eastAsia="zh-CN"/>
              </w:rPr>
              <w:t>。在此当中，</w:t>
            </w:r>
            <w:r>
              <w:rPr>
                <w:rFonts w:hint="eastAsia"/>
                <w:b w:val="0"/>
                <w:bCs/>
                <w:color w:val="auto"/>
                <w:sz w:val="24"/>
                <w:szCs w:val="24"/>
                <w:u w:val="none" w:color="auto"/>
                <w:lang w:val="en-US" w:eastAsia="zh-CN"/>
              </w:rPr>
              <w:t>NH</w:t>
            </w:r>
            <w:r>
              <w:rPr>
                <w:rFonts w:hint="eastAsia"/>
                <w:b w:val="0"/>
                <w:bCs/>
                <w:color w:val="auto"/>
                <w:sz w:val="24"/>
                <w:szCs w:val="24"/>
                <w:u w:val="none" w:color="auto"/>
                <w:vertAlign w:val="subscript"/>
                <w:lang w:val="en-US" w:eastAsia="zh-CN"/>
              </w:rPr>
              <w:t>3</w:t>
            </w:r>
            <w:r>
              <w:rPr>
                <w:rFonts w:hint="eastAsia"/>
                <w:b w:val="0"/>
                <w:bCs/>
                <w:color w:val="auto"/>
                <w:sz w:val="24"/>
                <w:szCs w:val="24"/>
                <w:u w:val="none" w:color="auto"/>
                <w:vertAlign w:val="baseline"/>
                <w:lang w:val="en-US" w:eastAsia="zh-CN"/>
              </w:rPr>
              <w:t>产生量0.0109</w:t>
            </w:r>
            <w:r>
              <w:rPr>
                <w:rFonts w:hint="eastAsia"/>
                <w:sz w:val="24"/>
                <w:lang w:val="en-US" w:eastAsia="zh-CN"/>
              </w:rPr>
              <w:t>kg/a</w:t>
            </w:r>
            <w:r>
              <w:rPr>
                <w:rFonts w:hint="eastAsia"/>
                <w:b w:val="0"/>
                <w:bCs/>
                <w:color w:val="auto"/>
                <w:sz w:val="24"/>
                <w:szCs w:val="24"/>
                <w:u w:val="none" w:color="auto"/>
                <w:vertAlign w:val="baseline"/>
                <w:lang w:val="en-US" w:eastAsia="zh-CN"/>
              </w:rPr>
              <w:t>，</w:t>
            </w:r>
            <w:r>
              <w:rPr>
                <w:rFonts w:hint="eastAsia"/>
                <w:b w:val="0"/>
                <w:bCs/>
                <w:color w:val="auto"/>
                <w:sz w:val="24"/>
                <w:szCs w:val="24"/>
                <w:u w:val="none" w:color="auto"/>
                <w:lang w:val="en-US" w:eastAsia="zh-CN"/>
              </w:rPr>
              <w:t>H</w:t>
            </w:r>
            <w:r>
              <w:rPr>
                <w:rFonts w:hint="eastAsia"/>
                <w:b w:val="0"/>
                <w:bCs/>
                <w:color w:val="auto"/>
                <w:sz w:val="24"/>
                <w:szCs w:val="24"/>
                <w:u w:val="none" w:color="auto"/>
                <w:vertAlign w:val="subscript"/>
                <w:lang w:val="en-US" w:eastAsia="zh-CN"/>
              </w:rPr>
              <w:t>2</w:t>
            </w:r>
            <w:r>
              <w:rPr>
                <w:rFonts w:hint="eastAsia"/>
                <w:b w:val="0"/>
                <w:bCs/>
                <w:color w:val="auto"/>
                <w:sz w:val="24"/>
                <w:szCs w:val="24"/>
                <w:u w:val="none" w:color="auto"/>
                <w:lang w:val="en-US" w:eastAsia="zh-CN"/>
              </w:rPr>
              <w:t>S</w:t>
            </w:r>
            <w:r>
              <w:rPr>
                <w:rFonts w:hint="eastAsia"/>
                <w:sz w:val="24"/>
                <w:vertAlign w:val="baseline"/>
                <w:lang w:val="en-US" w:eastAsia="zh-CN"/>
              </w:rPr>
              <w:t>产生量0.00042</w:t>
            </w:r>
            <w:r>
              <w:rPr>
                <w:rFonts w:hint="eastAsia"/>
                <w:sz w:val="24"/>
                <w:lang w:val="en-US" w:eastAsia="zh-CN"/>
              </w:rPr>
              <w:t>kg/a，环评建议建设单位在本次改建期间加强绿化与设备密封。</w:t>
            </w:r>
          </w:p>
          <w:p>
            <w:pPr>
              <w:tabs>
                <w:tab w:val="left" w:pos="1440"/>
                <w:tab w:val="left" w:pos="1800"/>
              </w:tabs>
              <w:spacing w:line="360" w:lineRule="auto"/>
              <w:ind w:firstLine="360" w:firstLineChars="150"/>
              <w:rPr>
                <w:rFonts w:hint="eastAsia"/>
                <w:sz w:val="24"/>
                <w:vertAlign w:val="baseline"/>
                <w:lang w:val="en-US" w:eastAsia="zh-CN"/>
              </w:rPr>
            </w:pPr>
            <w:r>
              <w:rPr>
                <w:rFonts w:hint="eastAsia"/>
                <w:b w:val="0"/>
                <w:bCs/>
                <w:color w:val="auto"/>
                <w:sz w:val="24"/>
                <w:szCs w:val="24"/>
                <w:u w:val="none" w:color="auto"/>
                <w:lang w:val="en-US" w:eastAsia="zh-CN"/>
              </w:rPr>
              <w:t>6、经计算，食堂油烟排放浓度</w:t>
            </w:r>
            <w:r>
              <w:rPr>
                <w:rFonts w:hint="eastAsia"/>
                <w:sz w:val="24"/>
                <w:lang w:val="en-US" w:eastAsia="zh-CN"/>
              </w:rPr>
              <w:t>1.8mg/m</w:t>
            </w:r>
            <w:r>
              <w:rPr>
                <w:rFonts w:hint="eastAsia"/>
                <w:sz w:val="24"/>
                <w:vertAlign w:val="superscript"/>
                <w:lang w:val="en-US" w:eastAsia="zh-CN"/>
              </w:rPr>
              <w:t>3</w:t>
            </w:r>
            <w:r>
              <w:rPr>
                <w:rFonts w:hint="eastAsia"/>
                <w:sz w:val="24"/>
                <w:vertAlign w:val="baseline"/>
                <w:lang w:val="en-US" w:eastAsia="zh-CN"/>
              </w:rPr>
              <w:t>，满足《饮食业油烟排放标准（试行）》（GB18483-2001）标准限值。</w:t>
            </w:r>
          </w:p>
          <w:p>
            <w:pPr>
              <w:tabs>
                <w:tab w:val="left" w:pos="1440"/>
                <w:tab w:val="left" w:pos="1800"/>
              </w:tabs>
              <w:spacing w:line="360" w:lineRule="auto"/>
              <w:ind w:firstLine="360" w:firstLineChars="150"/>
              <w:rPr>
                <w:rFonts w:hint="default"/>
                <w:sz w:val="24"/>
                <w:vertAlign w:val="baseline"/>
                <w:lang w:val="en-US" w:eastAsia="zh-CN"/>
              </w:rPr>
            </w:pPr>
            <w:r>
              <w:rPr>
                <w:rFonts w:hint="eastAsia"/>
                <w:sz w:val="24"/>
                <w:vertAlign w:val="baseline"/>
                <w:lang w:val="en-US" w:eastAsia="zh-CN"/>
              </w:rPr>
              <w:t>7、综上，本疾控中心改建前各废气污染物均可达标排放，对环境造成的影响不大。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default"/>
                <w:b/>
                <w:bCs w:val="0"/>
                <w:color w:val="auto"/>
                <w:sz w:val="24"/>
                <w:szCs w:val="24"/>
                <w:u w:val="none" w:color="auto"/>
                <w:lang w:val="en-US" w:eastAsia="zh-CN"/>
              </w:rPr>
            </w:pPr>
            <w:r>
              <w:rPr>
                <w:rFonts w:hint="eastAsia"/>
                <w:b/>
                <w:bCs w:val="0"/>
                <w:color w:val="auto"/>
                <w:sz w:val="24"/>
                <w:szCs w:val="24"/>
                <w:u w:val="none" w:color="auto"/>
                <w:lang w:val="en-US" w:eastAsia="zh-CN"/>
              </w:rPr>
              <w:t>（2）废水</w:t>
            </w:r>
          </w:p>
          <w:p>
            <w:pPr>
              <w:tabs>
                <w:tab w:val="left" w:pos="1440"/>
                <w:tab w:val="left" w:pos="1800"/>
              </w:tabs>
              <w:spacing w:line="360" w:lineRule="auto"/>
              <w:ind w:firstLine="360" w:firstLineChars="150"/>
              <w:rPr>
                <w:rFonts w:hint="eastAsia"/>
                <w:sz w:val="24"/>
                <w:vertAlign w:val="baseline"/>
                <w:lang w:val="en-US" w:eastAsia="zh-CN"/>
              </w:rPr>
            </w:pPr>
            <w:r>
              <w:rPr>
                <w:rFonts w:hint="eastAsia"/>
                <w:sz w:val="24"/>
                <w:vertAlign w:val="baseline"/>
                <w:lang w:val="en-US" w:eastAsia="zh-CN"/>
              </w:rPr>
              <w:t>靖州苗族侗族自治县疾病控制预防中心主要废水包括生活废水与实验室废水。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lang w:val="en-US" w:eastAsia="zh-CN"/>
              </w:rPr>
            </w:pPr>
            <w:r>
              <w:rPr>
                <w:rFonts w:hint="eastAsia"/>
                <w:b/>
                <w:bCs/>
                <w:sz w:val="24"/>
                <w:lang w:val="en-US" w:eastAsia="zh-CN"/>
              </w:rPr>
              <w:t>A、生活污水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lang w:val="en-US" w:eastAsia="zh-CN"/>
              </w:rPr>
            </w:pPr>
            <w:r>
              <w:rPr>
                <w:rFonts w:hint="eastAsia"/>
                <w:b w:val="0"/>
                <w:bCs/>
                <w:color w:val="auto"/>
                <w:sz w:val="24"/>
                <w:szCs w:val="24"/>
                <w:u w:val="none" w:color="auto"/>
                <w:lang w:val="en-US" w:eastAsia="zh-CN"/>
              </w:rPr>
              <w:t>现阶段，靖州苗族侗族自治县疾病预防控制中心生活污水产生量355.3t/a，经化粪池处理后直接排入文昌溪，再于下游750m处汇入渠水。依据</w:t>
            </w:r>
            <w:r>
              <w:rPr>
                <w:sz w:val="24"/>
              </w:rPr>
              <w:t>《生活污染源产排污系数手册》（试用版）</w:t>
            </w:r>
            <w:r>
              <w:rPr>
                <w:rFonts w:hint="eastAsia"/>
                <w:sz w:val="24"/>
                <w:lang w:eastAsia="zh-CN"/>
              </w:rPr>
              <w:t>，</w:t>
            </w:r>
            <w:r>
              <w:rPr>
                <w:rFonts w:hint="eastAsia"/>
                <w:sz w:val="24"/>
                <w:lang w:val="en-US" w:eastAsia="zh-CN"/>
              </w:rPr>
              <w:t>靖州苗族侗族自治县属于五区县城，各污染物浓度取平均值，COD</w:t>
            </w:r>
            <w:r>
              <w:rPr>
                <w:rFonts w:hint="eastAsia"/>
                <w:sz w:val="24"/>
                <w:vertAlign w:val="subscript"/>
                <w:lang w:val="en-US" w:eastAsia="zh-CN"/>
              </w:rPr>
              <w:t>cr</w:t>
            </w:r>
            <w:r>
              <w:rPr>
                <w:rFonts w:hint="eastAsia"/>
                <w:sz w:val="24"/>
                <w:lang w:val="en-US" w:eastAsia="zh-CN"/>
              </w:rPr>
              <w:t>260mg/L，BOD</w:t>
            </w:r>
            <w:r>
              <w:rPr>
                <w:rFonts w:hint="eastAsia"/>
                <w:sz w:val="24"/>
                <w:vertAlign w:val="subscript"/>
                <w:lang w:val="en-US" w:eastAsia="zh-CN"/>
              </w:rPr>
              <w:t>5</w:t>
            </w:r>
            <w:r>
              <w:rPr>
                <w:rFonts w:hint="eastAsia"/>
                <w:sz w:val="24"/>
                <w:lang w:val="en-US" w:eastAsia="zh-CN"/>
              </w:rPr>
              <w:t>117mg/L、氨氮20.6mg/L、动植物油3.34mg/L、SS200mg/L。</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vertAlign w:val="baseline"/>
                <w:lang w:val="en-US" w:eastAsia="zh-CN"/>
              </w:rPr>
            </w:pPr>
            <w:r>
              <w:rPr>
                <w:rFonts w:hint="eastAsia"/>
                <w:sz w:val="24"/>
                <w:lang w:val="en-US" w:eastAsia="zh-CN"/>
              </w:rPr>
              <w:t>可见，直排的生活污水无法满足</w:t>
            </w:r>
            <w:r>
              <w:rPr>
                <w:rFonts w:hint="eastAsia"/>
                <w:sz w:val="24"/>
                <w:vertAlign w:val="baseline"/>
                <w:lang w:val="en-US" w:eastAsia="zh-CN"/>
              </w:rPr>
              <w:t>《污水综合排放标准》（GB8978-1996）一级标准。对此，</w:t>
            </w:r>
            <w:r>
              <w:rPr>
                <w:rFonts w:hint="eastAsia"/>
                <w:sz w:val="24"/>
                <w:u w:val="single"/>
                <w:vertAlign w:val="baseline"/>
                <w:lang w:val="en-US" w:eastAsia="zh-CN"/>
              </w:rPr>
              <w:t>靖州县疾控中心计划外委相关单位利用清粪车定期转运生活污水，送至靖州县县城污水处理厂深度处理后排入异溪河。</w:t>
            </w:r>
          </w:p>
          <w:p>
            <w:pPr>
              <w:tabs>
                <w:tab w:val="left" w:pos="1440"/>
                <w:tab w:val="left" w:pos="1800"/>
              </w:tabs>
              <w:spacing w:line="360" w:lineRule="auto"/>
              <w:ind w:firstLine="361" w:firstLineChars="150"/>
              <w:rPr>
                <w:rFonts w:hint="eastAsia"/>
                <w:b/>
                <w:bCs/>
                <w:sz w:val="24"/>
                <w:lang w:val="en-US" w:eastAsia="zh-CN"/>
              </w:rPr>
            </w:pPr>
            <w:r>
              <w:rPr>
                <w:rFonts w:hint="eastAsia"/>
                <w:b/>
                <w:bCs/>
                <w:sz w:val="24"/>
                <w:lang w:val="en-US" w:eastAsia="zh-CN"/>
              </w:rPr>
              <w:t>B、实验室废水（医疗废水）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b/>
                <w:bCs w:val="0"/>
                <w:color w:val="auto"/>
                <w:sz w:val="24"/>
                <w:szCs w:val="24"/>
                <w:u w:val="none" w:color="auto"/>
                <w:lang w:val="en-US" w:eastAsia="zh-CN"/>
              </w:rPr>
            </w:pPr>
            <w:r>
              <w:rPr>
                <w:rFonts w:hint="eastAsia"/>
                <w:b/>
                <w:bCs w:val="0"/>
                <w:color w:val="auto"/>
                <w:sz w:val="24"/>
                <w:szCs w:val="24"/>
                <w:u w:val="none" w:color="auto"/>
                <w:lang w:val="en-US" w:eastAsia="zh-CN"/>
              </w:rPr>
              <w:t>净化前废水源强</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现阶段，实验室废水年产生量111.573t，实验废水经污水处理设备处理后排入文昌溪，再于下游750m处汇入渠水(排放口DW001)。由于靖州苗族侗族自治县疾病预防控制中心目前暂无进水水质的实测数据，依据《医院污水处理技术指南》中规定“现有医院无实测资料时可参考的水质及类比其他疾病预防控制中心医院的原水水质”。对此，环评收集了同类型项目：《息烽县疾病预防控制中心核酸检测实验室建设项目竣工环境保护验收报告表》的实验室废水进水水质监测数据作为类比依据，从而确定各污染物产生源强：COD</w:t>
            </w:r>
            <w:r>
              <w:rPr>
                <w:rFonts w:hint="eastAsia"/>
                <w:b w:val="0"/>
                <w:bCs/>
                <w:color w:val="auto"/>
                <w:sz w:val="24"/>
                <w:szCs w:val="24"/>
                <w:u w:val="none" w:color="auto"/>
                <w:vertAlign w:val="subscript"/>
                <w:lang w:val="en-US" w:eastAsia="zh-CN"/>
              </w:rPr>
              <w:t>cr</w:t>
            </w:r>
            <w:r>
              <w:rPr>
                <w:rFonts w:hint="eastAsia"/>
                <w:b w:val="0"/>
                <w:bCs/>
                <w:color w:val="auto"/>
                <w:sz w:val="24"/>
                <w:szCs w:val="24"/>
                <w:u w:val="none" w:color="auto"/>
                <w:vertAlign w:val="baseline"/>
                <w:lang w:val="en-US" w:eastAsia="zh-CN"/>
              </w:rPr>
              <w:t>91</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、BOD</w:t>
            </w:r>
            <w:r>
              <w:rPr>
                <w:rFonts w:hint="eastAsia"/>
                <w:b w:val="0"/>
                <w:bCs/>
                <w:color w:val="auto"/>
                <w:sz w:val="24"/>
                <w:szCs w:val="24"/>
                <w:u w:val="none" w:color="auto"/>
                <w:vertAlign w:val="subscript"/>
                <w:lang w:val="en-US" w:eastAsia="zh-CN"/>
              </w:rPr>
              <w:t>5</w:t>
            </w:r>
            <w:r>
              <w:rPr>
                <w:rFonts w:hint="eastAsia"/>
                <w:b w:val="0"/>
                <w:bCs/>
                <w:color w:val="auto"/>
                <w:sz w:val="24"/>
                <w:szCs w:val="24"/>
                <w:u w:val="none" w:color="auto"/>
                <w:vertAlign w:val="baseline"/>
                <w:lang w:val="en-US" w:eastAsia="zh-CN"/>
              </w:rPr>
              <w:t>34.5</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、氨氮35.6</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、悬浮物41</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、粪大肠杆菌</w:t>
            </w:r>
            <w:r>
              <w:rPr>
                <w:rFonts w:hint="default"/>
                <w:b w:val="0"/>
                <w:bCs/>
                <w:color w:val="auto"/>
                <w:sz w:val="24"/>
                <w:szCs w:val="24"/>
                <w:u w:val="none" w:color="auto"/>
                <w:vertAlign w:val="baseline"/>
                <w:lang w:val="en-US" w:eastAsia="zh-CN"/>
              </w:rPr>
              <w:t>24000</w:t>
            </w:r>
            <w:r>
              <w:rPr>
                <w:rFonts w:hint="eastAsia"/>
                <w:b w:val="0"/>
                <w:bCs/>
                <w:color w:val="auto"/>
                <w:sz w:val="24"/>
                <w:szCs w:val="24"/>
                <w:u w:val="none" w:color="auto"/>
                <w:lang w:val="en-US" w:eastAsia="zh-CN"/>
              </w:rPr>
              <w:t>MPN/L。</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b/>
                <w:bCs w:val="0"/>
                <w:color w:val="auto"/>
                <w:sz w:val="24"/>
                <w:szCs w:val="24"/>
                <w:u w:val="none" w:color="auto"/>
                <w:lang w:val="en-US" w:eastAsia="zh-CN"/>
              </w:rPr>
            </w:pPr>
            <w:r>
              <w:rPr>
                <w:rFonts w:hint="eastAsia"/>
                <w:b/>
                <w:bCs w:val="0"/>
                <w:color w:val="auto"/>
                <w:sz w:val="24"/>
                <w:szCs w:val="24"/>
                <w:u w:val="none" w:color="auto"/>
                <w:lang w:val="en-US" w:eastAsia="zh-CN"/>
              </w:rPr>
              <w:t>净化后废水源强</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b w:val="0"/>
                <w:bCs/>
                <w:color w:val="auto"/>
                <w:sz w:val="24"/>
                <w:szCs w:val="24"/>
                <w:u w:val="none" w:color="auto"/>
                <w:lang w:val="en-US" w:eastAsia="zh-CN"/>
              </w:rPr>
            </w:pPr>
            <w:r>
              <w:rPr>
                <w:rFonts w:hint="eastAsia"/>
                <w:b w:val="0"/>
                <w:bCs/>
                <w:color w:val="auto"/>
                <w:sz w:val="24"/>
                <w:szCs w:val="24"/>
                <w:u w:val="none" w:color="auto"/>
                <w:lang w:val="en-US" w:eastAsia="zh-CN"/>
              </w:rPr>
              <w:t>2021年9月，靖州苗族侗族自治县疾病预防控制中委托怀化市水质检测有限公司对污水处理设备出水水质进行了监测，环评将监测数据作为污染物源强依据（污染物浓度：COD</w:t>
            </w:r>
            <w:r>
              <w:rPr>
                <w:rFonts w:hint="eastAsia"/>
                <w:b w:val="0"/>
                <w:bCs/>
                <w:color w:val="auto"/>
                <w:sz w:val="24"/>
                <w:szCs w:val="24"/>
                <w:u w:val="none" w:color="auto"/>
                <w:vertAlign w:val="subscript"/>
                <w:lang w:val="en-US" w:eastAsia="zh-CN"/>
              </w:rPr>
              <w:t>cr</w:t>
            </w:r>
            <w:r>
              <w:rPr>
                <w:rFonts w:hint="eastAsia"/>
                <w:b w:val="0"/>
                <w:bCs/>
                <w:color w:val="auto"/>
                <w:sz w:val="24"/>
                <w:szCs w:val="24"/>
                <w:u w:val="none" w:color="auto"/>
                <w:lang w:val="en-US" w:eastAsia="zh-CN"/>
              </w:rPr>
              <w:t>24.2</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、BOD</w:t>
            </w:r>
            <w:r>
              <w:rPr>
                <w:rFonts w:hint="eastAsia"/>
                <w:b w:val="0"/>
                <w:bCs/>
                <w:color w:val="auto"/>
                <w:sz w:val="24"/>
                <w:szCs w:val="24"/>
                <w:u w:val="none" w:color="auto"/>
                <w:vertAlign w:val="subscript"/>
                <w:lang w:val="en-US" w:eastAsia="zh-CN"/>
              </w:rPr>
              <w:t>5</w:t>
            </w:r>
            <w:r>
              <w:rPr>
                <w:rFonts w:hint="eastAsia"/>
                <w:b w:val="0"/>
                <w:bCs/>
                <w:color w:val="auto"/>
                <w:sz w:val="24"/>
                <w:szCs w:val="24"/>
                <w:u w:val="none" w:color="auto"/>
                <w:lang w:val="en-US" w:eastAsia="zh-CN"/>
              </w:rPr>
              <w:t>3.12</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、氨氮0.101</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、悬浮物0.0009</w:t>
            </w:r>
            <w:r>
              <w:rPr>
                <w:rFonts w:hint="default"/>
                <w:b w:val="0"/>
                <w:bCs/>
                <w:color w:val="auto"/>
                <w:sz w:val="24"/>
                <w:szCs w:val="24"/>
                <w:u w:val="none" w:color="auto"/>
                <w:lang w:val="en-US" w:eastAsia="zh-CN"/>
              </w:rPr>
              <w:t>mg/L</w:t>
            </w:r>
            <w:r>
              <w:rPr>
                <w:rFonts w:hint="eastAsia"/>
                <w:b w:val="0"/>
                <w:bCs/>
                <w:color w:val="auto"/>
                <w:sz w:val="24"/>
                <w:szCs w:val="24"/>
                <w:u w:val="none" w:color="auto"/>
                <w:lang w:val="en-US" w:eastAsia="zh-CN"/>
              </w:rPr>
              <w:t>、动植物油低于检出限、粪大肠杆菌470MPN/L），并据此核算出各污染物排放总量：COD</w:t>
            </w:r>
            <w:r>
              <w:rPr>
                <w:rFonts w:hint="eastAsia"/>
                <w:b w:val="0"/>
                <w:bCs/>
                <w:color w:val="auto"/>
                <w:sz w:val="24"/>
                <w:szCs w:val="24"/>
                <w:u w:val="none" w:color="auto"/>
                <w:vertAlign w:val="subscript"/>
                <w:lang w:val="en-US" w:eastAsia="zh-CN"/>
              </w:rPr>
              <w:t>cr</w:t>
            </w:r>
            <w:r>
              <w:rPr>
                <w:rFonts w:hint="default"/>
                <w:b w:val="0"/>
                <w:bCs/>
                <w:color w:val="auto"/>
                <w:sz w:val="24"/>
                <w:szCs w:val="24"/>
                <w:u w:val="none" w:color="auto"/>
                <w:lang w:val="en-US" w:eastAsia="zh-CN"/>
              </w:rPr>
              <w:t>2.7001</w:t>
            </w:r>
            <w:r>
              <w:rPr>
                <w:rFonts w:hint="eastAsia"/>
                <w:b w:val="0"/>
                <w:bCs/>
                <w:color w:val="auto"/>
                <w:sz w:val="24"/>
                <w:szCs w:val="24"/>
                <w:u w:val="none" w:color="auto"/>
                <w:lang w:val="en-US" w:eastAsia="zh-CN"/>
              </w:rPr>
              <w:t>kg/a、BOD</w:t>
            </w:r>
            <w:r>
              <w:rPr>
                <w:rFonts w:hint="eastAsia"/>
                <w:b w:val="0"/>
                <w:bCs/>
                <w:color w:val="auto"/>
                <w:sz w:val="24"/>
                <w:szCs w:val="24"/>
                <w:u w:val="none" w:color="auto"/>
                <w:vertAlign w:val="subscript"/>
                <w:lang w:val="en-US" w:eastAsia="zh-CN"/>
              </w:rPr>
              <w:t>5</w:t>
            </w:r>
            <w:r>
              <w:rPr>
                <w:rFonts w:hint="default"/>
                <w:b w:val="0"/>
                <w:bCs/>
                <w:color w:val="auto"/>
                <w:sz w:val="24"/>
                <w:szCs w:val="24"/>
                <w:u w:val="none" w:color="auto"/>
                <w:lang w:val="en-US" w:eastAsia="zh-CN"/>
              </w:rPr>
              <w:t>0.3481</w:t>
            </w:r>
            <w:r>
              <w:rPr>
                <w:rFonts w:hint="eastAsia"/>
                <w:b w:val="0"/>
                <w:bCs/>
                <w:color w:val="auto"/>
                <w:sz w:val="24"/>
                <w:szCs w:val="24"/>
                <w:u w:val="none" w:color="auto"/>
                <w:lang w:val="en-US" w:eastAsia="zh-CN"/>
              </w:rPr>
              <w:t>kg/a、氨氮</w:t>
            </w:r>
            <w:r>
              <w:rPr>
                <w:rFonts w:hint="default"/>
                <w:b w:val="0"/>
                <w:bCs/>
                <w:color w:val="auto"/>
                <w:sz w:val="24"/>
                <w:szCs w:val="24"/>
                <w:u w:val="none" w:color="auto"/>
                <w:lang w:val="en-US" w:eastAsia="zh-CN"/>
              </w:rPr>
              <w:t>0.0113</w:t>
            </w:r>
            <w:r>
              <w:rPr>
                <w:rFonts w:hint="eastAsia"/>
                <w:b w:val="0"/>
                <w:bCs/>
                <w:color w:val="auto"/>
                <w:sz w:val="24"/>
                <w:szCs w:val="24"/>
                <w:u w:val="none" w:color="auto"/>
                <w:lang w:val="en-US" w:eastAsia="zh-CN"/>
              </w:rPr>
              <w:t>kg/a、悬浮物</w:t>
            </w:r>
            <w:r>
              <w:rPr>
                <w:rFonts w:hint="default"/>
                <w:b w:val="0"/>
                <w:bCs/>
                <w:color w:val="auto"/>
                <w:sz w:val="24"/>
                <w:szCs w:val="24"/>
                <w:u w:val="none" w:color="auto"/>
                <w:lang w:val="en-US" w:eastAsia="zh-CN"/>
              </w:rPr>
              <w:t>0.0001</w:t>
            </w:r>
            <w:r>
              <w:rPr>
                <w:rFonts w:hint="eastAsia"/>
                <w:b w:val="0"/>
                <w:bCs/>
                <w:color w:val="auto"/>
                <w:sz w:val="24"/>
                <w:szCs w:val="24"/>
                <w:u w:val="none" w:color="auto"/>
                <w:lang w:val="en-US" w:eastAsia="zh-CN"/>
              </w:rPr>
              <w:t>kg/a、粪大肠杆菌</w:t>
            </w:r>
            <w:r>
              <w:rPr>
                <w:rFonts w:hint="default"/>
                <w:b w:val="0"/>
                <w:bCs/>
                <w:color w:val="auto"/>
                <w:sz w:val="24"/>
                <w:szCs w:val="24"/>
                <w:u w:val="none" w:color="auto"/>
                <w:lang w:val="en-US" w:eastAsia="zh-CN"/>
              </w:rPr>
              <w:t>5</w:t>
            </w:r>
            <w:r>
              <w:rPr>
                <w:rFonts w:hint="eastAsia"/>
                <w:b w:val="0"/>
                <w:bCs/>
                <w:color w:val="auto"/>
                <w:sz w:val="24"/>
                <w:szCs w:val="24"/>
                <w:u w:val="none" w:color="auto"/>
                <w:lang w:val="en-US" w:eastAsia="zh-CN"/>
              </w:rPr>
              <w:t>.</w:t>
            </w:r>
            <w:r>
              <w:rPr>
                <w:rFonts w:hint="default"/>
                <w:b w:val="0"/>
                <w:bCs/>
                <w:color w:val="auto"/>
                <w:sz w:val="24"/>
                <w:szCs w:val="24"/>
                <w:u w:val="none" w:color="auto"/>
                <w:lang w:val="en-US" w:eastAsia="zh-CN"/>
              </w:rPr>
              <w:t>2439×</w:t>
            </w:r>
            <w:r>
              <w:rPr>
                <w:rFonts w:hint="eastAsia"/>
                <w:b w:val="0"/>
                <w:bCs/>
                <w:color w:val="auto"/>
                <w:sz w:val="24"/>
                <w:szCs w:val="24"/>
                <w:u w:val="none" w:color="auto"/>
                <w:lang w:val="en-US" w:eastAsia="zh-CN"/>
              </w:rPr>
              <w:t>10</w:t>
            </w:r>
            <w:r>
              <w:rPr>
                <w:rFonts w:hint="eastAsia"/>
                <w:b w:val="0"/>
                <w:bCs/>
                <w:color w:val="auto"/>
                <w:sz w:val="24"/>
                <w:szCs w:val="24"/>
                <w:u w:val="none" w:color="auto"/>
                <w:vertAlign w:val="superscript"/>
                <w:lang w:val="en-US" w:eastAsia="zh-CN"/>
              </w:rPr>
              <w:t>7</w:t>
            </w:r>
            <w:r>
              <w:rPr>
                <w:rFonts w:hint="eastAsia"/>
                <w:b w:val="0"/>
                <w:bCs/>
                <w:color w:val="auto"/>
                <w:sz w:val="24"/>
                <w:szCs w:val="24"/>
                <w:u w:val="none" w:color="auto"/>
                <w:lang w:val="en-US" w:eastAsia="zh-CN"/>
              </w:rPr>
              <w:t>MPN/a。详见下表。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textAlignment w:val="baseline"/>
              <w:rPr>
                <w:rFonts w:hint="default"/>
                <w:b/>
                <w:bCs w:val="0"/>
                <w:color w:val="auto"/>
                <w:sz w:val="24"/>
                <w:szCs w:val="24"/>
                <w:u w:val="none" w:color="auto"/>
                <w:lang w:val="en-US" w:eastAsia="zh-CN"/>
              </w:rPr>
            </w:pPr>
            <w:r>
              <w:rPr>
                <w:rFonts w:hint="eastAsia"/>
                <w:b/>
                <w:bCs w:val="0"/>
                <w:color w:val="auto"/>
                <w:sz w:val="24"/>
                <w:szCs w:val="24"/>
                <w:u w:val="none" w:color="auto"/>
                <w:lang w:val="en-US" w:eastAsia="zh-CN"/>
              </w:rPr>
              <w:t>表2-10  进出水各污染物浓度情况汇总</w:t>
            </w:r>
          </w:p>
          <w:tbl>
            <w:tblPr>
              <w:tblStyle w:val="16"/>
              <w:tblW w:w="83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96"/>
              <w:gridCol w:w="1396"/>
              <w:gridCol w:w="1396"/>
              <w:gridCol w:w="1396"/>
              <w:gridCol w:w="1396"/>
              <w:gridCol w:w="13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控制项目</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b/>
                      <w:bCs/>
                      <w:lang w:val="en-US" w:eastAsia="zh-CN"/>
                    </w:rPr>
                  </w:pPr>
                  <w:r>
                    <w:rPr>
                      <w:rFonts w:hint="eastAsia"/>
                      <w:b/>
                      <w:bCs/>
                      <w:lang w:val="en-US" w:eastAsia="zh-CN"/>
                    </w:rPr>
                    <w:t>息烽县疾病预防控制中心</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eastAsia"/>
                      <w:b/>
                      <w:bCs/>
                      <w:lang w:val="en-US" w:eastAsia="zh-CN"/>
                    </w:rPr>
                    <w:t>（类比产生浓度）</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b/>
                      <w:bCs/>
                      <w:lang w:val="en-US" w:eastAsia="zh-CN"/>
                    </w:rPr>
                  </w:pPr>
                  <w:r>
                    <w:rPr>
                      <w:rFonts w:hint="eastAsia"/>
                      <w:b/>
                      <w:bCs/>
                      <w:lang w:val="en-US" w:eastAsia="zh-CN"/>
                    </w:rPr>
                    <w:t>靖州苗族侗族自治县疾控中心</w:t>
                  </w:r>
                </w:p>
                <w:p>
                  <w:pPr>
                    <w:keepNext w:val="0"/>
                    <w:keepLines w:val="0"/>
                    <w:widowControl/>
                    <w:suppressLineNumbers w:val="0"/>
                    <w:jc w:val="center"/>
                    <w:textAlignment w:val="center"/>
                    <w:rPr>
                      <w:rFonts w:hint="default"/>
                      <w:b/>
                      <w:bCs/>
                      <w:lang w:val="en-US" w:eastAsia="zh-CN"/>
                    </w:rPr>
                  </w:pPr>
                  <w:r>
                    <w:rPr>
                      <w:rFonts w:hint="eastAsia"/>
                      <w:b/>
                      <w:bCs/>
                      <w:lang w:val="en-US" w:eastAsia="zh-CN"/>
                    </w:rPr>
                    <w:t>（实测排放浓度）</w:t>
                  </w:r>
                </w:p>
              </w:tc>
              <w:tc>
                <w:tcPr>
                  <w:tcW w:w="1396" w:type="dxa"/>
                  <w:tcBorders>
                    <w:tl2br w:val="nil"/>
                    <w:tr2bl w:val="nil"/>
                  </w:tcBorders>
                  <w:shd w:val="clear" w:color="auto" w:fill="auto"/>
                  <w:vAlign w:val="center"/>
                </w:tcPr>
                <w:p>
                  <w:pPr>
                    <w:pStyle w:val="21"/>
                    <w:jc w:val="center"/>
                    <w:rPr>
                      <w:rFonts w:hint="default" w:ascii="Times New Roman" w:hAnsi="Times New Roman" w:eastAsia="宋体" w:cs="Times New Roman"/>
                      <w:b/>
                      <w:bCs/>
                      <w:i w:val="0"/>
                      <w:iCs w:val="0"/>
                      <w:color w:val="000000"/>
                      <w:kern w:val="0"/>
                      <w:sz w:val="20"/>
                      <w:szCs w:val="20"/>
                      <w:u w:val="none"/>
                      <w:lang w:val="en-US" w:eastAsia="zh-CN" w:bidi="ar"/>
                    </w:rPr>
                  </w:pPr>
                  <w:r>
                    <w:rPr>
                      <w:rFonts w:hint="eastAsia" w:ascii="Times New Roman" w:hAnsi="Times New Roman" w:eastAsia="宋体" w:cs="Times New Roman"/>
                      <w:b/>
                      <w:bCs/>
                      <w:color w:val="auto"/>
                      <w:kern w:val="2"/>
                      <w:sz w:val="21"/>
                      <w:szCs w:val="22"/>
                      <w:lang w:val="en-US" w:eastAsia="zh-CN" w:bidi="ar-SA"/>
                    </w:rPr>
                    <w:t>处理效率</w:t>
                  </w:r>
                </w:p>
              </w:tc>
              <w:tc>
                <w:tcPr>
                  <w:tcW w:w="1396" w:type="dxa"/>
                  <w:tcBorders>
                    <w:tl2br w:val="nil"/>
                    <w:tr2bl w:val="nil"/>
                  </w:tcBorders>
                  <w:shd w:val="clear" w:color="auto" w:fill="auto"/>
                  <w:vAlign w:val="center"/>
                </w:tcPr>
                <w:p>
                  <w:pPr>
                    <w:pStyle w:val="21"/>
                    <w:jc w:val="center"/>
                    <w:rPr>
                      <w:rFonts w:hint="default" w:ascii="Times New Roman" w:hAnsi="Times New Roman" w:eastAsia="宋体" w:cs="Times New Roman"/>
                      <w:b/>
                      <w:bCs/>
                      <w:color w:val="auto"/>
                      <w:kern w:val="2"/>
                      <w:sz w:val="21"/>
                      <w:szCs w:val="22"/>
                      <w:lang w:val="en-US" w:eastAsia="zh-CN" w:bidi="ar-SA"/>
                    </w:rPr>
                  </w:pPr>
                  <w:r>
                    <w:rPr>
                      <w:rFonts w:hint="eastAsia" w:ascii="Times New Roman" w:hAnsi="Times New Roman" w:cs="Times New Roman"/>
                      <w:b/>
                      <w:bCs/>
                      <w:color w:val="auto"/>
                      <w:kern w:val="2"/>
                      <w:sz w:val="21"/>
                      <w:szCs w:val="22"/>
                      <w:lang w:val="en-US" w:eastAsia="zh-CN" w:bidi="ar-SA"/>
                    </w:rPr>
                    <w:t>排放总量</w:t>
                  </w:r>
                </w:p>
              </w:tc>
              <w:tc>
                <w:tcPr>
                  <w:tcW w:w="1398" w:type="dxa"/>
                  <w:tcBorders>
                    <w:tl2br w:val="nil"/>
                    <w:tr2bl w:val="nil"/>
                  </w:tcBorders>
                  <w:shd w:val="clear" w:color="auto" w:fill="auto"/>
                  <w:vAlign w:val="center"/>
                </w:tcPr>
                <w:p>
                  <w:pPr>
                    <w:pStyle w:val="21"/>
                    <w:jc w:val="center"/>
                    <w:rPr>
                      <w:rFonts w:hint="default" w:ascii="Times New Roman" w:hAnsi="Times New Roman" w:eastAsia="宋体" w:cs="Times New Roman"/>
                      <w:b/>
                      <w:bCs/>
                      <w:color w:val="auto"/>
                      <w:kern w:val="2"/>
                      <w:sz w:val="21"/>
                      <w:szCs w:val="22"/>
                      <w:lang w:val="en-US" w:eastAsia="zh-CN" w:bidi="ar-SA"/>
                    </w:rPr>
                  </w:pPr>
                  <w:r>
                    <w:rPr>
                      <w:rFonts w:hint="eastAsia" w:ascii="Times New Roman" w:hAnsi="Times New Roman" w:cs="Times New Roman"/>
                      <w:b/>
                      <w:bCs/>
                      <w:color w:val="auto"/>
                      <w:kern w:val="2"/>
                      <w:sz w:val="21"/>
                      <w:szCs w:val="22"/>
                      <w:lang w:val="en-US" w:eastAsia="zh-CN" w:bidi="ar-SA"/>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sz w:val="21"/>
                      <w:szCs w:val="21"/>
                      <w:lang w:val="en-US" w:eastAsia="zh-CN"/>
                    </w:rPr>
                    <w:t>色度</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18</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sz w:val="21"/>
                      <w:szCs w:val="21"/>
                      <w:lang w:val="en-US" w:eastAsia="zh-CN"/>
                    </w:rPr>
                    <w:t>粪大肠杆菌</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2"/>
                      <w:sz w:val="21"/>
                      <w:szCs w:val="21"/>
                      <w:u w:val="none"/>
                      <w:lang w:val="en-US" w:eastAsia="zh-CN" w:bidi="ar-SA"/>
                    </w:rPr>
                    <w:t>≥24000</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470</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98.04%</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2439</w:t>
                  </w:r>
                  <w:r>
                    <w:rPr>
                      <w:rFonts w:hint="default" w:ascii="Arial" w:hAnsi="Arial" w:eastAsia="宋体" w:cs="Arial"/>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10</w:t>
                  </w:r>
                  <w:r>
                    <w:rPr>
                      <w:rFonts w:hint="eastAsia" w:cs="Times New Roman"/>
                      <w:i w:val="0"/>
                      <w:iCs w:val="0"/>
                      <w:color w:val="000000"/>
                      <w:kern w:val="0"/>
                      <w:sz w:val="21"/>
                      <w:szCs w:val="21"/>
                      <w:u w:val="none"/>
                      <w:vertAlign w:val="superscript"/>
                      <w:lang w:val="en-US" w:eastAsia="zh-CN" w:bidi="ar"/>
                    </w:rPr>
                    <w:t>7</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sz w:val="21"/>
                      <w:szCs w:val="21"/>
                      <w:lang w:val="en-US" w:eastAsia="zh-CN"/>
                    </w:rPr>
                    <w:t>pH值</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7.68</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8.04</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0.8970</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sz w:val="21"/>
                      <w:szCs w:val="21"/>
                      <w:lang w:val="en-US" w:eastAsia="zh-CN"/>
                    </w:rPr>
                    <w:t>挥发酚类</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未检测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0.029</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0.0032</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sz w:val="21"/>
                      <w:szCs w:val="21"/>
                      <w:lang w:val="en-US" w:eastAsia="zh-CN"/>
                    </w:rPr>
                    <w:t>化学需氧量</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91</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24.2</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73.41%</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2.7001</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14"/>
                      <w:szCs w:val="14"/>
                      <w:u w:val="none"/>
                      <w:lang w:val="en-US" w:eastAsia="zh-CN"/>
                    </w:rPr>
                  </w:pPr>
                  <w:r>
                    <w:rPr>
                      <w:rFonts w:hint="eastAsia"/>
                      <w:sz w:val="21"/>
                      <w:szCs w:val="21"/>
                      <w:lang w:val="en-US" w:eastAsia="zh-CN"/>
                    </w:rPr>
                    <w:t>五日生化需氧量</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34.5</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3.12</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90.96%</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0.3481</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sz w:val="21"/>
                      <w:szCs w:val="21"/>
                      <w:lang w:val="en-US" w:eastAsia="zh-CN"/>
                    </w:rPr>
                    <w:t>悬浮物</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41</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0.0009</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99.99%</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sz w:val="21"/>
                      <w:szCs w:val="21"/>
                      <w:lang w:val="en-US" w:eastAsia="zh-CN"/>
                    </w:rPr>
                    <w:t>氨氮</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35.6</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0.101</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99.72%</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0.0113</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动植物油</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0.06L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石油类</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0.06L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LAS</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0.05L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总余氯</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0.07</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0.3</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总汞</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0.0001L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总铬</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0.004L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总砷</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0.0007</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总铅</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0.011L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总银</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0.03L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总镉</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0.001L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六价铬</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9"/>
                      <w:szCs w:val="9"/>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0.0005L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沙门氏菌</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未检出</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≤不得检出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sz w:val="21"/>
                      <w:szCs w:val="21"/>
                      <w:lang w:val="en-US" w:eastAsia="zh-CN"/>
                    </w:rPr>
                    <w:t>志贺氏菌</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未检出</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≤不得检出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sz w:val="21"/>
                      <w:szCs w:val="21"/>
                      <w:lang w:val="en-US" w:eastAsia="zh-CN"/>
                    </w:rPr>
                    <w:t>总氰化物</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sz w:val="21"/>
                      <w:szCs w:val="21"/>
                      <w:u w:val="none"/>
                      <w:lang w:val="en-US" w:eastAsia="zh-CN"/>
                    </w:rPr>
                    <w:t>未监测</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0.002L</w:t>
                  </w:r>
                </w:p>
              </w:tc>
              <w:tc>
                <w:tcPr>
                  <w:tcW w:w="1396" w:type="dxa"/>
                  <w:tcBorders>
                    <w:tl2br w:val="nil"/>
                    <w:tr2bl w:val="nil"/>
                  </w:tcBorders>
                  <w:shd w:val="clear" w:color="auto" w:fill="auto"/>
                  <w:vAlign w:val="center"/>
                </w:tcPr>
                <w:p>
                  <w:pPr>
                    <w:jc w:val="center"/>
                    <w:rPr>
                      <w:rFonts w:hint="eastAsia"/>
                      <w:sz w:val="21"/>
                      <w:szCs w:val="21"/>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396" w:type="dxa"/>
                  <w:tcBorders>
                    <w:tl2br w:val="nil"/>
                    <w:tr2bl w:val="nil"/>
                  </w:tcBorders>
                  <w:shd w:val="clear" w:color="auto" w:fill="auto"/>
                  <w:vAlign w:val="center"/>
                </w:tcPr>
                <w:p>
                  <w:pPr>
                    <w:jc w:val="center"/>
                    <w:rPr>
                      <w:rFonts w:hint="default"/>
                      <w:sz w:val="21"/>
                      <w:szCs w:val="21"/>
                      <w:lang w:val="en-US" w:eastAsia="zh-CN"/>
                    </w:rPr>
                  </w:pPr>
                  <w:r>
                    <w:rPr>
                      <w:rFonts w:hint="eastAsia"/>
                      <w:sz w:val="21"/>
                      <w:szCs w:val="21"/>
                      <w:lang w:val="en-US" w:eastAsia="zh-CN"/>
                    </w:rPr>
                    <w:t>监测时间</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2021.11.09</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2021.9.16</w:t>
                  </w:r>
                </w:p>
              </w:tc>
              <w:tc>
                <w:tcPr>
                  <w:tcW w:w="139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396" w:type="dxa"/>
                  <w:tcBorders>
                    <w:tl2br w:val="nil"/>
                    <w:tr2bl w:val="nil"/>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98"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378" w:type="dxa"/>
                  <w:gridSpan w:val="6"/>
                  <w:tcBorders>
                    <w:tl2br w:val="nil"/>
                    <w:tr2bl w:val="nil"/>
                  </w:tcBorders>
                  <w:shd w:val="clear" w:color="auto" w:fill="auto"/>
                  <w:vAlign w:val="center"/>
                </w:tcPr>
                <w:p>
                  <w:pPr>
                    <w:keepNext w:val="0"/>
                    <w:keepLines w:val="0"/>
                    <w:widowControl/>
                    <w:suppressLineNumbers w:val="0"/>
                    <w:jc w:val="both"/>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说明：</w:t>
                  </w:r>
                </w:p>
                <w:p>
                  <w:pPr>
                    <w:keepNext w:val="0"/>
                    <w:keepLines w:val="0"/>
                    <w:widowControl/>
                    <w:suppressLineNumbers w:val="0"/>
                    <w:ind w:firstLine="360" w:firstLineChars="200"/>
                    <w:jc w:val="both"/>
                    <w:textAlignment w:val="center"/>
                    <w:rPr>
                      <w:rFonts w:hint="default"/>
                      <w:lang w:val="en-US" w:eastAsia="zh-CN"/>
                    </w:rPr>
                  </w:pPr>
                  <w:r>
                    <w:rPr>
                      <w:rFonts w:hint="eastAsia" w:ascii="仿宋" w:hAnsi="仿宋" w:eastAsia="仿宋" w:cs="仿宋"/>
                      <w:sz w:val="18"/>
                      <w:szCs w:val="18"/>
                      <w:lang w:val="en-US" w:eastAsia="zh-CN"/>
                    </w:rPr>
                    <w:t>1、关于单位：水温为℃，pH无量纲，粪大肠感觉、沙门氏菌、志贺氏菌排放浓度为MPN/L、排放总量为MPN/a，其余污染物排放均浓度为mg/L，排放总量为kg/a。</w:t>
                  </w:r>
                </w:p>
                <w:p>
                  <w:pPr>
                    <w:keepNext w:val="0"/>
                    <w:keepLines w:val="0"/>
                    <w:widowControl/>
                    <w:suppressLineNumbers w:val="0"/>
                    <w:ind w:firstLine="360" w:firstLineChars="200"/>
                    <w:jc w:val="both"/>
                    <w:textAlignment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2、处理效率算法为（类比浓度/实测浓度），仅作为参考，无法代表实际情况。</w:t>
                  </w:r>
                </w:p>
                <w:p>
                  <w:pPr>
                    <w:keepNext w:val="0"/>
                    <w:keepLines w:val="0"/>
                    <w:widowControl/>
                    <w:suppressLineNumbers w:val="0"/>
                    <w:ind w:firstLine="360" w:firstLineChars="200"/>
                    <w:jc w:val="both"/>
                    <w:textAlignment w:val="center"/>
                    <w:rPr>
                      <w:rFonts w:hint="default"/>
                      <w:lang w:val="en-US" w:eastAsia="zh-CN"/>
                    </w:rPr>
                  </w:pPr>
                  <w:r>
                    <w:rPr>
                      <w:rFonts w:hint="eastAsia" w:ascii="仿宋" w:hAnsi="仿宋" w:eastAsia="仿宋" w:cs="仿宋"/>
                      <w:sz w:val="18"/>
                      <w:szCs w:val="18"/>
                      <w:lang w:val="en-US" w:eastAsia="zh-CN"/>
                    </w:rPr>
                    <w:t>3、标准来源：《医疗机构水污染物排放标准》（GB18466-2005）。</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b w:val="0"/>
                <w:bCs/>
                <w:color w:val="auto"/>
                <w:sz w:val="24"/>
                <w:szCs w:val="24"/>
                <w:u w:val="none" w:color="auto"/>
                <w:lang w:val="en-US" w:eastAsia="zh-CN"/>
              </w:rPr>
            </w:pPr>
            <w:r>
              <w:rPr>
                <w:rFonts w:hint="eastAsia"/>
                <w:b w:val="0"/>
                <w:bCs/>
                <w:color w:val="auto"/>
                <w:sz w:val="24"/>
                <w:szCs w:val="24"/>
                <w:u w:val="none" w:color="auto"/>
                <w:lang w:val="en-US" w:eastAsia="zh-CN"/>
              </w:rPr>
              <w:t>由监测结果可见，本项目实验室废水（医疗废水）经污水处理设备处理后可满足《医疗机构水污染物排放标准》（GB18466-2005）中相应的污染物排放浓度限值要求，污水处理设备工况良好，治理措施可行。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b/>
                <w:bCs/>
                <w:sz w:val="24"/>
                <w:lang w:val="en-US" w:eastAsia="zh-CN"/>
              </w:rPr>
            </w:pPr>
            <w:r>
              <w:rPr>
                <w:rFonts w:hint="eastAsia"/>
                <w:b/>
                <w:bCs/>
                <w:sz w:val="24"/>
                <w:lang w:val="en-US" w:eastAsia="zh-CN"/>
              </w:rPr>
              <w:t>C、现有工程废水产排情况总结</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vertAlign w:val="baseline"/>
                <w:lang w:val="en-US" w:eastAsia="zh-CN"/>
              </w:rPr>
            </w:pPr>
            <w:r>
              <w:rPr>
                <w:rFonts w:hint="eastAsia"/>
                <w:sz w:val="24"/>
                <w:vertAlign w:val="baseline"/>
                <w:lang w:val="en-US" w:eastAsia="zh-CN"/>
              </w:rPr>
              <w:t>1、改建前，靖州苗族侗族自治县疾病预防控制中心主要废水为实验室废水（医疗废水）、生活污水。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sz w:val="24"/>
                <w:vertAlign w:val="baseline"/>
                <w:lang w:val="en-US" w:eastAsia="zh-CN"/>
              </w:rPr>
            </w:pPr>
            <w:r>
              <w:rPr>
                <w:rFonts w:hint="eastAsia"/>
                <w:sz w:val="24"/>
                <w:vertAlign w:val="baseline"/>
                <w:lang w:val="en-US" w:eastAsia="zh-CN"/>
              </w:rPr>
              <w:t>2、实验室废水经污水处理设备处理后达《医疗机构水污染物排放标准》（GB18466-2005），排入文昌溪，废水治理措施可行。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sz w:val="24"/>
                <w:vertAlign w:val="baseline"/>
                <w:lang w:val="en-US" w:eastAsia="zh-CN"/>
              </w:rPr>
            </w:pPr>
            <w:r>
              <w:rPr>
                <w:rFonts w:hint="eastAsia"/>
                <w:sz w:val="24"/>
                <w:vertAlign w:val="baseline"/>
                <w:lang w:val="en-US" w:eastAsia="zh-CN"/>
              </w:rPr>
              <w:t>3、生活污水经化粪池处理后直排入文昌溪，但无法满足《污水综合排放标准》（GB8978-1996）一级标准，环评要求建设单位在改建期后外</w:t>
            </w:r>
            <w:r>
              <w:rPr>
                <w:rFonts w:hint="eastAsia"/>
                <w:sz w:val="24"/>
                <w:u w:val="single"/>
                <w:vertAlign w:val="baseline"/>
                <w:lang w:val="en-US" w:eastAsia="zh-CN"/>
              </w:rPr>
              <w:t>委有相关单位利用清粪车定期转运生活污水，送至靖州县县城污水处理厂深度处理后排入异溪河。</w:t>
            </w: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5052060" cy="1802130"/>
                  <wp:effectExtent l="0" t="0" r="0" b="0"/>
                  <wp:docPr id="11" name="ECB019B1-382A-4266-B25C-5B523AA43C14-10" descr="C:/Users/Administrator/AppData/Local/Temp/wps.kpLzY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0" descr="C:/Users/Administrator/AppData/Local/Temp/wps.kpLzYmwps"/>
                          <pic:cNvPicPr>
                            <a:picLocks noChangeAspect="1"/>
                          </pic:cNvPicPr>
                        </pic:nvPicPr>
                        <pic:blipFill>
                          <a:blip r:embed="rId17"/>
                          <a:srcRect l="1193" t="23170" r="3729" b="7139"/>
                          <a:stretch>
                            <a:fillRect/>
                          </a:stretch>
                        </pic:blipFill>
                        <pic:spPr>
                          <a:xfrm>
                            <a:off x="0" y="0"/>
                            <a:ext cx="5052060" cy="1802130"/>
                          </a:xfrm>
                          <a:prstGeom prst="rect">
                            <a:avLst/>
                          </a:prstGeom>
                        </pic:spPr>
                      </pic:pic>
                    </a:graphicData>
                  </a:graphic>
                </wp:inline>
              </w:drawing>
            </w:r>
          </w:p>
          <w:p>
            <w:pPr>
              <w:jc w:val="center"/>
              <w:rPr>
                <w:rFonts w:hint="default"/>
                <w:b/>
                <w:bCs/>
                <w:lang w:val="en-US" w:eastAsia="zh-CN"/>
              </w:rPr>
            </w:pPr>
            <w:r>
              <w:rPr>
                <w:rFonts w:hint="eastAsia"/>
                <w:b/>
                <w:bCs/>
                <w:sz w:val="24"/>
                <w:vertAlign w:val="baseline"/>
                <w:lang w:val="en-US" w:eastAsia="zh-CN"/>
              </w:rPr>
              <w:t>图2-10  改建前，主要废水产排方式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eastAsia"/>
                <w:b/>
                <w:bCs/>
                <w:sz w:val="24"/>
                <w:vertAlign w:val="baseline"/>
                <w:lang w:val="en-US" w:eastAsia="zh-CN"/>
              </w:rPr>
            </w:pPr>
            <w:r>
              <w:rPr>
                <w:rFonts w:hint="eastAsia"/>
                <w:b/>
                <w:bCs/>
                <w:sz w:val="24"/>
                <w:vertAlign w:val="baseline"/>
                <w:lang w:val="en-US" w:eastAsia="zh-CN"/>
              </w:rPr>
              <w:t>（3）噪声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cs="Times New Roman"/>
                <w:sz w:val="24"/>
                <w:lang w:val="en-US" w:eastAsia="zh-CN"/>
              </w:rPr>
            </w:pPr>
            <w:r>
              <w:rPr>
                <w:rFonts w:hint="eastAsia" w:cs="Times New Roman"/>
                <w:sz w:val="24"/>
                <w:lang w:val="en-US" w:eastAsia="zh-CN"/>
              </w:rPr>
              <w:t>改建前，</w:t>
            </w:r>
            <w:r>
              <w:rPr>
                <w:rFonts w:hint="eastAsia"/>
                <w:sz w:val="24"/>
                <w:lang w:val="en-US" w:eastAsia="zh-CN"/>
              </w:rPr>
              <w:t>本疾控中心主要噪声产生源为各类仪器设备运行时发出的噪声，源强约50~70dB(A)，基本无高声源，经建筑物衰减后对周</w:t>
            </w:r>
            <w:r>
              <w:rPr>
                <w:rFonts w:hint="eastAsia" w:cs="Times New Roman"/>
                <w:sz w:val="24"/>
                <w:lang w:val="en-US" w:eastAsia="zh-CN"/>
              </w:rPr>
              <w:t>围环境基本不造成影响。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eastAsia="宋体"/>
                <w:lang w:val="en-US" w:eastAsia="zh-CN"/>
              </w:rPr>
            </w:pPr>
            <w:r>
              <w:rPr>
                <w:rFonts w:hint="eastAsia" w:cs="Times New Roman"/>
                <w:sz w:val="24"/>
                <w:lang w:val="en-US" w:eastAsia="zh-CN"/>
              </w:rPr>
              <w:t>依据湖南昌旭环保科技有限公司出具的监测报告（见下表4-8），本</w:t>
            </w:r>
            <w:r>
              <w:rPr>
                <w:rFonts w:hint="eastAsia"/>
                <w:sz w:val="24"/>
                <w:lang w:val="en-US" w:eastAsia="zh-CN"/>
              </w:rPr>
              <w:t>疾控中心噪声排放可满足</w:t>
            </w:r>
            <w:r>
              <w:rPr>
                <w:rFonts w:hint="eastAsia" w:cs="Times New Roman"/>
                <w:sz w:val="24"/>
                <w:lang w:val="en-US" w:eastAsia="zh-CN"/>
              </w:rPr>
              <w:t>《工业企业厂界环境噪声排放标准》（</w:t>
            </w:r>
            <w:r>
              <w:rPr>
                <w:rFonts w:hint="default" w:cs="Times New Roman"/>
                <w:sz w:val="24"/>
                <w:lang w:val="en-US" w:eastAsia="zh-CN"/>
              </w:rPr>
              <w:t>GB12348</w:t>
            </w:r>
            <w:r>
              <w:rPr>
                <w:rFonts w:hint="eastAsia" w:cs="Times New Roman"/>
                <w:sz w:val="24"/>
                <w:lang w:val="en-US" w:eastAsia="zh-CN"/>
              </w:rPr>
              <w:t>—</w:t>
            </w:r>
            <w:r>
              <w:rPr>
                <w:rFonts w:hint="default" w:cs="Times New Roman"/>
                <w:sz w:val="24"/>
                <w:lang w:val="en-US" w:eastAsia="zh-CN"/>
              </w:rPr>
              <w:t>2008</w:t>
            </w:r>
            <w:r>
              <w:rPr>
                <w:rFonts w:hint="eastAsia" w:cs="Times New Roman"/>
                <w:sz w:val="24"/>
                <w:lang w:val="en-US" w:eastAsia="zh-CN"/>
              </w:rPr>
              <w:t>）2类标准。</w:t>
            </w:r>
          </w:p>
          <w:p>
            <w:pPr>
              <w:tabs>
                <w:tab w:val="left" w:pos="1440"/>
                <w:tab w:val="left" w:pos="1800"/>
              </w:tabs>
              <w:spacing w:line="360" w:lineRule="auto"/>
              <w:rPr>
                <w:rFonts w:hint="eastAsia"/>
                <w:sz w:val="24"/>
                <w:lang w:val="en-US" w:eastAsia="zh-CN"/>
              </w:rPr>
            </w:pPr>
            <w:r>
              <w:rPr>
                <w:rFonts w:hint="eastAsia"/>
                <w:b/>
                <w:bCs/>
                <w:sz w:val="24"/>
                <w:vertAlign w:val="baseline"/>
                <w:lang w:val="en-US" w:eastAsia="zh-CN"/>
              </w:rPr>
              <w:t>（4）固体废物</w:t>
            </w:r>
          </w:p>
          <w:p>
            <w:pPr>
              <w:tabs>
                <w:tab w:val="left" w:pos="1440"/>
                <w:tab w:val="left" w:pos="1800"/>
              </w:tabs>
              <w:spacing w:line="360" w:lineRule="auto"/>
              <w:ind w:firstLine="361" w:firstLineChars="150"/>
              <w:rPr>
                <w:rFonts w:hint="default" w:ascii="Times New Roman" w:hAnsi="Times New Roman" w:cs="Times New Roman"/>
                <w:sz w:val="24"/>
                <w:lang w:val="en-US" w:eastAsia="zh-CN"/>
              </w:rPr>
            </w:pPr>
            <w:r>
              <w:rPr>
                <w:rFonts w:hint="default" w:ascii="Times New Roman" w:hAnsi="Times New Roman" w:cs="Times New Roman"/>
                <w:b/>
                <w:bCs/>
                <w:sz w:val="24"/>
                <w:lang w:val="en-US" w:eastAsia="zh-CN"/>
              </w:rPr>
              <w:t>A、生活垃圾</w:t>
            </w:r>
            <w:r>
              <w:rPr>
                <w:rFonts w:hint="default" w:ascii="Times New Roman" w:hAnsi="Times New Roman" w:cs="Times New Roman"/>
                <w:sz w:val="24"/>
                <w:lang w:val="en-US" w:eastAsia="zh-CN"/>
              </w:rPr>
              <w:t>：产生量为5kg/人</w:t>
            </w:r>
            <w:r>
              <w:rPr>
                <w:rFonts w:hint="default" w:ascii="Times New Roman" w:hAnsi="Times New Roman" w:eastAsia="宋体" w:cs="Times New Roman"/>
                <w:sz w:val="24"/>
                <w:lang w:val="en-US" w:eastAsia="zh-CN"/>
              </w:rPr>
              <w:t>·</w:t>
            </w:r>
            <w:r>
              <w:rPr>
                <w:rFonts w:hint="default" w:ascii="Times New Roman" w:hAnsi="Times New Roman" w:cs="Times New Roman"/>
                <w:sz w:val="24"/>
                <w:lang w:val="en-US" w:eastAsia="zh-CN"/>
              </w:rPr>
              <w:t>d，年产生55t，集中收集后交由当地环卫部门集中处置。</w:t>
            </w:r>
          </w:p>
          <w:p>
            <w:pPr>
              <w:tabs>
                <w:tab w:val="left" w:pos="1440"/>
                <w:tab w:val="left" w:pos="1800"/>
              </w:tabs>
              <w:spacing w:line="360" w:lineRule="auto"/>
              <w:ind w:firstLine="361" w:firstLineChars="150"/>
              <w:rPr>
                <w:rFonts w:hint="default" w:ascii="Times New Roman" w:hAnsi="Times New Roman" w:cs="Times New Roman"/>
                <w:sz w:val="24"/>
                <w:lang w:val="en-US" w:eastAsia="zh-CN"/>
              </w:rPr>
            </w:pPr>
            <w:r>
              <w:rPr>
                <w:rFonts w:hint="default" w:ascii="Times New Roman" w:hAnsi="Times New Roman" w:cs="Times New Roman"/>
                <w:b/>
                <w:bCs/>
                <w:sz w:val="24"/>
                <w:lang w:val="en-US" w:eastAsia="zh-CN"/>
              </w:rPr>
              <w:t>B、医疗废物</w:t>
            </w:r>
            <w:r>
              <w:rPr>
                <w:rFonts w:hint="default" w:ascii="Times New Roman" w:hAnsi="Times New Roman" w:cs="Times New Roman"/>
                <w:sz w:val="24"/>
                <w:lang w:val="en-US" w:eastAsia="zh-CN"/>
              </w:rPr>
              <w:t>：</w:t>
            </w:r>
            <w:r>
              <w:rPr>
                <w:rFonts w:hint="default" w:ascii="Times New Roman" w:hAnsi="Times New Roman" w:cs="Times New Roman"/>
                <w:sz w:val="24"/>
                <w:u w:val="single"/>
                <w:lang w:val="en-US" w:eastAsia="zh-CN"/>
              </w:rPr>
              <w:t>包括废弃生物样品（</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）、废弃培养基（</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）、废一次性医疗用品（注射器、口罩、棉签，编号</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）、过期药物（</w:t>
            </w:r>
            <w:r>
              <w:rPr>
                <w:rFonts w:hint="default" w:ascii="Times New Roman" w:hAnsi="Times New Roman" w:eastAsia="宋体" w:cs="Times New Roman"/>
                <w:sz w:val="24"/>
                <w:szCs w:val="24"/>
                <w:u w:val="single"/>
              </w:rPr>
              <w:t>841-005-01</w:t>
            </w:r>
            <w:r>
              <w:rPr>
                <w:rFonts w:hint="default" w:ascii="Times New Roman" w:hAnsi="Times New Roman" w:cs="Times New Roman"/>
                <w:sz w:val="24"/>
                <w:u w:val="single"/>
                <w:lang w:val="en-US" w:eastAsia="zh-CN"/>
              </w:rPr>
              <w:t>）、废弃生物安全柜HEPA滤网（</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）。本疾控中心的医疗废物均由靖州苗族侗族自治县卫生健康局统一收集，收集后集中转运至“怀化市天源环保科技有限责任公司”集中处置。（处置合同见</w:t>
            </w:r>
            <w:r>
              <w:rPr>
                <w:rFonts w:hint="default" w:ascii="Times New Roman" w:hAnsi="Times New Roman" w:cs="Times New Roman"/>
                <w:sz w:val="24"/>
                <w:highlight w:val="none"/>
                <w:u w:val="single"/>
                <w:lang w:val="en-US" w:eastAsia="zh-CN"/>
              </w:rPr>
              <w:t>附件八</w:t>
            </w:r>
            <w:r>
              <w:rPr>
                <w:rFonts w:hint="default" w:ascii="Times New Roman" w:hAnsi="Times New Roman" w:cs="Times New Roman"/>
                <w:sz w:val="24"/>
                <w:u w:val="single"/>
                <w:lang w:val="en-US" w:eastAsia="zh-CN"/>
              </w:rPr>
              <w:t>）。依据靖州县疾病预防控制中心2021年危废转运联单，</w:t>
            </w:r>
            <w:r>
              <w:rPr>
                <w:rFonts w:hint="eastAsia" w:ascii="Times New Roman" w:hAnsi="Times New Roman" w:cs="Times New Roman"/>
                <w:sz w:val="24"/>
                <w:u w:val="single"/>
                <w:lang w:val="en-US" w:eastAsia="zh-CN"/>
              </w:rPr>
              <w:t>环评</w:t>
            </w:r>
            <w:r>
              <w:rPr>
                <w:rFonts w:hint="default" w:ascii="Times New Roman" w:hAnsi="Times New Roman" w:cs="Times New Roman"/>
                <w:sz w:val="24"/>
                <w:u w:val="single"/>
                <w:lang w:val="en-US" w:eastAsia="zh-CN"/>
              </w:rPr>
              <w:t>统计出医疗废物年产生量2.2t。</w:t>
            </w:r>
          </w:p>
          <w:p>
            <w:pPr>
              <w:tabs>
                <w:tab w:val="left" w:pos="1440"/>
                <w:tab w:val="left" w:pos="1800"/>
              </w:tabs>
              <w:spacing w:line="360" w:lineRule="auto"/>
              <w:ind w:firstLine="361" w:firstLineChars="150"/>
              <w:rPr>
                <w:rFonts w:hint="default" w:ascii="Times New Roman" w:hAnsi="Times New Roman" w:cs="Times New Roman"/>
                <w:sz w:val="24"/>
                <w:szCs w:val="24"/>
                <w:lang w:val="en-US" w:eastAsia="zh-CN"/>
              </w:rPr>
            </w:pPr>
            <w:r>
              <w:rPr>
                <w:rFonts w:hint="default" w:ascii="Times New Roman" w:hAnsi="Times New Roman" w:cs="Times New Roman"/>
                <w:b/>
                <w:bCs/>
                <w:sz w:val="24"/>
                <w:lang w:val="en-US" w:eastAsia="zh-CN"/>
              </w:rPr>
              <w:t>C、废试剂：</w:t>
            </w:r>
            <w:r>
              <w:rPr>
                <w:rFonts w:hint="default" w:ascii="Times New Roman" w:hAnsi="Times New Roman" w:cs="Times New Roman"/>
                <w:b w:val="0"/>
                <w:bCs w:val="0"/>
                <w:sz w:val="24"/>
                <w:u w:val="single"/>
                <w:lang w:val="en-US" w:eastAsia="zh-CN"/>
              </w:rPr>
              <w:t>理化实验检测有机物时需使用</w:t>
            </w:r>
            <w:r>
              <w:rPr>
                <w:rFonts w:hint="default" w:ascii="Times New Roman" w:hAnsi="Times New Roman" w:cs="Times New Roman"/>
                <w:sz w:val="24"/>
                <w:u w:val="single"/>
                <w:lang w:val="en-US" w:eastAsia="zh-CN"/>
              </w:rPr>
              <w:t>三氯甲烷、甲醇等有机溶剂萃取样品，结束分析后的废样品内仍含有大量萃取试剂，属于危险废物；某些分析后的器皿需要酸、碱液浸洗，浸洗后废弃的酸、碱液同样也属于危险废物。经咨询建设单位，上述废试剂年产量0.05t,危废编号</w:t>
            </w:r>
            <w:r>
              <w:rPr>
                <w:rFonts w:hint="default" w:ascii="Times New Roman" w:hAnsi="Times New Roman" w:cs="Times New Roman"/>
                <w:kern w:val="0"/>
                <w:sz w:val="24"/>
                <w:szCs w:val="24"/>
                <w:u w:val="single"/>
              </w:rPr>
              <w:t>900-047-49</w:t>
            </w:r>
            <w:r>
              <w:rPr>
                <w:rFonts w:hint="default" w:ascii="Times New Roman" w:hAnsi="Times New Roman" w:cs="Times New Roman"/>
                <w:kern w:val="0"/>
                <w:sz w:val="24"/>
                <w:szCs w:val="24"/>
                <w:u w:val="single"/>
                <w:lang w:eastAsia="zh-CN"/>
              </w:rPr>
              <w:t>，</w:t>
            </w:r>
            <w:r>
              <w:rPr>
                <w:rFonts w:hint="default" w:ascii="Times New Roman" w:hAnsi="Times New Roman" w:cs="Times New Roman"/>
                <w:sz w:val="24"/>
                <w:u w:val="single"/>
                <w:lang w:val="en-US" w:eastAsia="zh-CN"/>
              </w:rPr>
              <w:t>目前均集中收集于危废间，定期交</w:t>
            </w:r>
            <w:r>
              <w:rPr>
                <w:rFonts w:hint="default" w:ascii="Times New Roman" w:hAnsi="Times New Roman" w:cs="Times New Roman"/>
                <w:sz w:val="24"/>
                <w:szCs w:val="24"/>
                <w:u w:val="single"/>
                <w:lang w:val="en-US" w:eastAsia="zh-CN"/>
              </w:rPr>
              <w:t>由“湖南瀚邦环境科技有限公司”处置。</w:t>
            </w:r>
          </w:p>
          <w:p>
            <w:pPr>
              <w:tabs>
                <w:tab w:val="left" w:pos="1440"/>
                <w:tab w:val="left" w:pos="1800"/>
              </w:tabs>
              <w:spacing w:line="360" w:lineRule="auto"/>
              <w:ind w:left="239" w:leftChars="114" w:firstLine="120" w:firstLineChars="50"/>
              <w:rPr>
                <w:rFonts w:hint="default" w:ascii="Times New Roman" w:hAnsi="Times New Roman" w:cs="Times New Roman"/>
                <w:sz w:val="24"/>
                <w:szCs w:val="24"/>
                <w:lang w:val="en-US" w:eastAsia="zh-CN"/>
              </w:rPr>
            </w:pPr>
            <w:r>
              <w:rPr>
                <w:rFonts w:hint="default" w:ascii="Times New Roman" w:hAnsi="Times New Roman" w:cs="Times New Roman"/>
                <w:b/>
                <w:bCs/>
                <w:sz w:val="24"/>
                <w:lang w:val="en-US" w:eastAsia="zh-CN"/>
              </w:rPr>
              <w:t>D、废试剂瓶：</w:t>
            </w:r>
            <w:r>
              <w:rPr>
                <w:rFonts w:hint="default" w:ascii="Times New Roman" w:hAnsi="Times New Roman" w:cs="Times New Roman"/>
                <w:b w:val="0"/>
                <w:bCs w:val="0"/>
                <w:sz w:val="24"/>
                <w:u w:val="single"/>
                <w:lang w:val="en-US" w:eastAsia="zh-CN"/>
              </w:rPr>
              <w:t>沾染有上述废试剂的储存容器也属于危险废物，年产量0.01t，危废编号</w:t>
            </w:r>
            <w:r>
              <w:rPr>
                <w:rFonts w:hint="default" w:ascii="Times New Roman" w:hAnsi="Times New Roman" w:cs="Times New Roman"/>
                <w:kern w:val="0"/>
                <w:sz w:val="24"/>
                <w:szCs w:val="24"/>
                <w:u w:val="single"/>
              </w:rPr>
              <w:t>900-04</w:t>
            </w:r>
            <w:r>
              <w:rPr>
                <w:rFonts w:hint="default" w:ascii="Times New Roman" w:hAnsi="Times New Roman" w:cs="Times New Roman"/>
                <w:kern w:val="0"/>
                <w:sz w:val="24"/>
                <w:szCs w:val="24"/>
                <w:u w:val="single"/>
                <w:lang w:val="en-US" w:eastAsia="zh-CN"/>
              </w:rPr>
              <w:t>1</w:t>
            </w:r>
            <w:r>
              <w:rPr>
                <w:rFonts w:hint="default" w:ascii="Times New Roman" w:hAnsi="Times New Roman" w:cs="Times New Roman"/>
                <w:kern w:val="0"/>
                <w:sz w:val="24"/>
                <w:szCs w:val="24"/>
                <w:u w:val="single"/>
              </w:rPr>
              <w:t>-49</w:t>
            </w:r>
            <w:r>
              <w:rPr>
                <w:rFonts w:hint="default" w:ascii="Times New Roman" w:hAnsi="Times New Roman" w:cs="Times New Roman"/>
                <w:sz w:val="24"/>
                <w:u w:val="single"/>
                <w:lang w:val="en-US" w:eastAsia="zh-CN"/>
              </w:rPr>
              <w:t>目前均集中收集于危废间，定期交</w:t>
            </w:r>
            <w:r>
              <w:rPr>
                <w:rFonts w:hint="default" w:ascii="Times New Roman" w:hAnsi="Times New Roman" w:cs="Times New Roman"/>
                <w:sz w:val="24"/>
                <w:szCs w:val="24"/>
                <w:u w:val="single"/>
                <w:lang w:val="en-US" w:eastAsia="zh-CN"/>
              </w:rPr>
              <w:t>由“湖南瀚邦环境科技有限公司”处置。</w:t>
            </w:r>
          </w:p>
          <w:p>
            <w:pPr>
              <w:tabs>
                <w:tab w:val="left" w:pos="1440"/>
                <w:tab w:val="left" w:pos="1800"/>
              </w:tabs>
              <w:spacing w:line="360" w:lineRule="auto"/>
              <w:ind w:firstLine="361" w:firstLineChars="150"/>
              <w:rPr>
                <w:rFonts w:hint="default" w:ascii="Times New Roman" w:hAnsi="Times New Roman" w:cs="Times New Roman"/>
                <w:sz w:val="24"/>
                <w:szCs w:val="24"/>
                <w:u w:val="single"/>
                <w:lang w:val="en-US" w:eastAsia="zh-CN"/>
              </w:rPr>
            </w:pPr>
            <w:r>
              <w:rPr>
                <w:rFonts w:hint="default" w:ascii="Times New Roman" w:hAnsi="Times New Roman" w:cs="Times New Roman"/>
                <w:b/>
                <w:bCs/>
                <w:sz w:val="24"/>
                <w:lang w:val="en-US" w:eastAsia="zh-CN"/>
              </w:rPr>
              <w:t>E、废美沙酮桶：</w:t>
            </w:r>
            <w:r>
              <w:rPr>
                <w:rFonts w:hint="default" w:ascii="Times New Roman" w:hAnsi="Times New Roman" w:cs="Times New Roman"/>
                <w:b w:val="0"/>
                <w:bCs w:val="0"/>
                <w:sz w:val="24"/>
                <w:u w:val="single"/>
                <w:lang w:val="en-US" w:eastAsia="zh-CN"/>
              </w:rPr>
              <w:t>戒毒门诊使用美沙酮替代疗法，使用后的废美沙酮桶也属于危险废物，危废编号</w:t>
            </w:r>
            <w:r>
              <w:rPr>
                <w:rFonts w:hint="default" w:ascii="Times New Roman" w:hAnsi="Times New Roman" w:cs="Times New Roman"/>
                <w:kern w:val="0"/>
                <w:sz w:val="24"/>
                <w:szCs w:val="24"/>
                <w:u w:val="single"/>
              </w:rPr>
              <w:t>900-04</w:t>
            </w:r>
            <w:r>
              <w:rPr>
                <w:rFonts w:hint="default" w:ascii="Times New Roman" w:hAnsi="Times New Roman" w:cs="Times New Roman"/>
                <w:kern w:val="0"/>
                <w:sz w:val="24"/>
                <w:szCs w:val="24"/>
                <w:u w:val="single"/>
                <w:lang w:val="en-US" w:eastAsia="zh-CN"/>
              </w:rPr>
              <w:t>1</w:t>
            </w:r>
            <w:r>
              <w:rPr>
                <w:rFonts w:hint="default" w:ascii="Times New Roman" w:hAnsi="Times New Roman" w:cs="Times New Roman"/>
                <w:kern w:val="0"/>
                <w:sz w:val="24"/>
                <w:szCs w:val="24"/>
                <w:u w:val="single"/>
              </w:rPr>
              <w:t>-49</w:t>
            </w:r>
            <w:r>
              <w:rPr>
                <w:rFonts w:hint="default" w:ascii="Times New Roman" w:hAnsi="Times New Roman" w:cs="Times New Roman"/>
                <w:kern w:val="0"/>
                <w:sz w:val="24"/>
                <w:szCs w:val="24"/>
                <w:u w:val="single"/>
                <w:lang w:eastAsia="zh-CN"/>
              </w:rPr>
              <w:t>，</w:t>
            </w:r>
            <w:r>
              <w:rPr>
                <w:rFonts w:hint="default" w:ascii="Times New Roman" w:hAnsi="Times New Roman" w:cs="Times New Roman"/>
                <w:b w:val="0"/>
                <w:bCs w:val="0"/>
                <w:sz w:val="24"/>
                <w:u w:val="single"/>
                <w:lang w:val="en-US" w:eastAsia="zh-CN"/>
              </w:rPr>
              <w:t>年产生量0.5t，</w:t>
            </w:r>
            <w:r>
              <w:rPr>
                <w:rFonts w:hint="default" w:ascii="Times New Roman" w:hAnsi="Times New Roman" w:cs="Times New Roman"/>
                <w:sz w:val="24"/>
                <w:u w:val="single"/>
                <w:lang w:val="en-US" w:eastAsia="zh-CN"/>
              </w:rPr>
              <w:t>定期交</w:t>
            </w:r>
            <w:r>
              <w:rPr>
                <w:rFonts w:hint="default" w:ascii="Times New Roman" w:hAnsi="Times New Roman" w:cs="Times New Roman"/>
                <w:sz w:val="24"/>
                <w:szCs w:val="24"/>
                <w:u w:val="single"/>
                <w:lang w:val="en-US" w:eastAsia="zh-CN"/>
              </w:rPr>
              <w:t>由“湖南瀚邦环境科技有限公司”处置。</w:t>
            </w:r>
          </w:p>
          <w:p>
            <w:pPr>
              <w:tabs>
                <w:tab w:val="left" w:pos="1440"/>
                <w:tab w:val="left" w:pos="1800"/>
              </w:tabs>
              <w:spacing w:line="360" w:lineRule="auto"/>
              <w:ind w:firstLine="361" w:firstLineChars="15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G：污水处理污泥：</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依据《医疗机构水污染物排放标准》（GB18446—2005），栅渣、化粪池和污水处理站污泥属危险废物，应按危险废物进行处理和处置。</w:t>
            </w:r>
          </w:p>
          <w:p>
            <w:pPr>
              <w:tabs>
                <w:tab w:val="left" w:pos="1440"/>
                <w:tab w:val="left" w:pos="1800"/>
              </w:tabs>
              <w:spacing w:line="360" w:lineRule="auto"/>
              <w:jc w:val="center"/>
              <w:rPr>
                <w:rFonts w:hint="eastAsia"/>
                <w:b/>
                <w:bCs/>
                <w:sz w:val="24"/>
                <w:szCs w:val="24"/>
                <w:highlight w:val="none"/>
                <w:lang w:val="en-US" w:eastAsia="zh-CN"/>
              </w:rPr>
            </w:pPr>
            <w:r>
              <w:rPr>
                <w:b/>
                <w:bCs/>
                <w:sz w:val="24"/>
                <w:highlight w:val="none"/>
              </w:rPr>
              <mc:AlternateContent>
                <mc:Choice Requires="wps">
                  <w:drawing>
                    <wp:anchor distT="0" distB="0" distL="114300" distR="114300" simplePos="0" relativeHeight="251672576" behindDoc="0" locked="0" layoutInCell="1" allowOverlap="1">
                      <wp:simplePos x="0" y="0"/>
                      <wp:positionH relativeFrom="column">
                        <wp:posOffset>506095</wp:posOffset>
                      </wp:positionH>
                      <wp:positionV relativeFrom="paragraph">
                        <wp:posOffset>465455</wp:posOffset>
                      </wp:positionV>
                      <wp:extent cx="4260215" cy="12700"/>
                      <wp:effectExtent l="0" t="6350" r="6985" b="9525"/>
                      <wp:wrapNone/>
                      <wp:docPr id="27" name="直接连接符 27"/>
                      <wp:cNvGraphicFramePr/>
                      <a:graphic xmlns:a="http://schemas.openxmlformats.org/drawingml/2006/main">
                        <a:graphicData uri="http://schemas.microsoft.com/office/word/2010/wordprocessingShape">
                          <wps:wsp>
                            <wps:cNvCnPr/>
                            <wps:spPr>
                              <a:xfrm flipV="1">
                                <a:off x="1595120" y="6141085"/>
                                <a:ext cx="4260215" cy="12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9.85pt;margin-top:36.65pt;height:1pt;width:335.45pt;z-index:251672576;mso-width-relative:page;mso-height-relative:page;" filled="f" stroked="t" coordsize="21600,21600" o:gfxdata="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QRBftgAAAAIAQAADwAAAAAAAAABACAAAAAiAAAAZHJzL2Rvd25y&#10;ZXYueG1sUEsBAhQAFAAAAAgAh07iQIDA12b+AQAAzgMAAA4AAAAAAAAAAQAgAAAAJwEAAGRycy9l&#10;Mm9Eb2MueG1sUEsFBgAAAAAGAAYAWQEAAJcFAAAAAA==&#10;">
                      <v:fill on="f" focussize="0,0"/>
                      <v:stroke weight="1pt" color="#FF0000 [3204]" miterlimit="8" joinstyle="miter"/>
                      <v:imagedata o:title=""/>
                      <o:lock v:ext="edit" aspectratio="f"/>
                    </v:line>
                  </w:pict>
                </mc:Fallback>
              </mc:AlternateContent>
            </w:r>
            <w:r>
              <w:rPr>
                <w:rFonts w:hint="eastAsia"/>
                <w:b/>
                <w:bCs/>
                <w:sz w:val="24"/>
                <w:szCs w:val="24"/>
                <w:highlight w:val="none"/>
                <w:lang w:val="en-US" w:eastAsia="zh-CN"/>
              </w:rPr>
              <w:drawing>
                <wp:anchor distT="0" distB="0" distL="114935" distR="114935" simplePos="0" relativeHeight="251669504" behindDoc="0" locked="0" layoutInCell="1" allowOverlap="1">
                  <wp:simplePos x="0" y="0"/>
                  <wp:positionH relativeFrom="column">
                    <wp:posOffset>19685</wp:posOffset>
                  </wp:positionH>
                  <wp:positionV relativeFrom="paragraph">
                    <wp:posOffset>72390</wp:posOffset>
                  </wp:positionV>
                  <wp:extent cx="5684520" cy="2072640"/>
                  <wp:effectExtent l="12700" t="12700" r="17780" b="29210"/>
                  <wp:wrapTopAndBottom/>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8"/>
                          <a:stretch>
                            <a:fillRect/>
                          </a:stretch>
                        </pic:blipFill>
                        <pic:spPr>
                          <a:xfrm>
                            <a:off x="0" y="0"/>
                            <a:ext cx="5684520" cy="2072640"/>
                          </a:xfrm>
                          <a:prstGeom prst="rect">
                            <a:avLst/>
                          </a:prstGeom>
                          <a:noFill/>
                          <a:ln w="12700" cmpd="sng">
                            <a:solidFill>
                              <a:schemeClr val="tx1"/>
                            </a:solidFill>
                            <a:prstDash val="solid"/>
                          </a:ln>
                        </pic:spPr>
                      </pic:pic>
                    </a:graphicData>
                  </a:graphic>
                </wp:anchor>
              </w:drawing>
            </w:r>
            <w:r>
              <w:rPr>
                <w:rFonts w:hint="eastAsia"/>
                <w:b/>
                <w:bCs/>
                <w:sz w:val="24"/>
                <w:szCs w:val="24"/>
                <w:highlight w:val="none"/>
                <w:lang w:val="en-US" w:eastAsia="zh-CN"/>
              </w:rPr>
              <w:t>图2-11  《医疗机构水污染物排放标准》（</w:t>
            </w:r>
            <w:r>
              <w:rPr>
                <w:rFonts w:hint="default"/>
                <w:b/>
                <w:bCs/>
                <w:sz w:val="24"/>
                <w:szCs w:val="24"/>
                <w:highlight w:val="none"/>
                <w:lang w:val="en-US" w:eastAsia="zh-CN"/>
              </w:rPr>
              <w:t>GB18446</w:t>
            </w:r>
            <w:r>
              <w:rPr>
                <w:rFonts w:hint="eastAsia"/>
                <w:b/>
                <w:bCs/>
                <w:sz w:val="24"/>
                <w:szCs w:val="24"/>
                <w:highlight w:val="none"/>
                <w:lang w:val="en-US" w:eastAsia="zh-CN"/>
              </w:rPr>
              <w:t>—</w:t>
            </w:r>
            <w:r>
              <w:rPr>
                <w:rFonts w:hint="default"/>
                <w:b/>
                <w:bCs/>
                <w:sz w:val="24"/>
                <w:szCs w:val="24"/>
                <w:highlight w:val="none"/>
                <w:lang w:val="en-US" w:eastAsia="zh-CN"/>
              </w:rPr>
              <w:t>200</w:t>
            </w:r>
            <w:r>
              <w:rPr>
                <w:rFonts w:hint="eastAsia"/>
                <w:b/>
                <w:bCs/>
                <w:sz w:val="24"/>
                <w:szCs w:val="24"/>
                <w:highlight w:val="none"/>
                <w:lang w:val="en-US" w:eastAsia="zh-CN"/>
              </w:rPr>
              <w:t>5）摘录</w:t>
            </w:r>
          </w:p>
          <w:p>
            <w:pPr>
              <w:tabs>
                <w:tab w:val="left" w:pos="1440"/>
                <w:tab w:val="left" w:pos="1800"/>
              </w:tabs>
              <w:spacing w:line="360" w:lineRule="auto"/>
              <w:ind w:firstLine="360" w:firstLineChars="150"/>
              <w:rPr>
                <w:rFonts w:hint="eastAsia"/>
                <w:sz w:val="24"/>
                <w:szCs w:val="24"/>
                <w:u w:val="single"/>
                <w:lang w:val="en-US" w:eastAsia="zh-CN"/>
              </w:rPr>
            </w:pPr>
            <w:r>
              <w:rPr>
                <w:rFonts w:hint="eastAsia"/>
                <w:sz w:val="24"/>
                <w:szCs w:val="24"/>
                <w:u w:val="single"/>
                <w:lang w:val="en-US" w:eastAsia="zh-CN"/>
              </w:rPr>
              <w:t>依据《医疗废物分类名录》（2021年版），被患者血液、体液、排泄物等污染的除锐器以外的废物属于危险废物；本疾控中心用于检测患者体液的器皿的冲洗废水排入污水处理设备，因此污水处理站污泥间接被患者体液污染。</w:t>
            </w:r>
          </w:p>
          <w:p>
            <w:pPr>
              <w:tabs>
                <w:tab w:val="left" w:pos="1440"/>
                <w:tab w:val="left" w:pos="1800"/>
              </w:tabs>
              <w:spacing w:line="360" w:lineRule="auto"/>
              <w:jc w:val="center"/>
              <w:rPr>
                <w:rFonts w:hint="eastAsia"/>
                <w:b/>
                <w:bCs/>
                <w:sz w:val="24"/>
                <w:szCs w:val="24"/>
                <w:highlight w:val="none"/>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2031365</wp:posOffset>
                      </wp:positionH>
                      <wp:positionV relativeFrom="paragraph">
                        <wp:posOffset>523875</wp:posOffset>
                      </wp:positionV>
                      <wp:extent cx="1731010" cy="631190"/>
                      <wp:effectExtent l="11430" t="11430" r="29210" b="24130"/>
                      <wp:wrapNone/>
                      <wp:docPr id="33" name="矩形 33"/>
                      <wp:cNvGraphicFramePr/>
                      <a:graphic xmlns:a="http://schemas.openxmlformats.org/drawingml/2006/main">
                        <a:graphicData uri="http://schemas.microsoft.com/office/word/2010/wordprocessingShape">
                          <wps:wsp>
                            <wps:cNvSpPr/>
                            <wps:spPr>
                              <a:xfrm>
                                <a:off x="3120390" y="1444625"/>
                                <a:ext cx="1731010" cy="631190"/>
                              </a:xfrm>
                              <a:prstGeom prst="rect">
                                <a:avLst/>
                              </a:prstGeom>
                              <a:noFill/>
                              <a:ln w="2222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95pt;margin-top:41.25pt;height:49.7pt;width:136.3pt;z-index:251674624;v-text-anchor:middle;mso-width-relative:page;mso-height-relative:page;" filled="f" stroked="t" coordsize="21600,21600" o:gfxdata="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&#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h1npk1AAAAAoBAAAPAAAAAAAAAAEAIAAAACIAAABk&#10;cnMvZG93bnJldi54bWxQSwECFAAUAAAACACHTuJAxNmJqXwCAADkBAAADgAAAAAAAAABACAAAAAj&#10;AQAAZHJzL2Uyb0RvYy54bWxQSwUGAAAAAAYABgBZAQAAEQYAAAAA&#10;">
                      <v:fill on="f" focussize="0,0"/>
                      <v:stroke weight="1.75pt" color="#FF0000 [3204]" miterlimit="8" joinstyle="miter"/>
                      <v:imagedata o:title=""/>
                      <o:lock v:ext="edit" aspectratio="f"/>
                      <v:textbox>
                        <w:txbxContent>
                          <w:p>
                            <w:pPr>
                              <w:jc w:val="center"/>
                            </w:pPr>
                          </w:p>
                        </w:txbxContent>
                      </v:textbox>
                    </v:rect>
                  </w:pict>
                </mc:Fallback>
              </mc:AlternateContent>
            </w:r>
            <w:r>
              <w:drawing>
                <wp:inline distT="0" distB="0" distL="114935" distR="114935">
                  <wp:extent cx="5501005" cy="3432175"/>
                  <wp:effectExtent l="12700" t="12700" r="29845" b="2222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9"/>
                          <a:srcRect r="3401"/>
                          <a:stretch>
                            <a:fillRect/>
                          </a:stretch>
                        </pic:blipFill>
                        <pic:spPr>
                          <a:xfrm>
                            <a:off x="0" y="0"/>
                            <a:ext cx="5501005" cy="3432175"/>
                          </a:xfrm>
                          <a:prstGeom prst="rect">
                            <a:avLst/>
                          </a:prstGeom>
                          <a:noFill/>
                          <a:ln w="12700">
                            <a:solidFill>
                              <a:schemeClr val="tx1"/>
                            </a:solidFill>
                          </a:ln>
                        </pic:spPr>
                      </pic:pic>
                    </a:graphicData>
                  </a:graphic>
                </wp:inline>
              </w:drawing>
            </w:r>
            <w:r>
              <w:rPr>
                <w:sz w:val="21"/>
                <w:highlight w:val="none"/>
              </w:rPr>
              <mc:AlternateContent>
                <mc:Choice Requires="wps">
                  <w:drawing>
                    <wp:anchor distT="0" distB="0" distL="114300" distR="114300" simplePos="0" relativeHeight="251673600" behindDoc="0" locked="0" layoutInCell="1" allowOverlap="1">
                      <wp:simplePos x="0" y="0"/>
                      <wp:positionH relativeFrom="column">
                        <wp:posOffset>2095500</wp:posOffset>
                      </wp:positionH>
                      <wp:positionV relativeFrom="paragraph">
                        <wp:posOffset>-7169785</wp:posOffset>
                      </wp:positionV>
                      <wp:extent cx="1609090" cy="0"/>
                      <wp:effectExtent l="0" t="0" r="0" b="0"/>
                      <wp:wrapNone/>
                      <wp:docPr id="31" name="直接连接符 31"/>
                      <wp:cNvGraphicFramePr/>
                      <a:graphic xmlns:a="http://schemas.openxmlformats.org/drawingml/2006/main">
                        <a:graphicData uri="http://schemas.microsoft.com/office/word/2010/wordprocessingShape">
                          <wps:wsp>
                            <wps:cNvCnPr/>
                            <wps:spPr>
                              <a:xfrm>
                                <a:off x="3184525" y="1869440"/>
                                <a:ext cx="1609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564.55pt;height:0pt;width:126.7pt;z-index:251673600;mso-width-relative:page;mso-height-relative:page;" filled="f" stroked="t" coordsize="21600,21600" o:gfxdata="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Bolf7aAAAADwEAAA8AAAAAAAAAAQAgAAAAIgAAAGRycy9kb3ducmV2Lnht&#10;bFBLAQIUABQAAAAIAIdO4kBxWkWh9wEAAL8DAAAOAAAAAAAAAAEAIAAAACkBAABkcnMvZTJvRG9j&#10;LnhtbFBLBQYAAAAABgAGAFkBAACSBQAAAAA=&#10;">
                      <v:fill on="f" focussize="0,0"/>
                      <v:stroke weight="0.5pt" color="#5B9BD5 [3204]" miterlimit="8" joinstyle="miter"/>
                      <v:imagedata o:title=""/>
                      <o:lock v:ext="edit" aspectratio="f"/>
                    </v:line>
                  </w:pict>
                </mc:Fallback>
              </mc:AlternateContent>
            </w:r>
            <w:r>
              <w:rPr>
                <w:rFonts w:hint="eastAsia"/>
                <w:b/>
                <w:bCs/>
                <w:sz w:val="24"/>
                <w:highlight w:val="none"/>
                <w:lang w:val="en-US" w:eastAsia="zh-CN"/>
              </w:rPr>
              <w:t>图2-12  《</w:t>
            </w:r>
            <w:r>
              <w:rPr>
                <w:rFonts w:hint="eastAsia"/>
                <w:b/>
                <w:bCs/>
                <w:sz w:val="24"/>
                <w:szCs w:val="24"/>
                <w:highlight w:val="none"/>
                <w:lang w:val="en-US" w:eastAsia="zh-CN"/>
              </w:rPr>
              <w:t>医疗废物分类名录》（2021年版）摘录</w:t>
            </w:r>
          </w:p>
          <w:p>
            <w:pPr>
              <w:tabs>
                <w:tab w:val="left" w:pos="1440"/>
                <w:tab w:val="left" w:pos="1800"/>
              </w:tabs>
              <w:spacing w:line="360" w:lineRule="auto"/>
              <w:ind w:firstLine="360" w:firstLineChars="150"/>
              <w:rPr>
                <w:rFonts w:hint="eastAsia" w:ascii="宋体" w:hAnsi="宋体" w:cs="宋体"/>
                <w:sz w:val="24"/>
                <w:u w:val="single"/>
                <w:lang w:val="en-US" w:eastAsia="zh-CN"/>
              </w:rPr>
            </w:pPr>
            <w:r>
              <w:rPr>
                <w:rFonts w:hint="eastAsia" w:ascii="宋体" w:hAnsi="宋体" w:cs="宋体"/>
                <w:sz w:val="24"/>
                <w:u w:val="single"/>
                <w:lang w:val="en-US" w:eastAsia="zh-CN"/>
              </w:rPr>
              <w:t>依据《排污许可证申请与</w:t>
            </w:r>
            <w:r>
              <w:rPr>
                <w:rFonts w:hint="default" w:ascii="宋体" w:hAnsi="宋体" w:cs="宋体"/>
                <w:sz w:val="24"/>
                <w:u w:val="single"/>
                <w:lang w:val="en-US" w:eastAsia="zh-CN"/>
              </w:rPr>
              <w:t>核发技术规范  医疗机构》（</w:t>
            </w:r>
            <w:r>
              <w:rPr>
                <w:rFonts w:hint="default" w:ascii="Times New Roman" w:hAnsi="Times New Roman" w:cs="Times New Roman"/>
                <w:sz w:val="24"/>
                <w:u w:val="single"/>
                <w:lang w:val="en-US" w:eastAsia="zh-CN"/>
              </w:rPr>
              <w:t>HJ1105-2020</w:t>
            </w:r>
            <w:r>
              <w:rPr>
                <w:rFonts w:hint="default" w:ascii="宋体" w:hAnsi="宋体" w:cs="宋体"/>
                <w:sz w:val="24"/>
                <w:u w:val="single"/>
                <w:lang w:val="en-US" w:eastAsia="zh-CN"/>
              </w:rPr>
              <w:t>）</w:t>
            </w:r>
            <w:r>
              <w:rPr>
                <w:rFonts w:hint="eastAsia" w:ascii="宋体" w:hAnsi="宋体" w:cs="宋体"/>
                <w:sz w:val="24"/>
                <w:u w:val="single"/>
                <w:lang w:val="en-US" w:eastAsia="zh-CN"/>
              </w:rPr>
              <w:t>，医疗机构排污单位的危险废物主要包括医疗废物、废药物、药品和污水处理站污泥。污水处理站污泥应进行消毒处理并交由有资质的单位。</w:t>
            </w:r>
          </w:p>
          <w:p>
            <w:pPr>
              <w:pStyle w:val="21"/>
              <w:rPr>
                <w:rFonts w:hint="default"/>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499110</wp:posOffset>
                      </wp:positionH>
                      <wp:positionV relativeFrom="paragraph">
                        <wp:posOffset>2827020</wp:posOffset>
                      </wp:positionV>
                      <wp:extent cx="3552825" cy="0"/>
                      <wp:effectExtent l="0" t="13970" r="9525" b="24130"/>
                      <wp:wrapNone/>
                      <wp:docPr id="26" name="直接连接符 26"/>
                      <wp:cNvGraphicFramePr/>
                      <a:graphic xmlns:a="http://schemas.openxmlformats.org/drawingml/2006/main">
                        <a:graphicData uri="http://schemas.microsoft.com/office/word/2010/wordprocessingShape">
                          <wps:wsp>
                            <wps:cNvCnPr/>
                            <wps:spPr>
                              <a:xfrm>
                                <a:off x="1588135" y="8502650"/>
                                <a:ext cx="3552825"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3pt;margin-top:222.6pt;height:0pt;width:279.75pt;z-index:251671552;mso-width-relative:page;mso-height-relative:page;" filled="f" stroked="t" coordsize="21600,21600" o:gfxdata="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VRy42gAAAAoBAAAPAAAAAAAAAAEAIAAAACIAAABkcnMvZG93bnJldi54bWxQ&#10;SwECFAAUAAAACACHTuJAqnQFc/UBAADAAwAADgAAAAAAAAABACAAAAApAQAAZHJzL2Uyb0RvYy54&#10;bWxQSwUGAAAAAAYABgBZAQAAkAUAAAAA&#10;">
                      <v:fill on="f" focussize="0,0"/>
                      <v:stroke weight="2.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492760</wp:posOffset>
                      </wp:positionH>
                      <wp:positionV relativeFrom="paragraph">
                        <wp:posOffset>465455</wp:posOffset>
                      </wp:positionV>
                      <wp:extent cx="4086860" cy="12700"/>
                      <wp:effectExtent l="0" t="13970" r="8890" b="30480"/>
                      <wp:wrapNone/>
                      <wp:docPr id="25" name="直接连接符 25"/>
                      <wp:cNvGraphicFramePr/>
                      <a:graphic xmlns:a="http://schemas.openxmlformats.org/drawingml/2006/main">
                        <a:graphicData uri="http://schemas.microsoft.com/office/word/2010/wordprocessingShape">
                          <wps:wsp>
                            <wps:cNvCnPr/>
                            <wps:spPr>
                              <a:xfrm flipV="1">
                                <a:off x="1581785" y="6141085"/>
                                <a:ext cx="4086860" cy="12700"/>
                              </a:xfrm>
                              <a:prstGeom prst="line">
                                <a:avLst/>
                              </a:prstGeom>
                              <a:ln w="28575" cmpd="sng">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y;margin-left:38.8pt;margin-top:36.65pt;height:1pt;width:321.8pt;z-index:251670528;mso-width-relative:page;mso-height-relative:page;" filled="f" stroked="t" coordsize="21600,21600" o:gfxdata="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ccvrZAAAACAEAAA8AAAAAAAAAAQAgAAAAIgAAAGRycy9k&#10;b3ducmV2LnhtbFBLAQIUABQAAAAIAIdO4kDGtYJrAQIAAM4DAAAOAAAAAAAAAAEAIAAAACgBAABk&#10;cnMvZTJvRG9jLnhtbFBLBQYAAAAABgAGAFkBAACbBQAAAAA=&#10;">
                      <v:fill on="f" focussize="0,0"/>
                      <v:stroke weight="2.25pt" color="#FF0000 [3205]" miterlimit="8" joinstyle="miter"/>
                      <v:imagedata o:title=""/>
                      <o:lock v:ext="edit" aspectratio="f"/>
                    </v:line>
                  </w:pict>
                </mc:Fallback>
              </mc:AlternateContent>
            </w:r>
            <w:r>
              <w:drawing>
                <wp:inline distT="0" distB="0" distL="114300" distR="114300">
                  <wp:extent cx="5685790" cy="2835275"/>
                  <wp:effectExtent l="12700" t="12700" r="16510" b="2857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0"/>
                          <a:stretch>
                            <a:fillRect/>
                          </a:stretch>
                        </pic:blipFill>
                        <pic:spPr>
                          <a:xfrm>
                            <a:off x="0" y="0"/>
                            <a:ext cx="5685790" cy="2835275"/>
                          </a:xfrm>
                          <a:prstGeom prst="rect">
                            <a:avLst/>
                          </a:prstGeom>
                          <a:noFill/>
                          <a:ln w="12700">
                            <a:solidFill>
                              <a:schemeClr val="tx1"/>
                            </a:solidFill>
                          </a:ln>
                        </pic:spPr>
                      </pic:pic>
                    </a:graphicData>
                  </a:graphic>
                </wp:inline>
              </w:drawing>
            </w:r>
          </w:p>
          <w:p>
            <w:pPr>
              <w:tabs>
                <w:tab w:val="left" w:pos="1440"/>
                <w:tab w:val="left" w:pos="1800"/>
              </w:tabs>
              <w:spacing w:line="360" w:lineRule="auto"/>
              <w:ind w:firstLine="361" w:firstLineChars="150"/>
              <w:rPr>
                <w:rFonts w:hint="default"/>
                <w:sz w:val="24"/>
                <w:highlight w:val="red"/>
                <w:lang w:val="en-US" w:eastAsia="zh-CN"/>
              </w:rPr>
            </w:pPr>
            <w:r>
              <w:rPr>
                <w:rFonts w:hint="eastAsia"/>
                <w:b/>
                <w:bCs/>
                <w:sz w:val="24"/>
                <w:highlight w:val="none"/>
                <w:lang w:val="en-US" w:eastAsia="zh-CN"/>
              </w:rPr>
              <w:t xml:space="preserve">图2-13  </w:t>
            </w:r>
            <w:r>
              <w:rPr>
                <w:rFonts w:hint="eastAsia" w:ascii="宋体" w:hAnsi="宋体" w:cs="宋体"/>
                <w:b/>
                <w:bCs/>
                <w:sz w:val="24"/>
                <w:highlight w:val="none"/>
                <w:lang w:val="en-US" w:eastAsia="zh-CN"/>
              </w:rPr>
              <w:t>《排污许可证申请与</w:t>
            </w:r>
            <w:r>
              <w:rPr>
                <w:rFonts w:hint="default" w:ascii="宋体" w:hAnsi="宋体" w:cs="宋体"/>
                <w:b/>
                <w:bCs/>
                <w:sz w:val="24"/>
                <w:highlight w:val="none"/>
                <w:lang w:val="en-US" w:eastAsia="zh-CN"/>
              </w:rPr>
              <w:t>核发技术规范  医疗机构》（HJ1105-2020）</w:t>
            </w:r>
            <w:r>
              <w:rPr>
                <w:rFonts w:hint="eastAsia" w:ascii="宋体" w:hAnsi="宋体" w:cs="宋体"/>
                <w:b/>
                <w:bCs/>
                <w:sz w:val="24"/>
                <w:highlight w:val="none"/>
                <w:lang w:val="en-US" w:eastAsia="zh-CN"/>
              </w:rPr>
              <w:t>摘录</w:t>
            </w:r>
          </w:p>
          <w:p>
            <w:pPr>
              <w:tabs>
                <w:tab w:val="left" w:pos="1440"/>
                <w:tab w:val="left" w:pos="1800"/>
              </w:tabs>
              <w:spacing w:line="360" w:lineRule="auto"/>
              <w:ind w:firstLine="360" w:firstLineChars="150"/>
              <w:rPr>
                <w:rFonts w:hint="eastAsia"/>
                <w:sz w:val="24"/>
                <w:u w:val="single"/>
                <w:lang w:val="en-US" w:eastAsia="zh-CN"/>
              </w:rPr>
            </w:pPr>
            <w:r>
              <w:rPr>
                <w:rFonts w:hint="eastAsia"/>
                <w:sz w:val="24"/>
                <w:u w:val="single"/>
                <w:lang w:val="en-US" w:eastAsia="zh-CN"/>
              </w:rPr>
              <w:t>综上，依据国家相关的标准及技术规范，本项目污水处理站污泥属于危险废物。</w:t>
            </w:r>
          </w:p>
          <w:p>
            <w:pPr>
              <w:tabs>
                <w:tab w:val="left" w:pos="1440"/>
                <w:tab w:val="left" w:pos="1800"/>
              </w:tabs>
              <w:spacing w:line="360" w:lineRule="auto"/>
              <w:ind w:firstLine="360" w:firstLineChars="150"/>
              <w:rPr>
                <w:rFonts w:hint="default"/>
                <w:sz w:val="24"/>
                <w:u w:val="single"/>
                <w:lang w:val="en-US" w:eastAsia="zh-CN"/>
              </w:rPr>
            </w:pPr>
            <w:r>
              <w:rPr>
                <w:rFonts w:hint="eastAsia"/>
                <w:sz w:val="24"/>
                <w:u w:val="single"/>
                <w:lang w:val="en-US" w:eastAsia="zh-CN"/>
              </w:rPr>
              <w:t>项目污水处理站污泥产生于絮凝池，絮凝池内已投加了二氧化氯消毒处理，由于污水处理站于2021年8月修建，运行时间不长，暂未清掏污泥，后期清掏产生的污泥将交由</w:t>
            </w:r>
            <w:r>
              <w:rPr>
                <w:rFonts w:hint="eastAsia"/>
                <w:sz w:val="24"/>
                <w:szCs w:val="24"/>
                <w:u w:val="single"/>
                <w:lang w:val="en-US" w:eastAsia="zh-CN"/>
              </w:rPr>
              <w:t>“湖南瀚邦环境科技有限公司”处置。</w:t>
            </w:r>
          </w:p>
          <w:p>
            <w:pPr>
              <w:tabs>
                <w:tab w:val="left" w:pos="1440"/>
                <w:tab w:val="left" w:pos="1800"/>
              </w:tabs>
              <w:spacing w:line="360" w:lineRule="auto"/>
              <w:ind w:firstLine="360" w:firstLineChars="150"/>
              <w:rPr>
                <w:rFonts w:hint="default"/>
                <w:lang w:val="en-US" w:eastAsia="zh-CN"/>
              </w:rPr>
            </w:pPr>
            <w:r>
              <w:rPr>
                <w:rFonts w:hint="eastAsia"/>
                <w:sz w:val="24"/>
                <w:lang w:val="en-US" w:eastAsia="zh-CN"/>
              </w:rPr>
              <w:t>一般而言，污水处理站每处理1t废水约产生含水率</w:t>
            </w:r>
            <w:r>
              <w:rPr>
                <w:rFonts w:hint="eastAsia" w:ascii="宋体" w:hAnsi="宋体" w:cs="宋体"/>
                <w:sz w:val="24"/>
                <w:lang w:val="en-US" w:eastAsia="zh-CN"/>
              </w:rPr>
              <w:t>为</w:t>
            </w:r>
            <w:r>
              <w:rPr>
                <w:rFonts w:hint="eastAsia"/>
                <w:sz w:val="24"/>
                <w:lang w:val="en-US" w:eastAsia="zh-CN"/>
              </w:rPr>
              <w:t>80</w:t>
            </w:r>
            <w:r>
              <w:rPr>
                <w:rFonts w:hint="eastAsia" w:ascii="宋体" w:hAnsi="宋体" w:eastAsia="宋体" w:cs="宋体"/>
                <w:sz w:val="24"/>
                <w:lang w:val="en-US" w:eastAsia="zh-CN"/>
              </w:rPr>
              <w:t>％</w:t>
            </w:r>
            <w:r>
              <w:rPr>
                <w:rFonts w:hint="eastAsia"/>
                <w:sz w:val="24"/>
                <w:lang w:val="en-US" w:eastAsia="zh-CN"/>
              </w:rPr>
              <w:t>污泥0.001t，现阶段项目实验室废水产生量111.573t/a，干化后的污泥含水率约5</w:t>
            </w:r>
            <w:r>
              <w:rPr>
                <w:rFonts w:hint="eastAsia" w:ascii="宋体" w:hAnsi="宋体" w:eastAsia="宋体" w:cs="宋体"/>
                <w:sz w:val="24"/>
                <w:lang w:val="en-US" w:eastAsia="zh-CN"/>
              </w:rPr>
              <w:t>％</w:t>
            </w:r>
            <w:r>
              <w:rPr>
                <w:rFonts w:hint="eastAsia" w:ascii="宋体" w:hAnsi="宋体" w:cs="宋体"/>
                <w:sz w:val="24"/>
                <w:lang w:val="en-US" w:eastAsia="zh-CN"/>
              </w:rPr>
              <w:t>，则项目污泥产生量</w:t>
            </w:r>
            <w:r>
              <w:rPr>
                <w:rFonts w:hint="eastAsia"/>
                <w:sz w:val="24"/>
                <w:lang w:val="en-US" w:eastAsia="zh-CN"/>
              </w:rPr>
              <w:t>23.5kg/a。目前交由湖南瀚邦环境科技有限公司处置。</w:t>
            </w:r>
          </w:p>
          <w:p>
            <w:pPr>
              <w:pStyle w:val="21"/>
              <w:jc w:val="center"/>
              <w:rPr>
                <w:rFonts w:hint="default"/>
                <w:b/>
                <w:bCs/>
                <w:lang w:val="en-US" w:eastAsia="zh-CN"/>
              </w:rPr>
            </w:pPr>
            <w:r>
              <w:rPr>
                <w:rFonts w:hint="eastAsia"/>
                <w:b/>
                <w:bCs/>
                <w:sz w:val="24"/>
                <w:lang w:val="en-US" w:eastAsia="zh-CN"/>
              </w:rPr>
              <w:t>表</w:t>
            </w:r>
            <w:r>
              <w:rPr>
                <w:rFonts w:hint="eastAsia" w:ascii="Times New Roman" w:hAnsi="Times New Roman" w:cs="Times New Roman"/>
                <w:b/>
                <w:bCs/>
                <w:sz w:val="24"/>
                <w:lang w:val="en-US" w:eastAsia="zh-CN"/>
              </w:rPr>
              <w:t>2</w:t>
            </w:r>
            <w:r>
              <w:rPr>
                <w:rFonts w:hint="default" w:ascii="Times New Roman" w:hAnsi="Times New Roman" w:cs="Times New Roman"/>
                <w:b/>
                <w:bCs/>
                <w:sz w:val="24"/>
                <w:lang w:val="en-US" w:eastAsia="zh-CN"/>
              </w:rPr>
              <w:t>-</w:t>
            </w:r>
            <w:r>
              <w:rPr>
                <w:rFonts w:hint="eastAsia" w:ascii="Times New Roman" w:hAnsi="Times New Roman" w:cs="Times New Roman"/>
                <w:b/>
                <w:bCs/>
                <w:sz w:val="24"/>
                <w:lang w:val="en-US" w:eastAsia="zh-CN"/>
              </w:rPr>
              <w:t xml:space="preserve">11  </w:t>
            </w:r>
            <w:r>
              <w:rPr>
                <w:rFonts w:hint="eastAsia"/>
                <w:b/>
                <w:bCs/>
                <w:sz w:val="24"/>
                <w:lang w:val="en-US" w:eastAsia="zh-CN"/>
              </w:rPr>
              <w:t>改建前，主要固体废物产生量及去向</w:t>
            </w:r>
          </w:p>
          <w:tbl>
            <w:tblPr>
              <w:tblStyle w:val="17"/>
              <w:tblW w:w="84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609"/>
              <w:gridCol w:w="1504"/>
              <w:gridCol w:w="1061"/>
              <w:gridCol w:w="598"/>
              <w:gridCol w:w="1228"/>
              <w:gridCol w:w="1112"/>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tcBorders>
                    <w:tl2br w:val="nil"/>
                    <w:tr2bl w:val="nil"/>
                  </w:tcBorders>
                  <w:vAlign w:val="center"/>
                </w:tcPr>
                <w:p>
                  <w:pPr>
                    <w:jc w:val="center"/>
                    <w:rPr>
                      <w:rFonts w:hint="default"/>
                      <w:b/>
                      <w:bCs/>
                      <w:lang w:val="en-US" w:eastAsia="zh-CN"/>
                    </w:rPr>
                  </w:pPr>
                  <w:r>
                    <w:rPr>
                      <w:rFonts w:hint="eastAsia"/>
                      <w:b/>
                      <w:bCs/>
                      <w:lang w:val="en-US" w:eastAsia="zh-CN"/>
                    </w:rPr>
                    <w:t>序号</w:t>
                  </w:r>
                </w:p>
              </w:tc>
              <w:tc>
                <w:tcPr>
                  <w:tcW w:w="2113" w:type="dxa"/>
                  <w:gridSpan w:val="2"/>
                  <w:tcBorders>
                    <w:tl2br w:val="nil"/>
                    <w:tr2bl w:val="nil"/>
                  </w:tcBorders>
                  <w:vAlign w:val="center"/>
                </w:tcPr>
                <w:p>
                  <w:pPr>
                    <w:jc w:val="center"/>
                    <w:rPr>
                      <w:rFonts w:hint="default"/>
                      <w:b/>
                      <w:bCs/>
                      <w:lang w:val="en-US" w:eastAsia="zh-CN"/>
                    </w:rPr>
                  </w:pPr>
                  <w:r>
                    <w:rPr>
                      <w:rFonts w:hint="eastAsia"/>
                      <w:b/>
                      <w:bCs/>
                      <w:lang w:val="en-US" w:eastAsia="zh-CN"/>
                    </w:rPr>
                    <w:t>危废类型</w:t>
                  </w:r>
                </w:p>
              </w:tc>
              <w:tc>
                <w:tcPr>
                  <w:tcW w:w="1061" w:type="dxa"/>
                  <w:tcBorders>
                    <w:tl2br w:val="nil"/>
                    <w:tr2bl w:val="nil"/>
                  </w:tcBorders>
                  <w:vAlign w:val="center"/>
                </w:tcPr>
                <w:p>
                  <w:pPr>
                    <w:jc w:val="center"/>
                    <w:rPr>
                      <w:rFonts w:hint="default"/>
                      <w:b/>
                      <w:bCs/>
                      <w:lang w:val="en-US" w:eastAsia="zh-CN"/>
                    </w:rPr>
                  </w:pPr>
                  <w:r>
                    <w:rPr>
                      <w:rFonts w:hint="eastAsia"/>
                      <w:b/>
                      <w:bCs/>
                      <w:lang w:val="en-US" w:eastAsia="zh-CN"/>
                    </w:rPr>
                    <w:t>固废属性</w:t>
                  </w:r>
                </w:p>
              </w:tc>
              <w:tc>
                <w:tcPr>
                  <w:tcW w:w="1826" w:type="dxa"/>
                  <w:gridSpan w:val="2"/>
                  <w:tcBorders>
                    <w:tl2br w:val="nil"/>
                    <w:tr2bl w:val="nil"/>
                  </w:tcBorders>
                  <w:vAlign w:val="center"/>
                </w:tcPr>
                <w:p>
                  <w:pPr>
                    <w:jc w:val="center"/>
                    <w:rPr>
                      <w:rFonts w:hint="default"/>
                      <w:b/>
                      <w:bCs/>
                      <w:lang w:val="en-US" w:eastAsia="zh-CN"/>
                    </w:rPr>
                  </w:pPr>
                  <w:r>
                    <w:rPr>
                      <w:rFonts w:hint="eastAsia"/>
                      <w:b/>
                      <w:bCs/>
                      <w:lang w:val="en-US" w:eastAsia="zh-CN"/>
                    </w:rPr>
                    <w:t>危废编号</w:t>
                  </w:r>
                </w:p>
              </w:tc>
              <w:tc>
                <w:tcPr>
                  <w:tcW w:w="1112" w:type="dxa"/>
                  <w:tcBorders>
                    <w:tl2br w:val="nil"/>
                    <w:tr2bl w:val="nil"/>
                  </w:tcBorders>
                  <w:vAlign w:val="center"/>
                </w:tcPr>
                <w:p>
                  <w:pPr>
                    <w:jc w:val="center"/>
                    <w:rPr>
                      <w:rFonts w:hint="default"/>
                      <w:b/>
                      <w:bCs/>
                      <w:lang w:val="en-US" w:eastAsia="zh-CN"/>
                    </w:rPr>
                  </w:pPr>
                  <w:r>
                    <w:rPr>
                      <w:rFonts w:hint="eastAsia"/>
                      <w:b/>
                      <w:bCs/>
                      <w:lang w:val="en-US" w:eastAsia="zh-CN"/>
                    </w:rPr>
                    <w:t>产生量t/a</w:t>
                  </w:r>
                </w:p>
              </w:tc>
              <w:tc>
                <w:tcPr>
                  <w:tcW w:w="1585" w:type="dxa"/>
                  <w:tcBorders>
                    <w:tl2br w:val="nil"/>
                    <w:tr2bl w:val="nil"/>
                  </w:tcBorders>
                  <w:vAlign w:val="center"/>
                </w:tcPr>
                <w:p>
                  <w:pPr>
                    <w:jc w:val="center"/>
                    <w:rPr>
                      <w:rFonts w:hint="default"/>
                      <w:b/>
                      <w:bCs/>
                      <w:lang w:val="en-US" w:eastAsia="zh-CN"/>
                    </w:rPr>
                  </w:pPr>
                  <w:r>
                    <w:rPr>
                      <w:rFonts w:hint="eastAsia"/>
                      <w:b/>
                      <w:bCs/>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tcBorders>
                    <w:tl2br w:val="nil"/>
                    <w:tr2bl w:val="nil"/>
                  </w:tcBorders>
                  <w:vAlign w:val="center"/>
                </w:tcPr>
                <w:p>
                  <w:pPr>
                    <w:jc w:val="center"/>
                    <w:rPr>
                      <w:rFonts w:hint="default"/>
                      <w:lang w:val="en-US" w:eastAsia="zh-CN"/>
                    </w:rPr>
                  </w:pPr>
                  <w:r>
                    <w:rPr>
                      <w:rFonts w:hint="eastAsia"/>
                      <w:lang w:val="en-US" w:eastAsia="zh-CN"/>
                    </w:rPr>
                    <w:t>1</w:t>
                  </w:r>
                </w:p>
              </w:tc>
              <w:tc>
                <w:tcPr>
                  <w:tcW w:w="2113" w:type="dxa"/>
                  <w:gridSpan w:val="2"/>
                  <w:tcBorders>
                    <w:tl2br w:val="nil"/>
                    <w:tr2bl w:val="nil"/>
                  </w:tcBorders>
                  <w:vAlign w:val="center"/>
                </w:tcPr>
                <w:p>
                  <w:pPr>
                    <w:jc w:val="center"/>
                    <w:rPr>
                      <w:rFonts w:hint="default"/>
                      <w:lang w:val="en-US" w:eastAsia="zh-CN"/>
                    </w:rPr>
                  </w:pPr>
                  <w:r>
                    <w:rPr>
                      <w:rFonts w:hint="eastAsia"/>
                      <w:lang w:val="en-US" w:eastAsia="zh-CN"/>
                    </w:rPr>
                    <w:t>生活垃圾</w:t>
                  </w:r>
                </w:p>
              </w:tc>
              <w:tc>
                <w:tcPr>
                  <w:tcW w:w="1061" w:type="dxa"/>
                  <w:tcBorders>
                    <w:tl2br w:val="nil"/>
                    <w:tr2bl w:val="nil"/>
                  </w:tcBorders>
                  <w:vAlign w:val="center"/>
                </w:tcPr>
                <w:p>
                  <w:pPr>
                    <w:jc w:val="center"/>
                    <w:rPr>
                      <w:rFonts w:hint="default"/>
                      <w:lang w:val="en-US" w:eastAsia="zh-CN"/>
                    </w:rPr>
                  </w:pPr>
                  <w:r>
                    <w:rPr>
                      <w:rFonts w:hint="eastAsia"/>
                      <w:lang w:val="en-US" w:eastAsia="zh-CN"/>
                    </w:rPr>
                    <w:t>/</w:t>
                  </w:r>
                </w:p>
              </w:tc>
              <w:tc>
                <w:tcPr>
                  <w:tcW w:w="1826" w:type="dxa"/>
                  <w:gridSpan w:val="2"/>
                  <w:tcBorders>
                    <w:tl2br w:val="nil"/>
                    <w:tr2bl w:val="nil"/>
                  </w:tcBorders>
                  <w:vAlign w:val="center"/>
                </w:tcPr>
                <w:p>
                  <w:pPr>
                    <w:jc w:val="center"/>
                    <w:rPr>
                      <w:rFonts w:hint="default"/>
                      <w:lang w:val="en-US" w:eastAsia="zh-CN"/>
                    </w:rPr>
                  </w:pPr>
                  <w:r>
                    <w:rPr>
                      <w:rFonts w:hint="eastAsia"/>
                      <w:lang w:val="en-US" w:eastAsia="zh-CN"/>
                    </w:rPr>
                    <w:t>/</w:t>
                  </w:r>
                </w:p>
              </w:tc>
              <w:tc>
                <w:tcPr>
                  <w:tcW w:w="1112" w:type="dxa"/>
                  <w:tcBorders>
                    <w:tl2br w:val="nil"/>
                    <w:tr2bl w:val="nil"/>
                  </w:tcBorders>
                  <w:vAlign w:val="center"/>
                </w:tcPr>
                <w:p>
                  <w:pPr>
                    <w:jc w:val="center"/>
                    <w:rPr>
                      <w:rFonts w:hint="default"/>
                      <w:lang w:val="en-US" w:eastAsia="zh-CN"/>
                    </w:rPr>
                  </w:pPr>
                  <w:r>
                    <w:rPr>
                      <w:rFonts w:hint="eastAsia"/>
                      <w:lang w:val="en-US" w:eastAsia="zh-CN"/>
                    </w:rPr>
                    <w:t>55</w:t>
                  </w:r>
                </w:p>
              </w:tc>
              <w:tc>
                <w:tcPr>
                  <w:tcW w:w="1585" w:type="dxa"/>
                  <w:tcBorders>
                    <w:tl2br w:val="nil"/>
                    <w:tr2bl w:val="nil"/>
                  </w:tcBorders>
                  <w:vAlign w:val="center"/>
                </w:tcPr>
                <w:p>
                  <w:pPr>
                    <w:jc w:val="center"/>
                    <w:rPr>
                      <w:rFonts w:hint="default"/>
                      <w:lang w:val="en-US" w:eastAsia="zh-CN"/>
                    </w:rPr>
                  </w:pPr>
                  <w:r>
                    <w:rPr>
                      <w:rFonts w:hint="eastAsia"/>
                      <w:lang w:val="en-US" w:eastAsia="zh-CN"/>
                    </w:rPr>
                    <w:t>当地环卫部门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restart"/>
                  <w:tcBorders>
                    <w:tl2br w:val="nil"/>
                    <w:tr2bl w:val="nil"/>
                  </w:tcBorders>
                  <w:vAlign w:val="center"/>
                </w:tcPr>
                <w:p>
                  <w:pPr>
                    <w:jc w:val="center"/>
                    <w:rPr>
                      <w:rFonts w:hint="default"/>
                      <w:lang w:val="en-US" w:eastAsia="zh-CN"/>
                    </w:rPr>
                  </w:pPr>
                  <w:r>
                    <w:rPr>
                      <w:rFonts w:hint="eastAsia"/>
                      <w:lang w:val="en-US" w:eastAsia="zh-CN"/>
                    </w:rPr>
                    <w:t>2</w:t>
                  </w:r>
                </w:p>
              </w:tc>
              <w:tc>
                <w:tcPr>
                  <w:tcW w:w="609" w:type="dxa"/>
                  <w:vMerge w:val="restart"/>
                  <w:tcBorders>
                    <w:tl2br w:val="nil"/>
                    <w:tr2bl w:val="nil"/>
                  </w:tcBorders>
                  <w:vAlign w:val="center"/>
                </w:tcPr>
                <w:p>
                  <w:pPr>
                    <w:jc w:val="center"/>
                    <w:rPr>
                      <w:rFonts w:hint="default"/>
                      <w:u w:val="single"/>
                      <w:lang w:val="en-US" w:eastAsia="zh-CN"/>
                    </w:rPr>
                  </w:pPr>
                  <w:r>
                    <w:rPr>
                      <w:rFonts w:hint="eastAsia"/>
                      <w:u w:val="single"/>
                      <w:lang w:val="en-US" w:eastAsia="zh-CN"/>
                    </w:rPr>
                    <w:t>医疗废物</w:t>
                  </w:r>
                </w:p>
              </w:tc>
              <w:tc>
                <w:tcPr>
                  <w:tcW w:w="1504" w:type="dxa"/>
                  <w:tcBorders>
                    <w:tl2br w:val="nil"/>
                    <w:tr2bl w:val="nil"/>
                  </w:tcBorders>
                  <w:vAlign w:val="center"/>
                </w:tcPr>
                <w:p>
                  <w:pPr>
                    <w:jc w:val="center"/>
                    <w:rPr>
                      <w:rFonts w:hint="default"/>
                      <w:u w:val="single"/>
                      <w:lang w:val="en-US" w:eastAsia="zh-CN"/>
                    </w:rPr>
                  </w:pPr>
                  <w:r>
                    <w:rPr>
                      <w:rFonts w:hint="eastAsia"/>
                      <w:u w:val="single"/>
                      <w:lang w:val="en-US" w:eastAsia="zh-CN"/>
                    </w:rPr>
                    <w:t>废培养基</w:t>
                  </w:r>
                </w:p>
              </w:tc>
              <w:tc>
                <w:tcPr>
                  <w:tcW w:w="1061" w:type="dxa"/>
                  <w:vMerge w:val="restart"/>
                  <w:tcBorders>
                    <w:tl2br w:val="nil"/>
                    <w:tr2bl w:val="nil"/>
                  </w:tcBorders>
                  <w:vAlign w:val="center"/>
                </w:tcPr>
                <w:p>
                  <w:pPr>
                    <w:jc w:val="center"/>
                    <w:rPr>
                      <w:rFonts w:hint="default"/>
                      <w:lang w:val="en-US" w:eastAsia="zh-CN"/>
                    </w:rPr>
                  </w:pPr>
                  <w:r>
                    <w:rPr>
                      <w:rFonts w:hint="eastAsia"/>
                      <w:lang w:val="en-US" w:eastAsia="zh-CN"/>
                    </w:rPr>
                    <w:t>危险废物</w:t>
                  </w:r>
                </w:p>
              </w:tc>
              <w:tc>
                <w:tcPr>
                  <w:tcW w:w="598" w:type="dxa"/>
                  <w:vMerge w:val="restart"/>
                  <w:tcBorders>
                    <w:tl2br w:val="nil"/>
                    <w:tr2bl w:val="nil"/>
                  </w:tcBorders>
                  <w:vAlign w:val="center"/>
                </w:tcPr>
                <w:p>
                  <w:pPr>
                    <w:jc w:val="center"/>
                    <w:rPr>
                      <w:rFonts w:hint="default"/>
                      <w:lang w:val="en-US" w:eastAsia="zh-CN"/>
                    </w:rPr>
                  </w:pPr>
                  <w:r>
                    <w:rPr>
                      <w:rFonts w:hint="eastAsia"/>
                      <w:lang w:val="en-US" w:eastAsia="zh-CN"/>
                    </w:rPr>
                    <w:t>HW01</w:t>
                  </w:r>
                </w:p>
              </w:tc>
              <w:tc>
                <w:tcPr>
                  <w:tcW w:w="1228" w:type="dxa"/>
                  <w:vMerge w:val="restart"/>
                  <w:tcBorders>
                    <w:tl2br w:val="nil"/>
                    <w:tr2bl w:val="nil"/>
                  </w:tcBorders>
                  <w:vAlign w:val="center"/>
                </w:tcPr>
                <w:p>
                  <w:pPr>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841-001-01</w:t>
                  </w:r>
                </w:p>
                <w:p>
                  <w:pPr>
                    <w:jc w:val="center"/>
                    <w:rPr>
                      <w:rFonts w:hint="eastAsia"/>
                      <w:lang w:val="en-US" w:eastAsia="zh-CN"/>
                    </w:rPr>
                  </w:pPr>
                  <w:r>
                    <w:rPr>
                      <w:rFonts w:hint="default" w:ascii="Times New Roman" w:hAnsi="Times New Roman" w:eastAsia="宋体" w:cs="Times New Roman"/>
                      <w:sz w:val="21"/>
                      <w:szCs w:val="21"/>
                      <w:u w:val="single"/>
                    </w:rPr>
                    <w:t>8</w:t>
                  </w:r>
                </w:p>
              </w:tc>
              <w:tc>
                <w:tcPr>
                  <w:tcW w:w="1112" w:type="dxa"/>
                  <w:vMerge w:val="restart"/>
                  <w:tcBorders>
                    <w:tl2br w:val="nil"/>
                    <w:tr2bl w:val="nil"/>
                  </w:tcBorders>
                  <w:vAlign w:val="center"/>
                </w:tcPr>
                <w:p>
                  <w:pPr>
                    <w:jc w:val="center"/>
                    <w:rPr>
                      <w:rFonts w:hint="default"/>
                      <w:lang w:val="en-US" w:eastAsia="zh-CN"/>
                    </w:rPr>
                  </w:pPr>
                  <w:r>
                    <w:rPr>
                      <w:rFonts w:hint="eastAsia"/>
                      <w:lang w:val="en-US" w:eastAsia="zh-CN"/>
                    </w:rPr>
                    <w:t>2.2</w:t>
                  </w:r>
                </w:p>
              </w:tc>
              <w:tc>
                <w:tcPr>
                  <w:tcW w:w="1585" w:type="dxa"/>
                  <w:vMerge w:val="restart"/>
                  <w:tcBorders>
                    <w:tl2br w:val="nil"/>
                    <w:tr2bl w:val="nil"/>
                  </w:tcBorders>
                  <w:vAlign w:val="center"/>
                </w:tcPr>
                <w:p>
                  <w:pPr>
                    <w:jc w:val="center"/>
                    <w:rPr>
                      <w:rFonts w:hint="default"/>
                      <w:lang w:val="en-US" w:eastAsia="zh-CN"/>
                    </w:rPr>
                  </w:pPr>
                  <w:r>
                    <w:rPr>
                      <w:rFonts w:hint="eastAsia"/>
                      <w:lang w:val="en-US" w:eastAsia="zh-CN"/>
                    </w:rPr>
                    <w:t>靖州县卫生健康局集中收集后转运至“怀化市天源环保科技有限责任公司”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pPr>
                </w:p>
              </w:tc>
              <w:tc>
                <w:tcPr>
                  <w:tcW w:w="609" w:type="dxa"/>
                  <w:vMerge w:val="continue"/>
                  <w:tcBorders>
                    <w:tl2br w:val="nil"/>
                    <w:tr2bl w:val="nil"/>
                  </w:tcBorders>
                  <w:vAlign w:val="center"/>
                </w:tcPr>
                <w:p>
                  <w:pPr>
                    <w:jc w:val="center"/>
                    <w:rPr>
                      <w:u w:val="single"/>
                    </w:rPr>
                  </w:pPr>
                </w:p>
              </w:tc>
              <w:tc>
                <w:tcPr>
                  <w:tcW w:w="1504" w:type="dxa"/>
                  <w:tcBorders>
                    <w:tl2br w:val="nil"/>
                    <w:tr2bl w:val="nil"/>
                  </w:tcBorders>
                  <w:vAlign w:val="center"/>
                </w:tcPr>
                <w:p>
                  <w:pPr>
                    <w:jc w:val="center"/>
                    <w:rPr>
                      <w:rFonts w:hint="default"/>
                      <w:u w:val="single"/>
                      <w:lang w:val="en-US" w:eastAsia="zh-CN"/>
                    </w:rPr>
                  </w:pPr>
                  <w:r>
                    <w:rPr>
                      <w:rFonts w:hint="eastAsia"/>
                      <w:u w:val="single"/>
                      <w:lang w:val="en-US" w:eastAsia="zh-CN"/>
                    </w:rPr>
                    <w:t>废生物样品</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lang w:val="en-US" w:eastAsia="zh-CN"/>
                    </w:rPr>
                  </w:pP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rPr>
                      <w:rFonts w:hint="eastAsia"/>
                      <w:lang w:val="en-US" w:eastAsia="zh-CN"/>
                    </w:rPr>
                  </w:pPr>
                </w:p>
              </w:tc>
              <w:tc>
                <w:tcPr>
                  <w:tcW w:w="609" w:type="dxa"/>
                  <w:vMerge w:val="continue"/>
                  <w:tcBorders>
                    <w:tl2br w:val="nil"/>
                    <w:tr2bl w:val="nil"/>
                  </w:tcBorders>
                  <w:vAlign w:val="center"/>
                </w:tcPr>
                <w:p>
                  <w:pPr>
                    <w:jc w:val="center"/>
                    <w:rPr>
                      <w:rFonts w:hint="eastAsia"/>
                      <w:u w:val="single"/>
                      <w:lang w:val="en-US" w:eastAsia="zh-CN"/>
                    </w:rPr>
                  </w:pPr>
                </w:p>
              </w:tc>
              <w:tc>
                <w:tcPr>
                  <w:tcW w:w="1504" w:type="dxa"/>
                  <w:tcBorders>
                    <w:tl2br w:val="nil"/>
                    <w:tr2bl w:val="nil"/>
                  </w:tcBorders>
                  <w:vAlign w:val="center"/>
                </w:tcPr>
                <w:p>
                  <w:pPr>
                    <w:jc w:val="center"/>
                    <w:rPr>
                      <w:rFonts w:hint="default"/>
                      <w:u w:val="single"/>
                      <w:lang w:val="en-US" w:eastAsia="zh-CN"/>
                    </w:rPr>
                  </w:pPr>
                  <w:r>
                    <w:rPr>
                      <w:rFonts w:hint="eastAsia"/>
                      <w:u w:val="single"/>
                      <w:lang w:val="en-US" w:eastAsia="zh-CN"/>
                    </w:rPr>
                    <w:t>废一次性医疗用品</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lang w:val="en-US" w:eastAsia="zh-CN"/>
                    </w:rPr>
                  </w:pP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rPr>
                      <w:rFonts w:hint="eastAsia"/>
                      <w:lang w:val="en-US" w:eastAsia="zh-CN"/>
                    </w:rPr>
                  </w:pPr>
                </w:p>
              </w:tc>
              <w:tc>
                <w:tcPr>
                  <w:tcW w:w="609" w:type="dxa"/>
                  <w:vMerge w:val="continue"/>
                  <w:tcBorders>
                    <w:tl2br w:val="nil"/>
                    <w:tr2bl w:val="nil"/>
                  </w:tcBorders>
                  <w:vAlign w:val="center"/>
                </w:tcPr>
                <w:p>
                  <w:pPr>
                    <w:jc w:val="center"/>
                    <w:rPr>
                      <w:rFonts w:hint="eastAsia"/>
                      <w:u w:val="single"/>
                      <w:lang w:val="en-US" w:eastAsia="zh-CN"/>
                    </w:rPr>
                  </w:pPr>
                </w:p>
              </w:tc>
              <w:tc>
                <w:tcPr>
                  <w:tcW w:w="1504" w:type="dxa"/>
                  <w:tcBorders>
                    <w:tl2br w:val="nil"/>
                    <w:tr2bl w:val="nil"/>
                  </w:tcBorders>
                  <w:vAlign w:val="center"/>
                </w:tcPr>
                <w:p>
                  <w:pPr>
                    <w:jc w:val="center"/>
                    <w:rPr>
                      <w:rFonts w:hint="default"/>
                      <w:u w:val="single"/>
                      <w:lang w:val="en-US" w:eastAsia="zh-CN"/>
                    </w:rPr>
                  </w:pPr>
                  <w:r>
                    <w:rPr>
                      <w:rFonts w:hint="eastAsia"/>
                      <w:sz w:val="21"/>
                      <w:szCs w:val="21"/>
                      <w:u w:val="single"/>
                      <w:lang w:val="en-US" w:eastAsia="zh-CN"/>
                    </w:rPr>
                    <w:t>废HEPA滤网</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lang w:val="en-US" w:eastAsia="zh-CN"/>
                    </w:rPr>
                  </w:pP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rPr>
                      <w:rFonts w:hint="eastAsia"/>
                      <w:lang w:val="en-US" w:eastAsia="zh-CN"/>
                    </w:rPr>
                  </w:pPr>
                </w:p>
              </w:tc>
              <w:tc>
                <w:tcPr>
                  <w:tcW w:w="609" w:type="dxa"/>
                  <w:vMerge w:val="continue"/>
                  <w:tcBorders>
                    <w:tl2br w:val="nil"/>
                    <w:tr2bl w:val="nil"/>
                  </w:tcBorders>
                  <w:vAlign w:val="center"/>
                </w:tcPr>
                <w:p>
                  <w:pPr>
                    <w:jc w:val="center"/>
                    <w:rPr>
                      <w:rFonts w:hint="eastAsia"/>
                      <w:u w:val="single"/>
                      <w:lang w:val="en-US" w:eastAsia="zh-CN"/>
                    </w:rPr>
                  </w:pPr>
                </w:p>
              </w:tc>
              <w:tc>
                <w:tcPr>
                  <w:tcW w:w="1504" w:type="dxa"/>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废过期药物</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tcBorders>
                    <w:tl2br w:val="nil"/>
                    <w:tr2bl w:val="nil"/>
                  </w:tcBorders>
                  <w:vAlign w:val="center"/>
                </w:tcPr>
                <w:p>
                  <w:pPr>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841-005-01</w:t>
                  </w: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3</w:t>
                  </w:r>
                </w:p>
              </w:tc>
              <w:tc>
                <w:tcPr>
                  <w:tcW w:w="2113" w:type="dxa"/>
                  <w:gridSpan w:val="2"/>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污水处理站污泥</w:t>
                  </w:r>
                </w:p>
              </w:tc>
              <w:tc>
                <w:tcPr>
                  <w:tcW w:w="1061" w:type="dxa"/>
                  <w:vMerge w:val="continue"/>
                  <w:tcBorders>
                    <w:tl2br w:val="nil"/>
                    <w:tr2bl w:val="nil"/>
                  </w:tcBorders>
                  <w:vAlign w:val="center"/>
                </w:tcPr>
                <w:p>
                  <w:pPr>
                    <w:jc w:val="center"/>
                    <w:rPr>
                      <w:rFonts w:hint="default"/>
                      <w:lang w:val="en-US" w:eastAsia="zh-CN"/>
                    </w:rPr>
                  </w:pPr>
                </w:p>
              </w:tc>
              <w:tc>
                <w:tcPr>
                  <w:tcW w:w="598" w:type="dxa"/>
                  <w:vMerge w:val="restart"/>
                  <w:tcBorders>
                    <w:tl2br w:val="nil"/>
                    <w:tr2bl w:val="nil"/>
                  </w:tcBorders>
                  <w:vAlign w:val="center"/>
                </w:tcPr>
                <w:p>
                  <w:pPr>
                    <w:jc w:val="center"/>
                    <w:rPr>
                      <w:rFonts w:hint="default"/>
                      <w:lang w:val="en-US" w:eastAsia="zh-CN"/>
                    </w:rPr>
                  </w:pPr>
                  <w:r>
                    <w:rPr>
                      <w:rFonts w:hint="eastAsia"/>
                      <w:lang w:val="en-US" w:eastAsia="zh-CN"/>
                    </w:rPr>
                    <w:t>HW49</w:t>
                  </w:r>
                </w:p>
              </w:tc>
              <w:tc>
                <w:tcPr>
                  <w:tcW w:w="1228" w:type="dxa"/>
                  <w:tcBorders>
                    <w:tl2br w:val="nil"/>
                    <w:tr2bl w:val="nil"/>
                  </w:tcBorders>
                  <w:vAlign w:val="center"/>
                </w:tcPr>
                <w:p>
                  <w:pPr>
                    <w:jc w:val="center"/>
                    <w:rPr>
                      <w:rFonts w:hint="eastAsia"/>
                      <w:lang w:val="en-US" w:eastAsia="zh-CN"/>
                    </w:rPr>
                  </w:pPr>
                  <w:r>
                    <w:rPr>
                      <w:rFonts w:hint="default" w:ascii="Times New Roman" w:hAnsi="Times New Roman" w:eastAsia="宋体" w:cs="Times New Roman"/>
                      <w:sz w:val="21"/>
                      <w:szCs w:val="21"/>
                      <w:u w:val="single"/>
                    </w:rPr>
                    <w:t>900-04</w:t>
                  </w:r>
                  <w:r>
                    <w:rPr>
                      <w:rFonts w:hint="eastAsia" w:ascii="Times New Roman" w:hAnsi="Times New Roman" w:eastAsia="宋体" w:cs="Times New Roman"/>
                      <w:sz w:val="21"/>
                      <w:szCs w:val="21"/>
                      <w:u w:val="single"/>
                      <w:lang w:val="en-US" w:eastAsia="zh-CN"/>
                    </w:rPr>
                    <w:t>1</w:t>
                  </w:r>
                  <w:r>
                    <w:rPr>
                      <w:rFonts w:hint="default" w:ascii="Times New Roman" w:hAnsi="Times New Roman" w:eastAsia="宋体" w:cs="Times New Roman"/>
                      <w:sz w:val="21"/>
                      <w:szCs w:val="21"/>
                      <w:u w:val="single"/>
                    </w:rPr>
                    <w:t>-49</w:t>
                  </w:r>
                </w:p>
              </w:tc>
              <w:tc>
                <w:tcPr>
                  <w:tcW w:w="1112" w:type="dxa"/>
                  <w:tcBorders>
                    <w:tl2br w:val="nil"/>
                    <w:tr2bl w:val="nil"/>
                  </w:tcBorders>
                  <w:vAlign w:val="center"/>
                </w:tcPr>
                <w:p>
                  <w:pPr>
                    <w:jc w:val="center"/>
                    <w:rPr>
                      <w:rFonts w:hint="default"/>
                      <w:lang w:val="en-US" w:eastAsia="zh-CN"/>
                    </w:rPr>
                  </w:pPr>
                  <w:r>
                    <w:rPr>
                      <w:rFonts w:hint="eastAsia"/>
                      <w:lang w:val="en-US" w:eastAsia="zh-CN"/>
                    </w:rPr>
                    <w:t>0.0235</w:t>
                  </w:r>
                </w:p>
              </w:tc>
              <w:tc>
                <w:tcPr>
                  <w:tcW w:w="1585" w:type="dxa"/>
                  <w:vMerge w:val="restart"/>
                  <w:tcBorders>
                    <w:tl2br w:val="nil"/>
                    <w:tr2bl w:val="nil"/>
                  </w:tcBorders>
                  <w:vAlign w:val="center"/>
                </w:tcPr>
                <w:p>
                  <w:pPr>
                    <w:jc w:val="center"/>
                    <w:rPr>
                      <w:rFonts w:hint="default"/>
                      <w:lang w:val="en-US" w:eastAsia="zh-CN"/>
                    </w:rPr>
                  </w:pPr>
                  <w:r>
                    <w:rPr>
                      <w:rFonts w:hint="eastAsia"/>
                      <w:lang w:val="en-US" w:eastAsia="zh-CN"/>
                    </w:rPr>
                    <w:t>收集后定期交由“湖南瀚邦环境科技有限公司”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restart"/>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4</w:t>
                  </w:r>
                </w:p>
              </w:tc>
              <w:tc>
                <w:tcPr>
                  <w:tcW w:w="609" w:type="dxa"/>
                  <w:vMerge w:val="restart"/>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废试剂</w:t>
                  </w:r>
                </w:p>
              </w:tc>
              <w:tc>
                <w:tcPr>
                  <w:tcW w:w="1504" w:type="dxa"/>
                  <w:tcBorders>
                    <w:tl2br w:val="nil"/>
                    <w:tr2bl w:val="nil"/>
                  </w:tcBorders>
                  <w:vAlign w:val="center"/>
                </w:tcPr>
                <w:p>
                  <w:pPr>
                    <w:jc w:val="center"/>
                    <w:rPr>
                      <w:rFonts w:hint="default"/>
                      <w:lang w:val="en-US" w:eastAsia="zh-CN"/>
                    </w:rPr>
                  </w:pPr>
                  <w:r>
                    <w:rPr>
                      <w:rFonts w:hint="eastAsia"/>
                      <w:lang w:val="en-US" w:eastAsia="zh-CN"/>
                    </w:rPr>
                    <w:t>废酸液</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restart"/>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900-047-49</w:t>
                  </w:r>
                </w:p>
              </w:tc>
              <w:tc>
                <w:tcPr>
                  <w:tcW w:w="1112" w:type="dxa"/>
                  <w:vMerge w:val="restart"/>
                  <w:tcBorders>
                    <w:tl2br w:val="nil"/>
                    <w:tr2bl w:val="nil"/>
                  </w:tcBorders>
                  <w:vAlign w:val="center"/>
                </w:tcPr>
                <w:p>
                  <w:pPr>
                    <w:jc w:val="center"/>
                    <w:rPr>
                      <w:rFonts w:hint="default"/>
                      <w:lang w:val="en-US" w:eastAsia="zh-CN"/>
                    </w:rPr>
                  </w:pPr>
                  <w:r>
                    <w:rPr>
                      <w:rFonts w:hint="eastAsia"/>
                      <w:lang w:val="en-US" w:eastAsia="zh-CN"/>
                    </w:rPr>
                    <w:t>0.05</w:t>
                  </w: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pPr>
                </w:p>
              </w:tc>
              <w:tc>
                <w:tcPr>
                  <w:tcW w:w="609" w:type="dxa"/>
                  <w:vMerge w:val="continue"/>
                  <w:tcBorders>
                    <w:tl2br w:val="nil"/>
                    <w:tr2bl w:val="nil"/>
                  </w:tcBorders>
                  <w:vAlign w:val="center"/>
                </w:tcPr>
                <w:p>
                  <w:pPr>
                    <w:jc w:val="center"/>
                  </w:pPr>
                </w:p>
              </w:tc>
              <w:tc>
                <w:tcPr>
                  <w:tcW w:w="1504" w:type="dxa"/>
                  <w:tcBorders>
                    <w:tl2br w:val="nil"/>
                    <w:tr2bl w:val="nil"/>
                  </w:tcBorders>
                  <w:vAlign w:val="center"/>
                </w:tcPr>
                <w:p>
                  <w:pPr>
                    <w:jc w:val="center"/>
                    <w:rPr>
                      <w:rFonts w:hint="default"/>
                      <w:lang w:val="en-US" w:eastAsia="zh-CN"/>
                    </w:rPr>
                  </w:pPr>
                  <w:r>
                    <w:rPr>
                      <w:rFonts w:hint="eastAsia"/>
                      <w:lang w:val="en-US" w:eastAsia="zh-CN"/>
                    </w:rPr>
                    <w:t>废碱液</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rPr>
                      <w:rFonts w:hint="eastAsia"/>
                      <w:lang w:val="en-US" w:eastAsia="zh-CN"/>
                    </w:rPr>
                  </w:pPr>
                </w:p>
              </w:tc>
              <w:tc>
                <w:tcPr>
                  <w:tcW w:w="609" w:type="dxa"/>
                  <w:vMerge w:val="continue"/>
                  <w:tcBorders>
                    <w:tl2br w:val="nil"/>
                    <w:tr2bl w:val="nil"/>
                  </w:tcBorders>
                  <w:vAlign w:val="center"/>
                </w:tcPr>
                <w:p>
                  <w:pPr>
                    <w:jc w:val="center"/>
                    <w:rPr>
                      <w:rFonts w:hint="eastAsia"/>
                      <w:lang w:val="en-US" w:eastAsia="zh-CN"/>
                    </w:rPr>
                  </w:pPr>
                </w:p>
              </w:tc>
              <w:tc>
                <w:tcPr>
                  <w:tcW w:w="1504" w:type="dxa"/>
                  <w:tcBorders>
                    <w:tl2br w:val="nil"/>
                    <w:tr2bl w:val="nil"/>
                  </w:tcBorders>
                  <w:vAlign w:val="center"/>
                </w:tcPr>
                <w:p>
                  <w:pPr>
                    <w:jc w:val="center"/>
                    <w:rPr>
                      <w:rFonts w:hint="default"/>
                      <w:lang w:val="en-US" w:eastAsia="zh-CN"/>
                    </w:rPr>
                  </w:pPr>
                  <w:r>
                    <w:rPr>
                      <w:rFonts w:hint="eastAsia"/>
                      <w:lang w:val="en-US" w:eastAsia="zh-CN"/>
                    </w:rPr>
                    <w:t>废三氯甲烷</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vMerge w:val="continue"/>
                  <w:tcBorders>
                    <w:tl2br w:val="nil"/>
                    <w:tr2bl w:val="nil"/>
                  </w:tcBorders>
                  <w:vAlign w:val="center"/>
                </w:tcPr>
                <w:p>
                  <w:pPr>
                    <w:jc w:val="center"/>
                  </w:pPr>
                </w:p>
              </w:tc>
              <w:tc>
                <w:tcPr>
                  <w:tcW w:w="609" w:type="dxa"/>
                  <w:vMerge w:val="continue"/>
                  <w:tcBorders>
                    <w:tl2br w:val="nil"/>
                    <w:tr2bl w:val="nil"/>
                  </w:tcBorders>
                  <w:vAlign w:val="center"/>
                </w:tcPr>
                <w:p>
                  <w:pPr>
                    <w:jc w:val="center"/>
                  </w:pPr>
                </w:p>
              </w:tc>
              <w:tc>
                <w:tcPr>
                  <w:tcW w:w="1504" w:type="dxa"/>
                  <w:tcBorders>
                    <w:tl2br w:val="nil"/>
                    <w:tr2bl w:val="nil"/>
                  </w:tcBorders>
                  <w:vAlign w:val="center"/>
                </w:tcPr>
                <w:p>
                  <w:pPr>
                    <w:jc w:val="center"/>
                    <w:rPr>
                      <w:rFonts w:hint="default"/>
                      <w:lang w:val="en-US" w:eastAsia="zh-CN"/>
                    </w:rPr>
                  </w:pPr>
                  <w:r>
                    <w:rPr>
                      <w:rFonts w:hint="eastAsia"/>
                      <w:lang w:val="en-US" w:eastAsia="zh-CN"/>
                    </w:rPr>
                    <w:t>废甲醇</w:t>
                  </w:r>
                </w:p>
              </w:tc>
              <w:tc>
                <w:tcPr>
                  <w:tcW w:w="1061" w:type="dxa"/>
                  <w:vMerge w:val="continue"/>
                  <w:tcBorders>
                    <w:tl2br w:val="nil"/>
                    <w:tr2bl w:val="nil"/>
                  </w:tcBorders>
                  <w:vAlign w:val="center"/>
                </w:tcPr>
                <w:p>
                  <w:pPr>
                    <w:jc w:val="center"/>
                    <w:rPr>
                      <w:rFonts w:hint="eastAsia"/>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12" w:type="dxa"/>
                  <w:vMerge w:val="continue"/>
                  <w:tcBorders>
                    <w:tl2br w:val="nil"/>
                    <w:tr2bl w:val="nil"/>
                  </w:tcBorders>
                  <w:vAlign w:val="center"/>
                </w:tcPr>
                <w:p>
                  <w:pPr>
                    <w:jc w:val="center"/>
                    <w:rPr>
                      <w:rFonts w:hint="eastAsia"/>
                      <w:lang w:val="en-US" w:eastAsia="zh-CN"/>
                    </w:rPr>
                  </w:pPr>
                </w:p>
              </w:tc>
              <w:tc>
                <w:tcPr>
                  <w:tcW w:w="1585" w:type="dxa"/>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20"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5</w:t>
                  </w:r>
                </w:p>
              </w:tc>
              <w:tc>
                <w:tcPr>
                  <w:tcW w:w="2113" w:type="dxa"/>
                  <w:gridSpan w:val="2"/>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废试剂瓶</w:t>
                  </w:r>
                </w:p>
              </w:tc>
              <w:tc>
                <w:tcPr>
                  <w:tcW w:w="1061" w:type="dxa"/>
                  <w:vMerge w:val="continue"/>
                  <w:tcBorders>
                    <w:tl2br w:val="nil"/>
                    <w:tr2bl w:val="nil"/>
                  </w:tcBorders>
                  <w:vAlign w:val="center"/>
                </w:tcPr>
                <w:p>
                  <w:pPr>
                    <w:jc w:val="center"/>
                    <w:rPr>
                      <w:rFonts w:hint="default"/>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12" w:type="dxa"/>
                  <w:tcBorders>
                    <w:tl2br w:val="nil"/>
                    <w:tr2bl w:val="nil"/>
                  </w:tcBorders>
                  <w:vAlign w:val="center"/>
                </w:tcPr>
                <w:p>
                  <w:pPr>
                    <w:jc w:val="center"/>
                    <w:rPr>
                      <w:rFonts w:hint="default"/>
                      <w:lang w:val="en-US" w:eastAsia="zh-CN"/>
                    </w:rPr>
                  </w:pPr>
                  <w:r>
                    <w:rPr>
                      <w:rFonts w:hint="eastAsia"/>
                      <w:lang w:val="en-US" w:eastAsia="zh-CN"/>
                    </w:rPr>
                    <w:t>0.01</w:t>
                  </w:r>
                </w:p>
              </w:tc>
              <w:tc>
                <w:tcPr>
                  <w:tcW w:w="1585" w:type="dxa"/>
                  <w:vMerge w:val="continue"/>
                  <w:tcBorders>
                    <w:tl2br w:val="nil"/>
                    <w:tr2bl w:val="nil"/>
                  </w:tcBorders>
                  <w:vAlign w:val="center"/>
                </w:tcPr>
                <w:p>
                  <w:pPr>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6</w:t>
                  </w:r>
                </w:p>
              </w:tc>
              <w:tc>
                <w:tcPr>
                  <w:tcW w:w="2113" w:type="dxa"/>
                  <w:gridSpan w:val="2"/>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废美沙酮桶</w:t>
                  </w:r>
                </w:p>
              </w:tc>
              <w:tc>
                <w:tcPr>
                  <w:tcW w:w="1061" w:type="dxa"/>
                  <w:vMerge w:val="continue"/>
                  <w:tcBorders>
                    <w:tl2br w:val="nil"/>
                    <w:tr2bl w:val="nil"/>
                  </w:tcBorders>
                  <w:vAlign w:val="center"/>
                </w:tcPr>
                <w:p>
                  <w:pPr>
                    <w:jc w:val="center"/>
                    <w:rPr>
                      <w:rFonts w:hint="default"/>
                      <w:lang w:val="en-US" w:eastAsia="zh-CN"/>
                    </w:rPr>
                  </w:pPr>
                </w:p>
              </w:tc>
              <w:tc>
                <w:tcPr>
                  <w:tcW w:w="598" w:type="dxa"/>
                  <w:vMerge w:val="continue"/>
                  <w:tcBorders>
                    <w:tl2br w:val="nil"/>
                    <w:tr2bl w:val="nil"/>
                  </w:tcBorders>
                  <w:vAlign w:val="center"/>
                </w:tcPr>
                <w:p>
                  <w:pPr>
                    <w:jc w:val="center"/>
                    <w:rPr>
                      <w:rFonts w:hint="eastAsia"/>
                      <w:lang w:val="en-US" w:eastAsia="zh-CN"/>
                    </w:rPr>
                  </w:pPr>
                </w:p>
              </w:tc>
              <w:tc>
                <w:tcPr>
                  <w:tcW w:w="1228" w:type="dxa"/>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900-04</w:t>
                  </w:r>
                  <w:r>
                    <w:rPr>
                      <w:rFonts w:hint="eastAsia" w:ascii="Times New Roman" w:hAnsi="Times New Roman" w:eastAsia="宋体" w:cs="Times New Roman"/>
                      <w:sz w:val="21"/>
                      <w:szCs w:val="21"/>
                      <w:u w:val="single"/>
                      <w:lang w:val="en-US" w:eastAsia="zh-CN"/>
                    </w:rPr>
                    <w:t>1</w:t>
                  </w:r>
                  <w:r>
                    <w:rPr>
                      <w:rFonts w:hint="default" w:ascii="Times New Roman" w:hAnsi="Times New Roman" w:eastAsia="宋体" w:cs="Times New Roman"/>
                      <w:sz w:val="21"/>
                      <w:szCs w:val="21"/>
                      <w:u w:val="single"/>
                    </w:rPr>
                    <w:t>-49</w:t>
                  </w:r>
                </w:p>
              </w:tc>
              <w:tc>
                <w:tcPr>
                  <w:tcW w:w="1112" w:type="dxa"/>
                  <w:tcBorders>
                    <w:tl2br w:val="nil"/>
                    <w:tr2bl w:val="nil"/>
                  </w:tcBorders>
                  <w:vAlign w:val="center"/>
                </w:tcPr>
                <w:p>
                  <w:pPr>
                    <w:jc w:val="center"/>
                    <w:rPr>
                      <w:rFonts w:hint="default"/>
                      <w:lang w:val="en-US" w:eastAsia="zh-CN"/>
                    </w:rPr>
                  </w:pPr>
                  <w:r>
                    <w:rPr>
                      <w:rFonts w:hint="eastAsia"/>
                      <w:lang w:val="en-US" w:eastAsia="zh-CN"/>
                    </w:rPr>
                    <w:t>0.5</w:t>
                  </w:r>
                </w:p>
              </w:tc>
              <w:tc>
                <w:tcPr>
                  <w:tcW w:w="1585" w:type="dxa"/>
                  <w:vMerge w:val="continue"/>
                  <w:tcBorders>
                    <w:tl2br w:val="nil"/>
                    <w:tr2bl w:val="nil"/>
                  </w:tcBorders>
                  <w:vAlign w:val="center"/>
                </w:tcPr>
                <w:p>
                  <w:pPr>
                    <w:jc w:val="center"/>
                    <w:rPr>
                      <w:rFonts w:hint="default"/>
                      <w:lang w:val="en-US" w:eastAsia="zh-CN"/>
                    </w:rPr>
                  </w:pPr>
                </w:p>
              </w:tc>
            </w:tr>
          </w:tbl>
          <w:p>
            <w:pPr>
              <w:pStyle w:val="21"/>
              <w:jc w:val="both"/>
              <w:rPr>
                <w:rFonts w:hint="eastAsia"/>
                <w:b/>
                <w:bCs/>
                <w:sz w:val="24"/>
                <w:u w:val="single"/>
                <w:lang w:val="en-US" w:eastAsia="zh-CN"/>
              </w:rPr>
            </w:pPr>
            <w:r>
              <w:rPr>
                <w:rFonts w:hint="eastAsia"/>
                <w:b/>
                <w:bCs/>
                <w:sz w:val="24"/>
                <w:u w:val="single"/>
                <w:lang w:val="en-US" w:eastAsia="zh-CN"/>
              </w:rPr>
              <w:t>（5）电磁辐射</w:t>
            </w:r>
          </w:p>
          <w:p>
            <w:pPr>
              <w:spacing w:line="360" w:lineRule="auto"/>
              <w:ind w:firstLine="480" w:firstLineChars="200"/>
              <w:rPr>
                <w:rFonts w:hint="default"/>
                <w:sz w:val="24"/>
                <w:u w:val="single"/>
                <w:lang w:val="en-US" w:eastAsia="zh-CN"/>
              </w:rPr>
            </w:pPr>
            <w:r>
              <w:rPr>
                <w:rFonts w:hint="eastAsia"/>
                <w:sz w:val="24"/>
                <w:u w:val="single"/>
                <w:lang w:val="en-US" w:eastAsia="zh-CN"/>
              </w:rPr>
              <w:t>本疾控中心历史上曾建设放射科，涉及放射性检测；随着医疗条件的进步，当地放射性检测的需求逐渐转移至其他医疗机构，因此至2015年后，本疾控中心已将检测设备转移，目前不涉及X光、CT等辐射设备</w:t>
            </w:r>
            <w:r>
              <w:rPr>
                <w:sz w:val="24"/>
                <w:u w:val="single"/>
              </w:rPr>
              <w:t>。</w:t>
            </w:r>
          </w:p>
          <w:p>
            <w:pPr>
              <w:pStyle w:val="21"/>
              <w:jc w:val="center"/>
              <w:rPr>
                <w:rFonts w:hint="default"/>
                <w:b/>
                <w:bCs/>
                <w:sz w:val="24"/>
                <w:lang w:val="en-US" w:eastAsia="zh-CN"/>
              </w:rPr>
            </w:pPr>
            <w:r>
              <w:rPr>
                <w:rFonts w:hint="eastAsia"/>
                <w:b/>
                <w:bCs/>
                <w:sz w:val="24"/>
                <w:lang w:val="en-US" w:eastAsia="zh-CN"/>
              </w:rPr>
              <w:t>表</w:t>
            </w:r>
            <w:r>
              <w:rPr>
                <w:rFonts w:hint="default" w:ascii="Times New Roman" w:hAnsi="Times New Roman" w:cs="Times New Roman"/>
                <w:b/>
                <w:bCs/>
                <w:sz w:val="24"/>
                <w:lang w:val="en-US" w:eastAsia="zh-CN"/>
              </w:rPr>
              <w:t>2-1</w:t>
            </w:r>
            <w:r>
              <w:rPr>
                <w:rFonts w:hint="eastAsia" w:ascii="Times New Roman" w:hAnsi="Times New Roman" w:cs="Times New Roman"/>
                <w:b/>
                <w:bCs/>
                <w:sz w:val="24"/>
                <w:lang w:val="en-US" w:eastAsia="zh-CN"/>
              </w:rPr>
              <w:t>2</w:t>
            </w:r>
            <w:r>
              <w:rPr>
                <w:rFonts w:hint="eastAsia"/>
                <w:b/>
                <w:bCs/>
                <w:sz w:val="24"/>
                <w:lang w:val="en-US" w:eastAsia="zh-CN"/>
              </w:rPr>
              <w:t xml:space="preserve">  原有工程产排污情况汇总</w:t>
            </w:r>
          </w:p>
          <w:tbl>
            <w:tblPr>
              <w:tblStyle w:val="17"/>
              <w:tblW w:w="8914" w:type="dxa"/>
              <w:tblInd w:w="-2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
              <w:gridCol w:w="391"/>
              <w:gridCol w:w="275"/>
              <w:gridCol w:w="167"/>
              <w:gridCol w:w="258"/>
              <w:gridCol w:w="248"/>
              <w:gridCol w:w="418"/>
              <w:gridCol w:w="4"/>
              <w:gridCol w:w="868"/>
              <w:gridCol w:w="214"/>
              <w:gridCol w:w="212"/>
              <w:gridCol w:w="283"/>
              <w:gridCol w:w="664"/>
              <w:gridCol w:w="27"/>
              <w:gridCol w:w="418"/>
              <w:gridCol w:w="54"/>
              <w:gridCol w:w="502"/>
              <w:gridCol w:w="814"/>
              <w:gridCol w:w="43"/>
              <w:gridCol w:w="117"/>
              <w:gridCol w:w="796"/>
              <w:gridCol w:w="178"/>
              <w:gridCol w:w="105"/>
              <w:gridCol w:w="869"/>
              <w:gridCol w:w="68"/>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914" w:type="dxa"/>
                  <w:gridSpan w:val="26"/>
                  <w:tcBorders>
                    <w:tl2br w:val="nil"/>
                    <w:tr2bl w:val="nil"/>
                  </w:tcBorders>
                  <w:vAlign w:val="center"/>
                </w:tcPr>
                <w:p>
                  <w:pPr>
                    <w:jc w:val="center"/>
                    <w:rPr>
                      <w:rFonts w:hint="default"/>
                      <w:sz w:val="21"/>
                      <w:szCs w:val="21"/>
                      <w:lang w:val="en-US" w:eastAsia="zh-CN"/>
                    </w:rPr>
                  </w:pPr>
                  <w:r>
                    <w:rPr>
                      <w:rFonts w:hint="eastAsia"/>
                      <w:b/>
                      <w:bCs/>
                      <w:sz w:val="21"/>
                      <w:szCs w:val="21"/>
                      <w:lang w:val="en-US" w:eastAsia="zh-CN"/>
                    </w:rPr>
                    <w:t>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产污环节</w:t>
                  </w:r>
                </w:p>
              </w:tc>
              <w:tc>
                <w:tcPr>
                  <w:tcW w:w="670" w:type="dxa"/>
                  <w:gridSpan w:val="3"/>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排放形式</w:t>
                  </w:r>
                </w:p>
              </w:tc>
              <w:tc>
                <w:tcPr>
                  <w:tcW w:w="868" w:type="dxa"/>
                  <w:tcBorders>
                    <w:tl2br w:val="nil"/>
                    <w:tr2bl w:val="nil"/>
                  </w:tcBorders>
                  <w:vAlign w:val="center"/>
                </w:tcPr>
                <w:p>
                  <w:pPr>
                    <w:jc w:val="center"/>
                    <w:rPr>
                      <w:rFonts w:hint="eastAsia"/>
                      <w:b/>
                      <w:bCs/>
                      <w:sz w:val="21"/>
                      <w:szCs w:val="21"/>
                      <w:lang w:val="en-US" w:eastAsia="zh-CN"/>
                    </w:rPr>
                  </w:pPr>
                  <w:r>
                    <w:rPr>
                      <w:rFonts w:hint="eastAsia"/>
                      <w:b/>
                      <w:bCs/>
                      <w:sz w:val="21"/>
                      <w:szCs w:val="21"/>
                      <w:lang w:val="en-US" w:eastAsia="zh-CN"/>
                    </w:rPr>
                    <w:t>污染物</w:t>
                  </w:r>
                </w:p>
              </w:tc>
              <w:tc>
                <w:tcPr>
                  <w:tcW w:w="709" w:type="dxa"/>
                  <w:gridSpan w:val="3"/>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产生浓度</w:t>
                  </w:r>
                </w:p>
              </w:tc>
              <w:tc>
                <w:tcPr>
                  <w:tcW w:w="1163" w:type="dxa"/>
                  <w:gridSpan w:val="4"/>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产生速率</w:t>
                  </w:r>
                </w:p>
              </w:tc>
              <w:tc>
                <w:tcPr>
                  <w:tcW w:w="1316" w:type="dxa"/>
                  <w:gridSpan w:val="2"/>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治理措施</w:t>
                  </w:r>
                </w:p>
              </w:tc>
              <w:tc>
                <w:tcPr>
                  <w:tcW w:w="956" w:type="dxa"/>
                  <w:gridSpan w:val="3"/>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排放浓度</w:t>
                  </w:r>
                </w:p>
              </w:tc>
              <w:tc>
                <w:tcPr>
                  <w:tcW w:w="1220" w:type="dxa"/>
                  <w:gridSpan w:val="4"/>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排放速率</w:t>
                  </w:r>
                </w:p>
              </w:tc>
              <w:tc>
                <w:tcPr>
                  <w:tcW w:w="911"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实验室废气</w:t>
                  </w:r>
                </w:p>
              </w:tc>
              <w:tc>
                <w:tcPr>
                  <w:tcW w:w="700"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消解废气</w:t>
                  </w:r>
                </w:p>
              </w:tc>
              <w:tc>
                <w:tcPr>
                  <w:tcW w:w="670"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有组织</w:t>
                  </w:r>
                </w:p>
              </w:tc>
              <w:tc>
                <w:tcPr>
                  <w:tcW w:w="868"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NO</w:t>
                  </w:r>
                  <w:r>
                    <w:rPr>
                      <w:rFonts w:hint="eastAsia"/>
                      <w:sz w:val="21"/>
                      <w:szCs w:val="21"/>
                      <w:vertAlign w:val="subscript"/>
                      <w:lang w:val="en-US" w:eastAsia="zh-CN"/>
                    </w:rPr>
                    <w:t>x</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cs="Times New Roman"/>
                      <w:sz w:val="21"/>
                      <w:szCs w:val="21"/>
                      <w:u w:val="single"/>
                      <w:vertAlign w:val="baseline"/>
                      <w:lang w:val="en-US" w:eastAsia="zh-CN"/>
                    </w:rPr>
                    <w:t>0.0218</w:t>
                  </w:r>
                </w:p>
              </w:tc>
              <w:tc>
                <w:tcPr>
                  <w:tcW w:w="13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由风机抽至屋顶由15m排气口排放</w:t>
                  </w:r>
                </w:p>
              </w:tc>
              <w:tc>
                <w:tcPr>
                  <w:tcW w:w="956" w:type="dxa"/>
                  <w:gridSpan w:val="3"/>
                  <w:tcBorders>
                    <w:tl2br w:val="nil"/>
                    <w:tr2bl w:val="nil"/>
                  </w:tcBorders>
                  <w:vAlign w:val="center"/>
                </w:tcPr>
                <w:p>
                  <w:pPr>
                    <w:jc w:val="center"/>
                    <w:rPr>
                      <w:rFonts w:hint="default"/>
                      <w:sz w:val="21"/>
                      <w:szCs w:val="21"/>
                      <w:lang w:val="en-US" w:eastAsia="zh-CN"/>
                    </w:rPr>
                  </w:pPr>
                  <w:r>
                    <w:rPr>
                      <w:rFonts w:hint="eastAsia" w:cs="Times New Roman"/>
                      <w:sz w:val="21"/>
                      <w:szCs w:val="21"/>
                      <w:u w:val="single"/>
                      <w:vertAlign w:val="baseline"/>
                      <w:lang w:val="en-US" w:eastAsia="zh-CN"/>
                    </w:rPr>
                    <w:t>10.92</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cs="Times New Roman"/>
                      <w:sz w:val="21"/>
                      <w:szCs w:val="21"/>
                      <w:u w:val="single"/>
                      <w:vertAlign w:val="baseline"/>
                      <w:lang w:val="en-US" w:eastAsia="zh-CN"/>
                    </w:rPr>
                    <w:t>0.0218</w:t>
                  </w:r>
                </w:p>
              </w:tc>
              <w:tc>
                <w:tcPr>
                  <w:tcW w:w="911" w:type="dxa"/>
                  <w:tcBorders>
                    <w:tl2br w:val="nil"/>
                    <w:tr2bl w:val="nil"/>
                  </w:tcBorders>
                  <w:vAlign w:val="center"/>
                </w:tcPr>
                <w:p>
                  <w:pPr>
                    <w:jc w:val="center"/>
                    <w:rPr>
                      <w:rFonts w:hint="default"/>
                      <w:sz w:val="21"/>
                      <w:szCs w:val="21"/>
                      <w:lang w:val="en-US" w:eastAsia="zh-CN"/>
                    </w:rPr>
                  </w:pPr>
                  <w:r>
                    <w:rPr>
                      <w:rFonts w:hint="eastAsia" w:cs="Times New Roman"/>
                      <w:sz w:val="21"/>
                      <w:szCs w:val="21"/>
                      <w:u w:val="single"/>
                      <w:vertAlign w:val="baseline"/>
                      <w:lang w:val="en-US" w:eastAsia="zh-CN"/>
                    </w:rPr>
                    <w:t>0.655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continue"/>
                  <w:tcBorders>
                    <w:tl2br w:val="nil"/>
                    <w:tr2bl w:val="nil"/>
                  </w:tcBorders>
                  <w:vAlign w:val="center"/>
                </w:tcPr>
                <w:p>
                  <w:pPr>
                    <w:jc w:val="center"/>
                    <w:rPr>
                      <w:sz w:val="21"/>
                      <w:szCs w:val="21"/>
                    </w:rPr>
                  </w:pPr>
                </w:p>
              </w:tc>
              <w:tc>
                <w:tcPr>
                  <w:tcW w:w="700" w:type="dxa"/>
                  <w:gridSpan w:val="3"/>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试剂挥发废气</w:t>
                  </w:r>
                </w:p>
              </w:tc>
              <w:tc>
                <w:tcPr>
                  <w:tcW w:w="670" w:type="dxa"/>
                  <w:gridSpan w:val="3"/>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无组织</w:t>
                  </w:r>
                </w:p>
              </w:tc>
              <w:tc>
                <w:tcPr>
                  <w:tcW w:w="868" w:type="dxa"/>
                  <w:tcBorders>
                    <w:tl2br w:val="nil"/>
                    <w:tr2bl w:val="nil"/>
                  </w:tcBorders>
                  <w:vAlign w:val="center"/>
                </w:tcPr>
                <w:p>
                  <w:pPr>
                    <w:jc w:val="center"/>
                    <w:rPr>
                      <w:rFonts w:hint="eastAsia"/>
                      <w:b w:val="0"/>
                      <w:bCs w:val="0"/>
                      <w:sz w:val="21"/>
                      <w:szCs w:val="21"/>
                      <w:lang w:val="en-US" w:eastAsia="zh-CN"/>
                    </w:rPr>
                  </w:pPr>
                  <w:r>
                    <w:rPr>
                      <w:rFonts w:hint="eastAsia"/>
                      <w:b w:val="0"/>
                      <w:bCs w:val="0"/>
                      <w:sz w:val="21"/>
                      <w:szCs w:val="21"/>
                      <w:lang w:val="en-US" w:eastAsia="zh-CN"/>
                    </w:rPr>
                    <w:t>硫酸雾</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1.41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-7</w:t>
                  </w:r>
                </w:p>
              </w:tc>
              <w:tc>
                <w:tcPr>
                  <w:tcW w:w="1316"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加强通风</w:t>
                  </w: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1.41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-7</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1.765</w:t>
                  </w:r>
                  <w:r>
                    <w:rPr>
                      <w:rFonts w:hint="default"/>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continue"/>
                  <w:tcBorders>
                    <w:tl2br w:val="nil"/>
                    <w:tr2bl w:val="nil"/>
                  </w:tcBorders>
                  <w:vAlign w:val="center"/>
                </w:tcPr>
                <w:p>
                  <w:pPr>
                    <w:jc w:val="center"/>
                    <w:rPr>
                      <w:sz w:val="21"/>
                      <w:szCs w:val="21"/>
                    </w:rPr>
                  </w:pPr>
                </w:p>
              </w:tc>
              <w:tc>
                <w:tcPr>
                  <w:tcW w:w="700" w:type="dxa"/>
                  <w:gridSpan w:val="3"/>
                  <w:vMerge w:val="continue"/>
                  <w:tcBorders>
                    <w:tl2br w:val="nil"/>
                    <w:tr2bl w:val="nil"/>
                  </w:tcBorders>
                  <w:vAlign w:val="center"/>
                </w:tcPr>
                <w:p>
                  <w:pPr>
                    <w:jc w:val="center"/>
                    <w:rPr>
                      <w:sz w:val="21"/>
                      <w:szCs w:val="21"/>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eastAsia"/>
                      <w:b w:val="0"/>
                      <w:bCs w:val="0"/>
                      <w:sz w:val="21"/>
                      <w:szCs w:val="21"/>
                      <w:lang w:val="en-US" w:eastAsia="zh-CN"/>
                    </w:rPr>
                  </w:pPr>
                  <w:r>
                    <w:rPr>
                      <w:rFonts w:hint="eastAsia"/>
                      <w:b w:val="0"/>
                      <w:bCs w:val="0"/>
                      <w:sz w:val="21"/>
                      <w:szCs w:val="21"/>
                      <w:lang w:val="en-US" w:eastAsia="zh-CN"/>
                    </w:rPr>
                    <w:t>磷酸雾</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2.14</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-3</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2.14</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-3</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0.2675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continue"/>
                  <w:tcBorders>
                    <w:tl2br w:val="nil"/>
                    <w:tr2bl w:val="nil"/>
                  </w:tcBorders>
                  <w:vAlign w:val="center"/>
                </w:tcPr>
                <w:p>
                  <w:pPr>
                    <w:jc w:val="center"/>
                    <w:rPr>
                      <w:rFonts w:hint="default"/>
                      <w:sz w:val="21"/>
                      <w:szCs w:val="21"/>
                      <w:lang w:val="en-US" w:eastAsia="zh-CN"/>
                    </w:rPr>
                  </w:pPr>
                </w:p>
              </w:tc>
              <w:tc>
                <w:tcPr>
                  <w:tcW w:w="700" w:type="dxa"/>
                  <w:gridSpan w:val="3"/>
                  <w:vMerge w:val="continue"/>
                  <w:tcBorders>
                    <w:tl2br w:val="nil"/>
                    <w:tr2bl w:val="nil"/>
                  </w:tcBorders>
                  <w:vAlign w:val="center"/>
                </w:tcPr>
                <w:p>
                  <w:pPr>
                    <w:jc w:val="center"/>
                    <w:rPr>
                      <w:rFonts w:hint="default"/>
                      <w:sz w:val="21"/>
                      <w:szCs w:val="21"/>
                      <w:lang w:val="en-US" w:eastAsia="zh-CN"/>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eastAsia"/>
                      <w:lang w:val="en-US" w:eastAsia="zh-CN"/>
                    </w:rPr>
                  </w:pPr>
                  <w:r>
                    <w:rPr>
                      <w:rFonts w:hint="eastAsia"/>
                      <w:lang w:val="en-US" w:eastAsia="zh-CN"/>
                    </w:rPr>
                    <w:t>硝酸雾</w:t>
                  </w:r>
                  <w:r>
                    <w:rPr>
                      <w:rFonts w:hint="eastAsia" w:ascii="Times New Roman" w:hAnsi="Times New Roman" w:cs="Times New Roman"/>
                      <w:color w:val="auto"/>
                      <w:kern w:val="2"/>
                      <w:sz w:val="21"/>
                      <w:szCs w:val="22"/>
                      <w:lang w:val="en-US" w:eastAsia="zh-CN" w:bidi="ar-SA"/>
                    </w:rPr>
                    <w:t>(</w:t>
                  </w:r>
                  <w:r>
                    <w:rPr>
                      <w:rFonts w:hint="eastAsia" w:ascii="Times New Roman" w:hAnsi="Times New Roman" w:eastAsia="宋体" w:cs="Times New Roman"/>
                      <w:color w:val="auto"/>
                      <w:kern w:val="2"/>
                      <w:sz w:val="21"/>
                      <w:szCs w:val="22"/>
                      <w:lang w:val="en-US" w:eastAsia="zh-CN" w:bidi="ar-SA"/>
                    </w:rPr>
                    <w:t>NO</w:t>
                  </w:r>
                  <w:r>
                    <w:rPr>
                      <w:rFonts w:hint="eastAsia" w:ascii="Times New Roman" w:hAnsi="Times New Roman" w:eastAsia="宋体" w:cs="Times New Roman"/>
                      <w:color w:val="auto"/>
                      <w:kern w:val="2"/>
                      <w:sz w:val="21"/>
                      <w:szCs w:val="22"/>
                      <w:vertAlign w:val="subscript"/>
                      <w:lang w:val="en-US" w:eastAsia="zh-CN" w:bidi="ar-SA"/>
                    </w:rPr>
                    <w:t>x</w:t>
                  </w:r>
                  <w:r>
                    <w:rPr>
                      <w:rFonts w:hint="eastAsia" w:ascii="Times New Roman" w:hAnsi="Times New Roman" w:cs="Times New Roman"/>
                      <w:color w:val="auto"/>
                      <w:kern w:val="2"/>
                      <w:sz w:val="21"/>
                      <w:szCs w:val="22"/>
                      <w:lang w:val="en-US" w:eastAsia="zh-CN" w:bidi="ar-SA"/>
                    </w:rPr>
                    <w:t>)</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8.510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8.510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0.1064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continue"/>
                  <w:tcBorders>
                    <w:tl2br w:val="nil"/>
                    <w:tr2bl w:val="nil"/>
                  </w:tcBorders>
                  <w:vAlign w:val="center"/>
                </w:tcPr>
                <w:p>
                  <w:pPr>
                    <w:jc w:val="center"/>
                    <w:rPr>
                      <w:sz w:val="21"/>
                      <w:szCs w:val="21"/>
                    </w:rPr>
                  </w:pPr>
                </w:p>
              </w:tc>
              <w:tc>
                <w:tcPr>
                  <w:tcW w:w="700" w:type="dxa"/>
                  <w:gridSpan w:val="3"/>
                  <w:vMerge w:val="continue"/>
                  <w:tcBorders>
                    <w:tl2br w:val="nil"/>
                    <w:tr2bl w:val="nil"/>
                  </w:tcBorders>
                  <w:vAlign w:val="center"/>
                </w:tcPr>
                <w:p>
                  <w:pPr>
                    <w:jc w:val="center"/>
                    <w:rPr>
                      <w:sz w:val="21"/>
                      <w:szCs w:val="21"/>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default"/>
                      <w:b w:val="0"/>
                      <w:bCs w:val="0"/>
                      <w:sz w:val="21"/>
                      <w:szCs w:val="21"/>
                      <w:lang w:val="en-US" w:eastAsia="zh-CN"/>
                    </w:rPr>
                  </w:pPr>
                  <w:r>
                    <w:rPr>
                      <w:rFonts w:hint="eastAsia"/>
                      <w:b w:val="0"/>
                      <w:bCs w:val="0"/>
                      <w:sz w:val="21"/>
                      <w:szCs w:val="21"/>
                      <w:lang w:val="en-US" w:eastAsia="zh-CN"/>
                    </w:rPr>
                    <w:t>盐酸雾(HCl)</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9.372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9.372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0.1171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continue"/>
                  <w:tcBorders>
                    <w:tl2br w:val="nil"/>
                    <w:tr2bl w:val="nil"/>
                  </w:tcBorders>
                  <w:vAlign w:val="center"/>
                </w:tcPr>
                <w:p>
                  <w:pPr>
                    <w:jc w:val="center"/>
                    <w:rPr>
                      <w:sz w:val="21"/>
                      <w:szCs w:val="21"/>
                    </w:rPr>
                  </w:pPr>
                </w:p>
              </w:tc>
              <w:tc>
                <w:tcPr>
                  <w:tcW w:w="700" w:type="dxa"/>
                  <w:gridSpan w:val="3"/>
                  <w:vMerge w:val="continue"/>
                  <w:tcBorders>
                    <w:tl2br w:val="nil"/>
                    <w:tr2bl w:val="nil"/>
                  </w:tcBorders>
                  <w:vAlign w:val="center"/>
                </w:tcPr>
                <w:p>
                  <w:pPr>
                    <w:jc w:val="center"/>
                    <w:rPr>
                      <w:sz w:val="21"/>
                      <w:szCs w:val="21"/>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default"/>
                      <w:b w:val="0"/>
                      <w:bCs w:val="0"/>
                      <w:sz w:val="21"/>
                      <w:szCs w:val="21"/>
                      <w:lang w:val="en-US" w:eastAsia="zh-CN"/>
                    </w:rPr>
                  </w:pPr>
                  <w:r>
                    <w:rPr>
                      <w:rFonts w:hint="eastAsia"/>
                      <w:b w:val="0"/>
                      <w:bCs w:val="0"/>
                      <w:sz w:val="21"/>
                      <w:szCs w:val="21"/>
                      <w:lang w:val="en-US" w:eastAsia="zh-CN"/>
                    </w:rPr>
                    <w:t>三氯甲烷</w:t>
                  </w:r>
                </w:p>
              </w:tc>
              <w:tc>
                <w:tcPr>
                  <w:tcW w:w="709"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9.072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9.072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911"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0.1134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01" w:type="dxa"/>
                  <w:gridSpan w:val="2"/>
                  <w:vMerge w:val="continue"/>
                  <w:tcBorders>
                    <w:tl2br w:val="nil"/>
                    <w:tr2bl w:val="nil"/>
                  </w:tcBorders>
                  <w:vAlign w:val="center"/>
                </w:tcPr>
                <w:p>
                  <w:pPr>
                    <w:jc w:val="center"/>
                    <w:rPr>
                      <w:rFonts w:hint="default"/>
                      <w:sz w:val="21"/>
                      <w:szCs w:val="21"/>
                      <w:lang w:val="en-US" w:eastAsia="zh-CN"/>
                    </w:rPr>
                  </w:pPr>
                </w:p>
              </w:tc>
              <w:tc>
                <w:tcPr>
                  <w:tcW w:w="700"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微生物废气</w:t>
                  </w:r>
                </w:p>
              </w:tc>
              <w:tc>
                <w:tcPr>
                  <w:tcW w:w="670"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无组织</w:t>
                  </w:r>
                </w:p>
              </w:tc>
              <w:tc>
                <w:tcPr>
                  <w:tcW w:w="868" w:type="dxa"/>
                  <w:tcBorders>
                    <w:tl2br w:val="nil"/>
                    <w:tr2bl w:val="nil"/>
                  </w:tcBorders>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eastAsia"/>
                      <w:b w:val="0"/>
                      <w:bCs w:val="0"/>
                      <w:sz w:val="21"/>
                      <w:szCs w:val="21"/>
                      <w:lang w:val="en-US" w:eastAsia="zh-CN"/>
                    </w:rPr>
                    <w:t>致病细菌、病毒</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3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设置7台生物安全柜，使用HEPA滤网，对于0.3μm颗粒的过滤效率≥99.99%</w:t>
                  </w: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污水处理站恶臭气体</w:t>
                  </w:r>
                </w:p>
              </w:tc>
              <w:tc>
                <w:tcPr>
                  <w:tcW w:w="670" w:type="dxa"/>
                  <w:gridSpan w:val="3"/>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无组织</w:t>
                  </w:r>
                </w:p>
              </w:tc>
              <w:tc>
                <w:tcPr>
                  <w:tcW w:w="868" w:type="dxa"/>
                  <w:tcBorders>
                    <w:tl2br w:val="nil"/>
                    <w:tr2bl w:val="nil"/>
                  </w:tcBorders>
                  <w:vAlign w:val="center"/>
                </w:tcPr>
                <w:p>
                  <w:pPr>
                    <w:jc w:val="center"/>
                    <w:rPr>
                      <w:rFonts w:hint="default"/>
                      <w:sz w:val="21"/>
                      <w:szCs w:val="21"/>
                      <w:lang w:val="en-US" w:eastAsia="zh-CN"/>
                    </w:rPr>
                  </w:pPr>
                  <w:r>
                    <w:rPr>
                      <w:rFonts w:hint="eastAsia"/>
                      <w:b w:val="0"/>
                      <w:bCs w:val="0"/>
                      <w:sz w:val="21"/>
                      <w:szCs w:val="21"/>
                      <w:lang w:val="en-US" w:eastAsia="zh-CN"/>
                    </w:rPr>
                    <w:t>NH</w:t>
                  </w:r>
                  <w:r>
                    <w:rPr>
                      <w:rFonts w:hint="eastAsia"/>
                      <w:b w:val="0"/>
                      <w:bCs w:val="0"/>
                      <w:sz w:val="21"/>
                      <w:szCs w:val="21"/>
                      <w:vertAlign w:val="subscript"/>
                      <w:lang w:val="en-US" w:eastAsia="zh-CN"/>
                    </w:rPr>
                    <w:t>3</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1.031</w:t>
                  </w:r>
                  <w:r>
                    <w:rPr>
                      <w:rFonts w:hint="default"/>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c>
                <w:tcPr>
                  <w:tcW w:w="1316"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加强绿化、设备密封</w:t>
                  </w: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b w:val="0"/>
                      <w:bCs/>
                      <w:color w:val="auto"/>
                      <w:sz w:val="21"/>
                      <w:szCs w:val="21"/>
                      <w:u w:val="none" w:color="auto"/>
                      <w:vertAlign w:val="baseline"/>
                      <w:lang w:val="en-US" w:eastAsia="zh-CN"/>
                    </w:rPr>
                    <w:t>0.0109</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1.031</w:t>
                  </w:r>
                  <w:r>
                    <w:rPr>
                      <w:rFonts w:hint="default"/>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vMerge w:val="continue"/>
                  <w:tcBorders>
                    <w:tl2br w:val="nil"/>
                    <w:tr2bl w:val="nil"/>
                  </w:tcBorders>
                  <w:vAlign w:val="center"/>
                </w:tcPr>
                <w:p>
                  <w:pPr>
                    <w:jc w:val="cente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default"/>
                      <w:sz w:val="21"/>
                      <w:szCs w:val="21"/>
                      <w:lang w:val="en-US" w:eastAsia="zh-CN"/>
                    </w:rPr>
                  </w:pPr>
                  <w:r>
                    <w:rPr>
                      <w:rFonts w:hint="eastAsia"/>
                      <w:b w:val="0"/>
                      <w:bCs w:val="0"/>
                      <w:sz w:val="21"/>
                      <w:szCs w:val="21"/>
                      <w:lang w:val="en-US" w:eastAsia="zh-CN"/>
                    </w:rPr>
                    <w:t>H</w:t>
                  </w:r>
                  <w:r>
                    <w:rPr>
                      <w:rFonts w:hint="eastAsia"/>
                      <w:b w:val="0"/>
                      <w:bCs w:val="0"/>
                      <w:sz w:val="21"/>
                      <w:szCs w:val="21"/>
                      <w:vertAlign w:val="subscript"/>
                      <w:lang w:val="en-US" w:eastAsia="zh-CN"/>
                    </w:rPr>
                    <w:t>2</w:t>
                  </w:r>
                  <w:r>
                    <w:rPr>
                      <w:rFonts w:hint="eastAsia"/>
                      <w:b w:val="0"/>
                      <w:bCs w:val="0"/>
                      <w:sz w:val="21"/>
                      <w:szCs w:val="21"/>
                      <w:lang w:val="en-US" w:eastAsia="zh-CN"/>
                    </w:rPr>
                    <w:t>S</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3.1</w:t>
                  </w:r>
                  <w:r>
                    <w:rPr>
                      <w:rFonts w:hint="default"/>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-7</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vertAlign w:val="baseline"/>
                      <w:lang w:val="en-US" w:eastAsia="zh-CN"/>
                    </w:rPr>
                    <w:t>0.00042</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3.1</w:t>
                  </w:r>
                  <w:r>
                    <w:rPr>
                      <w:rFonts w:hint="default"/>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vMerge w:val="continue"/>
                  <w:tcBorders>
                    <w:tl2br w:val="nil"/>
                    <w:tr2bl w:val="nil"/>
                  </w:tcBorders>
                  <w:vAlign w:val="center"/>
                </w:tcPr>
                <w:p>
                  <w:pPr>
                    <w:jc w:val="center"/>
                    <w:rPr>
                      <w:rFonts w:hint="default"/>
                      <w:sz w:val="21"/>
                      <w:szCs w:val="21"/>
                      <w:lang w:val="en-US" w:eastAsia="zh-CN"/>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default"/>
                      <w:sz w:val="21"/>
                      <w:szCs w:val="21"/>
                      <w:lang w:val="en-US" w:eastAsia="zh-CN"/>
                    </w:rPr>
                  </w:pPr>
                  <w:r>
                    <w:rPr>
                      <w:rFonts w:hint="eastAsia"/>
                      <w:b w:val="0"/>
                      <w:bCs w:val="0"/>
                      <w:sz w:val="21"/>
                      <w:szCs w:val="21"/>
                      <w:lang w:val="en-US" w:eastAsia="zh-CN"/>
                    </w:rPr>
                    <w:t>臭气浓度</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vMerge w:val="continue"/>
                  <w:tcBorders>
                    <w:tl2br w:val="nil"/>
                    <w:tr2bl w:val="nil"/>
                  </w:tcBorders>
                  <w:vAlign w:val="center"/>
                </w:tcPr>
                <w:p>
                  <w:pPr>
                    <w:jc w:val="center"/>
                    <w:rPr>
                      <w:rFonts w:hint="default"/>
                      <w:sz w:val="21"/>
                      <w:szCs w:val="21"/>
                      <w:lang w:val="en-US" w:eastAsia="zh-CN"/>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default"/>
                      <w:sz w:val="21"/>
                      <w:szCs w:val="21"/>
                      <w:lang w:val="en-US" w:eastAsia="zh-CN"/>
                    </w:rPr>
                  </w:pPr>
                  <w:r>
                    <w:rPr>
                      <w:rFonts w:hint="eastAsia"/>
                      <w:b w:val="0"/>
                      <w:bCs w:val="0"/>
                      <w:sz w:val="21"/>
                      <w:szCs w:val="21"/>
                      <w:lang w:val="en-US" w:eastAsia="zh-CN"/>
                    </w:rPr>
                    <w:t>Cl</w:t>
                  </w:r>
                  <w:r>
                    <w:rPr>
                      <w:rFonts w:hint="eastAsia"/>
                      <w:b w:val="0"/>
                      <w:bCs w:val="0"/>
                      <w:sz w:val="21"/>
                      <w:szCs w:val="21"/>
                      <w:vertAlign w:val="subscript"/>
                      <w:lang w:val="en-US" w:eastAsia="zh-CN"/>
                    </w:rPr>
                    <w:t>2</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vMerge w:val="continue"/>
                  <w:tcBorders>
                    <w:tl2br w:val="nil"/>
                    <w:tr2bl w:val="nil"/>
                  </w:tcBorders>
                  <w:vAlign w:val="center"/>
                </w:tcPr>
                <w:p>
                  <w:pPr>
                    <w:jc w:val="center"/>
                    <w:rPr>
                      <w:rFonts w:hint="default"/>
                      <w:sz w:val="21"/>
                      <w:szCs w:val="21"/>
                      <w:lang w:val="en-US" w:eastAsia="zh-CN"/>
                    </w:rPr>
                  </w:pPr>
                </w:p>
              </w:tc>
              <w:tc>
                <w:tcPr>
                  <w:tcW w:w="670" w:type="dxa"/>
                  <w:gridSpan w:val="3"/>
                  <w:vMerge w:val="continue"/>
                  <w:tcBorders>
                    <w:tl2br w:val="nil"/>
                    <w:tr2bl w:val="nil"/>
                  </w:tcBorders>
                  <w:vAlign w:val="center"/>
                </w:tcPr>
                <w:p>
                  <w:pPr>
                    <w:jc w:val="center"/>
                    <w:rPr>
                      <w:rFonts w:hint="default"/>
                      <w:sz w:val="21"/>
                      <w:szCs w:val="21"/>
                      <w:lang w:val="en-US" w:eastAsia="zh-CN"/>
                    </w:rPr>
                  </w:pPr>
                </w:p>
              </w:tc>
              <w:tc>
                <w:tcPr>
                  <w:tcW w:w="868" w:type="dxa"/>
                  <w:tcBorders>
                    <w:tl2br w:val="nil"/>
                    <w:tr2bl w:val="nil"/>
                  </w:tcBorders>
                  <w:vAlign w:val="center"/>
                </w:tcPr>
                <w:p>
                  <w:pPr>
                    <w:jc w:val="center"/>
                    <w:rPr>
                      <w:rFonts w:hint="default"/>
                      <w:sz w:val="21"/>
                      <w:szCs w:val="21"/>
                      <w:lang w:val="en-US" w:eastAsia="zh-CN"/>
                    </w:rPr>
                  </w:pPr>
                  <w:r>
                    <w:rPr>
                      <w:rFonts w:hint="eastAsia"/>
                      <w:b w:val="0"/>
                      <w:bCs w:val="0"/>
                      <w:sz w:val="21"/>
                      <w:szCs w:val="21"/>
                      <w:lang w:val="en-US" w:eastAsia="zh-CN"/>
                    </w:rPr>
                    <w:t>CH</w:t>
                  </w:r>
                  <w:r>
                    <w:rPr>
                      <w:rFonts w:hint="eastAsia"/>
                      <w:b w:val="0"/>
                      <w:bCs w:val="0"/>
                      <w:sz w:val="21"/>
                      <w:szCs w:val="21"/>
                      <w:vertAlign w:val="subscript"/>
                      <w:lang w:val="en-US" w:eastAsia="zh-CN"/>
                    </w:rPr>
                    <w:t>4</w:t>
                  </w:r>
                </w:p>
              </w:tc>
              <w:tc>
                <w:tcPr>
                  <w:tcW w:w="709"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316" w:type="dxa"/>
                  <w:gridSpan w:val="2"/>
                  <w:vMerge w:val="continue"/>
                  <w:tcBorders>
                    <w:tl2br w:val="nil"/>
                    <w:tr2bl w:val="nil"/>
                  </w:tcBorders>
                  <w:vAlign w:val="center"/>
                </w:tcPr>
                <w:p>
                  <w:pPr>
                    <w:jc w:val="center"/>
                    <w:rPr>
                      <w:rFonts w:hint="default"/>
                      <w:sz w:val="21"/>
                      <w:szCs w:val="21"/>
                      <w:lang w:val="en-US" w:eastAsia="zh-CN"/>
                    </w:rPr>
                  </w:pPr>
                </w:p>
              </w:tc>
              <w:tc>
                <w:tcPr>
                  <w:tcW w:w="956"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1220"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c>
                <w:tcPr>
                  <w:tcW w:w="91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微量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01" w:type="dxa"/>
                  <w:gridSpan w:val="5"/>
                  <w:tcBorders>
                    <w:bottom w:val="single" w:color="auto" w:sz="12" w:space="0"/>
                    <w:tl2br w:val="nil"/>
                    <w:tr2bl w:val="nil"/>
                  </w:tcBorders>
                  <w:vAlign w:val="center"/>
                </w:tcPr>
                <w:p>
                  <w:pPr>
                    <w:jc w:val="center"/>
                    <w:rPr>
                      <w:rFonts w:hint="default"/>
                      <w:sz w:val="21"/>
                      <w:szCs w:val="21"/>
                      <w:lang w:val="en-US" w:eastAsia="zh-CN"/>
                    </w:rPr>
                  </w:pPr>
                  <w:r>
                    <w:rPr>
                      <w:rFonts w:hint="eastAsia"/>
                      <w:sz w:val="21"/>
                      <w:szCs w:val="21"/>
                      <w:lang w:val="en-US" w:eastAsia="zh-CN"/>
                    </w:rPr>
                    <w:t>食堂油烟</w:t>
                  </w:r>
                </w:p>
              </w:tc>
              <w:tc>
                <w:tcPr>
                  <w:tcW w:w="670" w:type="dxa"/>
                  <w:gridSpan w:val="3"/>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无组织</w:t>
                  </w:r>
                </w:p>
              </w:tc>
              <w:tc>
                <w:tcPr>
                  <w:tcW w:w="868" w:type="dxa"/>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油烟</w:t>
                  </w:r>
                </w:p>
              </w:tc>
              <w:tc>
                <w:tcPr>
                  <w:tcW w:w="709" w:type="dxa"/>
                  <w:gridSpan w:val="3"/>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163" w:type="dxa"/>
                  <w:gridSpan w:val="4"/>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vertAlign w:val="baseline"/>
                      <w:lang w:val="en-US" w:eastAsia="zh-CN"/>
                    </w:rPr>
                    <w:t>0.0027</w:t>
                  </w:r>
                </w:p>
              </w:tc>
              <w:tc>
                <w:tcPr>
                  <w:tcW w:w="1316" w:type="dxa"/>
                  <w:gridSpan w:val="2"/>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抽油烟机引至室外排放</w:t>
                  </w:r>
                </w:p>
              </w:tc>
              <w:tc>
                <w:tcPr>
                  <w:tcW w:w="956" w:type="dxa"/>
                  <w:gridSpan w:val="3"/>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1.8</w:t>
                  </w:r>
                </w:p>
              </w:tc>
              <w:tc>
                <w:tcPr>
                  <w:tcW w:w="1220" w:type="dxa"/>
                  <w:gridSpan w:val="4"/>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vertAlign w:val="baseline"/>
                      <w:lang w:val="en-US" w:eastAsia="zh-CN"/>
                    </w:rPr>
                    <w:t>0.0027</w:t>
                  </w:r>
                </w:p>
              </w:tc>
              <w:tc>
                <w:tcPr>
                  <w:tcW w:w="911" w:type="dxa"/>
                  <w:tcBorders>
                    <w:bottom w:val="single" w:color="auto" w:sz="12" w:space="0"/>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914" w:type="dxa"/>
                  <w:gridSpan w:val="26"/>
                  <w:tcBorders>
                    <w:top w:val="single" w:color="auto" w:sz="12" w:space="0"/>
                    <w:bottom w:val="single" w:color="auto" w:sz="4" w:space="0"/>
                  </w:tcBorders>
                  <w:vAlign w:val="center"/>
                </w:tcPr>
                <w:p>
                  <w:pPr>
                    <w:jc w:val="center"/>
                    <w:rPr>
                      <w:rFonts w:hint="default"/>
                      <w:sz w:val="21"/>
                      <w:szCs w:val="21"/>
                      <w:lang w:val="en-US" w:eastAsia="zh-CN"/>
                    </w:rPr>
                  </w:pPr>
                  <w:r>
                    <w:rPr>
                      <w:rFonts w:hint="eastAsia"/>
                      <w:b/>
                      <w:bCs/>
                      <w:sz w:val="21"/>
                      <w:szCs w:val="21"/>
                      <w:lang w:val="en-US" w:eastAsia="zh-CN"/>
                    </w:rPr>
                    <w:t>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废水种类</w:t>
                  </w:r>
                </w:p>
              </w:tc>
              <w:tc>
                <w:tcPr>
                  <w:tcW w:w="924" w:type="dxa"/>
                  <w:gridSpan w:val="3"/>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产生量</w:t>
                  </w:r>
                </w:p>
              </w:tc>
              <w:tc>
                <w:tcPr>
                  <w:tcW w:w="1298" w:type="dxa"/>
                  <w:gridSpan w:val="4"/>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污染物</w:t>
                  </w:r>
                </w:p>
              </w:tc>
              <w:tc>
                <w:tcPr>
                  <w:tcW w:w="974" w:type="dxa"/>
                  <w:gridSpan w:val="3"/>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产生浓度</w:t>
                  </w:r>
                </w:p>
              </w:tc>
              <w:tc>
                <w:tcPr>
                  <w:tcW w:w="974" w:type="dxa"/>
                  <w:gridSpan w:val="3"/>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治理设备</w:t>
                  </w:r>
                </w:p>
              </w:tc>
              <w:tc>
                <w:tcPr>
                  <w:tcW w:w="974" w:type="dxa"/>
                  <w:gridSpan w:val="3"/>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治理效率</w:t>
                  </w:r>
                </w:p>
              </w:tc>
              <w:tc>
                <w:tcPr>
                  <w:tcW w:w="974" w:type="dxa"/>
                  <w:gridSpan w:val="2"/>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排放方式</w:t>
                  </w:r>
                </w:p>
              </w:tc>
              <w:tc>
                <w:tcPr>
                  <w:tcW w:w="974" w:type="dxa"/>
                  <w:gridSpan w:val="2"/>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排放浓度</w:t>
                  </w:r>
                </w:p>
              </w:tc>
              <w:tc>
                <w:tcPr>
                  <w:tcW w:w="979" w:type="dxa"/>
                  <w:gridSpan w:val="2"/>
                  <w:tcBorders>
                    <w:top w:val="single" w:color="auto" w:sz="4" w:space="0"/>
                    <w:tl2br w:val="nil"/>
                    <w:tr2bl w:val="nil"/>
                  </w:tcBorders>
                  <w:vAlign w:val="center"/>
                </w:tcPr>
                <w:p>
                  <w:pPr>
                    <w:jc w:val="center"/>
                    <w:rPr>
                      <w:rFonts w:hint="eastAsia"/>
                      <w:b/>
                      <w:bCs/>
                      <w:sz w:val="21"/>
                      <w:szCs w:val="21"/>
                      <w:lang w:val="en-US" w:eastAsia="zh-CN"/>
                    </w:rPr>
                  </w:pPr>
                  <w:r>
                    <w:rPr>
                      <w:rFonts w:hint="eastAsia"/>
                      <w:b/>
                      <w:bCs/>
                      <w:sz w:val="21"/>
                      <w:szCs w:val="21"/>
                      <w:lang w:val="en-US" w:eastAsia="zh-CN"/>
                    </w:rPr>
                    <w:t>排放总量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生活废水</w:t>
                  </w:r>
                </w:p>
              </w:tc>
              <w:tc>
                <w:tcPr>
                  <w:tcW w:w="924" w:type="dxa"/>
                  <w:gridSpan w:val="3"/>
                  <w:vMerge w:val="restart"/>
                  <w:tcBorders>
                    <w:tl2br w:val="nil"/>
                    <w:tr2bl w:val="nil"/>
                  </w:tcBorders>
                  <w:vAlign w:val="center"/>
                </w:tcPr>
                <w:p>
                  <w:pPr>
                    <w:jc w:val="center"/>
                    <w:rPr>
                      <w:rFonts w:hint="eastAsia"/>
                      <w:sz w:val="21"/>
                      <w:szCs w:val="21"/>
                      <w:lang w:val="en-US" w:eastAsia="zh-CN"/>
                    </w:rPr>
                  </w:pPr>
                  <w:r>
                    <w:rPr>
                      <w:rFonts w:hint="eastAsia"/>
                      <w:b w:val="0"/>
                      <w:bCs/>
                      <w:color w:val="auto"/>
                      <w:sz w:val="21"/>
                      <w:szCs w:val="21"/>
                      <w:u w:val="none" w:color="auto"/>
                      <w:lang w:val="en-US" w:eastAsia="zh-CN"/>
                    </w:rPr>
                    <w:t>355.3</w:t>
                  </w:r>
                </w:p>
              </w:tc>
              <w:tc>
                <w:tcPr>
                  <w:tcW w:w="1298" w:type="dxa"/>
                  <w:gridSpan w:val="4"/>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COD</w:t>
                  </w:r>
                  <w:r>
                    <w:rPr>
                      <w:rFonts w:hint="eastAsia"/>
                      <w:sz w:val="21"/>
                      <w:szCs w:val="21"/>
                      <w:vertAlign w:val="subscript"/>
                      <w:lang w:val="en-US" w:eastAsia="zh-CN"/>
                    </w:rPr>
                    <w:t>cr</w:t>
                  </w:r>
                </w:p>
              </w:tc>
              <w:tc>
                <w:tcPr>
                  <w:tcW w:w="974"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974" w:type="dxa"/>
                  <w:gridSpan w:val="3"/>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化粪池</w:t>
                  </w:r>
                </w:p>
              </w:tc>
              <w:tc>
                <w:tcPr>
                  <w:tcW w:w="974"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974"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直排入文昌溪</w:t>
                  </w:r>
                </w:p>
              </w:tc>
              <w:tc>
                <w:tcPr>
                  <w:tcW w:w="97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260</w:t>
                  </w:r>
                </w:p>
              </w:tc>
              <w:tc>
                <w:tcPr>
                  <w:tcW w:w="979"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92.39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vAlign w:val="center"/>
                </w:tcPr>
                <w:p>
                  <w:pPr>
                    <w:jc w:val="center"/>
                    <w:rPr>
                      <w:sz w:val="21"/>
                      <w:szCs w:val="21"/>
                    </w:rPr>
                  </w:pPr>
                </w:p>
              </w:tc>
              <w:tc>
                <w:tcPr>
                  <w:tcW w:w="924" w:type="dxa"/>
                  <w:gridSpan w:val="3"/>
                  <w:vMerge w:val="continue"/>
                  <w:tcBorders>
                    <w:tl2br w:val="nil"/>
                    <w:tr2bl w:val="nil"/>
                  </w:tcBorders>
                  <w:vAlign w:val="center"/>
                </w:tcPr>
                <w:p>
                  <w:pPr>
                    <w:jc w:val="center"/>
                    <w:rPr>
                      <w:sz w:val="21"/>
                      <w:szCs w:val="21"/>
                    </w:rPr>
                  </w:pPr>
                </w:p>
              </w:tc>
              <w:tc>
                <w:tcPr>
                  <w:tcW w:w="1298" w:type="dxa"/>
                  <w:gridSpan w:val="4"/>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BOD</w:t>
                  </w:r>
                  <w:r>
                    <w:rPr>
                      <w:rFonts w:hint="eastAsia"/>
                      <w:sz w:val="21"/>
                      <w:szCs w:val="21"/>
                      <w:vertAlign w:val="subscript"/>
                      <w:lang w:val="en-US" w:eastAsia="zh-CN"/>
                    </w:rPr>
                    <w:t>5</w:t>
                  </w:r>
                </w:p>
              </w:tc>
              <w:tc>
                <w:tcPr>
                  <w:tcW w:w="974"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974" w:type="dxa"/>
                  <w:gridSpan w:val="3"/>
                  <w:vMerge w:val="continue"/>
                  <w:tcBorders>
                    <w:tl2br w:val="nil"/>
                    <w:tr2bl w:val="nil"/>
                  </w:tcBorders>
                  <w:vAlign w:val="center"/>
                </w:tcPr>
                <w:p>
                  <w:pPr>
                    <w:jc w:val="center"/>
                    <w:rPr>
                      <w:rFonts w:hint="eastAsia"/>
                      <w:sz w:val="21"/>
                      <w:szCs w:val="21"/>
                      <w:lang w:val="en-US" w:eastAsia="zh-CN"/>
                    </w:rPr>
                  </w:pPr>
                </w:p>
              </w:tc>
              <w:tc>
                <w:tcPr>
                  <w:tcW w:w="974"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974" w:type="dxa"/>
                  <w:gridSpan w:val="2"/>
                  <w:vMerge w:val="continue"/>
                  <w:tcBorders>
                    <w:tl2br w:val="nil"/>
                    <w:tr2bl w:val="nil"/>
                  </w:tcBorders>
                  <w:vAlign w:val="center"/>
                </w:tcPr>
                <w:p>
                  <w:pPr>
                    <w:jc w:val="center"/>
                    <w:rPr>
                      <w:rFonts w:hint="eastAsia"/>
                      <w:sz w:val="21"/>
                      <w:szCs w:val="21"/>
                      <w:lang w:val="en-US" w:eastAsia="zh-CN"/>
                    </w:rPr>
                  </w:pPr>
                </w:p>
              </w:tc>
              <w:tc>
                <w:tcPr>
                  <w:tcW w:w="97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117</w:t>
                  </w:r>
                </w:p>
              </w:tc>
              <w:tc>
                <w:tcPr>
                  <w:tcW w:w="979"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41.57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vAlign w:val="center"/>
                </w:tcPr>
                <w:p>
                  <w:pPr>
                    <w:jc w:val="center"/>
                    <w:rPr>
                      <w:rFonts w:hint="eastAsia"/>
                      <w:sz w:val="21"/>
                      <w:szCs w:val="21"/>
                      <w:lang w:val="en-US" w:eastAsia="zh-CN"/>
                    </w:rPr>
                  </w:pPr>
                </w:p>
              </w:tc>
              <w:tc>
                <w:tcPr>
                  <w:tcW w:w="924" w:type="dxa"/>
                  <w:gridSpan w:val="3"/>
                  <w:vMerge w:val="continue"/>
                  <w:tcBorders>
                    <w:tl2br w:val="nil"/>
                    <w:tr2bl w:val="nil"/>
                  </w:tcBorders>
                  <w:vAlign w:val="center"/>
                </w:tcPr>
                <w:p>
                  <w:pPr>
                    <w:jc w:val="center"/>
                    <w:rPr>
                      <w:rFonts w:hint="eastAsia"/>
                      <w:sz w:val="21"/>
                      <w:szCs w:val="21"/>
                      <w:lang w:val="en-US" w:eastAsia="zh-CN"/>
                    </w:rPr>
                  </w:pPr>
                </w:p>
              </w:tc>
              <w:tc>
                <w:tcPr>
                  <w:tcW w:w="1298" w:type="dxa"/>
                  <w:gridSpan w:val="4"/>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氨氮</w:t>
                  </w:r>
                </w:p>
              </w:tc>
              <w:tc>
                <w:tcPr>
                  <w:tcW w:w="974"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974" w:type="dxa"/>
                  <w:gridSpan w:val="3"/>
                  <w:vMerge w:val="continue"/>
                  <w:tcBorders>
                    <w:tl2br w:val="nil"/>
                    <w:tr2bl w:val="nil"/>
                  </w:tcBorders>
                  <w:vAlign w:val="center"/>
                </w:tcPr>
                <w:p>
                  <w:pPr>
                    <w:jc w:val="center"/>
                    <w:rPr>
                      <w:rFonts w:hint="eastAsia"/>
                      <w:sz w:val="21"/>
                      <w:szCs w:val="21"/>
                      <w:lang w:val="en-US" w:eastAsia="zh-CN"/>
                    </w:rPr>
                  </w:pPr>
                </w:p>
              </w:tc>
              <w:tc>
                <w:tcPr>
                  <w:tcW w:w="974"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974" w:type="dxa"/>
                  <w:gridSpan w:val="2"/>
                  <w:vMerge w:val="continue"/>
                  <w:tcBorders>
                    <w:tl2br w:val="nil"/>
                    <w:tr2bl w:val="nil"/>
                  </w:tcBorders>
                  <w:vAlign w:val="center"/>
                </w:tcPr>
                <w:p>
                  <w:pPr>
                    <w:jc w:val="center"/>
                    <w:rPr>
                      <w:rFonts w:hint="eastAsia"/>
                      <w:sz w:val="21"/>
                      <w:szCs w:val="21"/>
                      <w:lang w:val="en-US" w:eastAsia="zh-CN"/>
                    </w:rPr>
                  </w:pPr>
                </w:p>
              </w:tc>
              <w:tc>
                <w:tcPr>
                  <w:tcW w:w="97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20.6</w:t>
                  </w:r>
                </w:p>
              </w:tc>
              <w:tc>
                <w:tcPr>
                  <w:tcW w:w="979"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vAlign w:val="center"/>
                </w:tcPr>
                <w:p>
                  <w:pPr>
                    <w:jc w:val="center"/>
                    <w:rPr>
                      <w:rFonts w:hint="eastAsia"/>
                      <w:sz w:val="21"/>
                      <w:szCs w:val="21"/>
                      <w:lang w:val="en-US" w:eastAsia="zh-CN"/>
                    </w:rPr>
                  </w:pPr>
                </w:p>
              </w:tc>
              <w:tc>
                <w:tcPr>
                  <w:tcW w:w="924" w:type="dxa"/>
                  <w:gridSpan w:val="3"/>
                  <w:vMerge w:val="continue"/>
                  <w:tcBorders>
                    <w:tl2br w:val="nil"/>
                    <w:tr2bl w:val="nil"/>
                  </w:tcBorders>
                  <w:vAlign w:val="center"/>
                </w:tcPr>
                <w:p>
                  <w:pPr>
                    <w:jc w:val="center"/>
                    <w:rPr>
                      <w:rFonts w:hint="eastAsia"/>
                      <w:sz w:val="21"/>
                      <w:szCs w:val="21"/>
                      <w:lang w:val="en-US" w:eastAsia="zh-CN"/>
                    </w:rPr>
                  </w:pPr>
                </w:p>
              </w:tc>
              <w:tc>
                <w:tcPr>
                  <w:tcW w:w="1298" w:type="dxa"/>
                  <w:gridSpan w:val="4"/>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动植物油</w:t>
                  </w:r>
                </w:p>
              </w:tc>
              <w:tc>
                <w:tcPr>
                  <w:tcW w:w="974"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974" w:type="dxa"/>
                  <w:gridSpan w:val="3"/>
                  <w:vMerge w:val="continue"/>
                  <w:tcBorders>
                    <w:tl2br w:val="nil"/>
                    <w:tr2bl w:val="nil"/>
                  </w:tcBorders>
                  <w:vAlign w:val="center"/>
                </w:tcPr>
                <w:p>
                  <w:pPr>
                    <w:jc w:val="center"/>
                    <w:rPr>
                      <w:rFonts w:hint="eastAsia"/>
                      <w:sz w:val="21"/>
                      <w:szCs w:val="21"/>
                      <w:lang w:val="en-US" w:eastAsia="zh-CN"/>
                    </w:rPr>
                  </w:pPr>
                </w:p>
              </w:tc>
              <w:tc>
                <w:tcPr>
                  <w:tcW w:w="974"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974" w:type="dxa"/>
                  <w:gridSpan w:val="2"/>
                  <w:vMerge w:val="continue"/>
                  <w:tcBorders>
                    <w:tl2br w:val="nil"/>
                    <w:tr2bl w:val="nil"/>
                  </w:tcBorders>
                  <w:vAlign w:val="center"/>
                </w:tcPr>
                <w:p>
                  <w:pPr>
                    <w:jc w:val="center"/>
                    <w:rPr>
                      <w:rFonts w:hint="eastAsia"/>
                      <w:sz w:val="21"/>
                      <w:szCs w:val="21"/>
                      <w:lang w:val="en-US" w:eastAsia="zh-CN"/>
                    </w:rPr>
                  </w:pPr>
                </w:p>
              </w:tc>
              <w:tc>
                <w:tcPr>
                  <w:tcW w:w="974"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3.34</w:t>
                  </w:r>
                </w:p>
              </w:tc>
              <w:tc>
                <w:tcPr>
                  <w:tcW w:w="979"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vAlign w:val="center"/>
                </w:tcPr>
                <w:p>
                  <w:pPr>
                    <w:jc w:val="center"/>
                    <w:rPr>
                      <w:rFonts w:hint="eastAsia"/>
                      <w:sz w:val="21"/>
                      <w:szCs w:val="21"/>
                      <w:lang w:val="en-US" w:eastAsia="zh-CN"/>
                    </w:rPr>
                  </w:pPr>
                </w:p>
              </w:tc>
              <w:tc>
                <w:tcPr>
                  <w:tcW w:w="924" w:type="dxa"/>
                  <w:gridSpan w:val="3"/>
                  <w:vMerge w:val="continue"/>
                  <w:tcBorders>
                    <w:tl2br w:val="nil"/>
                    <w:tr2bl w:val="nil"/>
                  </w:tcBorders>
                  <w:vAlign w:val="center"/>
                </w:tcPr>
                <w:p>
                  <w:pPr>
                    <w:jc w:val="center"/>
                    <w:rPr>
                      <w:rFonts w:hint="eastAsia"/>
                      <w:sz w:val="21"/>
                      <w:szCs w:val="21"/>
                      <w:lang w:val="en-US" w:eastAsia="zh-CN"/>
                    </w:rPr>
                  </w:pPr>
                </w:p>
              </w:tc>
              <w:tc>
                <w:tcPr>
                  <w:tcW w:w="1298"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SS</w:t>
                  </w:r>
                </w:p>
              </w:tc>
              <w:tc>
                <w:tcPr>
                  <w:tcW w:w="974" w:type="dxa"/>
                  <w:gridSpan w:val="3"/>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974" w:type="dxa"/>
                  <w:gridSpan w:val="3"/>
                  <w:vMerge w:val="continue"/>
                  <w:tcBorders>
                    <w:tl2br w:val="nil"/>
                    <w:tr2bl w:val="nil"/>
                  </w:tcBorders>
                  <w:vAlign w:val="center"/>
                </w:tcPr>
                <w:p>
                  <w:pPr>
                    <w:jc w:val="center"/>
                    <w:rPr>
                      <w:rFonts w:hint="eastAsia"/>
                      <w:sz w:val="21"/>
                      <w:szCs w:val="21"/>
                      <w:lang w:val="en-US" w:eastAsia="zh-CN"/>
                    </w:rPr>
                  </w:pPr>
                </w:p>
              </w:tc>
              <w:tc>
                <w:tcPr>
                  <w:tcW w:w="974" w:type="dxa"/>
                  <w:gridSpan w:val="3"/>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w:t>
                  </w:r>
                </w:p>
              </w:tc>
              <w:tc>
                <w:tcPr>
                  <w:tcW w:w="974" w:type="dxa"/>
                  <w:gridSpan w:val="2"/>
                  <w:vMerge w:val="continue"/>
                  <w:tcBorders>
                    <w:tl2br w:val="nil"/>
                    <w:tr2bl w:val="nil"/>
                  </w:tcBorders>
                  <w:vAlign w:val="center"/>
                </w:tcPr>
                <w:p>
                  <w:pPr>
                    <w:jc w:val="center"/>
                    <w:rPr>
                      <w:rFonts w:hint="eastAsia"/>
                      <w:sz w:val="21"/>
                      <w:szCs w:val="21"/>
                      <w:lang w:val="en-US" w:eastAsia="zh-CN"/>
                    </w:rPr>
                  </w:pPr>
                </w:p>
              </w:tc>
              <w:tc>
                <w:tcPr>
                  <w:tcW w:w="974"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200</w:t>
                  </w:r>
                </w:p>
              </w:tc>
              <w:tc>
                <w:tcPr>
                  <w:tcW w:w="979" w:type="dxa"/>
                  <w:gridSpan w:val="2"/>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71.06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实验室废水</w:t>
                  </w:r>
                </w:p>
              </w:tc>
              <w:tc>
                <w:tcPr>
                  <w:tcW w:w="924" w:type="dxa"/>
                  <w:gridSpan w:val="3"/>
                  <w:vMerge w:val="restart"/>
                  <w:tcBorders>
                    <w:tl2br w:val="nil"/>
                    <w:tr2bl w:val="nil"/>
                  </w:tcBorders>
                  <w:vAlign w:val="center"/>
                </w:tcPr>
                <w:p>
                  <w:pPr>
                    <w:jc w:val="center"/>
                    <w:rPr>
                      <w:rFonts w:hint="default"/>
                      <w:sz w:val="21"/>
                      <w:szCs w:val="21"/>
                      <w:lang w:val="en-US" w:eastAsia="zh-CN"/>
                    </w:rPr>
                  </w:pPr>
                  <w:r>
                    <w:rPr>
                      <w:rFonts w:hint="eastAsia"/>
                      <w:b w:val="0"/>
                      <w:bCs/>
                      <w:color w:val="auto"/>
                      <w:sz w:val="21"/>
                      <w:szCs w:val="21"/>
                      <w:u w:val="none" w:color="auto"/>
                      <w:lang w:val="en-US" w:eastAsia="zh-CN"/>
                    </w:rPr>
                    <w:t>111.573</w:t>
                  </w:r>
                </w:p>
              </w:tc>
              <w:tc>
                <w:tcPr>
                  <w:tcW w:w="1298" w:type="dxa"/>
                  <w:gridSpan w:val="4"/>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COD</w:t>
                  </w:r>
                  <w:r>
                    <w:rPr>
                      <w:rFonts w:hint="eastAsia"/>
                      <w:sz w:val="21"/>
                      <w:szCs w:val="21"/>
                      <w:vertAlign w:val="subscript"/>
                      <w:lang w:val="en-US" w:eastAsia="zh-CN"/>
                    </w:rPr>
                    <w:t>cr</w:t>
                  </w:r>
                </w:p>
              </w:tc>
              <w:tc>
                <w:tcPr>
                  <w:tcW w:w="974" w:type="dxa"/>
                  <w:gridSpan w:val="3"/>
                  <w:tcBorders>
                    <w:tl2br w:val="nil"/>
                    <w:tr2bl w:val="nil"/>
                  </w:tcBorders>
                  <w:vAlign w:val="center"/>
                </w:tcPr>
                <w:p>
                  <w:pPr>
                    <w:jc w:val="center"/>
                    <w:rPr>
                      <w:rFonts w:hint="eastAsia"/>
                      <w:sz w:val="21"/>
                      <w:szCs w:val="21"/>
                      <w:lang w:val="en-US" w:eastAsia="zh-CN"/>
                    </w:rPr>
                  </w:pPr>
                  <w:r>
                    <w:rPr>
                      <w:rFonts w:hint="eastAsia"/>
                      <w:b w:val="0"/>
                      <w:bCs/>
                      <w:color w:val="auto"/>
                      <w:sz w:val="21"/>
                      <w:szCs w:val="21"/>
                      <w:u w:val="none" w:color="auto"/>
                      <w:vertAlign w:val="baseline"/>
                      <w:lang w:val="en-US" w:eastAsia="zh-CN"/>
                    </w:rPr>
                    <w:t>34.5</w:t>
                  </w:r>
                </w:p>
              </w:tc>
              <w:tc>
                <w:tcPr>
                  <w:tcW w:w="974" w:type="dxa"/>
                  <w:gridSpan w:val="3"/>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污水处理设备</w:t>
                  </w:r>
                </w:p>
              </w:tc>
              <w:tc>
                <w:tcPr>
                  <w:tcW w:w="974" w:type="dxa"/>
                  <w:gridSpan w:val="3"/>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29.86%</w:t>
                  </w:r>
                </w:p>
              </w:tc>
              <w:tc>
                <w:tcPr>
                  <w:tcW w:w="974" w:type="dxa"/>
                  <w:gridSpan w:val="2"/>
                  <w:vMerge w:val="restart"/>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直排入文昌溪</w:t>
                  </w:r>
                </w:p>
              </w:tc>
              <w:tc>
                <w:tcPr>
                  <w:tcW w:w="974"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b w:val="0"/>
                      <w:bCs/>
                      <w:color w:val="auto"/>
                      <w:sz w:val="21"/>
                      <w:szCs w:val="21"/>
                      <w:u w:val="none" w:color="auto"/>
                      <w:vertAlign w:val="baseline"/>
                      <w:lang w:val="en-US" w:eastAsia="zh-CN"/>
                    </w:rPr>
                    <w:t>24.2</w:t>
                  </w:r>
                </w:p>
              </w:tc>
              <w:tc>
                <w:tcPr>
                  <w:tcW w:w="979" w:type="dxa"/>
                  <w:gridSpan w:val="2"/>
                  <w:tcBorders>
                    <w:tl2br w:val="nil"/>
                    <w:tr2bl w:val="nil"/>
                  </w:tcBorders>
                  <w:vAlign w:val="center"/>
                </w:tcPr>
                <w:p>
                  <w:pPr>
                    <w:jc w:val="center"/>
                    <w:rPr>
                      <w:rFonts w:hint="eastAsia"/>
                      <w:b w:val="0"/>
                      <w:bCs/>
                      <w:color w:val="auto"/>
                      <w:sz w:val="21"/>
                      <w:szCs w:val="21"/>
                      <w:u w:val="none" w:color="auto"/>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vAlign w:val="center"/>
                </w:tcPr>
                <w:p>
                  <w:pPr>
                    <w:jc w:val="center"/>
                    <w:rPr>
                      <w:sz w:val="21"/>
                      <w:szCs w:val="21"/>
                    </w:rPr>
                  </w:pPr>
                </w:p>
              </w:tc>
              <w:tc>
                <w:tcPr>
                  <w:tcW w:w="924" w:type="dxa"/>
                  <w:gridSpan w:val="3"/>
                  <w:vMerge w:val="continue"/>
                  <w:tcBorders>
                    <w:tl2br w:val="nil"/>
                    <w:tr2bl w:val="nil"/>
                  </w:tcBorders>
                  <w:vAlign w:val="center"/>
                </w:tcPr>
                <w:p>
                  <w:pPr>
                    <w:jc w:val="center"/>
                    <w:rPr>
                      <w:sz w:val="21"/>
                      <w:szCs w:val="21"/>
                    </w:rPr>
                  </w:pPr>
                </w:p>
              </w:tc>
              <w:tc>
                <w:tcPr>
                  <w:tcW w:w="1298" w:type="dxa"/>
                  <w:gridSpan w:val="4"/>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BOD</w:t>
                  </w:r>
                  <w:r>
                    <w:rPr>
                      <w:rFonts w:hint="eastAsia"/>
                      <w:sz w:val="21"/>
                      <w:szCs w:val="21"/>
                      <w:vertAlign w:val="subscript"/>
                      <w:lang w:val="en-US" w:eastAsia="zh-CN"/>
                    </w:rPr>
                    <w:t>5</w:t>
                  </w:r>
                </w:p>
              </w:tc>
              <w:tc>
                <w:tcPr>
                  <w:tcW w:w="974" w:type="dxa"/>
                  <w:gridSpan w:val="3"/>
                  <w:tcBorders>
                    <w:tl2br w:val="nil"/>
                    <w:tr2bl w:val="nil"/>
                  </w:tcBorders>
                  <w:vAlign w:val="center"/>
                </w:tcPr>
                <w:p>
                  <w:pPr>
                    <w:jc w:val="center"/>
                    <w:rPr>
                      <w:rFonts w:hint="eastAsia"/>
                      <w:sz w:val="21"/>
                      <w:szCs w:val="21"/>
                      <w:lang w:val="en-US" w:eastAsia="zh-CN"/>
                    </w:rPr>
                  </w:pPr>
                  <w:r>
                    <w:rPr>
                      <w:rFonts w:hint="eastAsia"/>
                      <w:b w:val="0"/>
                      <w:bCs/>
                      <w:color w:val="auto"/>
                      <w:sz w:val="21"/>
                      <w:szCs w:val="21"/>
                      <w:u w:val="none" w:color="auto"/>
                      <w:vertAlign w:val="baseline"/>
                      <w:lang w:val="en-US" w:eastAsia="zh-CN"/>
                    </w:rPr>
                    <w:t>34.5</w:t>
                  </w:r>
                </w:p>
              </w:tc>
              <w:tc>
                <w:tcPr>
                  <w:tcW w:w="974" w:type="dxa"/>
                  <w:gridSpan w:val="3"/>
                  <w:vMerge w:val="continue"/>
                  <w:tcBorders>
                    <w:tl2br w:val="nil"/>
                    <w:tr2bl w:val="nil"/>
                  </w:tcBorders>
                  <w:vAlign w:val="center"/>
                </w:tcPr>
                <w:p>
                  <w:pPr>
                    <w:jc w:val="center"/>
                    <w:rPr>
                      <w:rFonts w:hint="eastAsia"/>
                      <w:sz w:val="21"/>
                      <w:szCs w:val="21"/>
                      <w:lang w:val="en-US" w:eastAsia="zh-CN"/>
                    </w:rPr>
                  </w:pPr>
                </w:p>
              </w:tc>
              <w:tc>
                <w:tcPr>
                  <w:tcW w:w="974" w:type="dxa"/>
                  <w:gridSpan w:val="3"/>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90.96%</w:t>
                  </w:r>
                </w:p>
              </w:tc>
              <w:tc>
                <w:tcPr>
                  <w:tcW w:w="974" w:type="dxa"/>
                  <w:gridSpan w:val="2"/>
                  <w:vMerge w:val="continue"/>
                  <w:tcBorders>
                    <w:tl2br w:val="nil"/>
                    <w:tr2bl w:val="nil"/>
                  </w:tcBorders>
                  <w:vAlign w:val="center"/>
                </w:tcPr>
                <w:p>
                  <w:pPr>
                    <w:jc w:val="center"/>
                    <w:rPr>
                      <w:rFonts w:hint="eastAsia"/>
                      <w:sz w:val="21"/>
                      <w:szCs w:val="21"/>
                      <w:lang w:val="en-US" w:eastAsia="zh-CN"/>
                    </w:rPr>
                  </w:pPr>
                </w:p>
              </w:tc>
              <w:tc>
                <w:tcPr>
                  <w:tcW w:w="974"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b w:val="0"/>
                      <w:bCs/>
                      <w:color w:val="auto"/>
                      <w:sz w:val="21"/>
                      <w:szCs w:val="21"/>
                      <w:u w:val="none" w:color="auto"/>
                      <w:vertAlign w:val="baseline"/>
                      <w:lang w:val="en-US" w:eastAsia="zh-CN"/>
                    </w:rPr>
                    <w:t>3.12</w:t>
                  </w:r>
                </w:p>
              </w:tc>
              <w:tc>
                <w:tcPr>
                  <w:tcW w:w="979" w:type="dxa"/>
                  <w:gridSpan w:val="2"/>
                  <w:tcBorders>
                    <w:tl2br w:val="nil"/>
                    <w:tr2bl w:val="nil"/>
                  </w:tcBorders>
                  <w:vAlign w:val="center"/>
                </w:tcPr>
                <w:p>
                  <w:pPr>
                    <w:jc w:val="center"/>
                    <w:rPr>
                      <w:rFonts w:hint="default"/>
                      <w:b w:val="0"/>
                      <w:bCs/>
                      <w:color w:val="auto"/>
                      <w:sz w:val="21"/>
                      <w:szCs w:val="21"/>
                      <w:u w:val="none" w:color="auto"/>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vAlign w:val="center"/>
                </w:tcPr>
                <w:p>
                  <w:pPr>
                    <w:jc w:val="center"/>
                    <w:rPr>
                      <w:rFonts w:hint="eastAsia"/>
                      <w:sz w:val="21"/>
                      <w:szCs w:val="21"/>
                      <w:lang w:val="en-US" w:eastAsia="zh-CN"/>
                    </w:rPr>
                  </w:pPr>
                </w:p>
              </w:tc>
              <w:tc>
                <w:tcPr>
                  <w:tcW w:w="924" w:type="dxa"/>
                  <w:gridSpan w:val="3"/>
                  <w:vMerge w:val="continue"/>
                  <w:tcBorders>
                    <w:tl2br w:val="nil"/>
                    <w:tr2bl w:val="nil"/>
                  </w:tcBorders>
                  <w:vAlign w:val="center"/>
                </w:tcPr>
                <w:p>
                  <w:pPr>
                    <w:jc w:val="center"/>
                    <w:rPr>
                      <w:rFonts w:hint="eastAsia"/>
                      <w:sz w:val="21"/>
                      <w:szCs w:val="21"/>
                      <w:lang w:val="en-US" w:eastAsia="zh-CN"/>
                    </w:rPr>
                  </w:pPr>
                </w:p>
              </w:tc>
              <w:tc>
                <w:tcPr>
                  <w:tcW w:w="1298" w:type="dxa"/>
                  <w:gridSpan w:val="4"/>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氨氮</w:t>
                  </w:r>
                </w:p>
              </w:tc>
              <w:tc>
                <w:tcPr>
                  <w:tcW w:w="974" w:type="dxa"/>
                  <w:gridSpan w:val="3"/>
                  <w:tcBorders>
                    <w:tl2br w:val="nil"/>
                    <w:tr2bl w:val="nil"/>
                  </w:tcBorders>
                  <w:vAlign w:val="center"/>
                </w:tcPr>
                <w:p>
                  <w:pPr>
                    <w:jc w:val="center"/>
                    <w:rPr>
                      <w:rFonts w:hint="eastAsia"/>
                      <w:sz w:val="21"/>
                      <w:szCs w:val="21"/>
                      <w:lang w:val="en-US" w:eastAsia="zh-CN"/>
                    </w:rPr>
                  </w:pPr>
                  <w:r>
                    <w:rPr>
                      <w:rFonts w:hint="eastAsia"/>
                      <w:b w:val="0"/>
                      <w:bCs/>
                      <w:color w:val="auto"/>
                      <w:sz w:val="21"/>
                      <w:szCs w:val="21"/>
                      <w:u w:val="none" w:color="auto"/>
                      <w:lang w:val="en-US" w:eastAsia="zh-CN"/>
                    </w:rPr>
                    <w:t>35.6</w:t>
                  </w:r>
                </w:p>
              </w:tc>
              <w:tc>
                <w:tcPr>
                  <w:tcW w:w="974" w:type="dxa"/>
                  <w:gridSpan w:val="3"/>
                  <w:vMerge w:val="continue"/>
                  <w:tcBorders>
                    <w:tl2br w:val="nil"/>
                    <w:tr2bl w:val="nil"/>
                  </w:tcBorders>
                  <w:vAlign w:val="center"/>
                </w:tcPr>
                <w:p>
                  <w:pPr>
                    <w:jc w:val="center"/>
                    <w:rPr>
                      <w:rFonts w:hint="eastAsia"/>
                      <w:sz w:val="21"/>
                      <w:szCs w:val="21"/>
                      <w:lang w:val="en-US" w:eastAsia="zh-CN"/>
                    </w:rPr>
                  </w:pPr>
                </w:p>
              </w:tc>
              <w:tc>
                <w:tcPr>
                  <w:tcW w:w="974" w:type="dxa"/>
                  <w:gridSpan w:val="3"/>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99.72%</w:t>
                  </w:r>
                </w:p>
              </w:tc>
              <w:tc>
                <w:tcPr>
                  <w:tcW w:w="974" w:type="dxa"/>
                  <w:gridSpan w:val="2"/>
                  <w:vMerge w:val="continue"/>
                  <w:tcBorders>
                    <w:tl2br w:val="nil"/>
                    <w:tr2bl w:val="nil"/>
                  </w:tcBorders>
                  <w:vAlign w:val="center"/>
                </w:tcPr>
                <w:p>
                  <w:pPr>
                    <w:jc w:val="center"/>
                    <w:rPr>
                      <w:rFonts w:hint="eastAsia"/>
                      <w:sz w:val="21"/>
                      <w:szCs w:val="21"/>
                      <w:lang w:val="en-US" w:eastAsia="zh-CN"/>
                    </w:rPr>
                  </w:pPr>
                </w:p>
              </w:tc>
              <w:tc>
                <w:tcPr>
                  <w:tcW w:w="974"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b w:val="0"/>
                      <w:bCs/>
                      <w:color w:val="auto"/>
                      <w:sz w:val="21"/>
                      <w:szCs w:val="21"/>
                      <w:u w:val="none" w:color="auto"/>
                      <w:lang w:val="en-US" w:eastAsia="zh-CN"/>
                    </w:rPr>
                    <w:t>0.101</w:t>
                  </w:r>
                </w:p>
              </w:tc>
              <w:tc>
                <w:tcPr>
                  <w:tcW w:w="979" w:type="dxa"/>
                  <w:gridSpan w:val="2"/>
                  <w:tcBorders>
                    <w:tl2br w:val="nil"/>
                    <w:tr2bl w:val="nil"/>
                  </w:tcBorders>
                  <w:vAlign w:val="center"/>
                </w:tcPr>
                <w:p>
                  <w:pPr>
                    <w:jc w:val="center"/>
                    <w:rPr>
                      <w:rFonts w:hint="eastAsia"/>
                      <w:b w:val="0"/>
                      <w:bCs/>
                      <w:color w:val="auto"/>
                      <w:sz w:val="21"/>
                      <w:szCs w:val="21"/>
                      <w:u w:val="none" w:color="auto"/>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tcPr>
                <w:p>
                  <w:pPr>
                    <w:jc w:val="center"/>
                    <w:rPr>
                      <w:rFonts w:hint="eastAsia"/>
                      <w:sz w:val="21"/>
                      <w:szCs w:val="21"/>
                      <w:lang w:val="en-US" w:eastAsia="zh-CN"/>
                    </w:rPr>
                  </w:pPr>
                </w:p>
              </w:tc>
              <w:tc>
                <w:tcPr>
                  <w:tcW w:w="924" w:type="dxa"/>
                  <w:gridSpan w:val="3"/>
                  <w:vMerge w:val="continue"/>
                  <w:tcBorders>
                    <w:tl2br w:val="nil"/>
                    <w:tr2bl w:val="nil"/>
                  </w:tcBorders>
                </w:tcPr>
                <w:p>
                  <w:pPr>
                    <w:jc w:val="center"/>
                    <w:rPr>
                      <w:rFonts w:hint="eastAsia"/>
                      <w:sz w:val="21"/>
                      <w:szCs w:val="21"/>
                      <w:lang w:val="en-US" w:eastAsia="zh-CN"/>
                    </w:rPr>
                  </w:pPr>
                </w:p>
              </w:tc>
              <w:tc>
                <w:tcPr>
                  <w:tcW w:w="1298" w:type="dxa"/>
                  <w:gridSpan w:val="4"/>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SS</w:t>
                  </w:r>
                </w:p>
              </w:tc>
              <w:tc>
                <w:tcPr>
                  <w:tcW w:w="974" w:type="dxa"/>
                  <w:gridSpan w:val="3"/>
                  <w:tcBorders>
                    <w:tl2br w:val="nil"/>
                    <w:tr2bl w:val="nil"/>
                  </w:tcBorders>
                </w:tcPr>
                <w:p>
                  <w:pPr>
                    <w:jc w:val="center"/>
                    <w:rPr>
                      <w:rFonts w:hint="eastAsia"/>
                      <w:sz w:val="21"/>
                      <w:szCs w:val="21"/>
                      <w:lang w:val="en-US" w:eastAsia="zh-CN"/>
                    </w:rPr>
                  </w:pPr>
                  <w:r>
                    <w:rPr>
                      <w:rFonts w:hint="eastAsia"/>
                      <w:b w:val="0"/>
                      <w:bCs/>
                      <w:color w:val="auto"/>
                      <w:sz w:val="21"/>
                      <w:szCs w:val="21"/>
                      <w:u w:val="none" w:color="auto"/>
                      <w:lang w:val="en-US" w:eastAsia="zh-CN"/>
                    </w:rPr>
                    <w:t>41</w:t>
                  </w:r>
                </w:p>
              </w:tc>
              <w:tc>
                <w:tcPr>
                  <w:tcW w:w="974" w:type="dxa"/>
                  <w:gridSpan w:val="3"/>
                  <w:vMerge w:val="continue"/>
                  <w:tcBorders>
                    <w:tl2br w:val="nil"/>
                    <w:tr2bl w:val="nil"/>
                  </w:tcBorders>
                </w:tcPr>
                <w:p>
                  <w:pPr>
                    <w:jc w:val="center"/>
                    <w:rPr>
                      <w:rFonts w:hint="eastAsia"/>
                      <w:sz w:val="21"/>
                      <w:szCs w:val="21"/>
                      <w:lang w:val="en-US" w:eastAsia="zh-CN"/>
                    </w:rPr>
                  </w:pPr>
                </w:p>
              </w:tc>
              <w:tc>
                <w:tcPr>
                  <w:tcW w:w="974" w:type="dxa"/>
                  <w:gridSpan w:val="3"/>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eastAsia="zh-CN"/>
                    </w:rPr>
                  </w:pPr>
                  <w:r>
                    <w:rPr>
                      <w:rFonts w:hint="default" w:ascii="Times New Roman" w:hAnsi="Times New Roman" w:cs="Times New Roman"/>
                      <w:i w:val="0"/>
                      <w:iCs w:val="0"/>
                      <w:color w:val="000000"/>
                      <w:kern w:val="0"/>
                      <w:sz w:val="21"/>
                      <w:szCs w:val="21"/>
                      <w:u w:val="none"/>
                      <w:lang w:val="en-US" w:eastAsia="zh-CN" w:bidi="ar"/>
                    </w:rPr>
                    <w:t>99</w:t>
                  </w:r>
                  <w:r>
                    <w:rPr>
                      <w:rFonts w:hint="default"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cs="Times New Roman"/>
                      <w:i w:val="0"/>
                      <w:iCs w:val="0"/>
                      <w:color w:val="000000"/>
                      <w:kern w:val="0"/>
                      <w:sz w:val="21"/>
                      <w:szCs w:val="21"/>
                      <w:u w:val="none"/>
                      <w:lang w:val="en-US" w:eastAsia="zh-CN" w:bidi="ar"/>
                    </w:rPr>
                    <w:t>99</w:t>
                  </w:r>
                  <w:r>
                    <w:rPr>
                      <w:rFonts w:hint="default" w:ascii="Times New Roman" w:hAnsi="Times New Roman" w:eastAsia="宋体" w:cs="Times New Roman"/>
                      <w:i w:val="0"/>
                      <w:iCs w:val="0"/>
                      <w:color w:val="000000"/>
                      <w:kern w:val="0"/>
                      <w:sz w:val="21"/>
                      <w:szCs w:val="21"/>
                      <w:u w:val="none"/>
                      <w:lang w:val="en-US" w:eastAsia="zh-CN" w:bidi="ar"/>
                    </w:rPr>
                    <w:t>%</w:t>
                  </w:r>
                </w:p>
              </w:tc>
              <w:tc>
                <w:tcPr>
                  <w:tcW w:w="974" w:type="dxa"/>
                  <w:gridSpan w:val="2"/>
                  <w:vMerge w:val="continue"/>
                  <w:tcBorders>
                    <w:tl2br w:val="nil"/>
                    <w:tr2bl w:val="nil"/>
                  </w:tcBorders>
                </w:tcPr>
                <w:p>
                  <w:pPr>
                    <w:jc w:val="center"/>
                    <w:rPr>
                      <w:rFonts w:hint="eastAsia"/>
                      <w:sz w:val="21"/>
                      <w:szCs w:val="21"/>
                      <w:lang w:val="en-US" w:eastAsia="zh-CN"/>
                    </w:rPr>
                  </w:pPr>
                </w:p>
              </w:tc>
              <w:tc>
                <w:tcPr>
                  <w:tcW w:w="974" w:type="dxa"/>
                  <w:gridSpan w:val="2"/>
                  <w:tcBorders>
                    <w:tl2br w:val="nil"/>
                    <w:tr2bl w:val="nil"/>
                  </w:tcBorders>
                  <w:vAlign w:val="top"/>
                </w:tcPr>
                <w:p>
                  <w:pPr>
                    <w:jc w:val="center"/>
                    <w:rPr>
                      <w:rFonts w:hint="eastAsia" w:ascii="Times New Roman" w:hAnsi="Times New Roman" w:eastAsia="宋体" w:cs="Times New Roman"/>
                      <w:kern w:val="2"/>
                      <w:sz w:val="21"/>
                      <w:szCs w:val="21"/>
                      <w:lang w:val="en-US" w:eastAsia="zh-CN" w:bidi="ar-SA"/>
                    </w:rPr>
                  </w:pPr>
                  <w:r>
                    <w:rPr>
                      <w:rFonts w:hint="eastAsia"/>
                      <w:b w:val="0"/>
                      <w:bCs/>
                      <w:color w:val="auto"/>
                      <w:sz w:val="21"/>
                      <w:szCs w:val="21"/>
                      <w:u w:val="none" w:color="auto"/>
                      <w:lang w:val="en-US" w:eastAsia="zh-CN"/>
                    </w:rPr>
                    <w:t>0.0009</w:t>
                  </w:r>
                </w:p>
              </w:tc>
              <w:tc>
                <w:tcPr>
                  <w:tcW w:w="979" w:type="dxa"/>
                  <w:gridSpan w:val="2"/>
                  <w:tcBorders>
                    <w:tl2br w:val="nil"/>
                    <w:tr2bl w:val="nil"/>
                  </w:tcBorders>
                  <w:vAlign w:val="top"/>
                </w:tcPr>
                <w:p>
                  <w:pPr>
                    <w:jc w:val="center"/>
                    <w:rPr>
                      <w:rFonts w:hint="eastAsia"/>
                      <w:b w:val="0"/>
                      <w:bCs/>
                      <w:color w:val="auto"/>
                      <w:sz w:val="21"/>
                      <w:szCs w:val="21"/>
                      <w:u w:val="none" w:color="auto"/>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43" w:type="dxa"/>
                  <w:gridSpan w:val="4"/>
                  <w:vMerge w:val="continue"/>
                  <w:tcBorders>
                    <w:tl2br w:val="nil"/>
                    <w:tr2bl w:val="nil"/>
                  </w:tcBorders>
                </w:tcPr>
                <w:p>
                  <w:pPr>
                    <w:jc w:val="center"/>
                    <w:rPr>
                      <w:sz w:val="21"/>
                      <w:szCs w:val="21"/>
                    </w:rPr>
                  </w:pPr>
                </w:p>
              </w:tc>
              <w:tc>
                <w:tcPr>
                  <w:tcW w:w="924" w:type="dxa"/>
                  <w:gridSpan w:val="3"/>
                  <w:vMerge w:val="continue"/>
                  <w:tcBorders>
                    <w:tl2br w:val="nil"/>
                    <w:tr2bl w:val="nil"/>
                  </w:tcBorders>
                </w:tcPr>
                <w:p>
                  <w:pPr>
                    <w:jc w:val="center"/>
                    <w:rPr>
                      <w:sz w:val="21"/>
                      <w:szCs w:val="21"/>
                    </w:rPr>
                  </w:pPr>
                </w:p>
              </w:tc>
              <w:tc>
                <w:tcPr>
                  <w:tcW w:w="1298" w:type="dxa"/>
                  <w:gridSpan w:val="4"/>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粪大肠杆菌</w:t>
                  </w:r>
                </w:p>
              </w:tc>
              <w:tc>
                <w:tcPr>
                  <w:tcW w:w="974" w:type="dxa"/>
                  <w:gridSpan w:val="3"/>
                  <w:tcBorders>
                    <w:tl2br w:val="nil"/>
                    <w:tr2bl w:val="nil"/>
                  </w:tcBorders>
                  <w:vAlign w:val="center"/>
                </w:tcPr>
                <w:p>
                  <w:pPr>
                    <w:jc w:val="center"/>
                    <w:rPr>
                      <w:rFonts w:hint="eastAsia"/>
                      <w:sz w:val="21"/>
                      <w:szCs w:val="21"/>
                      <w:lang w:val="en-US" w:eastAsia="zh-CN"/>
                    </w:rPr>
                  </w:pPr>
                  <w:r>
                    <w:rPr>
                      <w:rFonts w:hint="default"/>
                      <w:b w:val="0"/>
                      <w:bCs/>
                      <w:color w:val="auto"/>
                      <w:sz w:val="21"/>
                      <w:szCs w:val="21"/>
                      <w:u w:val="none" w:color="auto"/>
                      <w:vertAlign w:val="baseline"/>
                      <w:lang w:val="en-US" w:eastAsia="zh-CN"/>
                    </w:rPr>
                    <w:t>24000</w:t>
                  </w:r>
                </w:p>
              </w:tc>
              <w:tc>
                <w:tcPr>
                  <w:tcW w:w="974" w:type="dxa"/>
                  <w:gridSpan w:val="3"/>
                  <w:vMerge w:val="continue"/>
                  <w:tcBorders>
                    <w:tl2br w:val="nil"/>
                    <w:tr2bl w:val="nil"/>
                  </w:tcBorders>
                </w:tcPr>
                <w:p>
                  <w:pPr>
                    <w:jc w:val="center"/>
                    <w:rPr>
                      <w:rFonts w:hint="eastAsia"/>
                      <w:sz w:val="21"/>
                      <w:szCs w:val="21"/>
                      <w:lang w:val="en-US" w:eastAsia="zh-CN"/>
                    </w:rPr>
                  </w:pPr>
                </w:p>
              </w:tc>
              <w:tc>
                <w:tcPr>
                  <w:tcW w:w="974" w:type="dxa"/>
                  <w:gridSpan w:val="3"/>
                  <w:tcBorders>
                    <w:tl2br w:val="nil"/>
                    <w:tr2bl w:val="nil"/>
                  </w:tcBorders>
                  <w:vAlign w:val="center"/>
                </w:tcPr>
                <w:p>
                  <w:pPr>
                    <w:keepNext w:val="0"/>
                    <w:keepLines w:val="0"/>
                    <w:widowControl/>
                    <w:suppressLineNumbers w:val="0"/>
                    <w:jc w:val="righ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98.04%</w:t>
                  </w:r>
                </w:p>
              </w:tc>
              <w:tc>
                <w:tcPr>
                  <w:tcW w:w="974" w:type="dxa"/>
                  <w:gridSpan w:val="2"/>
                  <w:vMerge w:val="continue"/>
                  <w:tcBorders>
                    <w:tl2br w:val="nil"/>
                    <w:tr2bl w:val="nil"/>
                  </w:tcBorders>
                </w:tcPr>
                <w:p>
                  <w:pPr>
                    <w:jc w:val="center"/>
                    <w:rPr>
                      <w:rFonts w:hint="eastAsia"/>
                      <w:sz w:val="21"/>
                      <w:szCs w:val="21"/>
                      <w:lang w:val="en-US" w:eastAsia="zh-CN"/>
                    </w:rPr>
                  </w:pPr>
                </w:p>
              </w:tc>
              <w:tc>
                <w:tcPr>
                  <w:tcW w:w="974" w:type="dxa"/>
                  <w:gridSpan w:val="2"/>
                  <w:tcBorders>
                    <w:tl2br w:val="nil"/>
                    <w:tr2bl w:val="nil"/>
                  </w:tcBorders>
                  <w:vAlign w:val="top"/>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470</w:t>
                  </w:r>
                </w:p>
              </w:tc>
              <w:tc>
                <w:tcPr>
                  <w:tcW w:w="979" w:type="dxa"/>
                  <w:gridSpan w:val="2"/>
                  <w:tcBorders>
                    <w:tl2br w:val="nil"/>
                    <w:tr2bl w:val="nil"/>
                  </w:tcBorders>
                  <w:vAlign w:val="top"/>
                </w:tcPr>
                <w:p>
                  <w:pPr>
                    <w:jc w:val="center"/>
                    <w:rPr>
                      <w:rFonts w:hint="eastAsia"/>
                      <w:b w:val="0"/>
                      <w:bCs/>
                      <w:color w:val="auto"/>
                      <w:sz w:val="21"/>
                      <w:szCs w:val="21"/>
                      <w:u w:val="none" w:color="auto"/>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2439</w:t>
                  </w:r>
                  <w:r>
                    <w:rPr>
                      <w:rFonts w:hint="default" w:ascii="Arial" w:hAnsi="Arial" w:eastAsia="宋体" w:cs="Arial"/>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10</w:t>
                  </w:r>
                  <w:r>
                    <w:rPr>
                      <w:rFonts w:hint="eastAsia" w:cs="Times New Roman"/>
                      <w:i w:val="0"/>
                      <w:iCs w:val="0"/>
                      <w:color w:val="000000"/>
                      <w:kern w:val="0"/>
                      <w:sz w:val="21"/>
                      <w:szCs w:val="21"/>
                      <w:u w:val="none"/>
                      <w:vertAlign w:val="superscript"/>
                      <w:lang w:val="en-US" w:eastAsia="zh-CN" w:bidi="ar"/>
                    </w:rPr>
                    <w:t>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3" w:hRule="atLeast"/>
                <w:jc w:val="center"/>
              </w:trPr>
              <w:tc>
                <w:tcPr>
                  <w:tcW w:w="8914" w:type="dxa"/>
                  <w:gridSpan w:val="26"/>
                  <w:tcBorders>
                    <w:bottom w:val="single" w:color="auto" w:sz="4" w:space="0"/>
                  </w:tcBorders>
                  <w:vAlign w:val="top"/>
                </w:tcPr>
                <w:p>
                  <w:pPr>
                    <w:jc w:val="center"/>
                    <w:rPr>
                      <w:rFonts w:hint="default"/>
                      <w:vertAlign w:val="baseline"/>
                      <w:lang w:val="en-US" w:eastAsia="zh-CN"/>
                    </w:rPr>
                  </w:pPr>
                  <w:r>
                    <w:rPr>
                      <w:rFonts w:hint="eastAsia"/>
                      <w:b/>
                      <w:bCs/>
                      <w:vertAlign w:val="baseline"/>
                      <w:lang w:val="en-US" w:eastAsia="zh-CN"/>
                    </w:rPr>
                    <w:t>噪声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3" w:hRule="atLeast"/>
                <w:jc w:val="center"/>
              </w:trPr>
              <w:tc>
                <w:tcPr>
                  <w:tcW w:w="8914" w:type="dxa"/>
                  <w:gridSpan w:val="26"/>
                  <w:tcBorders>
                    <w:top w:val="single" w:color="auto" w:sz="4" w:space="0"/>
                    <w:bottom w:val="single" w:color="auto" w:sz="12" w:space="0"/>
                  </w:tcBorders>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vertAlign w:val="baseline"/>
                      <w:lang w:val="en-US" w:eastAsia="zh-CN"/>
                    </w:rPr>
                  </w:pPr>
                  <w:r>
                    <w:rPr>
                      <w:rFonts w:hint="eastAsia" w:ascii="宋体" w:hAnsi="宋体" w:eastAsia="宋体" w:cs="宋体"/>
                      <w:lang w:val="en-US" w:eastAsia="zh-CN"/>
                    </w:rPr>
                    <w:t>本疾控中心主要噪声产生源为各类仪器设备运行时发出的噪声，源强约50</w:t>
                  </w:r>
                  <w:r>
                    <w:rPr>
                      <w:rFonts w:hint="eastAsia"/>
                      <w:lang w:val="en-US" w:eastAsia="zh-CN"/>
                    </w:rPr>
                    <w:t>~</w:t>
                  </w:r>
                  <w:r>
                    <w:rPr>
                      <w:rFonts w:hint="eastAsia" w:ascii="宋体" w:hAnsi="宋体" w:eastAsia="宋体" w:cs="宋体"/>
                      <w:lang w:val="en-US" w:eastAsia="zh-CN"/>
                    </w:rPr>
                    <w:t>70dB(A)，基本无高声源，依据湖</w:t>
                  </w:r>
                  <w:r>
                    <w:rPr>
                      <w:rFonts w:hint="eastAsia" w:ascii="宋体" w:hAnsi="宋体" w:eastAsia="宋体" w:cs="宋体"/>
                    </w:rPr>
                    <w:t>南昌旭环保科技有限公司</w:t>
                  </w:r>
                  <w:r>
                    <w:rPr>
                      <w:rFonts w:hint="eastAsia" w:ascii="宋体" w:hAnsi="宋体" w:eastAsia="宋体" w:cs="宋体"/>
                      <w:lang w:val="en-US" w:eastAsia="zh-CN"/>
                    </w:rPr>
                    <w:t>出具的监测报告，本疾控中心噪声排放可满足《工业企业厂界环境噪声排放标准》（GB12348—2008）2类标准。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914" w:type="dxa"/>
                  <w:gridSpan w:val="26"/>
                  <w:tcBorders>
                    <w:top w:val="single" w:color="auto" w:sz="12" w:space="0"/>
                    <w:left w:val="single" w:color="auto" w:sz="12" w:space="0"/>
                    <w:right w:val="single" w:color="auto" w:sz="12" w:space="0"/>
                  </w:tcBorders>
                </w:tcPr>
                <w:p>
                  <w:pPr>
                    <w:pStyle w:val="21"/>
                    <w:jc w:val="center"/>
                    <w:rPr>
                      <w:rFonts w:hint="default"/>
                      <w:vertAlign w:val="baseline"/>
                      <w:lang w:val="en-US" w:eastAsia="zh-CN"/>
                    </w:rPr>
                  </w:pPr>
                  <w:r>
                    <w:rPr>
                      <w:rFonts w:hint="eastAsia" w:ascii="Times New Roman" w:hAnsi="Times New Roman" w:eastAsia="宋体" w:cs="Times New Roman"/>
                      <w:b/>
                      <w:bCs/>
                      <w:color w:val="auto"/>
                      <w:kern w:val="2"/>
                      <w:sz w:val="21"/>
                      <w:szCs w:val="22"/>
                      <w:vertAlign w:val="baseline"/>
                      <w:lang w:val="en-US" w:eastAsia="zh-CN" w:bidi="ar-SA"/>
                    </w:rPr>
                    <w:t>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tcBorders>
                    <w:tl2br w:val="nil"/>
                    <w:tr2bl w:val="nil"/>
                  </w:tcBorders>
                  <w:vAlign w:val="center"/>
                </w:tcPr>
                <w:p>
                  <w:pPr>
                    <w:jc w:val="center"/>
                    <w:rPr>
                      <w:rFonts w:hint="default"/>
                      <w:b/>
                      <w:bCs/>
                      <w:lang w:val="en-US" w:eastAsia="zh-CN"/>
                    </w:rPr>
                  </w:pPr>
                  <w:r>
                    <w:rPr>
                      <w:rFonts w:hint="eastAsia"/>
                      <w:b/>
                      <w:bCs/>
                      <w:lang w:val="en-US" w:eastAsia="zh-CN"/>
                    </w:rPr>
                    <w:t>序号</w:t>
                  </w:r>
                </w:p>
              </w:tc>
              <w:tc>
                <w:tcPr>
                  <w:tcW w:w="2177" w:type="dxa"/>
                  <w:gridSpan w:val="7"/>
                  <w:tcBorders>
                    <w:tl2br w:val="nil"/>
                    <w:tr2bl w:val="nil"/>
                  </w:tcBorders>
                  <w:vAlign w:val="center"/>
                </w:tcPr>
                <w:p>
                  <w:pPr>
                    <w:jc w:val="center"/>
                    <w:rPr>
                      <w:rFonts w:hint="default"/>
                      <w:b/>
                      <w:bCs/>
                      <w:lang w:val="en-US" w:eastAsia="zh-CN"/>
                    </w:rPr>
                  </w:pPr>
                  <w:r>
                    <w:rPr>
                      <w:rFonts w:hint="eastAsia"/>
                      <w:b/>
                      <w:bCs/>
                      <w:lang w:val="en-US" w:eastAsia="zh-CN"/>
                    </w:rPr>
                    <w:t>危废类型</w:t>
                  </w:r>
                </w:p>
              </w:tc>
              <w:tc>
                <w:tcPr>
                  <w:tcW w:w="1159" w:type="dxa"/>
                  <w:gridSpan w:val="3"/>
                  <w:tcBorders>
                    <w:tl2br w:val="nil"/>
                    <w:tr2bl w:val="nil"/>
                  </w:tcBorders>
                  <w:vAlign w:val="center"/>
                </w:tcPr>
                <w:p>
                  <w:pPr>
                    <w:jc w:val="center"/>
                    <w:rPr>
                      <w:rFonts w:hint="default"/>
                      <w:b/>
                      <w:bCs/>
                      <w:lang w:val="en-US" w:eastAsia="zh-CN"/>
                    </w:rPr>
                  </w:pPr>
                  <w:r>
                    <w:rPr>
                      <w:rFonts w:hint="eastAsia"/>
                      <w:b/>
                      <w:bCs/>
                      <w:lang w:val="en-US" w:eastAsia="zh-CN"/>
                    </w:rPr>
                    <w:t>固废属性</w:t>
                  </w:r>
                </w:p>
              </w:tc>
              <w:tc>
                <w:tcPr>
                  <w:tcW w:w="1858" w:type="dxa"/>
                  <w:gridSpan w:val="6"/>
                  <w:tcBorders>
                    <w:tl2br w:val="nil"/>
                    <w:tr2bl w:val="nil"/>
                  </w:tcBorders>
                  <w:vAlign w:val="center"/>
                </w:tcPr>
                <w:p>
                  <w:pPr>
                    <w:jc w:val="center"/>
                    <w:rPr>
                      <w:rFonts w:hint="default"/>
                      <w:b/>
                      <w:bCs/>
                      <w:lang w:val="en-US" w:eastAsia="zh-CN"/>
                    </w:rPr>
                  </w:pPr>
                  <w:r>
                    <w:rPr>
                      <w:rFonts w:hint="eastAsia"/>
                      <w:b/>
                      <w:bCs/>
                      <w:lang w:val="en-US" w:eastAsia="zh-CN"/>
                    </w:rPr>
                    <w:t>危废编号</w:t>
                  </w:r>
                </w:p>
              </w:tc>
              <w:tc>
                <w:tcPr>
                  <w:tcW w:w="1196" w:type="dxa"/>
                  <w:gridSpan w:val="4"/>
                  <w:tcBorders>
                    <w:tl2br w:val="nil"/>
                    <w:tr2bl w:val="nil"/>
                  </w:tcBorders>
                  <w:vAlign w:val="center"/>
                </w:tcPr>
                <w:p>
                  <w:pPr>
                    <w:jc w:val="center"/>
                    <w:rPr>
                      <w:rFonts w:hint="default"/>
                      <w:b/>
                      <w:bCs/>
                      <w:lang w:val="en-US" w:eastAsia="zh-CN"/>
                    </w:rPr>
                  </w:pPr>
                  <w:r>
                    <w:rPr>
                      <w:rFonts w:hint="eastAsia"/>
                      <w:b/>
                      <w:bCs/>
                      <w:lang w:val="en-US" w:eastAsia="zh-CN"/>
                    </w:rPr>
                    <w:t>产生量</w:t>
                  </w:r>
                </w:p>
              </w:tc>
              <w:tc>
                <w:tcPr>
                  <w:tcW w:w="1848" w:type="dxa"/>
                  <w:gridSpan w:val="3"/>
                  <w:tcBorders>
                    <w:tl2br w:val="nil"/>
                    <w:tr2bl w:val="nil"/>
                  </w:tcBorders>
                  <w:vAlign w:val="center"/>
                </w:tcPr>
                <w:p>
                  <w:pPr>
                    <w:jc w:val="center"/>
                    <w:rPr>
                      <w:rFonts w:hint="default"/>
                      <w:b/>
                      <w:bCs/>
                      <w:lang w:val="en-US" w:eastAsia="zh-CN"/>
                    </w:rPr>
                  </w:pPr>
                  <w:r>
                    <w:rPr>
                      <w:rFonts w:hint="eastAsia"/>
                      <w:b/>
                      <w:bCs/>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tcBorders>
                    <w:tl2br w:val="nil"/>
                    <w:tr2bl w:val="nil"/>
                  </w:tcBorders>
                  <w:vAlign w:val="center"/>
                </w:tcPr>
                <w:p>
                  <w:pPr>
                    <w:jc w:val="center"/>
                    <w:rPr>
                      <w:rFonts w:hint="default"/>
                      <w:lang w:val="en-US" w:eastAsia="zh-CN"/>
                    </w:rPr>
                  </w:pPr>
                  <w:r>
                    <w:rPr>
                      <w:rFonts w:hint="eastAsia"/>
                      <w:lang w:val="en-US" w:eastAsia="zh-CN"/>
                    </w:rPr>
                    <w:t>1</w:t>
                  </w:r>
                </w:p>
              </w:tc>
              <w:tc>
                <w:tcPr>
                  <w:tcW w:w="2177" w:type="dxa"/>
                  <w:gridSpan w:val="7"/>
                  <w:tcBorders>
                    <w:tl2br w:val="nil"/>
                    <w:tr2bl w:val="nil"/>
                  </w:tcBorders>
                  <w:vAlign w:val="center"/>
                </w:tcPr>
                <w:p>
                  <w:pPr>
                    <w:jc w:val="center"/>
                    <w:rPr>
                      <w:rFonts w:hint="default"/>
                      <w:lang w:val="en-US" w:eastAsia="zh-CN"/>
                    </w:rPr>
                  </w:pPr>
                  <w:r>
                    <w:rPr>
                      <w:rFonts w:hint="eastAsia"/>
                      <w:lang w:val="en-US" w:eastAsia="zh-CN"/>
                    </w:rPr>
                    <w:t>生活垃圾</w:t>
                  </w:r>
                </w:p>
              </w:tc>
              <w:tc>
                <w:tcPr>
                  <w:tcW w:w="1159" w:type="dxa"/>
                  <w:gridSpan w:val="3"/>
                  <w:tcBorders>
                    <w:tl2br w:val="nil"/>
                    <w:tr2bl w:val="nil"/>
                  </w:tcBorders>
                  <w:vAlign w:val="center"/>
                </w:tcPr>
                <w:p>
                  <w:pPr>
                    <w:jc w:val="center"/>
                    <w:rPr>
                      <w:rFonts w:hint="default"/>
                      <w:lang w:val="en-US" w:eastAsia="zh-CN"/>
                    </w:rPr>
                  </w:pPr>
                  <w:r>
                    <w:rPr>
                      <w:rFonts w:hint="eastAsia"/>
                      <w:lang w:val="en-US" w:eastAsia="zh-CN"/>
                    </w:rPr>
                    <w:t>/</w:t>
                  </w:r>
                </w:p>
              </w:tc>
              <w:tc>
                <w:tcPr>
                  <w:tcW w:w="1858" w:type="dxa"/>
                  <w:gridSpan w:val="6"/>
                  <w:tcBorders>
                    <w:tl2br w:val="nil"/>
                    <w:tr2bl w:val="nil"/>
                  </w:tcBorders>
                  <w:vAlign w:val="center"/>
                </w:tcPr>
                <w:p>
                  <w:pPr>
                    <w:jc w:val="center"/>
                    <w:rPr>
                      <w:rFonts w:hint="default"/>
                      <w:lang w:val="en-US" w:eastAsia="zh-CN"/>
                    </w:rPr>
                  </w:pPr>
                  <w:r>
                    <w:rPr>
                      <w:rFonts w:hint="eastAsia"/>
                      <w:lang w:val="en-US" w:eastAsia="zh-CN"/>
                    </w:rPr>
                    <w:t>/</w:t>
                  </w:r>
                </w:p>
              </w:tc>
              <w:tc>
                <w:tcPr>
                  <w:tcW w:w="1196" w:type="dxa"/>
                  <w:gridSpan w:val="4"/>
                  <w:tcBorders>
                    <w:tl2br w:val="nil"/>
                    <w:tr2bl w:val="nil"/>
                  </w:tcBorders>
                  <w:vAlign w:val="center"/>
                </w:tcPr>
                <w:p>
                  <w:pPr>
                    <w:jc w:val="center"/>
                    <w:rPr>
                      <w:rFonts w:hint="default"/>
                      <w:lang w:val="en-US" w:eastAsia="zh-CN"/>
                    </w:rPr>
                  </w:pPr>
                  <w:r>
                    <w:rPr>
                      <w:rFonts w:hint="eastAsia"/>
                      <w:lang w:val="en-US" w:eastAsia="zh-CN"/>
                    </w:rPr>
                    <w:t>55</w:t>
                  </w:r>
                </w:p>
              </w:tc>
              <w:tc>
                <w:tcPr>
                  <w:tcW w:w="1848" w:type="dxa"/>
                  <w:gridSpan w:val="3"/>
                  <w:tcBorders>
                    <w:tl2br w:val="nil"/>
                    <w:tr2bl w:val="nil"/>
                  </w:tcBorders>
                  <w:vAlign w:val="center"/>
                </w:tcPr>
                <w:p>
                  <w:pPr>
                    <w:jc w:val="center"/>
                    <w:rPr>
                      <w:rFonts w:hint="default"/>
                      <w:lang w:val="en-US" w:eastAsia="zh-CN"/>
                    </w:rPr>
                  </w:pPr>
                  <w:r>
                    <w:rPr>
                      <w:rFonts w:hint="eastAsia"/>
                      <w:lang w:val="en-US" w:eastAsia="zh-CN"/>
                    </w:rPr>
                    <w:t>当地环卫部门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restart"/>
                  <w:tcBorders>
                    <w:tl2br w:val="nil"/>
                    <w:tr2bl w:val="nil"/>
                  </w:tcBorders>
                  <w:vAlign w:val="center"/>
                </w:tcPr>
                <w:p>
                  <w:pPr>
                    <w:jc w:val="center"/>
                    <w:rPr>
                      <w:rFonts w:hint="default"/>
                      <w:lang w:val="en-US" w:eastAsia="zh-CN"/>
                    </w:rPr>
                  </w:pPr>
                  <w:r>
                    <w:rPr>
                      <w:rFonts w:hint="eastAsia"/>
                      <w:lang w:val="en-US" w:eastAsia="zh-CN"/>
                    </w:rPr>
                    <w:t>2</w:t>
                  </w:r>
                </w:p>
              </w:tc>
              <w:tc>
                <w:tcPr>
                  <w:tcW w:w="673" w:type="dxa"/>
                  <w:gridSpan w:val="3"/>
                  <w:vMerge w:val="restart"/>
                  <w:tcBorders>
                    <w:tl2br w:val="nil"/>
                    <w:tr2bl w:val="nil"/>
                  </w:tcBorders>
                  <w:vAlign w:val="center"/>
                </w:tcPr>
                <w:p>
                  <w:pPr>
                    <w:jc w:val="center"/>
                    <w:rPr>
                      <w:rFonts w:hint="default"/>
                      <w:u w:val="single"/>
                      <w:lang w:val="en-US" w:eastAsia="zh-CN"/>
                    </w:rPr>
                  </w:pPr>
                  <w:r>
                    <w:rPr>
                      <w:rFonts w:hint="eastAsia"/>
                      <w:u w:val="single"/>
                      <w:lang w:val="en-US" w:eastAsia="zh-CN"/>
                    </w:rPr>
                    <w:t>医疗废物</w:t>
                  </w:r>
                </w:p>
              </w:tc>
              <w:tc>
                <w:tcPr>
                  <w:tcW w:w="1504" w:type="dxa"/>
                  <w:gridSpan w:val="4"/>
                  <w:tcBorders>
                    <w:tl2br w:val="nil"/>
                    <w:tr2bl w:val="nil"/>
                  </w:tcBorders>
                  <w:vAlign w:val="center"/>
                </w:tcPr>
                <w:p>
                  <w:pPr>
                    <w:jc w:val="center"/>
                    <w:rPr>
                      <w:rFonts w:hint="default"/>
                      <w:u w:val="single"/>
                      <w:lang w:val="en-US" w:eastAsia="zh-CN"/>
                    </w:rPr>
                  </w:pPr>
                  <w:r>
                    <w:rPr>
                      <w:rFonts w:hint="eastAsia"/>
                      <w:u w:val="single"/>
                      <w:lang w:val="en-US" w:eastAsia="zh-CN"/>
                    </w:rPr>
                    <w:t>废培养基</w:t>
                  </w:r>
                </w:p>
              </w:tc>
              <w:tc>
                <w:tcPr>
                  <w:tcW w:w="1159" w:type="dxa"/>
                  <w:gridSpan w:val="3"/>
                  <w:vMerge w:val="restart"/>
                  <w:tcBorders>
                    <w:tl2br w:val="nil"/>
                    <w:tr2bl w:val="nil"/>
                  </w:tcBorders>
                  <w:vAlign w:val="center"/>
                </w:tcPr>
                <w:p>
                  <w:pPr>
                    <w:jc w:val="center"/>
                    <w:rPr>
                      <w:rFonts w:hint="default"/>
                      <w:lang w:val="en-US" w:eastAsia="zh-CN"/>
                    </w:rPr>
                  </w:pPr>
                  <w:r>
                    <w:rPr>
                      <w:rFonts w:hint="eastAsia"/>
                      <w:lang w:val="en-US" w:eastAsia="zh-CN"/>
                    </w:rPr>
                    <w:t>危险废物</w:t>
                  </w:r>
                </w:p>
              </w:tc>
              <w:tc>
                <w:tcPr>
                  <w:tcW w:w="445" w:type="dxa"/>
                  <w:gridSpan w:val="2"/>
                  <w:vMerge w:val="restart"/>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HW01</w:t>
                  </w:r>
                </w:p>
              </w:tc>
              <w:tc>
                <w:tcPr>
                  <w:tcW w:w="1413" w:type="dxa"/>
                  <w:gridSpan w:val="4"/>
                  <w:vMerge w:val="restart"/>
                  <w:tcBorders>
                    <w:tl2br w:val="nil"/>
                    <w:tr2bl w:val="nil"/>
                  </w:tcBorders>
                  <w:vAlign w:val="center"/>
                </w:tcPr>
                <w:p>
                  <w:pPr>
                    <w:jc w:val="center"/>
                    <w:rPr>
                      <w:rFonts w:hint="eastAsia"/>
                      <w:lang w:val="en-US" w:eastAsia="zh-CN"/>
                    </w:rPr>
                  </w:pPr>
                  <w:r>
                    <w:rPr>
                      <w:rFonts w:hint="default" w:ascii="Times New Roman" w:hAnsi="Times New Roman" w:eastAsia="宋体" w:cs="Times New Roman"/>
                      <w:sz w:val="21"/>
                      <w:szCs w:val="21"/>
                      <w:u w:val="single"/>
                    </w:rPr>
                    <w:t>841-001-01</w:t>
                  </w:r>
                </w:p>
              </w:tc>
              <w:tc>
                <w:tcPr>
                  <w:tcW w:w="1196" w:type="dxa"/>
                  <w:gridSpan w:val="4"/>
                  <w:vMerge w:val="restart"/>
                  <w:tcBorders>
                    <w:tl2br w:val="nil"/>
                    <w:tr2bl w:val="nil"/>
                  </w:tcBorders>
                  <w:vAlign w:val="center"/>
                </w:tcPr>
                <w:p>
                  <w:pPr>
                    <w:jc w:val="center"/>
                    <w:rPr>
                      <w:rFonts w:hint="default"/>
                      <w:lang w:val="en-US" w:eastAsia="zh-CN"/>
                    </w:rPr>
                  </w:pPr>
                  <w:r>
                    <w:rPr>
                      <w:rFonts w:hint="eastAsia"/>
                      <w:lang w:val="en-US" w:eastAsia="zh-CN"/>
                    </w:rPr>
                    <w:t>2.2</w:t>
                  </w:r>
                </w:p>
              </w:tc>
              <w:tc>
                <w:tcPr>
                  <w:tcW w:w="1848" w:type="dxa"/>
                  <w:gridSpan w:val="3"/>
                  <w:vMerge w:val="restart"/>
                  <w:tcBorders>
                    <w:tl2br w:val="nil"/>
                    <w:tr2bl w:val="nil"/>
                  </w:tcBorders>
                  <w:vAlign w:val="center"/>
                </w:tcPr>
                <w:p>
                  <w:pPr>
                    <w:jc w:val="center"/>
                    <w:rPr>
                      <w:rFonts w:hint="default"/>
                      <w:lang w:val="en-US" w:eastAsia="zh-CN"/>
                    </w:rPr>
                  </w:pPr>
                  <w:r>
                    <w:rPr>
                      <w:rFonts w:hint="eastAsia"/>
                      <w:lang w:val="en-US" w:eastAsia="zh-CN"/>
                    </w:rPr>
                    <w:t>靖州县卫生健康局集中收集后转运至“怀化市天源环保科技有限责任公司”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pPr>
                </w:p>
              </w:tc>
              <w:tc>
                <w:tcPr>
                  <w:tcW w:w="673" w:type="dxa"/>
                  <w:gridSpan w:val="3"/>
                  <w:vMerge w:val="continue"/>
                  <w:tcBorders>
                    <w:tl2br w:val="nil"/>
                    <w:tr2bl w:val="nil"/>
                  </w:tcBorders>
                  <w:vAlign w:val="center"/>
                </w:tcPr>
                <w:p>
                  <w:pPr>
                    <w:jc w:val="center"/>
                    <w:rPr>
                      <w:u w:val="single"/>
                    </w:rPr>
                  </w:pPr>
                </w:p>
              </w:tc>
              <w:tc>
                <w:tcPr>
                  <w:tcW w:w="1504" w:type="dxa"/>
                  <w:gridSpan w:val="4"/>
                  <w:tcBorders>
                    <w:tl2br w:val="nil"/>
                    <w:tr2bl w:val="nil"/>
                  </w:tcBorders>
                  <w:vAlign w:val="center"/>
                </w:tcPr>
                <w:p>
                  <w:pPr>
                    <w:jc w:val="center"/>
                    <w:rPr>
                      <w:rFonts w:hint="default"/>
                      <w:u w:val="single"/>
                      <w:lang w:val="en-US" w:eastAsia="zh-CN"/>
                    </w:rPr>
                  </w:pPr>
                  <w:r>
                    <w:rPr>
                      <w:rFonts w:hint="eastAsia"/>
                      <w:u w:val="single"/>
                      <w:lang w:val="en-US" w:eastAsia="zh-CN"/>
                    </w:rPr>
                    <w:t>废生物样品</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lang w:val="en-US" w:eastAsia="zh-CN"/>
                    </w:rPr>
                  </w:pPr>
                </w:p>
              </w:tc>
              <w:tc>
                <w:tcPr>
                  <w:tcW w:w="1413" w:type="dxa"/>
                  <w:gridSpan w:val="4"/>
                  <w:vMerge w:val="continue"/>
                  <w:tcBorders>
                    <w:tl2br w:val="nil"/>
                    <w:tr2bl w:val="nil"/>
                  </w:tcBorders>
                  <w:vAlign w:val="center"/>
                </w:tcPr>
                <w:p>
                  <w:pPr>
                    <w:jc w:val="center"/>
                    <w:rPr>
                      <w:rFonts w:hint="eastAsia"/>
                      <w:lang w:val="en-US" w:eastAsia="zh-CN"/>
                    </w:rPr>
                  </w:pP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rPr>
                      <w:rFonts w:hint="eastAsia"/>
                      <w:lang w:val="en-US" w:eastAsia="zh-CN"/>
                    </w:rPr>
                  </w:pPr>
                </w:p>
              </w:tc>
              <w:tc>
                <w:tcPr>
                  <w:tcW w:w="673" w:type="dxa"/>
                  <w:gridSpan w:val="3"/>
                  <w:vMerge w:val="continue"/>
                  <w:tcBorders>
                    <w:tl2br w:val="nil"/>
                    <w:tr2bl w:val="nil"/>
                  </w:tcBorders>
                  <w:vAlign w:val="center"/>
                </w:tcPr>
                <w:p>
                  <w:pPr>
                    <w:jc w:val="center"/>
                    <w:rPr>
                      <w:rFonts w:hint="eastAsia"/>
                      <w:u w:val="single"/>
                      <w:lang w:val="en-US" w:eastAsia="zh-CN"/>
                    </w:rPr>
                  </w:pPr>
                </w:p>
              </w:tc>
              <w:tc>
                <w:tcPr>
                  <w:tcW w:w="1504" w:type="dxa"/>
                  <w:gridSpan w:val="4"/>
                  <w:tcBorders>
                    <w:tl2br w:val="nil"/>
                    <w:tr2bl w:val="nil"/>
                  </w:tcBorders>
                  <w:vAlign w:val="center"/>
                </w:tcPr>
                <w:p>
                  <w:pPr>
                    <w:jc w:val="center"/>
                    <w:rPr>
                      <w:rFonts w:hint="default"/>
                      <w:u w:val="single"/>
                      <w:lang w:val="en-US" w:eastAsia="zh-CN"/>
                    </w:rPr>
                  </w:pPr>
                  <w:r>
                    <w:rPr>
                      <w:rFonts w:hint="eastAsia"/>
                      <w:u w:val="single"/>
                      <w:lang w:val="en-US" w:eastAsia="zh-CN"/>
                    </w:rPr>
                    <w:t>废一次性医疗用品</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lang w:val="en-US" w:eastAsia="zh-CN"/>
                    </w:rPr>
                  </w:pPr>
                </w:p>
              </w:tc>
              <w:tc>
                <w:tcPr>
                  <w:tcW w:w="1413" w:type="dxa"/>
                  <w:gridSpan w:val="4"/>
                  <w:vMerge w:val="continue"/>
                  <w:tcBorders>
                    <w:tl2br w:val="nil"/>
                    <w:tr2bl w:val="nil"/>
                  </w:tcBorders>
                  <w:vAlign w:val="center"/>
                </w:tcPr>
                <w:p>
                  <w:pPr>
                    <w:jc w:val="center"/>
                    <w:rPr>
                      <w:rFonts w:hint="eastAsia"/>
                      <w:lang w:val="en-US" w:eastAsia="zh-CN"/>
                    </w:rPr>
                  </w:pP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rPr>
                      <w:rFonts w:hint="eastAsia"/>
                      <w:lang w:val="en-US" w:eastAsia="zh-CN"/>
                    </w:rPr>
                  </w:pPr>
                </w:p>
              </w:tc>
              <w:tc>
                <w:tcPr>
                  <w:tcW w:w="673" w:type="dxa"/>
                  <w:gridSpan w:val="3"/>
                  <w:vMerge w:val="continue"/>
                  <w:tcBorders>
                    <w:tl2br w:val="nil"/>
                    <w:tr2bl w:val="nil"/>
                  </w:tcBorders>
                  <w:vAlign w:val="center"/>
                </w:tcPr>
                <w:p>
                  <w:pPr>
                    <w:jc w:val="center"/>
                    <w:rPr>
                      <w:rFonts w:hint="eastAsia"/>
                      <w:u w:val="single"/>
                      <w:lang w:val="en-US" w:eastAsia="zh-CN"/>
                    </w:rPr>
                  </w:pPr>
                </w:p>
              </w:tc>
              <w:tc>
                <w:tcPr>
                  <w:tcW w:w="1504" w:type="dxa"/>
                  <w:gridSpan w:val="4"/>
                  <w:tcBorders>
                    <w:tl2br w:val="nil"/>
                    <w:tr2bl w:val="nil"/>
                  </w:tcBorders>
                  <w:vAlign w:val="center"/>
                </w:tcPr>
                <w:p>
                  <w:pPr>
                    <w:jc w:val="center"/>
                    <w:rPr>
                      <w:rFonts w:hint="default"/>
                      <w:u w:val="single"/>
                      <w:lang w:val="en-US" w:eastAsia="zh-CN"/>
                    </w:rPr>
                  </w:pPr>
                  <w:r>
                    <w:rPr>
                      <w:rFonts w:hint="eastAsia"/>
                      <w:sz w:val="21"/>
                      <w:szCs w:val="21"/>
                      <w:u w:val="single"/>
                      <w:lang w:val="en-US" w:eastAsia="zh-CN"/>
                    </w:rPr>
                    <w:t>废HEPA滤网</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lang w:val="en-US" w:eastAsia="zh-CN"/>
                    </w:rPr>
                  </w:pPr>
                </w:p>
              </w:tc>
              <w:tc>
                <w:tcPr>
                  <w:tcW w:w="1413" w:type="dxa"/>
                  <w:gridSpan w:val="4"/>
                  <w:vMerge w:val="continue"/>
                  <w:tcBorders>
                    <w:tl2br w:val="nil"/>
                    <w:tr2bl w:val="nil"/>
                  </w:tcBorders>
                  <w:vAlign w:val="center"/>
                </w:tcPr>
                <w:p>
                  <w:pPr>
                    <w:jc w:val="center"/>
                    <w:rPr>
                      <w:rFonts w:hint="eastAsia"/>
                      <w:lang w:val="en-US" w:eastAsia="zh-CN"/>
                    </w:rPr>
                  </w:pP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rPr>
                      <w:rFonts w:hint="eastAsia"/>
                      <w:lang w:val="en-US" w:eastAsia="zh-CN"/>
                    </w:rPr>
                  </w:pPr>
                </w:p>
              </w:tc>
              <w:tc>
                <w:tcPr>
                  <w:tcW w:w="673" w:type="dxa"/>
                  <w:gridSpan w:val="3"/>
                  <w:vMerge w:val="continue"/>
                  <w:tcBorders>
                    <w:tl2br w:val="nil"/>
                    <w:tr2bl w:val="nil"/>
                  </w:tcBorders>
                  <w:vAlign w:val="center"/>
                </w:tcPr>
                <w:p>
                  <w:pPr>
                    <w:jc w:val="center"/>
                    <w:rPr>
                      <w:rFonts w:hint="eastAsia"/>
                      <w:u w:val="single"/>
                      <w:lang w:val="en-US" w:eastAsia="zh-CN"/>
                    </w:rPr>
                  </w:pPr>
                </w:p>
              </w:tc>
              <w:tc>
                <w:tcPr>
                  <w:tcW w:w="1504" w:type="dxa"/>
                  <w:gridSpan w:val="4"/>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废过期药物</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lang w:val="en-US" w:eastAsia="zh-CN"/>
                    </w:rPr>
                  </w:pPr>
                </w:p>
              </w:tc>
              <w:tc>
                <w:tcPr>
                  <w:tcW w:w="1413" w:type="dxa"/>
                  <w:gridSpan w:val="4"/>
                  <w:tcBorders>
                    <w:tl2br w:val="nil"/>
                    <w:tr2bl w:val="nil"/>
                  </w:tcBorders>
                  <w:vAlign w:val="center"/>
                </w:tcPr>
                <w:p>
                  <w:pPr>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841-005-01</w:t>
                  </w: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3</w:t>
                  </w:r>
                </w:p>
              </w:tc>
              <w:tc>
                <w:tcPr>
                  <w:tcW w:w="2177" w:type="dxa"/>
                  <w:gridSpan w:val="7"/>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污水处理站污泥</w:t>
                  </w:r>
                </w:p>
              </w:tc>
              <w:tc>
                <w:tcPr>
                  <w:tcW w:w="1159" w:type="dxa"/>
                  <w:gridSpan w:val="3"/>
                  <w:vMerge w:val="continue"/>
                  <w:tcBorders>
                    <w:tl2br w:val="nil"/>
                    <w:tr2bl w:val="nil"/>
                  </w:tcBorders>
                  <w:vAlign w:val="center"/>
                </w:tcPr>
                <w:p>
                  <w:pPr>
                    <w:jc w:val="center"/>
                    <w:rPr>
                      <w:rFonts w:hint="default"/>
                      <w:highlight w:val="none"/>
                      <w:lang w:val="en-US" w:eastAsia="zh-CN"/>
                    </w:rPr>
                  </w:pPr>
                </w:p>
              </w:tc>
              <w:tc>
                <w:tcPr>
                  <w:tcW w:w="445" w:type="dxa"/>
                  <w:gridSpan w:val="2"/>
                  <w:vMerge w:val="restart"/>
                  <w:tcBorders>
                    <w:tl2br w:val="nil"/>
                    <w:tr2bl w:val="nil"/>
                  </w:tcBorders>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default"/>
                      <w:highlight w:val="none"/>
                      <w:lang w:val="en-US" w:eastAsia="zh-CN"/>
                    </w:rPr>
                  </w:pPr>
                  <w:r>
                    <w:rPr>
                      <w:rFonts w:hint="eastAsia"/>
                      <w:highlight w:val="none"/>
                      <w:lang w:val="en-US" w:eastAsia="zh-CN"/>
                    </w:rPr>
                    <w:t>HW49</w:t>
                  </w:r>
                </w:p>
              </w:tc>
              <w:tc>
                <w:tcPr>
                  <w:tcW w:w="1413" w:type="dxa"/>
                  <w:gridSpan w:val="4"/>
                  <w:tcBorders>
                    <w:tl2br w:val="nil"/>
                    <w:tr2bl w:val="nil"/>
                  </w:tcBorders>
                  <w:vAlign w:val="center"/>
                </w:tcPr>
                <w:p>
                  <w:pPr>
                    <w:jc w:val="center"/>
                    <w:rPr>
                      <w:rFonts w:hint="eastAsia"/>
                      <w:highlight w:val="none"/>
                      <w:lang w:val="en-US" w:eastAsia="zh-CN"/>
                    </w:rPr>
                  </w:pPr>
                  <w:r>
                    <w:rPr>
                      <w:rFonts w:hint="default" w:ascii="Times New Roman" w:hAnsi="Times New Roman" w:eastAsia="宋体" w:cs="Times New Roman"/>
                      <w:sz w:val="21"/>
                      <w:szCs w:val="21"/>
                      <w:highlight w:val="none"/>
                      <w:u w:val="single"/>
                    </w:rPr>
                    <w:t>900-04</w:t>
                  </w:r>
                  <w:r>
                    <w:rPr>
                      <w:rFonts w:hint="eastAsia" w:ascii="Times New Roman" w:hAnsi="Times New Roman" w:eastAsia="宋体" w:cs="Times New Roman"/>
                      <w:sz w:val="21"/>
                      <w:szCs w:val="21"/>
                      <w:highlight w:val="none"/>
                      <w:u w:val="single"/>
                      <w:lang w:val="en-US" w:eastAsia="zh-CN"/>
                    </w:rPr>
                    <w:t>1</w:t>
                  </w:r>
                  <w:r>
                    <w:rPr>
                      <w:rFonts w:hint="default" w:ascii="Times New Roman" w:hAnsi="Times New Roman" w:eastAsia="宋体" w:cs="Times New Roman"/>
                      <w:sz w:val="21"/>
                      <w:szCs w:val="21"/>
                      <w:highlight w:val="none"/>
                      <w:u w:val="single"/>
                    </w:rPr>
                    <w:t>-49</w:t>
                  </w:r>
                </w:p>
              </w:tc>
              <w:tc>
                <w:tcPr>
                  <w:tcW w:w="1196" w:type="dxa"/>
                  <w:gridSpan w:val="4"/>
                  <w:tcBorders>
                    <w:tl2br w:val="nil"/>
                    <w:tr2bl w:val="nil"/>
                  </w:tcBorders>
                  <w:vAlign w:val="center"/>
                </w:tcPr>
                <w:p>
                  <w:pPr>
                    <w:jc w:val="center"/>
                    <w:rPr>
                      <w:rFonts w:hint="default"/>
                      <w:highlight w:val="none"/>
                      <w:lang w:val="en-US" w:eastAsia="zh-CN"/>
                    </w:rPr>
                  </w:pPr>
                  <w:r>
                    <w:rPr>
                      <w:rFonts w:hint="eastAsia"/>
                      <w:highlight w:val="none"/>
                      <w:lang w:val="en-US" w:eastAsia="zh-CN"/>
                    </w:rPr>
                    <w:t>0.0235</w:t>
                  </w:r>
                </w:p>
              </w:tc>
              <w:tc>
                <w:tcPr>
                  <w:tcW w:w="1848" w:type="dxa"/>
                  <w:gridSpan w:val="3"/>
                  <w:vMerge w:val="restart"/>
                  <w:tcBorders>
                    <w:tl2br w:val="nil"/>
                    <w:tr2bl w:val="nil"/>
                  </w:tcBorders>
                  <w:vAlign w:val="center"/>
                </w:tcPr>
                <w:p>
                  <w:pPr>
                    <w:jc w:val="center"/>
                    <w:rPr>
                      <w:rFonts w:hint="default"/>
                      <w:lang w:val="en-US" w:eastAsia="zh-CN"/>
                    </w:rPr>
                  </w:pPr>
                  <w:r>
                    <w:rPr>
                      <w:rFonts w:hint="eastAsia"/>
                      <w:lang w:val="en-US" w:eastAsia="zh-CN"/>
                    </w:rPr>
                    <w:t>收集后定期交由“湖南瀚邦环境科技有限公司”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restart"/>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5</w:t>
                  </w:r>
                </w:p>
              </w:tc>
              <w:tc>
                <w:tcPr>
                  <w:tcW w:w="673" w:type="dxa"/>
                  <w:gridSpan w:val="3"/>
                  <w:vMerge w:val="restart"/>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废试剂</w:t>
                  </w:r>
                </w:p>
              </w:tc>
              <w:tc>
                <w:tcPr>
                  <w:tcW w:w="1504" w:type="dxa"/>
                  <w:gridSpan w:val="4"/>
                  <w:tcBorders>
                    <w:tl2br w:val="nil"/>
                    <w:tr2bl w:val="nil"/>
                  </w:tcBorders>
                  <w:vAlign w:val="center"/>
                </w:tcPr>
                <w:p>
                  <w:pPr>
                    <w:jc w:val="center"/>
                    <w:rPr>
                      <w:rFonts w:hint="default"/>
                      <w:lang w:val="en-US" w:eastAsia="zh-CN"/>
                    </w:rPr>
                  </w:pPr>
                  <w:r>
                    <w:rPr>
                      <w:rFonts w:hint="eastAsia"/>
                      <w:lang w:val="en-US" w:eastAsia="zh-CN"/>
                    </w:rPr>
                    <w:t>废酸液</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jc w:val="center"/>
                    <w:rPr>
                      <w:rFonts w:hint="eastAsia"/>
                      <w:lang w:val="en-US" w:eastAsia="zh-CN"/>
                    </w:rPr>
                  </w:pPr>
                </w:p>
              </w:tc>
              <w:tc>
                <w:tcPr>
                  <w:tcW w:w="1413" w:type="dxa"/>
                  <w:gridSpan w:val="4"/>
                  <w:vMerge w:val="restart"/>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900-047-49</w:t>
                  </w:r>
                </w:p>
              </w:tc>
              <w:tc>
                <w:tcPr>
                  <w:tcW w:w="1196" w:type="dxa"/>
                  <w:gridSpan w:val="4"/>
                  <w:vMerge w:val="restart"/>
                  <w:tcBorders>
                    <w:tl2br w:val="nil"/>
                    <w:tr2bl w:val="nil"/>
                  </w:tcBorders>
                  <w:vAlign w:val="center"/>
                </w:tcPr>
                <w:p>
                  <w:pPr>
                    <w:jc w:val="center"/>
                    <w:rPr>
                      <w:rFonts w:hint="default"/>
                      <w:lang w:val="en-US" w:eastAsia="zh-CN"/>
                    </w:rPr>
                  </w:pPr>
                  <w:r>
                    <w:rPr>
                      <w:rFonts w:hint="eastAsia"/>
                      <w:lang w:val="en-US" w:eastAsia="zh-CN"/>
                    </w:rPr>
                    <w:t>0.05</w:t>
                  </w: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pPr>
                </w:p>
              </w:tc>
              <w:tc>
                <w:tcPr>
                  <w:tcW w:w="673" w:type="dxa"/>
                  <w:gridSpan w:val="3"/>
                  <w:vMerge w:val="continue"/>
                  <w:tcBorders>
                    <w:tl2br w:val="nil"/>
                    <w:tr2bl w:val="nil"/>
                  </w:tcBorders>
                  <w:vAlign w:val="center"/>
                </w:tcPr>
                <w:p>
                  <w:pPr>
                    <w:jc w:val="center"/>
                  </w:pPr>
                </w:p>
              </w:tc>
              <w:tc>
                <w:tcPr>
                  <w:tcW w:w="1504" w:type="dxa"/>
                  <w:gridSpan w:val="4"/>
                  <w:tcBorders>
                    <w:tl2br w:val="nil"/>
                    <w:tr2bl w:val="nil"/>
                  </w:tcBorders>
                  <w:vAlign w:val="center"/>
                </w:tcPr>
                <w:p>
                  <w:pPr>
                    <w:jc w:val="center"/>
                    <w:rPr>
                      <w:rFonts w:hint="default"/>
                      <w:lang w:val="en-US" w:eastAsia="zh-CN"/>
                    </w:rPr>
                  </w:pPr>
                  <w:r>
                    <w:rPr>
                      <w:rFonts w:hint="eastAsia"/>
                      <w:lang w:val="en-US" w:eastAsia="zh-CN"/>
                    </w:rPr>
                    <w:t>废碱液</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jc w:val="center"/>
                    <w:rPr>
                      <w:rFonts w:hint="eastAsia"/>
                      <w:lang w:val="en-US" w:eastAsia="zh-CN"/>
                    </w:rPr>
                  </w:pPr>
                </w:p>
              </w:tc>
              <w:tc>
                <w:tcPr>
                  <w:tcW w:w="1413" w:type="dxa"/>
                  <w:gridSpan w:val="4"/>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rPr>
                      <w:rFonts w:hint="eastAsia"/>
                      <w:lang w:val="en-US" w:eastAsia="zh-CN"/>
                    </w:rPr>
                  </w:pPr>
                </w:p>
              </w:tc>
              <w:tc>
                <w:tcPr>
                  <w:tcW w:w="673" w:type="dxa"/>
                  <w:gridSpan w:val="3"/>
                  <w:vMerge w:val="continue"/>
                  <w:tcBorders>
                    <w:tl2br w:val="nil"/>
                    <w:tr2bl w:val="nil"/>
                  </w:tcBorders>
                  <w:vAlign w:val="center"/>
                </w:tcPr>
                <w:p>
                  <w:pPr>
                    <w:jc w:val="center"/>
                    <w:rPr>
                      <w:rFonts w:hint="eastAsia"/>
                      <w:lang w:val="en-US" w:eastAsia="zh-CN"/>
                    </w:rPr>
                  </w:pPr>
                </w:p>
              </w:tc>
              <w:tc>
                <w:tcPr>
                  <w:tcW w:w="1504" w:type="dxa"/>
                  <w:gridSpan w:val="4"/>
                  <w:tcBorders>
                    <w:tl2br w:val="nil"/>
                    <w:tr2bl w:val="nil"/>
                  </w:tcBorders>
                  <w:vAlign w:val="center"/>
                </w:tcPr>
                <w:p>
                  <w:pPr>
                    <w:jc w:val="center"/>
                    <w:rPr>
                      <w:rFonts w:hint="default"/>
                      <w:lang w:val="en-US" w:eastAsia="zh-CN"/>
                    </w:rPr>
                  </w:pPr>
                  <w:r>
                    <w:rPr>
                      <w:rFonts w:hint="eastAsia"/>
                      <w:lang w:val="en-US" w:eastAsia="zh-CN"/>
                    </w:rPr>
                    <w:t>废三氯甲烷</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jc w:val="center"/>
                    <w:rPr>
                      <w:rFonts w:hint="eastAsia"/>
                      <w:lang w:val="en-US" w:eastAsia="zh-CN"/>
                    </w:rPr>
                  </w:pPr>
                </w:p>
              </w:tc>
              <w:tc>
                <w:tcPr>
                  <w:tcW w:w="1413" w:type="dxa"/>
                  <w:gridSpan w:val="4"/>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vMerge w:val="continue"/>
                  <w:tcBorders>
                    <w:tl2br w:val="nil"/>
                    <w:tr2bl w:val="nil"/>
                  </w:tcBorders>
                  <w:vAlign w:val="center"/>
                </w:tcPr>
                <w:p>
                  <w:pPr>
                    <w:jc w:val="center"/>
                  </w:pPr>
                </w:p>
              </w:tc>
              <w:tc>
                <w:tcPr>
                  <w:tcW w:w="673" w:type="dxa"/>
                  <w:gridSpan w:val="3"/>
                  <w:vMerge w:val="continue"/>
                  <w:tcBorders>
                    <w:tl2br w:val="nil"/>
                    <w:tr2bl w:val="nil"/>
                  </w:tcBorders>
                  <w:vAlign w:val="center"/>
                </w:tcPr>
                <w:p>
                  <w:pPr>
                    <w:jc w:val="center"/>
                  </w:pPr>
                </w:p>
              </w:tc>
              <w:tc>
                <w:tcPr>
                  <w:tcW w:w="1504" w:type="dxa"/>
                  <w:gridSpan w:val="4"/>
                  <w:tcBorders>
                    <w:tl2br w:val="nil"/>
                    <w:tr2bl w:val="nil"/>
                  </w:tcBorders>
                  <w:vAlign w:val="center"/>
                </w:tcPr>
                <w:p>
                  <w:pPr>
                    <w:jc w:val="center"/>
                    <w:rPr>
                      <w:rFonts w:hint="default"/>
                      <w:lang w:val="en-US" w:eastAsia="zh-CN"/>
                    </w:rPr>
                  </w:pPr>
                  <w:r>
                    <w:rPr>
                      <w:rFonts w:hint="eastAsia"/>
                      <w:lang w:val="en-US" w:eastAsia="zh-CN"/>
                    </w:rPr>
                    <w:t>废甲醇</w:t>
                  </w:r>
                </w:p>
              </w:tc>
              <w:tc>
                <w:tcPr>
                  <w:tcW w:w="1159" w:type="dxa"/>
                  <w:gridSpan w:val="3"/>
                  <w:vMerge w:val="continue"/>
                  <w:tcBorders>
                    <w:tl2br w:val="nil"/>
                    <w:tr2bl w:val="nil"/>
                  </w:tcBorders>
                  <w:vAlign w:val="center"/>
                </w:tcPr>
                <w:p>
                  <w:pPr>
                    <w:jc w:val="center"/>
                    <w:rPr>
                      <w:rFonts w:hint="eastAsia"/>
                      <w:lang w:val="en-US" w:eastAsia="zh-CN"/>
                    </w:rPr>
                  </w:pPr>
                </w:p>
              </w:tc>
              <w:tc>
                <w:tcPr>
                  <w:tcW w:w="445" w:type="dxa"/>
                  <w:gridSpan w:val="2"/>
                  <w:vMerge w:val="continue"/>
                  <w:tcBorders>
                    <w:tl2br w:val="nil"/>
                    <w:tr2bl w:val="nil"/>
                  </w:tcBorders>
                  <w:vAlign w:val="center"/>
                </w:tcPr>
                <w:p>
                  <w:pPr>
                    <w:jc w:val="center"/>
                    <w:rPr>
                      <w:rFonts w:hint="eastAsia"/>
                      <w:lang w:val="en-US" w:eastAsia="zh-CN"/>
                    </w:rPr>
                  </w:pPr>
                </w:p>
              </w:tc>
              <w:tc>
                <w:tcPr>
                  <w:tcW w:w="1413" w:type="dxa"/>
                  <w:gridSpan w:val="4"/>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96" w:type="dxa"/>
                  <w:gridSpan w:val="4"/>
                  <w:vMerge w:val="continue"/>
                  <w:tcBorders>
                    <w:tl2br w:val="nil"/>
                    <w:tr2bl w:val="nil"/>
                  </w:tcBorders>
                  <w:vAlign w:val="center"/>
                </w:tcPr>
                <w:p>
                  <w:pPr>
                    <w:jc w:val="center"/>
                    <w:rPr>
                      <w:rFonts w:hint="eastAsia"/>
                      <w:lang w:val="en-US" w:eastAsia="zh-CN"/>
                    </w:rPr>
                  </w:pPr>
                </w:p>
              </w:tc>
              <w:tc>
                <w:tcPr>
                  <w:tcW w:w="1848" w:type="dxa"/>
                  <w:gridSpan w:val="3"/>
                  <w:vMerge w:val="continue"/>
                  <w:tcBorders>
                    <w:tl2br w:val="nil"/>
                    <w:tr2bl w:val="nil"/>
                  </w:tcBorders>
                  <w:vAlign w:val="center"/>
                </w:tcPr>
                <w:p>
                  <w:pPr>
                    <w:jc w:val="cente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6</w:t>
                  </w:r>
                </w:p>
              </w:tc>
              <w:tc>
                <w:tcPr>
                  <w:tcW w:w="2177" w:type="dxa"/>
                  <w:gridSpan w:val="7"/>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废试剂瓶</w:t>
                  </w:r>
                </w:p>
              </w:tc>
              <w:tc>
                <w:tcPr>
                  <w:tcW w:w="1159" w:type="dxa"/>
                  <w:gridSpan w:val="3"/>
                  <w:vMerge w:val="continue"/>
                  <w:tcBorders>
                    <w:tl2br w:val="nil"/>
                    <w:tr2bl w:val="nil"/>
                  </w:tcBorders>
                  <w:vAlign w:val="center"/>
                </w:tcPr>
                <w:p>
                  <w:pPr>
                    <w:jc w:val="center"/>
                    <w:rPr>
                      <w:rFonts w:hint="default"/>
                      <w:lang w:val="en-US" w:eastAsia="zh-CN"/>
                    </w:rPr>
                  </w:pPr>
                </w:p>
              </w:tc>
              <w:tc>
                <w:tcPr>
                  <w:tcW w:w="445" w:type="dxa"/>
                  <w:gridSpan w:val="2"/>
                  <w:vMerge w:val="continue"/>
                  <w:tcBorders>
                    <w:tl2br w:val="nil"/>
                    <w:tr2bl w:val="nil"/>
                  </w:tcBorders>
                  <w:vAlign w:val="center"/>
                </w:tcPr>
                <w:p>
                  <w:pPr>
                    <w:jc w:val="center"/>
                    <w:rPr>
                      <w:rFonts w:hint="eastAsia"/>
                      <w:lang w:val="en-US" w:eastAsia="zh-CN"/>
                    </w:rPr>
                  </w:pPr>
                </w:p>
              </w:tc>
              <w:tc>
                <w:tcPr>
                  <w:tcW w:w="1413" w:type="dxa"/>
                  <w:gridSpan w:val="4"/>
                  <w:vMerge w:val="continue"/>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p>
              </w:tc>
              <w:tc>
                <w:tcPr>
                  <w:tcW w:w="1196" w:type="dxa"/>
                  <w:gridSpan w:val="4"/>
                  <w:tcBorders>
                    <w:tl2br w:val="nil"/>
                    <w:tr2bl w:val="nil"/>
                  </w:tcBorders>
                  <w:vAlign w:val="center"/>
                </w:tcPr>
                <w:p>
                  <w:pPr>
                    <w:jc w:val="center"/>
                    <w:rPr>
                      <w:rFonts w:hint="default"/>
                      <w:lang w:val="en-US" w:eastAsia="zh-CN"/>
                    </w:rPr>
                  </w:pPr>
                  <w:r>
                    <w:rPr>
                      <w:rFonts w:hint="eastAsia"/>
                      <w:lang w:val="en-US" w:eastAsia="zh-CN"/>
                    </w:rPr>
                    <w:t>0.01</w:t>
                  </w:r>
                </w:p>
              </w:tc>
              <w:tc>
                <w:tcPr>
                  <w:tcW w:w="1848" w:type="dxa"/>
                  <w:gridSpan w:val="3"/>
                  <w:vMerge w:val="continue"/>
                  <w:tcBorders>
                    <w:tl2br w:val="nil"/>
                    <w:tr2bl w:val="nil"/>
                  </w:tcBorders>
                  <w:vAlign w:val="center"/>
                </w:tcPr>
                <w:p>
                  <w:pPr>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gridSpan w:val="3"/>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7</w:t>
                  </w:r>
                </w:p>
              </w:tc>
              <w:tc>
                <w:tcPr>
                  <w:tcW w:w="2177" w:type="dxa"/>
                  <w:gridSpan w:val="7"/>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废美沙酮桶</w:t>
                  </w:r>
                </w:p>
              </w:tc>
              <w:tc>
                <w:tcPr>
                  <w:tcW w:w="1159" w:type="dxa"/>
                  <w:gridSpan w:val="3"/>
                  <w:vMerge w:val="continue"/>
                  <w:tcBorders>
                    <w:tl2br w:val="nil"/>
                    <w:tr2bl w:val="nil"/>
                  </w:tcBorders>
                  <w:vAlign w:val="center"/>
                </w:tcPr>
                <w:p>
                  <w:pPr>
                    <w:jc w:val="center"/>
                    <w:rPr>
                      <w:rFonts w:hint="default"/>
                      <w:lang w:val="en-US" w:eastAsia="zh-CN"/>
                    </w:rPr>
                  </w:pPr>
                </w:p>
              </w:tc>
              <w:tc>
                <w:tcPr>
                  <w:tcW w:w="445" w:type="dxa"/>
                  <w:gridSpan w:val="2"/>
                  <w:vMerge w:val="continue"/>
                  <w:tcBorders>
                    <w:tl2br w:val="nil"/>
                    <w:tr2bl w:val="nil"/>
                  </w:tcBorders>
                  <w:vAlign w:val="center"/>
                </w:tcPr>
                <w:p>
                  <w:pPr>
                    <w:jc w:val="center"/>
                    <w:rPr>
                      <w:rFonts w:hint="eastAsia"/>
                      <w:lang w:val="en-US" w:eastAsia="zh-CN"/>
                    </w:rPr>
                  </w:pPr>
                </w:p>
              </w:tc>
              <w:tc>
                <w:tcPr>
                  <w:tcW w:w="1413" w:type="dxa"/>
                  <w:gridSpan w:val="4"/>
                  <w:tcBorders>
                    <w:tl2br w:val="nil"/>
                    <w:tr2bl w:val="nil"/>
                  </w:tcBorders>
                  <w:vAlign w:val="center"/>
                </w:tcPr>
                <w:p>
                  <w:pPr>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900-04</w:t>
                  </w:r>
                  <w:r>
                    <w:rPr>
                      <w:rFonts w:hint="eastAsia" w:ascii="Times New Roman" w:hAnsi="Times New Roman" w:eastAsia="宋体" w:cs="Times New Roman"/>
                      <w:sz w:val="21"/>
                      <w:szCs w:val="21"/>
                      <w:u w:val="single"/>
                      <w:lang w:val="en-US" w:eastAsia="zh-CN"/>
                    </w:rPr>
                    <w:t>1</w:t>
                  </w:r>
                  <w:r>
                    <w:rPr>
                      <w:rFonts w:hint="default" w:ascii="Times New Roman" w:hAnsi="Times New Roman" w:eastAsia="宋体" w:cs="Times New Roman"/>
                      <w:sz w:val="21"/>
                      <w:szCs w:val="21"/>
                      <w:u w:val="single"/>
                    </w:rPr>
                    <w:t>-49</w:t>
                  </w:r>
                </w:p>
              </w:tc>
              <w:tc>
                <w:tcPr>
                  <w:tcW w:w="1196" w:type="dxa"/>
                  <w:gridSpan w:val="4"/>
                  <w:tcBorders>
                    <w:tl2br w:val="nil"/>
                    <w:tr2bl w:val="nil"/>
                  </w:tcBorders>
                  <w:vAlign w:val="center"/>
                </w:tcPr>
                <w:p>
                  <w:pPr>
                    <w:jc w:val="center"/>
                    <w:rPr>
                      <w:rFonts w:hint="default"/>
                      <w:lang w:val="en-US" w:eastAsia="zh-CN"/>
                    </w:rPr>
                  </w:pPr>
                  <w:r>
                    <w:rPr>
                      <w:rFonts w:hint="eastAsia"/>
                      <w:lang w:val="en-US" w:eastAsia="zh-CN"/>
                    </w:rPr>
                    <w:t>0.5</w:t>
                  </w:r>
                </w:p>
              </w:tc>
              <w:tc>
                <w:tcPr>
                  <w:tcW w:w="1848" w:type="dxa"/>
                  <w:gridSpan w:val="3"/>
                  <w:vMerge w:val="continue"/>
                  <w:tcBorders>
                    <w:tl2br w:val="nil"/>
                    <w:tr2bl w:val="nil"/>
                  </w:tcBorders>
                  <w:vAlign w:val="center"/>
                </w:tcPr>
                <w:p>
                  <w:pPr>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23" w:hRule="atLeast"/>
              </w:trPr>
              <w:tc>
                <w:tcPr>
                  <w:tcW w:w="8904" w:type="dxa"/>
                  <w:gridSpan w:val="25"/>
                  <w:tcBorders>
                    <w:top w:val="single" w:color="auto" w:sz="12" w:space="0"/>
                    <w:left w:val="single" w:color="auto" w:sz="12" w:space="0"/>
                    <w:bottom w:val="single" w:color="auto" w:sz="12" w:space="0"/>
                    <w:right w:val="single" w:color="auto" w:sz="12" w:space="0"/>
                  </w:tcBorders>
                </w:tcPr>
                <w:p>
                  <w:pPr>
                    <w:ind w:firstLine="360" w:firstLineChars="200"/>
                    <w:jc w:val="left"/>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说明：</w:t>
                  </w:r>
                </w:p>
                <w:p>
                  <w:pPr>
                    <w:ind w:firstLine="360" w:firstLineChars="200"/>
                    <w:jc w:val="left"/>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1、由于废气都由挥发产生，因此难以量化废气产生浓度，环评仅对挥发速率进行核算。</w:t>
                  </w:r>
                </w:p>
                <w:p>
                  <w:pPr>
                    <w:ind w:firstLine="360" w:firstLineChars="200"/>
                    <w:jc w:val="left"/>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2、《生活污染源产排污系数手册》（试用版）中给出的污染物浓度为化粪池处理后的浓度,因此不进行污水处理前及处理效率的核算。</w:t>
                  </w:r>
                </w:p>
                <w:p>
                  <w:pPr>
                    <w:ind w:firstLine="360" w:firstLineChars="200"/>
                    <w:jc w:val="left"/>
                    <w:rPr>
                      <w:rFonts w:hint="default"/>
                      <w:lang w:val="en-US" w:eastAsia="zh-CN"/>
                    </w:rPr>
                  </w:pPr>
                  <w:r>
                    <w:rPr>
                      <w:rFonts w:hint="eastAsia" w:ascii="仿宋" w:hAnsi="仿宋" w:eastAsia="仿宋" w:cs="仿宋"/>
                      <w:sz w:val="18"/>
                      <w:szCs w:val="18"/>
                      <w:lang w:val="en-US" w:eastAsia="zh-CN"/>
                    </w:rPr>
                    <w:t>3、关于单位：产生浓度、排放浓度为mg/m</w:t>
                  </w:r>
                  <w:r>
                    <w:rPr>
                      <w:rFonts w:hint="eastAsia" w:ascii="仿宋" w:hAnsi="仿宋" w:eastAsia="仿宋" w:cs="仿宋"/>
                      <w:sz w:val="18"/>
                      <w:szCs w:val="18"/>
                      <w:vertAlign w:val="superscript"/>
                      <w:lang w:val="en-US" w:eastAsia="zh-CN"/>
                    </w:rPr>
                    <w:t>3</w:t>
                  </w:r>
                  <w:r>
                    <w:rPr>
                      <w:rFonts w:hint="eastAsia" w:ascii="仿宋" w:hAnsi="仿宋" w:eastAsia="仿宋" w:cs="仿宋"/>
                      <w:sz w:val="18"/>
                      <w:szCs w:val="18"/>
                      <w:lang w:val="en-US" w:eastAsia="zh-CN"/>
                    </w:rPr>
                    <w:t>，产生总量、排放总量为kg/a，排放速率为kg/h,产生量为t/a，产生浓度、排放浓度为mg/L，排放总量为kg/a。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23" w:hRule="atLeast"/>
              </w:trPr>
              <w:tc>
                <w:tcPr>
                  <w:tcW w:w="8904" w:type="dxa"/>
                  <w:gridSpan w:val="25"/>
                  <w:tcBorders>
                    <w:top w:val="single" w:color="auto" w:sz="12" w:space="0"/>
                    <w:left w:val="single" w:color="auto" w:sz="12" w:space="0"/>
                    <w:bottom w:val="single" w:color="auto" w:sz="4" w:space="0"/>
                    <w:right w:val="single" w:color="auto" w:sz="12" w:space="0"/>
                  </w:tcBorders>
                </w:tcPr>
                <w:p>
                  <w:pPr>
                    <w:jc w:val="center"/>
                    <w:rPr>
                      <w:rFonts w:hint="default" w:ascii="仿宋" w:hAnsi="仿宋" w:eastAsia="仿宋" w:cs="仿宋"/>
                      <w:lang w:val="en-US" w:eastAsia="zh-CN"/>
                    </w:rPr>
                  </w:pPr>
                  <w:r>
                    <w:rPr>
                      <w:rFonts w:hint="eastAsia" w:ascii="Times New Roman" w:hAnsi="Times New Roman" w:eastAsia="宋体" w:cs="Times New Roman"/>
                      <w:b/>
                      <w:bCs/>
                      <w:color w:val="auto"/>
                      <w:kern w:val="2"/>
                      <w:sz w:val="21"/>
                      <w:szCs w:val="22"/>
                      <w:vertAlign w:val="baseline"/>
                      <w:lang w:val="en-US" w:eastAsia="zh-CN" w:bidi="ar-SA"/>
                    </w:rPr>
                    <w:t>电磁辐射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23" w:hRule="atLeast"/>
              </w:trPr>
              <w:tc>
                <w:tcPr>
                  <w:tcW w:w="8904" w:type="dxa"/>
                  <w:gridSpan w:val="25"/>
                  <w:tcBorders>
                    <w:top w:val="single" w:color="auto" w:sz="4" w:space="0"/>
                    <w:left w:val="single" w:color="auto" w:sz="12" w:space="0"/>
                    <w:bottom w:val="single" w:color="auto" w:sz="12" w:space="0"/>
                    <w:right w:val="single" w:color="auto" w:sz="12" w:space="0"/>
                  </w:tcBorders>
                </w:tcPr>
                <w:p>
                  <w:pPr>
                    <w:jc w:val="left"/>
                    <w:rPr>
                      <w:rFonts w:hint="default" w:ascii="仿宋" w:hAnsi="仿宋" w:eastAsia="仿宋" w:cs="仿宋"/>
                      <w:lang w:val="en-US" w:eastAsia="zh-CN"/>
                    </w:rPr>
                  </w:pPr>
                  <w:r>
                    <w:rPr>
                      <w:rFonts w:hint="eastAsia" w:ascii="宋体" w:hAnsi="宋体" w:eastAsia="宋体" w:cs="宋体"/>
                      <w:u w:val="single"/>
                      <w:lang w:val="en-US" w:eastAsia="zh-CN"/>
                    </w:rPr>
                    <w:t>本疾控中心历史上曾设置过放射科室，涉及X光机，自2015年后，本单位已移除该科室并转移了相关仪器，目前不涉及与电磁辐射有关的设备。</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baseline"/>
              <w:rPr>
                <w:rFonts w:hint="default" w:eastAsia="宋体"/>
                <w:b/>
                <w:bCs w:val="0"/>
                <w:color w:val="auto"/>
                <w:sz w:val="24"/>
                <w:szCs w:val="24"/>
                <w:u w:val="none" w:color="auto"/>
                <w:lang w:val="en-US" w:eastAsia="zh-CN"/>
              </w:rPr>
            </w:pPr>
            <w:r>
              <w:rPr>
                <w:rFonts w:hint="eastAsia"/>
                <w:b/>
                <w:bCs w:val="0"/>
                <w:color w:val="auto"/>
                <w:sz w:val="24"/>
                <w:szCs w:val="24"/>
                <w:u w:val="none" w:color="auto"/>
                <w:lang w:val="en-US" w:eastAsia="zh-CN"/>
              </w:rPr>
              <w:t>三、项目现有环境问题及整措施</w:t>
            </w:r>
          </w:p>
          <w:p>
            <w:pPr>
              <w:tabs>
                <w:tab w:val="left" w:pos="1440"/>
                <w:tab w:val="left" w:pos="1800"/>
              </w:tabs>
              <w:spacing w:line="360" w:lineRule="auto"/>
              <w:ind w:firstLine="360" w:firstLineChars="150"/>
              <w:rPr>
                <w:rFonts w:hint="default"/>
                <w:lang w:val="en-US" w:eastAsia="zh-CN"/>
              </w:rPr>
            </w:pPr>
            <w:r>
              <w:rPr>
                <w:rFonts w:hint="eastAsia"/>
                <w:sz w:val="24"/>
                <w:lang w:val="en-US" w:eastAsia="zh-CN"/>
              </w:rPr>
              <w:t>项目位于靖州县渠阳镇江东街，该区域内未接入污水管网。因此，现阶段项目与周边居民生活污水未经处理直接排入文昌溪。环评要求靖州县疾控中心委托相关单位利用清粪车定期转运生活污水至靖州县县城污水处理厂。另外，针对区域生活污水直排问题，靖州苗族侗族自治县县城污水处理厂远期计划在该片区内敷设污水管网（污水管网规划见附图4），届时，项目及项目周边区域内污水均可纳入管网，对周围环境问题有较大改善作用。</w:t>
            </w: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pPr>
      <w:bookmarkStart w:id="6" w:name="_Toc84686386"/>
      <w:bookmarkStart w:id="7" w:name="_Toc17162"/>
      <w:r>
        <w:rPr>
          <w:rFonts w:hint="eastAsia"/>
        </w:rPr>
        <w:t>三、区域环境质量现状、环境保护目标及评价标准</w:t>
      </w:r>
      <w:bookmarkEnd w:id="6"/>
      <w:bookmarkEnd w:id="7"/>
    </w:p>
    <w:tbl>
      <w:tblPr>
        <w:tblStyle w:val="16"/>
        <w:tblW w:w="10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9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tcBorders>
              <w:tl2br w:val="nil"/>
              <w:tr2bl w:val="nil"/>
            </w:tcBorders>
            <w:noWrap w:val="0"/>
            <w:vAlign w:val="center"/>
          </w:tcPr>
          <w:p>
            <w:pPr>
              <w:pStyle w:val="4"/>
              <w:bidi w:val="0"/>
              <w:rPr>
                <w:rFonts w:ascii="宋体" w:hAnsi="宋体" w:cs="宋体"/>
                <w:kern w:val="0"/>
                <w:szCs w:val="21"/>
                <w:highlight w:val="yellow"/>
              </w:rPr>
            </w:pPr>
            <w:bookmarkStart w:id="8" w:name="_Toc27413"/>
            <w:r>
              <w:rPr>
                <w:rFonts w:hint="eastAsia"/>
              </w:rPr>
              <w:t>区域环境质量现状</w:t>
            </w:r>
            <w:bookmarkEnd w:id="8"/>
          </w:p>
        </w:tc>
        <w:tc>
          <w:tcPr>
            <w:tcW w:w="9473" w:type="dxa"/>
            <w:tcBorders>
              <w:tl2br w:val="nil"/>
              <w:tr2bl w:val="nil"/>
            </w:tcBorders>
            <w:noWrap w:val="0"/>
            <w:vAlign w:val="center"/>
          </w:tcPr>
          <w:p>
            <w:pPr>
              <w:numPr>
                <w:ilvl w:val="0"/>
                <w:numId w:val="0"/>
              </w:numPr>
              <w:adjustRightInd w:val="0"/>
              <w:snapToGrid w:val="0"/>
              <w:spacing w:line="360" w:lineRule="auto"/>
              <w:jc w:val="left"/>
              <w:rPr>
                <w:rFonts w:hint="eastAsia"/>
                <w:b/>
                <w:bCs/>
                <w:sz w:val="24"/>
              </w:rPr>
            </w:pPr>
            <w:r>
              <w:rPr>
                <w:rFonts w:hint="eastAsia"/>
                <w:b/>
                <w:bCs/>
                <w:sz w:val="24"/>
                <w:lang w:val="en-US" w:eastAsia="zh-CN"/>
              </w:rPr>
              <w:t>一、</w:t>
            </w:r>
            <w:r>
              <w:rPr>
                <w:rFonts w:hint="eastAsia"/>
                <w:b/>
                <w:bCs/>
                <w:sz w:val="24"/>
              </w:rPr>
              <w:t>环境空气质量</w:t>
            </w:r>
          </w:p>
          <w:p>
            <w:pPr>
              <w:widowControl/>
              <w:spacing w:line="360" w:lineRule="auto"/>
              <w:ind w:firstLine="480" w:firstLineChars="200"/>
              <w:jc w:val="left"/>
              <w:rPr>
                <w:sz w:val="24"/>
              </w:rPr>
            </w:pPr>
            <w:r>
              <w:rPr>
                <w:rFonts w:hint="eastAsia"/>
                <w:sz w:val="24"/>
              </w:rPr>
              <w:t>根据《建设项目环境影响报告表编制技术指南》（污染影响类）（试行）中规定：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pPr>
              <w:widowControl/>
              <w:spacing w:line="360" w:lineRule="auto"/>
              <w:ind w:firstLine="480" w:firstLineChars="200"/>
              <w:jc w:val="left"/>
              <w:rPr>
                <w:rFonts w:hint="eastAsia" w:ascii="Times New Roman" w:hAnsi="Times New Roman" w:eastAsia="宋体" w:cs="Times New Roman"/>
                <w:sz w:val="24"/>
                <w:lang w:eastAsia="zh-CN"/>
              </w:rPr>
            </w:pPr>
            <w:r>
              <w:rPr>
                <w:rFonts w:hint="eastAsia" w:cs="Times New Roman"/>
                <w:sz w:val="24"/>
                <w:lang w:val="en-US" w:eastAsia="zh-CN"/>
              </w:rPr>
              <w:t>依据</w:t>
            </w:r>
            <w:r>
              <w:rPr>
                <w:rFonts w:hint="eastAsia" w:ascii="Times New Roman" w:hAnsi="Times New Roman" w:eastAsia="宋体" w:cs="Times New Roman"/>
                <w:sz w:val="24"/>
              </w:rPr>
              <w:t>怀化市生态环境局公布的</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2021年怀化市城市环境空气质量年报</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中关于靖州苗族侗族自治县环境空气监测</w:t>
            </w:r>
            <w:r>
              <w:rPr>
                <w:rFonts w:hint="eastAsia" w:ascii="Times New Roman" w:hAnsi="Times New Roman" w:eastAsia="宋体" w:cs="Times New Roman"/>
                <w:sz w:val="24"/>
                <w:lang w:val="en-US" w:eastAsia="zh-CN"/>
              </w:rPr>
              <w:t>数据</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、NO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、PM</w:t>
            </w:r>
            <w:r>
              <w:rPr>
                <w:rFonts w:hint="eastAsia" w:ascii="Times New Roman" w:hAnsi="Times New Roman" w:eastAsia="宋体" w:cs="Times New Roman"/>
                <w:sz w:val="24"/>
                <w:vertAlign w:val="subscript"/>
              </w:rPr>
              <w:t>10</w:t>
            </w:r>
            <w:r>
              <w:rPr>
                <w:rFonts w:hint="eastAsia" w:ascii="Times New Roman" w:hAnsi="Times New Roman" w:eastAsia="宋体" w:cs="Times New Roman"/>
                <w:sz w:val="24"/>
              </w:rPr>
              <w:t>、CO、O</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、PM</w:t>
            </w:r>
            <w:r>
              <w:rPr>
                <w:rFonts w:hint="eastAsia" w:ascii="Times New Roman" w:hAnsi="Times New Roman" w:eastAsia="宋体" w:cs="Times New Roman"/>
                <w:sz w:val="24"/>
                <w:vertAlign w:val="subscript"/>
              </w:rPr>
              <w:t>2.5</w:t>
            </w:r>
            <w:r>
              <w:rPr>
                <w:rFonts w:hint="eastAsia" w:ascii="Times New Roman" w:hAnsi="Times New Roman" w:eastAsia="宋体" w:cs="Times New Roman"/>
                <w:sz w:val="24"/>
              </w:rPr>
              <w:t>的202</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rPr>
              <w:t>年年平均浓度</w:t>
            </w:r>
            <w:r>
              <w:rPr>
                <w:rFonts w:hint="eastAsia" w:cs="Times New Roman"/>
                <w:sz w:val="24"/>
                <w:lang w:eastAsia="zh-CN"/>
              </w:rPr>
              <w:t>、</w:t>
            </w:r>
            <w:r>
              <w:rPr>
                <w:rFonts w:hint="eastAsia" w:ascii="Times New Roman" w:hAnsi="Times New Roman" w:eastAsia="宋体" w:cs="Times New Roman"/>
                <w:sz w:val="24"/>
              </w:rPr>
              <w:t>监测数据及达标情况详见表3-1</w:t>
            </w:r>
            <w:r>
              <w:rPr>
                <w:rFonts w:hint="eastAsia" w:ascii="Times New Roman" w:hAnsi="Times New Roman" w:eastAsia="宋体" w:cs="Times New Roman"/>
                <w:sz w:val="24"/>
                <w:lang w:eastAsia="zh-CN"/>
              </w:rPr>
              <w:t>。</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表3-1：靖州苗族侗族自治县2021年环境空气浓度结果</w:t>
            </w:r>
          </w:p>
          <w:tbl>
            <w:tblPr>
              <w:tblStyle w:val="16"/>
              <w:tblW w:w="69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60"/>
              <w:gridCol w:w="1280"/>
              <w:gridCol w:w="1150"/>
              <w:gridCol w:w="1200"/>
              <w:gridCol w:w="1010"/>
              <w:gridCol w:w="11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年评价指标</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现状浓度</w:t>
                  </w:r>
                  <w:r>
                    <w:rPr>
                      <w:rFonts w:hint="default" w:ascii="Times New Roman" w:hAnsi="Times New Roman" w:eastAsia="宋体" w:cs="Times New Roman"/>
                      <w:i w:val="0"/>
                      <w:iCs w:val="0"/>
                      <w:color w:val="000000"/>
                      <w:kern w:val="0"/>
                      <w:sz w:val="21"/>
                      <w:szCs w:val="21"/>
                      <w:u w:val="none"/>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标准值</w:t>
                  </w:r>
                  <w:r>
                    <w:rPr>
                      <w:rFonts w:hint="default" w:ascii="Times New Roman" w:hAnsi="Times New Roman" w:eastAsia="宋体" w:cs="Times New Roman"/>
                      <w:i w:val="0"/>
                      <w:iCs w:val="0"/>
                      <w:color w:val="000000"/>
                      <w:kern w:val="0"/>
                      <w:sz w:val="21"/>
                      <w:szCs w:val="21"/>
                      <w:u w:val="none"/>
                      <w:lang w:val="en-US" w:eastAsia="zh-CN" w:bidi="ar"/>
                    </w:rPr>
                    <w:t>/ (μg/m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占标率</w:t>
                  </w:r>
                  <w:r>
                    <w:rPr>
                      <w:rFonts w:hint="default" w:ascii="Times New Roman" w:hAnsi="Times New Roman" w:eastAsia="宋体" w:cs="Times New Roman"/>
                      <w:i w:val="0"/>
                      <w:iCs w:val="0"/>
                      <w:color w:val="000000"/>
                      <w:kern w:val="0"/>
                      <w:sz w:val="21"/>
                      <w:szCs w:val="21"/>
                      <w:u w:val="none"/>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年平均质量浓度</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年平均质量浓度</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PM</w:t>
                  </w:r>
                  <w:r>
                    <w:rPr>
                      <w:rFonts w:hint="default" w:ascii="Times New Roman" w:hAnsi="Times New Roman" w:eastAsia="宋体" w:cs="Times New Roman"/>
                      <w:i w:val="0"/>
                      <w:iCs w:val="0"/>
                      <w:color w:val="000000"/>
                      <w:kern w:val="0"/>
                      <w:sz w:val="21"/>
                      <w:szCs w:val="21"/>
                      <w:u w:val="none"/>
                      <w:vertAlign w:val="subscript"/>
                      <w:lang w:val="en-US" w:eastAsia="zh-CN" w:bidi="ar"/>
                    </w:rPr>
                    <w:t>10</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年平均质量浓度</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64.3</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年平均质量浓度</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w:t>
                  </w:r>
                  <w:r>
                    <w:rPr>
                      <w:rFonts w:hint="default" w:ascii="Times New Roman" w:hAnsi="Times New Roman" w:eastAsia="宋体" w:cs="Times New Roman"/>
                      <w:i w:val="0"/>
                      <w:iCs w:val="0"/>
                      <w:color w:val="000000"/>
                      <w:kern w:val="0"/>
                      <w:sz w:val="21"/>
                      <w:szCs w:val="21"/>
                      <w:u w:val="none"/>
                      <w:vertAlign w:val="subscript"/>
                      <w:lang w:val="en-US" w:eastAsia="zh-CN" w:bidi="ar"/>
                    </w:rPr>
                    <w:t>3</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r>
                    <w:rPr>
                      <w:rStyle w:val="37"/>
                      <w:lang w:val="en-US" w:eastAsia="zh-CN" w:bidi="ar"/>
                    </w:rPr>
                    <w:t>小时平均第</w:t>
                  </w:r>
                  <w:r>
                    <w:rPr>
                      <w:rFonts w:hint="default" w:ascii="Times New Roman" w:hAnsi="Times New Roman" w:eastAsia="宋体" w:cs="Times New Roman"/>
                      <w:i w:val="0"/>
                      <w:iCs w:val="0"/>
                      <w:color w:val="000000"/>
                      <w:kern w:val="0"/>
                      <w:sz w:val="21"/>
                      <w:szCs w:val="21"/>
                      <w:u w:val="none"/>
                      <w:lang w:val="en-US" w:eastAsia="zh-CN" w:bidi="ar"/>
                    </w:rPr>
                    <w:t>95</w:t>
                  </w:r>
                  <w:r>
                    <w:rPr>
                      <w:rStyle w:val="37"/>
                      <w:lang w:val="en-US" w:eastAsia="zh-CN" w:bidi="ar"/>
                    </w:rPr>
                    <w:t>百分位数</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63.8</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PM</w:t>
                  </w:r>
                  <w:r>
                    <w:rPr>
                      <w:rFonts w:hint="default" w:ascii="Times New Roman" w:hAnsi="Times New Roman" w:eastAsia="宋体" w:cs="Times New Roman"/>
                      <w:i w:val="0"/>
                      <w:iCs w:val="0"/>
                      <w:color w:val="000000"/>
                      <w:kern w:val="0"/>
                      <w:sz w:val="21"/>
                      <w:szCs w:val="21"/>
                      <w:u w:val="none"/>
                      <w:vertAlign w:val="subscript"/>
                      <w:lang w:val="en-US" w:eastAsia="zh-CN" w:bidi="ar"/>
                    </w:rPr>
                    <w:t>2.5</w:t>
                  </w:r>
                </w:p>
              </w:tc>
              <w:tc>
                <w:tcPr>
                  <w:tcW w:w="12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w:t>
                  </w:r>
                  <w:r>
                    <w:rPr>
                      <w:rFonts w:hint="default" w:ascii="Times New Roman" w:hAnsi="Times New Roman" w:eastAsia="宋体" w:cs="Times New Roman"/>
                      <w:i w:val="0"/>
                      <w:iCs w:val="0"/>
                      <w:color w:val="000000"/>
                      <w:kern w:val="0"/>
                      <w:sz w:val="21"/>
                      <w:szCs w:val="21"/>
                      <w:u w:val="none"/>
                      <w:lang w:val="en-US" w:eastAsia="zh-CN" w:bidi="ar"/>
                    </w:rPr>
                    <w:t>8</w:t>
                  </w:r>
                  <w:r>
                    <w:rPr>
                      <w:rStyle w:val="37"/>
                      <w:lang w:val="en-US" w:eastAsia="zh-CN" w:bidi="ar"/>
                    </w:rPr>
                    <w:t>小时平均第</w:t>
                  </w:r>
                  <w:r>
                    <w:rPr>
                      <w:rFonts w:hint="default" w:ascii="Times New Roman" w:hAnsi="Times New Roman" w:eastAsia="宋体" w:cs="Times New Roman"/>
                      <w:i w:val="0"/>
                      <w:iCs w:val="0"/>
                      <w:color w:val="000000"/>
                      <w:kern w:val="0"/>
                      <w:sz w:val="21"/>
                      <w:szCs w:val="21"/>
                      <w:u w:val="none"/>
                      <w:lang w:val="en-US" w:eastAsia="zh-CN" w:bidi="ar"/>
                    </w:rPr>
                    <w:t>90</w:t>
                  </w:r>
                  <w:r>
                    <w:rPr>
                      <w:rStyle w:val="37"/>
                      <w:lang w:val="en-US" w:eastAsia="zh-CN" w:bidi="ar"/>
                    </w:rPr>
                    <w:t>百分位数</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1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960"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i w:val="0"/>
                      <w:iCs w:val="0"/>
                      <w:color w:val="000000"/>
                      <w:kern w:val="0"/>
                      <w:sz w:val="21"/>
                      <w:szCs w:val="21"/>
                      <w:u w:val="none"/>
                      <w:lang w:val="en-US" w:eastAsia="zh-CN" w:bidi="ar"/>
                    </w:rPr>
                  </w:pPr>
                  <w:r>
                    <w:rPr>
                      <w:rFonts w:hint="eastAsia" w:ascii="仿宋" w:hAnsi="仿宋" w:eastAsia="仿宋" w:cs="仿宋"/>
                      <w:sz w:val="18"/>
                      <w:szCs w:val="18"/>
                      <w:shd w:val="clear" w:color="auto" w:fill="FFFFFF"/>
                    </w:rPr>
                    <w:t>注：O</w:t>
                  </w:r>
                  <w:r>
                    <w:rPr>
                      <w:rFonts w:hint="eastAsia" w:ascii="仿宋" w:hAnsi="仿宋" w:eastAsia="仿宋" w:cs="仿宋"/>
                      <w:sz w:val="18"/>
                      <w:szCs w:val="18"/>
                      <w:shd w:val="clear" w:color="auto" w:fill="FFFFFF"/>
                      <w:vertAlign w:val="subscript"/>
                    </w:rPr>
                    <w:t>3</w:t>
                  </w:r>
                  <w:r>
                    <w:rPr>
                      <w:rFonts w:hint="eastAsia" w:ascii="仿宋" w:hAnsi="仿宋" w:eastAsia="仿宋" w:cs="仿宋"/>
                      <w:sz w:val="18"/>
                      <w:szCs w:val="18"/>
                      <w:shd w:val="clear" w:color="auto" w:fill="FFFFFF"/>
                    </w:rPr>
                    <w:t>浓度为8小时平均值。</w:t>
                  </w:r>
                </w:p>
              </w:tc>
            </w:tr>
          </w:tbl>
          <w:p>
            <w:pPr>
              <w:widowControl/>
              <w:spacing w:before="48" w:beforeLines="20" w:line="360" w:lineRule="auto"/>
              <w:ind w:firstLine="480" w:firstLineChars="200"/>
              <w:rPr>
                <w:rFonts w:hint="eastAsia"/>
                <w:sz w:val="24"/>
              </w:rPr>
            </w:pPr>
            <w:r>
              <w:rPr>
                <w:rFonts w:hint="eastAsia"/>
                <w:sz w:val="24"/>
                <w:lang w:val="en-US" w:eastAsia="zh-CN"/>
              </w:rPr>
              <w:t>可见</w:t>
            </w:r>
            <w:r>
              <w:rPr>
                <w:sz w:val="24"/>
              </w:rPr>
              <w:t>，20</w:t>
            </w:r>
            <w:r>
              <w:rPr>
                <w:rFonts w:hint="eastAsia"/>
                <w:sz w:val="24"/>
              </w:rPr>
              <w:t>2</w:t>
            </w:r>
            <w:r>
              <w:rPr>
                <w:rFonts w:hint="eastAsia"/>
                <w:sz w:val="24"/>
                <w:lang w:val="en-US" w:eastAsia="zh-CN"/>
              </w:rPr>
              <w:t>1</w:t>
            </w:r>
            <w:r>
              <w:rPr>
                <w:sz w:val="24"/>
              </w:rPr>
              <w:t>年</w:t>
            </w:r>
            <w:r>
              <w:rPr>
                <w:rFonts w:hint="eastAsia"/>
                <w:sz w:val="24"/>
              </w:rPr>
              <w:t>靖州县</w:t>
            </w:r>
            <w:r>
              <w:rPr>
                <w:sz w:val="24"/>
              </w:rPr>
              <w:t>环境空气常规6项指标</w:t>
            </w:r>
            <w:r>
              <w:rPr>
                <w:rFonts w:hint="eastAsia"/>
                <w:sz w:val="24"/>
                <w:lang w:eastAsia="zh-CN"/>
              </w:rPr>
              <w:t>，</w:t>
            </w:r>
            <w:r>
              <w:rPr>
                <w:sz w:val="24"/>
              </w:rPr>
              <w:t>PM</w:t>
            </w:r>
            <w:r>
              <w:rPr>
                <w:sz w:val="24"/>
                <w:vertAlign w:val="subscript"/>
              </w:rPr>
              <w:t>10</w:t>
            </w:r>
            <w:r>
              <w:rPr>
                <w:sz w:val="24"/>
              </w:rPr>
              <w:t>年均值、SO</w:t>
            </w:r>
            <w:r>
              <w:rPr>
                <w:sz w:val="24"/>
                <w:vertAlign w:val="subscript"/>
              </w:rPr>
              <w:t>2</w:t>
            </w:r>
            <w:r>
              <w:rPr>
                <w:sz w:val="24"/>
              </w:rPr>
              <w:t>年均值、NO</w:t>
            </w:r>
            <w:r>
              <w:rPr>
                <w:sz w:val="24"/>
                <w:vertAlign w:val="subscript"/>
              </w:rPr>
              <w:t>2</w:t>
            </w:r>
            <w:r>
              <w:rPr>
                <w:sz w:val="24"/>
              </w:rPr>
              <w:t>年均值、CO24小时平均浓度第95百分位数、O</w:t>
            </w:r>
            <w:r>
              <w:rPr>
                <w:sz w:val="24"/>
                <w:vertAlign w:val="subscript"/>
              </w:rPr>
              <w:t>3</w:t>
            </w:r>
            <w:r>
              <w:rPr>
                <w:sz w:val="24"/>
              </w:rPr>
              <w:t>日最大8小时平均浓度第90百分位数、PM</w:t>
            </w:r>
            <w:r>
              <w:rPr>
                <w:sz w:val="24"/>
                <w:vertAlign w:val="subscript"/>
              </w:rPr>
              <w:t>2.5</w:t>
            </w:r>
            <w:r>
              <w:rPr>
                <w:sz w:val="24"/>
              </w:rPr>
              <w:t>年均值，均达到《环境空气质量标准》（GB3095-2012）中二级标准要求</w:t>
            </w:r>
            <w:r>
              <w:rPr>
                <w:rFonts w:hint="eastAsia"/>
                <w:sz w:val="24"/>
              </w:rPr>
              <w:t>。</w:t>
            </w:r>
          </w:p>
          <w:p>
            <w:pPr>
              <w:pStyle w:val="7"/>
              <w:keepNext w:val="0"/>
              <w:keepLines w:val="0"/>
              <w:pageBreakBefore w:val="0"/>
              <w:widowControl/>
              <w:kinsoku/>
              <w:wordWrap/>
              <w:overflowPunct/>
              <w:topLinePunct w:val="0"/>
              <w:autoSpaceDE/>
              <w:autoSpaceDN/>
              <w:bidi w:val="0"/>
              <w:adjustRightInd/>
              <w:snapToGrid w:val="0"/>
              <w:spacing w:after="0" w:line="360" w:lineRule="auto"/>
              <w:ind w:right="113"/>
              <w:textAlignment w:val="auto"/>
              <w:rPr>
                <w:rFonts w:hint="eastAsia"/>
                <w:sz w:val="24"/>
                <w:szCs w:val="24"/>
                <w:highlight w:val="yellow"/>
              </w:rPr>
            </w:pPr>
            <w:r>
              <w:rPr>
                <w:rFonts w:hint="eastAsia"/>
                <w:b/>
                <w:bCs/>
                <w:kern w:val="2"/>
                <w:sz w:val="24"/>
                <w:szCs w:val="24"/>
                <w:lang w:val="en-US" w:eastAsia="zh-CN"/>
              </w:rPr>
              <w:t>二、</w:t>
            </w:r>
            <w:r>
              <w:rPr>
                <w:rFonts w:hint="eastAsia"/>
                <w:b/>
                <w:bCs/>
                <w:kern w:val="2"/>
                <w:sz w:val="24"/>
                <w:szCs w:val="24"/>
              </w:rPr>
              <w:t>地表水环境质量</w:t>
            </w:r>
          </w:p>
          <w:p>
            <w:pPr>
              <w:pStyle w:val="7"/>
              <w:spacing w:after="0" w:line="360" w:lineRule="auto"/>
              <w:ind w:firstLine="480" w:firstLineChars="200"/>
              <w:rPr>
                <w:rFonts w:hint="eastAsia" w:eastAsia="宋体"/>
                <w:sz w:val="24"/>
                <w:szCs w:val="24"/>
                <w:lang w:eastAsia="zh-CN"/>
              </w:rPr>
            </w:pPr>
            <w:r>
              <w:rPr>
                <w:rFonts w:hint="eastAsia"/>
                <w:sz w:val="24"/>
                <w:szCs w:val="24"/>
              </w:rPr>
              <w:t>根据《建设项目环境影响报告表编制技术指南》（污染影响类）（试行）中规定：</w:t>
            </w:r>
            <w:r>
              <w:rPr>
                <w:rFonts w:hint="eastAsia"/>
                <w:sz w:val="24"/>
                <w:szCs w:val="24"/>
                <w:lang w:eastAsia="zh-CN"/>
              </w:rPr>
              <w:t>“</w:t>
            </w:r>
            <w:r>
              <w:rPr>
                <w:rFonts w:hint="eastAsia"/>
                <w:sz w:val="24"/>
                <w:szCs w:val="24"/>
              </w:rPr>
              <w:t>2.地表水环境。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sz w:val="24"/>
                <w:szCs w:val="24"/>
                <w:lang w:eastAsia="zh-CN"/>
              </w:rPr>
              <w:t>”</w:t>
            </w:r>
          </w:p>
          <w:p>
            <w:pPr>
              <w:pStyle w:val="7"/>
              <w:spacing w:after="0"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本次调查引用怀化市生态环境局</w:t>
            </w:r>
            <w:r>
              <w:rPr>
                <w:rFonts w:hint="eastAsia" w:cs="Times New Roman"/>
                <w:sz w:val="24"/>
                <w:szCs w:val="24"/>
                <w:lang w:val="en-US" w:eastAsia="zh-CN"/>
              </w:rPr>
              <w:t>在</w:t>
            </w:r>
            <w:r>
              <w:rPr>
                <w:rFonts w:hint="eastAsia" w:ascii="Times New Roman" w:hAnsi="Times New Roman" w:eastAsia="宋体" w:cs="Times New Roman"/>
                <w:sz w:val="24"/>
                <w:szCs w:val="24"/>
                <w:lang w:val="en-US" w:eastAsia="zh-CN"/>
              </w:rPr>
              <w:t>202</w:t>
            </w:r>
            <w:r>
              <w:rPr>
                <w:rFonts w:hint="eastAsia" w:cs="Times New Roman"/>
                <w:sz w:val="24"/>
                <w:szCs w:val="24"/>
                <w:lang w:val="en-US" w:eastAsia="zh-CN"/>
              </w:rPr>
              <w:t>2</w:t>
            </w:r>
            <w:r>
              <w:rPr>
                <w:rFonts w:hint="eastAsia" w:ascii="Times New Roman" w:hAnsi="Times New Roman" w:eastAsia="宋体" w:cs="Times New Roman"/>
                <w:sz w:val="24"/>
                <w:szCs w:val="24"/>
                <w:lang w:val="en-US" w:eastAsia="zh-CN"/>
              </w:rPr>
              <w:t>年</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月2</w:t>
            </w:r>
            <w:r>
              <w:rPr>
                <w:rFonts w:hint="eastAsia" w:cs="Times New Roman"/>
                <w:sz w:val="24"/>
                <w:szCs w:val="24"/>
                <w:lang w:val="en-US" w:eastAsia="zh-CN"/>
              </w:rPr>
              <w:t>8</w:t>
            </w:r>
            <w:r>
              <w:rPr>
                <w:rFonts w:hint="eastAsia" w:ascii="Times New Roman" w:hAnsi="Times New Roman" w:eastAsia="宋体" w:cs="Times New Roman"/>
                <w:sz w:val="24"/>
                <w:szCs w:val="24"/>
                <w:lang w:val="en-US" w:eastAsia="zh-CN"/>
              </w:rPr>
              <w:t>日公布的《怀化市水环境质量年报</w:t>
            </w:r>
            <w:r>
              <w:rPr>
                <w:rFonts w:hint="eastAsia" w:cs="Times New Roman"/>
                <w:sz w:val="24"/>
                <w:szCs w:val="24"/>
                <w:lang w:val="en-US" w:eastAsia="zh-CN"/>
              </w:rPr>
              <w:t>（2021年）</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w:t>
            </w:r>
          </w:p>
          <w:p>
            <w:pPr>
              <w:pStyle w:val="7"/>
              <w:spacing w:after="0"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靖州苗族侗族自治县位于湖南省怀化市，临近水体为渠水、文昌溪，“年报”中距离项目最近的控制断面为“靖州县水厂”，位于项目下游2600m处。水环境质量现状调查详见下图，监测断面与项目位置关系见附图八。</w:t>
            </w:r>
          </w:p>
          <w:p>
            <w:pPr>
              <w:pStyle w:val="8"/>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anchor distT="0" distB="0" distL="114935" distR="114935" simplePos="0" relativeHeight="251664384" behindDoc="0" locked="0" layoutInCell="1" allowOverlap="1">
                  <wp:simplePos x="0" y="0"/>
                  <wp:positionH relativeFrom="column">
                    <wp:posOffset>-27940</wp:posOffset>
                  </wp:positionH>
                  <wp:positionV relativeFrom="paragraph">
                    <wp:posOffset>-3186430</wp:posOffset>
                  </wp:positionV>
                  <wp:extent cx="5876925" cy="7991475"/>
                  <wp:effectExtent l="0" t="0" r="9525" b="9525"/>
                  <wp:wrapTopAndBottom/>
                  <wp:docPr id="17" name="图片 17" descr="现场照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现场照片_00"/>
                          <pic:cNvPicPr>
                            <a:picLocks noChangeAspect="1"/>
                          </pic:cNvPicPr>
                        </pic:nvPicPr>
                        <pic:blipFill>
                          <a:blip r:embed="rId21"/>
                          <a:srcRect l="-677" b="3209"/>
                          <a:stretch>
                            <a:fillRect/>
                          </a:stretch>
                        </pic:blipFill>
                        <pic:spPr>
                          <a:xfrm>
                            <a:off x="0" y="0"/>
                            <a:ext cx="5876925" cy="7991475"/>
                          </a:xfrm>
                          <a:prstGeom prst="rect">
                            <a:avLst/>
                          </a:prstGeom>
                        </pic:spPr>
                      </pic:pic>
                    </a:graphicData>
                  </a:graphic>
                </wp:anchor>
              </w:drawing>
            </w:r>
            <w:r>
              <w:rPr>
                <w:rFonts w:hint="eastAsia" w:ascii="Times New Roman" w:hAnsi="Times New Roman" w:eastAsia="宋体" w:cs="Times New Roman"/>
                <w:b/>
                <w:bCs/>
                <w:sz w:val="24"/>
                <w:szCs w:val="24"/>
                <w:lang w:val="en-US" w:eastAsia="zh-CN"/>
              </w:rPr>
              <w:t>图3-1  《怀化市水环境质量年报（2021年）》考核结论摘录（1）</w:t>
            </w:r>
          </w:p>
          <w:p>
            <w:pPr>
              <w:spacing w:line="360" w:lineRule="auto"/>
              <w:jc w:val="center"/>
              <w:rPr>
                <w:rFonts w:hint="default" w:ascii="Times New Roman" w:hAnsi="Times New Roman" w:eastAsia="宋体" w:cs="Times New Roman"/>
                <w:sz w:val="24"/>
                <w:lang w:val="en-US" w:eastAsia="zh-CN"/>
              </w:rPr>
            </w:pPr>
            <w:r>
              <w:rPr>
                <w:rFonts w:hint="eastAsia" w:cs="Times New Roman"/>
                <w:b/>
                <w:bCs/>
                <w:sz w:val="24"/>
                <w:szCs w:val="24"/>
                <w:lang w:val="en-US" w:eastAsia="zh-CN"/>
              </w:rPr>
              <w:t xml:space="preserve">图3-2  </w:t>
            </w:r>
            <w:r>
              <w:rPr>
                <w:rFonts w:hint="eastAsia" w:ascii="Times New Roman" w:hAnsi="Times New Roman" w:eastAsia="宋体" w:cs="Times New Roman"/>
                <w:b/>
                <w:bCs/>
                <w:sz w:val="24"/>
                <w:szCs w:val="24"/>
                <w:lang w:val="en-US" w:eastAsia="zh-CN"/>
              </w:rPr>
              <w:t>《怀化市水环境质量年报（2021年）》考核结论摘录（</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sz w:val="24"/>
                <w:lang w:val="en-US" w:eastAsia="zh-CN"/>
              </w:rPr>
              <w:drawing>
                <wp:anchor distT="0" distB="0" distL="114935" distR="114935" simplePos="0" relativeHeight="251663360" behindDoc="0" locked="0" layoutInCell="1" allowOverlap="1">
                  <wp:simplePos x="0" y="0"/>
                  <wp:positionH relativeFrom="column">
                    <wp:posOffset>245110</wp:posOffset>
                  </wp:positionH>
                  <wp:positionV relativeFrom="paragraph">
                    <wp:posOffset>200660</wp:posOffset>
                  </wp:positionV>
                  <wp:extent cx="5304790" cy="7312025"/>
                  <wp:effectExtent l="0" t="0" r="10160" b="3175"/>
                  <wp:wrapTopAndBottom/>
                  <wp:docPr id="18" name="图片 18" descr="现场照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现场照片_01"/>
                          <pic:cNvPicPr>
                            <a:picLocks noChangeAspect="1"/>
                          </pic:cNvPicPr>
                        </pic:nvPicPr>
                        <pic:blipFill>
                          <a:blip r:embed="rId22"/>
                          <a:srcRect l="5760" r="6787" b="14765"/>
                          <a:stretch>
                            <a:fillRect/>
                          </a:stretch>
                        </pic:blipFill>
                        <pic:spPr>
                          <a:xfrm>
                            <a:off x="0" y="0"/>
                            <a:ext cx="5304790" cy="7312025"/>
                          </a:xfrm>
                          <a:prstGeom prst="rect">
                            <a:avLst/>
                          </a:prstGeom>
                        </pic:spPr>
                      </pic:pic>
                    </a:graphicData>
                  </a:graphic>
                </wp:anchor>
              </w:drawing>
            </w:r>
          </w:p>
          <w:p>
            <w:pPr>
              <w:spacing w:line="360" w:lineRule="auto"/>
              <w:ind w:firstLine="480" w:firstLineChars="200"/>
              <w:rPr>
                <w:rFonts w:hint="eastAsia" w:cs="Times New Roman"/>
                <w:sz w:val="24"/>
                <w:lang w:val="en-US" w:eastAsia="zh-CN"/>
              </w:rPr>
            </w:pPr>
            <w:r>
              <w:rPr>
                <w:rFonts w:hint="eastAsia" w:ascii="Times New Roman" w:hAnsi="Times New Roman" w:eastAsia="宋体" w:cs="Times New Roman"/>
                <w:sz w:val="24"/>
                <w:lang w:val="en-US" w:eastAsia="zh-CN"/>
              </w:rPr>
              <w:t>可见，</w:t>
            </w:r>
            <w:r>
              <w:rPr>
                <w:rFonts w:hint="eastAsia" w:cs="Times New Roman"/>
                <w:sz w:val="24"/>
                <w:lang w:val="en-US" w:eastAsia="zh-CN"/>
              </w:rPr>
              <w:t>依据《怀化市水环境质量年报（2021年）》，本疾控中心临近的“靖州县自来水厂”断面可达Ⅱ类标准，区域地表水环境质量良好。</w:t>
            </w:r>
          </w:p>
          <w:p>
            <w:pPr>
              <w:pStyle w:val="21"/>
              <w:rPr>
                <w:rFonts w:hint="eastAsia" w:cs="Times New Roman"/>
                <w:sz w:val="24"/>
                <w:lang w:val="en-US" w:eastAsia="zh-CN"/>
              </w:rPr>
            </w:pPr>
          </w:p>
          <w:p>
            <w:pPr>
              <w:spacing w:line="360" w:lineRule="auto"/>
              <w:rPr>
                <w:rFonts w:hint="eastAsia" w:eastAsia="宋体"/>
                <w:sz w:val="24"/>
                <w:lang w:val="en-US" w:eastAsia="zh-CN"/>
              </w:rPr>
            </w:pPr>
            <w:r>
              <w:rPr>
                <w:rFonts w:hint="eastAsia"/>
                <w:b/>
                <w:bCs/>
                <w:sz w:val="24"/>
                <w:lang w:val="en-US" w:eastAsia="zh-CN"/>
              </w:rPr>
              <w:t>三</w:t>
            </w:r>
            <w:r>
              <w:rPr>
                <w:rFonts w:hint="eastAsia"/>
                <w:b/>
                <w:bCs/>
                <w:sz w:val="24"/>
              </w:rPr>
              <w:t>、声</w:t>
            </w:r>
            <w:r>
              <w:rPr>
                <w:rFonts w:hint="eastAsia"/>
                <w:b/>
                <w:bCs/>
                <w:sz w:val="24"/>
                <w:lang w:val="en-US" w:eastAsia="zh-CN"/>
              </w:rPr>
              <w:t>环境</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为了解本项目周边区域声环境质量现状，</w:t>
            </w:r>
            <w:r>
              <w:rPr>
                <w:rFonts w:hint="default" w:ascii="Times New Roman" w:hAnsi="Times New Roman" w:eastAsia="宋体" w:cs="Times New Roman"/>
                <w:sz w:val="24"/>
                <w:lang w:val="en-US" w:eastAsia="zh-CN"/>
              </w:rPr>
              <w:t>靖州苗族侗族自治县疾病预防控制中心</w:t>
            </w:r>
            <w:r>
              <w:rPr>
                <w:rFonts w:hint="eastAsia" w:cs="Times New Roman"/>
                <w:sz w:val="24"/>
                <w:lang w:val="en-US" w:eastAsia="zh-CN"/>
              </w:rPr>
              <w:t>于</w:t>
            </w:r>
            <w:r>
              <w:rPr>
                <w:rFonts w:hint="eastAsia" w:ascii="Times New Roman" w:hAnsi="Times New Roman" w:eastAsia="宋体" w:cs="Times New Roman"/>
                <w:sz w:val="24"/>
                <w:lang w:val="en-US" w:eastAsia="zh-CN"/>
              </w:rPr>
              <w:t>2022年2月</w:t>
            </w:r>
            <w:r>
              <w:rPr>
                <w:rFonts w:ascii="Times New Roman" w:hAnsi="Times New Roman" w:eastAsia="宋体" w:cs="Times New Roman"/>
                <w:sz w:val="24"/>
              </w:rPr>
              <w:t>委托</w:t>
            </w:r>
            <w:r>
              <w:rPr>
                <w:rFonts w:hint="eastAsia" w:ascii="Times New Roman" w:hAnsi="Times New Roman" w:eastAsia="宋体" w:cs="Times New Roman"/>
                <w:sz w:val="24"/>
              </w:rPr>
              <w:t>湖南昌旭环保科技有限公司</w:t>
            </w:r>
            <w:r>
              <w:rPr>
                <w:rFonts w:ascii="Times New Roman" w:hAnsi="Times New Roman" w:eastAsia="宋体" w:cs="Times New Roman"/>
                <w:sz w:val="24"/>
              </w:rPr>
              <w:t>于对项目所在地环境噪声进行监测。</w:t>
            </w:r>
          </w:p>
          <w:p>
            <w:pPr>
              <w:spacing w:line="360" w:lineRule="auto"/>
              <w:ind w:firstLine="480" w:firstLineChars="200"/>
              <w:rPr>
                <w:rFonts w:hint="default"/>
                <w:sz w:val="24"/>
                <w:lang w:val="en-US"/>
              </w:rPr>
            </w:pPr>
            <w:r>
              <w:rPr>
                <w:sz w:val="24"/>
              </w:rPr>
              <w:t>（1）监测布点：</w:t>
            </w:r>
            <w:r>
              <w:rPr>
                <w:rFonts w:ascii="Times New Roman" w:hAnsi="Times New Roman"/>
                <w:b w:val="0"/>
                <w:sz w:val="24"/>
              </w:rPr>
              <w:t>厂界外</w:t>
            </w:r>
            <w:r>
              <w:rPr>
                <w:rFonts w:hint="eastAsia" w:ascii="Times New Roman" w:hAnsi="Times New Roman"/>
                <w:b w:val="0"/>
                <w:sz w:val="24"/>
                <w:lang w:val="en-US" w:eastAsia="zh-CN"/>
              </w:rPr>
              <w:t>东侧</w:t>
            </w:r>
            <w:r>
              <w:rPr>
                <w:rFonts w:ascii="Times New Roman" w:hAnsi="Times New Roman"/>
                <w:b w:val="0"/>
                <w:sz w:val="24"/>
              </w:rPr>
              <w:t>1m处△</w:t>
            </w:r>
            <w:r>
              <w:rPr>
                <w:rFonts w:hint="eastAsia" w:ascii="Times New Roman" w:hAnsi="Times New Roman"/>
                <w:b w:val="0"/>
                <w:sz w:val="24"/>
                <w:lang w:val="en-US" w:eastAsia="zh-CN"/>
              </w:rPr>
              <w:t>N1</w:t>
            </w:r>
            <w:r>
              <w:rPr>
                <w:rFonts w:hint="eastAsia"/>
                <w:b w:val="0"/>
                <w:sz w:val="24"/>
                <w:lang w:val="en-US" w:eastAsia="zh-CN"/>
              </w:rPr>
              <w:t>、</w:t>
            </w:r>
            <w:r>
              <w:rPr>
                <w:rFonts w:ascii="Times New Roman" w:hAnsi="Times New Roman"/>
                <w:b w:val="0"/>
                <w:sz w:val="24"/>
              </w:rPr>
              <w:t>厂界外</w:t>
            </w:r>
            <w:r>
              <w:rPr>
                <w:rFonts w:hint="eastAsia" w:ascii="Times New Roman" w:hAnsi="Times New Roman"/>
                <w:b w:val="0"/>
                <w:sz w:val="24"/>
                <w:lang w:val="en-US" w:eastAsia="zh-CN"/>
              </w:rPr>
              <w:t>南侧</w:t>
            </w:r>
            <w:r>
              <w:rPr>
                <w:rFonts w:ascii="Times New Roman" w:hAnsi="Times New Roman"/>
                <w:b w:val="0"/>
                <w:sz w:val="24"/>
              </w:rPr>
              <w:t>1m处△</w:t>
            </w:r>
            <w:r>
              <w:rPr>
                <w:rFonts w:hint="eastAsia" w:ascii="Times New Roman" w:hAnsi="Times New Roman"/>
                <w:b w:val="0"/>
                <w:sz w:val="24"/>
                <w:lang w:val="en-US" w:eastAsia="zh-CN"/>
              </w:rPr>
              <w:t>N2</w:t>
            </w:r>
            <w:r>
              <w:rPr>
                <w:rFonts w:hint="eastAsia"/>
                <w:b w:val="0"/>
                <w:sz w:val="24"/>
                <w:lang w:val="en-US" w:eastAsia="zh-CN"/>
              </w:rPr>
              <w:t>、</w:t>
            </w:r>
            <w:r>
              <w:rPr>
                <w:rFonts w:ascii="Times New Roman" w:hAnsi="Times New Roman"/>
                <w:b w:val="0"/>
                <w:sz w:val="24"/>
              </w:rPr>
              <w:t>厂界外</w:t>
            </w:r>
            <w:r>
              <w:rPr>
                <w:rFonts w:hint="eastAsia" w:ascii="Times New Roman" w:hAnsi="Times New Roman"/>
                <w:b w:val="0"/>
                <w:sz w:val="24"/>
                <w:lang w:val="en-US" w:eastAsia="zh-CN"/>
              </w:rPr>
              <w:t>西侧</w:t>
            </w:r>
            <w:r>
              <w:rPr>
                <w:rFonts w:ascii="Times New Roman" w:hAnsi="Times New Roman"/>
                <w:b w:val="0"/>
                <w:sz w:val="24"/>
              </w:rPr>
              <w:t>1m处△</w:t>
            </w:r>
            <w:r>
              <w:rPr>
                <w:rFonts w:hint="eastAsia" w:ascii="Times New Roman" w:hAnsi="Times New Roman"/>
                <w:b w:val="0"/>
                <w:sz w:val="24"/>
                <w:lang w:val="en-US" w:eastAsia="zh-CN"/>
              </w:rPr>
              <w:t>N3</w:t>
            </w:r>
            <w:r>
              <w:rPr>
                <w:rFonts w:hint="eastAsia"/>
                <w:b w:val="0"/>
                <w:sz w:val="24"/>
                <w:lang w:val="en-US" w:eastAsia="zh-CN"/>
              </w:rPr>
              <w:t>、</w:t>
            </w:r>
            <w:r>
              <w:rPr>
                <w:rFonts w:ascii="Times New Roman" w:hAnsi="Times New Roman"/>
                <w:b w:val="0"/>
                <w:sz w:val="24"/>
              </w:rPr>
              <w:t>厂界外</w:t>
            </w:r>
            <w:r>
              <w:rPr>
                <w:rFonts w:hint="eastAsia" w:ascii="Times New Roman" w:hAnsi="Times New Roman"/>
                <w:b w:val="0"/>
                <w:sz w:val="24"/>
                <w:lang w:val="en-US" w:eastAsia="zh-CN"/>
              </w:rPr>
              <w:t>北侧</w:t>
            </w:r>
            <w:r>
              <w:rPr>
                <w:rFonts w:ascii="Times New Roman" w:hAnsi="Times New Roman"/>
                <w:b w:val="0"/>
                <w:sz w:val="24"/>
              </w:rPr>
              <w:t>1m处△</w:t>
            </w:r>
            <w:r>
              <w:rPr>
                <w:rFonts w:hint="eastAsia" w:ascii="Times New Roman" w:hAnsi="Times New Roman"/>
                <w:b w:val="0"/>
                <w:sz w:val="24"/>
                <w:lang w:val="en-US" w:eastAsia="zh-CN"/>
              </w:rPr>
              <w:t>N4</w:t>
            </w:r>
            <w:r>
              <w:rPr>
                <w:rFonts w:hint="eastAsia"/>
                <w:b w:val="0"/>
                <w:sz w:val="24"/>
                <w:lang w:val="en-US" w:eastAsia="zh-CN"/>
              </w:rPr>
              <w:t>，共计4个点位。</w:t>
            </w:r>
          </w:p>
          <w:p>
            <w:pPr>
              <w:spacing w:line="360" w:lineRule="auto"/>
              <w:ind w:firstLine="480" w:firstLineChars="200"/>
              <w:rPr>
                <w:rFonts w:hint="eastAsia"/>
                <w:sz w:val="24"/>
              </w:rPr>
            </w:pPr>
            <w:r>
              <w:rPr>
                <w:sz w:val="24"/>
              </w:rPr>
              <w:t>（2）监测时段及频次：202</w:t>
            </w:r>
            <w:r>
              <w:rPr>
                <w:rFonts w:hint="eastAsia"/>
                <w:sz w:val="24"/>
                <w:lang w:val="en-US" w:eastAsia="zh-CN"/>
              </w:rPr>
              <w:t>2</w:t>
            </w:r>
            <w:r>
              <w:rPr>
                <w:sz w:val="24"/>
              </w:rPr>
              <w:t>年</w:t>
            </w:r>
            <w:r>
              <w:rPr>
                <w:rFonts w:hint="eastAsia"/>
                <w:sz w:val="24"/>
                <w:lang w:val="en-US" w:eastAsia="zh-CN"/>
              </w:rPr>
              <w:t>2</w:t>
            </w:r>
            <w:r>
              <w:rPr>
                <w:sz w:val="24"/>
              </w:rPr>
              <w:t>月</w:t>
            </w:r>
            <w:r>
              <w:rPr>
                <w:rFonts w:hint="eastAsia"/>
                <w:sz w:val="24"/>
              </w:rPr>
              <w:t>17</w:t>
            </w:r>
            <w:r>
              <w:rPr>
                <w:sz w:val="24"/>
              </w:rPr>
              <w:t>日</w:t>
            </w:r>
            <w:r>
              <w:rPr>
                <w:rFonts w:hint="eastAsia"/>
                <w:sz w:val="24"/>
                <w:lang w:val="en-US" w:eastAsia="zh-CN"/>
              </w:rPr>
              <w:t>昼间</w:t>
            </w:r>
            <w:r>
              <w:rPr>
                <w:sz w:val="24"/>
              </w:rPr>
              <w:t>，</w:t>
            </w:r>
            <w:r>
              <w:rPr>
                <w:rFonts w:hint="eastAsia" w:ascii="Times New Roman" w:hAnsi="Times New Roman" w:eastAsia="宋体" w:cs="Times New Roman"/>
                <w:sz w:val="24"/>
                <w:lang w:val="en-US" w:eastAsia="zh-CN"/>
              </w:rPr>
              <w:t>1</w:t>
            </w:r>
            <w:r>
              <w:rPr>
                <w:rFonts w:ascii="Times New Roman" w:hAnsi="Times New Roman" w:eastAsia="宋体" w:cs="Times New Roman"/>
                <w:sz w:val="24"/>
              </w:rPr>
              <w:t>天</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1次</w:t>
            </w:r>
            <w:r>
              <w:rPr>
                <w:rFonts w:hint="eastAsia" w:ascii="Times New Roman" w:hAnsi="Times New Roman" w:eastAsia="宋体" w:cs="Times New Roman"/>
                <w:sz w:val="24"/>
              </w:rPr>
              <w:t>。</w:t>
            </w:r>
          </w:p>
          <w:p>
            <w:pPr>
              <w:spacing w:line="360" w:lineRule="auto"/>
              <w:ind w:firstLine="480" w:firstLineChars="200"/>
              <w:rPr>
                <w:rFonts w:hint="eastAsia" w:eastAsia="宋体"/>
                <w:sz w:val="24"/>
                <w:lang w:eastAsia="zh-CN"/>
              </w:rPr>
            </w:pPr>
            <w:r>
              <w:rPr>
                <w:sz w:val="24"/>
              </w:rPr>
              <w:t>（3）评价标准：按照《声环境质量标准》（GB3096-2008）中有关方法和规定，</w:t>
            </w:r>
            <w:r>
              <w:rPr>
                <w:rFonts w:hint="eastAsia"/>
                <w:sz w:val="24"/>
                <w:lang w:val="en-US" w:eastAsia="zh-CN"/>
              </w:rPr>
              <w:t>执行</w:t>
            </w:r>
            <w:r>
              <w:rPr>
                <w:rFonts w:hint="eastAsia"/>
                <w:sz w:val="24"/>
              </w:rPr>
              <w:t>2类</w:t>
            </w:r>
            <w:r>
              <w:rPr>
                <w:sz w:val="24"/>
              </w:rPr>
              <w:t>标准</w:t>
            </w:r>
            <w:r>
              <w:rPr>
                <w:rFonts w:hint="eastAsia"/>
                <w:sz w:val="24"/>
                <w:lang w:eastAsia="zh-CN"/>
              </w:rPr>
              <w:t>。</w:t>
            </w:r>
          </w:p>
          <w:p>
            <w:pPr>
              <w:spacing w:line="360" w:lineRule="auto"/>
              <w:ind w:firstLine="480" w:firstLineChars="200"/>
              <w:rPr>
                <w:sz w:val="24"/>
              </w:rPr>
            </w:pPr>
            <w:r>
              <w:rPr>
                <w:sz w:val="24"/>
              </w:rPr>
              <w:t>监测结果分析及结论见</w:t>
            </w:r>
            <w:r>
              <w:rPr>
                <w:rFonts w:hint="eastAsia"/>
                <w:sz w:val="24"/>
                <w:lang w:val="en-US" w:eastAsia="zh-CN"/>
              </w:rPr>
              <w:t>下</w:t>
            </w:r>
            <w:r>
              <w:rPr>
                <w:sz w:val="24"/>
              </w:rPr>
              <w:t>表3-</w:t>
            </w:r>
            <w:r>
              <w:rPr>
                <w:rFonts w:hint="eastAsia"/>
                <w:sz w:val="24"/>
              </w:rPr>
              <w:t>4</w:t>
            </w:r>
            <w:r>
              <w:rPr>
                <w:sz w:val="24"/>
              </w:rPr>
              <w:t>。</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表3-3  环境噪声监测结果</w:t>
            </w:r>
          </w:p>
          <w:tbl>
            <w:tblPr>
              <w:tblStyle w:val="16"/>
              <w:tblW w:w="77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shd w:val="clear" w:color="auto" w:fill="auto"/>
              <w:tblLayout w:type="fixed"/>
              <w:tblCellMar>
                <w:top w:w="0" w:type="dxa"/>
                <w:left w:w="108" w:type="dxa"/>
                <w:bottom w:w="0" w:type="dxa"/>
                <w:right w:w="108" w:type="dxa"/>
              </w:tblCellMar>
            </w:tblPr>
            <w:tblGrid>
              <w:gridCol w:w="2508"/>
              <w:gridCol w:w="2124"/>
              <w:gridCol w:w="30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shd w:val="clear" w:color="auto" w:fill="auto"/>
              </w:tblPrEx>
              <w:trPr>
                <w:trHeight w:val="338" w:hRule="atLeast"/>
                <w:jc w:val="center"/>
              </w:trPr>
              <w:tc>
                <w:tcPr>
                  <w:tcW w:w="2508" w:type="dxa"/>
                  <w:vMerge w:val="restart"/>
                  <w:tcBorders>
                    <w:tl2br w:val="nil"/>
                    <w:tr2bl w:val="nil"/>
                  </w:tcBorders>
                  <w:shd w:val="clear" w:color="auto" w:fill="auto"/>
                  <w:vAlign w:val="center"/>
                </w:tcPr>
                <w:p>
                  <w:pPr>
                    <w:jc w:val="center"/>
                  </w:pPr>
                  <w:r>
                    <w:rPr>
                      <w:rFonts w:hint="default"/>
                      <w:lang w:val="en-US" w:eastAsia="zh-CN"/>
                    </w:rPr>
                    <w:t>点位名称</w:t>
                  </w:r>
                </w:p>
              </w:tc>
              <w:tc>
                <w:tcPr>
                  <w:tcW w:w="2124" w:type="dxa"/>
                  <w:vMerge w:val="restart"/>
                  <w:tcBorders>
                    <w:tl2br w:val="nil"/>
                    <w:tr2bl w:val="nil"/>
                  </w:tcBorders>
                  <w:shd w:val="clear" w:color="auto" w:fill="auto"/>
                  <w:vAlign w:val="center"/>
                </w:tcPr>
                <w:p>
                  <w:pPr>
                    <w:jc w:val="center"/>
                    <w:rPr>
                      <w:rFonts w:hint="default"/>
                    </w:rPr>
                  </w:pPr>
                  <w:r>
                    <w:rPr>
                      <w:rFonts w:hint="default"/>
                      <w:lang w:val="en-US" w:eastAsia="zh-CN"/>
                    </w:rPr>
                    <w:t>监测内容</w:t>
                  </w:r>
                </w:p>
              </w:tc>
              <w:tc>
                <w:tcPr>
                  <w:tcW w:w="3087" w:type="dxa"/>
                  <w:tcBorders>
                    <w:tl2br w:val="nil"/>
                    <w:tr2bl w:val="nil"/>
                  </w:tcBorders>
                  <w:shd w:val="clear" w:color="auto" w:fill="auto"/>
                  <w:vAlign w:val="center"/>
                </w:tcPr>
                <w:p>
                  <w:pPr>
                    <w:jc w:val="center"/>
                    <w:rPr>
                      <w:rFonts w:hint="default"/>
                    </w:rPr>
                  </w:pPr>
                  <w:r>
                    <w:rPr>
                      <w:rFonts w:hint="default"/>
                      <w:lang w:val="en-US" w:eastAsia="zh-CN"/>
                    </w:rPr>
                    <w:t>检测结果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shd w:val="clear" w:color="auto" w:fill="auto"/>
                <w:tblCellMar>
                  <w:top w:w="0" w:type="dxa"/>
                  <w:left w:w="108" w:type="dxa"/>
                  <w:bottom w:w="0" w:type="dxa"/>
                  <w:right w:w="108" w:type="dxa"/>
                </w:tblCellMar>
              </w:tblPrEx>
              <w:trPr>
                <w:trHeight w:val="338" w:hRule="atLeast"/>
                <w:jc w:val="center"/>
              </w:trPr>
              <w:tc>
                <w:tcPr>
                  <w:tcW w:w="2508" w:type="dxa"/>
                  <w:vMerge w:val="continue"/>
                  <w:tcBorders>
                    <w:tl2br w:val="nil"/>
                    <w:tr2bl w:val="nil"/>
                  </w:tcBorders>
                  <w:shd w:val="clear" w:color="auto" w:fill="auto"/>
                  <w:vAlign w:val="center"/>
                </w:tcPr>
                <w:p>
                  <w:pPr>
                    <w:jc w:val="center"/>
                    <w:rPr>
                      <w:rFonts w:hint="default"/>
                    </w:rPr>
                  </w:pPr>
                </w:p>
              </w:tc>
              <w:tc>
                <w:tcPr>
                  <w:tcW w:w="2124" w:type="dxa"/>
                  <w:vMerge w:val="continue"/>
                  <w:tcBorders>
                    <w:tl2br w:val="nil"/>
                    <w:tr2bl w:val="nil"/>
                  </w:tcBorders>
                  <w:shd w:val="clear" w:color="auto" w:fill="auto"/>
                  <w:vAlign w:val="center"/>
                </w:tcPr>
                <w:p>
                  <w:pPr>
                    <w:jc w:val="center"/>
                    <w:rPr>
                      <w:rFonts w:hint="default"/>
                    </w:rPr>
                  </w:pPr>
                </w:p>
              </w:tc>
              <w:tc>
                <w:tcPr>
                  <w:tcW w:w="3087" w:type="dxa"/>
                  <w:tcBorders>
                    <w:tl2br w:val="nil"/>
                    <w:tr2bl w:val="nil"/>
                  </w:tcBorders>
                  <w:shd w:val="clear" w:color="auto" w:fill="auto"/>
                  <w:vAlign w:val="center"/>
                </w:tcPr>
                <w:p>
                  <w:pPr>
                    <w:jc w:val="center"/>
                    <w:rPr>
                      <w:rFonts w:hint="default"/>
                    </w:rPr>
                  </w:pPr>
                  <w:r>
                    <w:rPr>
                      <w:rFonts w:hint="default"/>
                      <w:lang w:val="en-US" w:eastAsia="zh-CN"/>
                    </w:rPr>
                    <w:t>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shd w:val="clear" w:color="auto" w:fill="auto"/>
                <w:tblCellMar>
                  <w:top w:w="0" w:type="dxa"/>
                  <w:left w:w="108" w:type="dxa"/>
                  <w:bottom w:w="0" w:type="dxa"/>
                  <w:right w:w="108" w:type="dxa"/>
                </w:tblCellMar>
              </w:tblPrEx>
              <w:trPr>
                <w:trHeight w:val="320" w:hRule="atLeast"/>
                <w:jc w:val="center"/>
              </w:trPr>
              <w:tc>
                <w:tcPr>
                  <w:tcW w:w="2508" w:type="dxa"/>
                  <w:vMerge w:val="continue"/>
                  <w:tcBorders>
                    <w:tl2br w:val="nil"/>
                    <w:tr2bl w:val="nil"/>
                  </w:tcBorders>
                  <w:shd w:val="clear" w:color="auto" w:fill="auto"/>
                  <w:vAlign w:val="center"/>
                </w:tcPr>
                <w:p>
                  <w:pPr>
                    <w:jc w:val="center"/>
                    <w:rPr>
                      <w:rFonts w:hint="default"/>
                    </w:rPr>
                  </w:pPr>
                </w:p>
              </w:tc>
              <w:tc>
                <w:tcPr>
                  <w:tcW w:w="2124" w:type="dxa"/>
                  <w:vMerge w:val="continue"/>
                  <w:tcBorders>
                    <w:tl2br w:val="nil"/>
                    <w:tr2bl w:val="nil"/>
                  </w:tcBorders>
                  <w:shd w:val="clear" w:color="auto" w:fill="auto"/>
                  <w:vAlign w:val="center"/>
                </w:tcPr>
                <w:p>
                  <w:pPr>
                    <w:jc w:val="center"/>
                    <w:rPr>
                      <w:rFonts w:hint="default"/>
                    </w:rPr>
                  </w:pPr>
                </w:p>
              </w:tc>
              <w:tc>
                <w:tcPr>
                  <w:tcW w:w="3087" w:type="dxa"/>
                  <w:tcBorders>
                    <w:tl2br w:val="nil"/>
                    <w:tr2bl w:val="nil"/>
                  </w:tcBorders>
                  <w:shd w:val="clear" w:color="auto" w:fill="auto"/>
                  <w:vAlign w:val="center"/>
                </w:tcPr>
                <w:p>
                  <w:pPr>
                    <w:jc w:val="center"/>
                    <w:rPr>
                      <w:rFonts w:hint="default"/>
                    </w:rPr>
                  </w:pPr>
                  <w:r>
                    <w:rPr>
                      <w:rFonts w:hint="default"/>
                      <w:lang w:val="en-US" w:eastAsia="zh-CN"/>
                    </w:rPr>
                    <w:t>2022.02.17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shd w:val="clear" w:color="auto" w:fill="auto"/>
              </w:tblPrEx>
              <w:trPr>
                <w:trHeight w:val="320" w:hRule="atLeast"/>
                <w:jc w:val="center"/>
              </w:trPr>
              <w:tc>
                <w:tcPr>
                  <w:tcW w:w="2508" w:type="dxa"/>
                  <w:vMerge w:val="continue"/>
                  <w:tcBorders>
                    <w:tl2br w:val="nil"/>
                    <w:tr2bl w:val="nil"/>
                  </w:tcBorders>
                  <w:shd w:val="clear" w:color="auto" w:fill="auto"/>
                  <w:vAlign w:val="center"/>
                </w:tcPr>
                <w:p>
                  <w:pPr>
                    <w:jc w:val="center"/>
                    <w:rPr>
                      <w:rFonts w:hint="default"/>
                    </w:rPr>
                  </w:pPr>
                </w:p>
              </w:tc>
              <w:tc>
                <w:tcPr>
                  <w:tcW w:w="2124" w:type="dxa"/>
                  <w:vMerge w:val="continue"/>
                  <w:tcBorders>
                    <w:tl2br w:val="nil"/>
                    <w:tr2bl w:val="nil"/>
                  </w:tcBorders>
                  <w:shd w:val="clear" w:color="auto" w:fill="auto"/>
                  <w:vAlign w:val="center"/>
                </w:tcPr>
                <w:p>
                  <w:pPr>
                    <w:jc w:val="center"/>
                    <w:rPr>
                      <w:rFonts w:hint="default"/>
                    </w:rPr>
                  </w:pPr>
                </w:p>
              </w:tc>
              <w:tc>
                <w:tcPr>
                  <w:tcW w:w="3087" w:type="dxa"/>
                  <w:tcBorders>
                    <w:tl2br w:val="nil"/>
                    <w:tr2bl w:val="nil"/>
                  </w:tcBorders>
                  <w:shd w:val="clear" w:color="auto" w:fill="auto"/>
                  <w:vAlign w:val="center"/>
                </w:tcPr>
                <w:p>
                  <w:pPr>
                    <w:jc w:val="center"/>
                    <w:rPr>
                      <w:rFonts w:hint="default"/>
                    </w:rPr>
                  </w:pPr>
                  <w:r>
                    <w:rPr>
                      <w:rFonts w:hint="default"/>
                      <w:lang w:val="en-US" w:eastAsia="zh-CN"/>
                    </w:rPr>
                    <w:t>昼间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shd w:val="clear" w:color="auto" w:fill="auto"/>
              </w:tblPrEx>
              <w:trPr>
                <w:trHeight w:val="320" w:hRule="atLeast"/>
                <w:jc w:val="center"/>
              </w:trPr>
              <w:tc>
                <w:tcPr>
                  <w:tcW w:w="2508" w:type="dxa"/>
                  <w:tcBorders>
                    <w:tl2br w:val="nil"/>
                    <w:tr2bl w:val="nil"/>
                  </w:tcBorders>
                  <w:shd w:val="clear" w:color="auto" w:fill="auto"/>
                  <w:vAlign w:val="center"/>
                </w:tcPr>
                <w:p>
                  <w:pPr>
                    <w:jc w:val="center"/>
                    <w:rPr>
                      <w:rFonts w:hint="default"/>
                    </w:rPr>
                  </w:pPr>
                  <w:r>
                    <w:rPr>
                      <w:rFonts w:hint="default"/>
                      <w:lang w:val="en-US" w:eastAsia="zh-CN"/>
                    </w:rPr>
                    <w:t>厂界外东侧1m处△N1</w:t>
                  </w:r>
                </w:p>
              </w:tc>
              <w:tc>
                <w:tcPr>
                  <w:tcW w:w="2124" w:type="dxa"/>
                  <w:vMerge w:val="restart"/>
                  <w:tcBorders>
                    <w:tl2br w:val="nil"/>
                    <w:tr2bl w:val="nil"/>
                  </w:tcBorders>
                  <w:shd w:val="clear" w:color="auto" w:fill="auto"/>
                  <w:vAlign w:val="center"/>
                </w:tcPr>
                <w:p>
                  <w:pPr>
                    <w:jc w:val="center"/>
                    <w:rPr>
                      <w:rFonts w:hint="default"/>
                    </w:rPr>
                  </w:pPr>
                  <w:r>
                    <w:rPr>
                      <w:rFonts w:hint="default"/>
                      <w:lang w:val="en-US" w:eastAsia="zh-CN"/>
                    </w:rPr>
                    <w:t>环境噪声</w:t>
                  </w:r>
                </w:p>
              </w:tc>
              <w:tc>
                <w:tcPr>
                  <w:tcW w:w="3087" w:type="dxa"/>
                  <w:tcBorders>
                    <w:tl2br w:val="nil"/>
                    <w:tr2bl w:val="nil"/>
                  </w:tcBorders>
                  <w:shd w:val="clear" w:color="auto" w:fill="auto"/>
                  <w:vAlign w:val="center"/>
                </w:tcPr>
                <w:p>
                  <w:pPr>
                    <w:jc w:val="center"/>
                    <w:rPr>
                      <w:rFonts w:hint="default"/>
                    </w:rPr>
                  </w:pPr>
                  <w:r>
                    <w:rPr>
                      <w:rFonts w:hint="default"/>
                      <w:lang w:val="en-US" w:eastAsia="zh-CN"/>
                    </w:rPr>
                    <w:t>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PrEx>
              <w:trPr>
                <w:trHeight w:val="320" w:hRule="atLeast"/>
                <w:jc w:val="center"/>
              </w:trPr>
              <w:tc>
                <w:tcPr>
                  <w:tcW w:w="2508" w:type="dxa"/>
                  <w:tcBorders>
                    <w:tl2br w:val="nil"/>
                    <w:tr2bl w:val="nil"/>
                  </w:tcBorders>
                  <w:shd w:val="clear" w:color="auto" w:fill="auto"/>
                  <w:vAlign w:val="center"/>
                </w:tcPr>
                <w:p>
                  <w:pPr>
                    <w:jc w:val="center"/>
                    <w:rPr>
                      <w:rFonts w:hint="default"/>
                    </w:rPr>
                  </w:pPr>
                  <w:r>
                    <w:rPr>
                      <w:rFonts w:hint="default"/>
                      <w:lang w:val="en-US" w:eastAsia="zh-CN"/>
                    </w:rPr>
                    <w:t>厂界外南侧1m处△N2</w:t>
                  </w:r>
                </w:p>
              </w:tc>
              <w:tc>
                <w:tcPr>
                  <w:tcW w:w="2124" w:type="dxa"/>
                  <w:vMerge w:val="continue"/>
                  <w:tcBorders>
                    <w:tl2br w:val="nil"/>
                    <w:tr2bl w:val="nil"/>
                  </w:tcBorders>
                  <w:shd w:val="clear" w:color="auto" w:fill="auto"/>
                  <w:vAlign w:val="center"/>
                </w:tcPr>
                <w:p>
                  <w:pPr>
                    <w:jc w:val="center"/>
                    <w:rPr>
                      <w:rFonts w:hint="default"/>
                    </w:rPr>
                  </w:pPr>
                </w:p>
              </w:tc>
              <w:tc>
                <w:tcPr>
                  <w:tcW w:w="3087" w:type="dxa"/>
                  <w:tcBorders>
                    <w:tl2br w:val="nil"/>
                    <w:tr2bl w:val="nil"/>
                  </w:tcBorders>
                  <w:shd w:val="clear" w:color="auto" w:fill="auto"/>
                  <w:vAlign w:val="center"/>
                </w:tcPr>
                <w:p>
                  <w:pPr>
                    <w:jc w:val="center"/>
                    <w:rPr>
                      <w:rFonts w:hint="default"/>
                    </w:rPr>
                  </w:pPr>
                  <w:r>
                    <w:rPr>
                      <w:rFonts w:hint="default"/>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108" w:type="dxa"/>
                  <w:bottom w:w="0" w:type="dxa"/>
                  <w:right w:w="108" w:type="dxa"/>
                </w:tblCellMar>
              </w:tblPrEx>
              <w:trPr>
                <w:trHeight w:val="320" w:hRule="atLeast"/>
                <w:jc w:val="center"/>
              </w:trPr>
              <w:tc>
                <w:tcPr>
                  <w:tcW w:w="2508" w:type="dxa"/>
                  <w:tcBorders>
                    <w:tl2br w:val="nil"/>
                    <w:tr2bl w:val="nil"/>
                  </w:tcBorders>
                  <w:shd w:val="clear" w:color="auto" w:fill="auto"/>
                  <w:vAlign w:val="center"/>
                </w:tcPr>
                <w:p>
                  <w:pPr>
                    <w:jc w:val="center"/>
                    <w:rPr>
                      <w:rFonts w:hint="default"/>
                    </w:rPr>
                  </w:pPr>
                  <w:r>
                    <w:rPr>
                      <w:rFonts w:hint="default"/>
                      <w:lang w:val="en-US" w:eastAsia="zh-CN"/>
                    </w:rPr>
                    <w:t>厂界外西侧1m处△N3</w:t>
                  </w:r>
                </w:p>
              </w:tc>
              <w:tc>
                <w:tcPr>
                  <w:tcW w:w="2124" w:type="dxa"/>
                  <w:vMerge w:val="continue"/>
                  <w:tcBorders>
                    <w:tl2br w:val="nil"/>
                    <w:tr2bl w:val="nil"/>
                  </w:tcBorders>
                  <w:shd w:val="clear" w:color="auto" w:fill="auto"/>
                  <w:vAlign w:val="center"/>
                </w:tcPr>
                <w:p>
                  <w:pPr>
                    <w:jc w:val="center"/>
                    <w:rPr>
                      <w:rFonts w:hint="default"/>
                    </w:rPr>
                  </w:pPr>
                </w:p>
              </w:tc>
              <w:tc>
                <w:tcPr>
                  <w:tcW w:w="3087" w:type="dxa"/>
                  <w:tcBorders>
                    <w:tl2br w:val="nil"/>
                    <w:tr2bl w:val="nil"/>
                  </w:tcBorders>
                  <w:shd w:val="clear" w:color="auto" w:fill="auto"/>
                  <w:vAlign w:val="center"/>
                </w:tcPr>
                <w:p>
                  <w:pPr>
                    <w:jc w:val="center"/>
                    <w:rPr>
                      <w:rFonts w:hint="default"/>
                    </w:rPr>
                  </w:pPr>
                  <w:r>
                    <w:rPr>
                      <w:rFonts w:hint="default"/>
                      <w:lang w:val="en-US" w:eastAsia="zh-CN"/>
                    </w:rPr>
                    <w:t>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108" w:type="dxa"/>
                  <w:bottom w:w="0" w:type="dxa"/>
                  <w:right w:w="108" w:type="dxa"/>
                </w:tblCellMar>
              </w:tblPrEx>
              <w:trPr>
                <w:trHeight w:val="320" w:hRule="atLeast"/>
                <w:jc w:val="center"/>
              </w:trPr>
              <w:tc>
                <w:tcPr>
                  <w:tcW w:w="2508" w:type="dxa"/>
                  <w:tcBorders>
                    <w:tl2br w:val="nil"/>
                    <w:tr2bl w:val="nil"/>
                  </w:tcBorders>
                  <w:shd w:val="clear" w:color="auto" w:fill="auto"/>
                  <w:vAlign w:val="center"/>
                </w:tcPr>
                <w:p>
                  <w:pPr>
                    <w:jc w:val="center"/>
                    <w:rPr>
                      <w:rFonts w:hint="default"/>
                    </w:rPr>
                  </w:pPr>
                  <w:r>
                    <w:rPr>
                      <w:rFonts w:hint="default"/>
                      <w:lang w:val="en-US" w:eastAsia="zh-CN"/>
                    </w:rPr>
                    <w:t>厂界外北侧1m处△N4</w:t>
                  </w:r>
                </w:p>
              </w:tc>
              <w:tc>
                <w:tcPr>
                  <w:tcW w:w="2124" w:type="dxa"/>
                  <w:vMerge w:val="continue"/>
                  <w:tcBorders>
                    <w:tl2br w:val="nil"/>
                    <w:tr2bl w:val="nil"/>
                  </w:tcBorders>
                  <w:shd w:val="clear" w:color="auto" w:fill="auto"/>
                  <w:vAlign w:val="center"/>
                </w:tcPr>
                <w:p>
                  <w:pPr>
                    <w:jc w:val="center"/>
                    <w:rPr>
                      <w:rFonts w:hint="default"/>
                    </w:rPr>
                  </w:pPr>
                </w:p>
              </w:tc>
              <w:tc>
                <w:tcPr>
                  <w:tcW w:w="3087" w:type="dxa"/>
                  <w:tcBorders>
                    <w:tl2br w:val="nil"/>
                    <w:tr2bl w:val="nil"/>
                  </w:tcBorders>
                  <w:shd w:val="clear" w:color="auto" w:fill="auto"/>
                  <w:vAlign w:val="center"/>
                </w:tcPr>
                <w:p>
                  <w:pPr>
                    <w:jc w:val="center"/>
                    <w:rPr>
                      <w:rFonts w:hint="default"/>
                    </w:rPr>
                  </w:pPr>
                  <w:r>
                    <w:rPr>
                      <w:rFonts w:hint="default"/>
                      <w:lang w:val="en-US" w:eastAsia="zh-CN"/>
                    </w:rPr>
                    <w:t>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108" w:type="dxa"/>
                  <w:bottom w:w="0" w:type="dxa"/>
                  <w:right w:w="108" w:type="dxa"/>
                </w:tblCellMar>
              </w:tblPrEx>
              <w:trPr>
                <w:trHeight w:val="320" w:hRule="atLeast"/>
                <w:jc w:val="center"/>
              </w:trPr>
              <w:tc>
                <w:tcPr>
                  <w:tcW w:w="4632" w:type="dxa"/>
                  <w:gridSpan w:val="2"/>
                  <w:tcBorders>
                    <w:tl2br w:val="nil"/>
                    <w:tr2bl w:val="nil"/>
                  </w:tcBorders>
                  <w:shd w:val="clear" w:color="auto" w:fill="auto"/>
                  <w:vAlign w:val="center"/>
                </w:tcPr>
                <w:p>
                  <w:pPr>
                    <w:jc w:val="center"/>
                    <w:rPr>
                      <w:rFonts w:hint="default"/>
                    </w:rPr>
                  </w:pPr>
                  <w:r>
                    <w:rPr>
                      <w:rFonts w:hint="default"/>
                      <w:lang w:val="en-US" w:eastAsia="zh-CN"/>
                    </w:rPr>
                    <w:t>标准限值</w:t>
                  </w:r>
                </w:p>
              </w:tc>
              <w:tc>
                <w:tcPr>
                  <w:tcW w:w="3087" w:type="dxa"/>
                  <w:tcBorders>
                    <w:tl2br w:val="nil"/>
                    <w:tr2bl w:val="nil"/>
                  </w:tcBorders>
                  <w:shd w:val="clear" w:color="auto" w:fill="auto"/>
                  <w:vAlign w:val="center"/>
                </w:tcPr>
                <w:p>
                  <w:pPr>
                    <w:jc w:val="center"/>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108" w:type="dxa"/>
                  <w:bottom w:w="0" w:type="dxa"/>
                  <w:right w:w="108" w:type="dxa"/>
                </w:tblCellMar>
              </w:tblPrEx>
              <w:trPr>
                <w:trHeight w:val="375" w:hRule="atLeast"/>
                <w:jc w:val="center"/>
              </w:trPr>
              <w:tc>
                <w:tcPr>
                  <w:tcW w:w="7719" w:type="dxa"/>
                  <w:gridSpan w:val="3"/>
                  <w:tcBorders>
                    <w:tl2br w:val="nil"/>
                    <w:tr2bl w:val="nil"/>
                  </w:tcBorders>
                  <w:shd w:val="clear" w:color="auto" w:fill="auto"/>
                  <w:vAlign w:val="center"/>
                </w:tcPr>
                <w:p>
                  <w:pPr>
                    <w:jc w:val="center"/>
                    <w:rPr>
                      <w:rFonts w:hint="default"/>
                    </w:rPr>
                  </w:pPr>
                  <w:r>
                    <w:rPr>
                      <w:rFonts w:hint="default"/>
                      <w:lang w:val="en-US" w:eastAsia="zh-CN"/>
                    </w:rPr>
                    <w:t>标准限值来源：《声环境质量标准》（GB3096-2008）表1中2类标准</w:t>
                  </w:r>
                </w:p>
              </w:tc>
            </w:tr>
          </w:tbl>
          <w:p>
            <w:pPr>
              <w:spacing w:line="360" w:lineRule="auto"/>
              <w:ind w:firstLine="480" w:firstLineChars="200"/>
              <w:rPr>
                <w:rFonts w:hint="default" w:eastAsia="宋体"/>
                <w:sz w:val="24"/>
                <w:lang w:val="en-US" w:eastAsia="zh-CN"/>
              </w:rPr>
            </w:pPr>
            <w:r>
              <w:rPr>
                <w:rFonts w:hint="eastAsia"/>
                <w:sz w:val="24"/>
                <w:lang w:val="en-US" w:eastAsia="zh-CN"/>
              </w:rPr>
              <w:t>可见</w:t>
            </w:r>
            <w:r>
              <w:rPr>
                <w:sz w:val="24"/>
              </w:rPr>
              <w:t>，项目厂界外的环境噪声昼</w:t>
            </w:r>
            <w:r>
              <w:rPr>
                <w:rFonts w:hint="eastAsia"/>
                <w:sz w:val="24"/>
              </w:rPr>
              <w:t>、</w:t>
            </w:r>
            <w:r>
              <w:rPr>
                <w:sz w:val="24"/>
              </w:rPr>
              <w:t>夜间监测值均未超出《声环境质量标准》（GB3096-2008）中的</w:t>
            </w:r>
            <w:r>
              <w:rPr>
                <w:rFonts w:hint="eastAsia"/>
                <w:sz w:val="24"/>
              </w:rPr>
              <w:t>2</w:t>
            </w:r>
            <w:r>
              <w:rPr>
                <w:sz w:val="24"/>
              </w:rPr>
              <w:t>类标准要求</w:t>
            </w:r>
            <w:r>
              <w:rPr>
                <w:rFonts w:hint="eastAsia"/>
                <w:sz w:val="24"/>
                <w:lang w:eastAsia="zh-CN"/>
              </w:rPr>
              <w:t>，</w:t>
            </w:r>
            <w:r>
              <w:rPr>
                <w:rFonts w:hint="eastAsia"/>
                <w:sz w:val="24"/>
                <w:lang w:val="en-US" w:eastAsia="zh-CN"/>
              </w:rPr>
              <w:t>区域声环境质量良好。</w:t>
            </w:r>
          </w:p>
          <w:p>
            <w:pPr>
              <w:spacing w:line="360" w:lineRule="auto"/>
              <w:rPr>
                <w:b/>
                <w:bCs/>
                <w:sz w:val="24"/>
              </w:rPr>
            </w:pPr>
            <w:r>
              <w:rPr>
                <w:rFonts w:hint="eastAsia"/>
                <w:b/>
                <w:bCs/>
                <w:sz w:val="24"/>
                <w:lang w:val="en-US" w:eastAsia="zh-CN"/>
              </w:rPr>
              <w:t>四</w:t>
            </w:r>
            <w:r>
              <w:rPr>
                <w:b/>
                <w:bCs/>
                <w:sz w:val="24"/>
              </w:rPr>
              <w:t>、生态环境</w:t>
            </w:r>
          </w:p>
          <w:p>
            <w:pPr>
              <w:spacing w:line="360" w:lineRule="auto"/>
              <w:ind w:firstLine="480" w:firstLineChars="200"/>
              <w:rPr>
                <w:sz w:val="24"/>
              </w:rPr>
            </w:pPr>
            <w:r>
              <w:rPr>
                <w:sz w:val="24"/>
              </w:rPr>
              <w:t>本</w:t>
            </w:r>
            <w:r>
              <w:rPr>
                <w:rFonts w:hint="eastAsia"/>
                <w:sz w:val="24"/>
                <w:lang w:val="en-US" w:eastAsia="zh-CN"/>
              </w:rPr>
              <w:t>项目位于靖州苗族侗族自治县</w:t>
            </w:r>
            <w:r>
              <w:rPr>
                <w:rFonts w:hint="eastAsia"/>
                <w:sz w:val="24"/>
                <w:szCs w:val="24"/>
                <w:lang w:val="en-US" w:eastAsia="zh-CN"/>
              </w:rPr>
              <w:t>渠阳镇江东街，属于主城区范围，评价</w:t>
            </w:r>
            <w:r>
              <w:rPr>
                <w:rFonts w:hint="eastAsia"/>
                <w:sz w:val="24"/>
              </w:rPr>
              <w:t>范围内人为开发活动频繁，</w:t>
            </w:r>
            <w:r>
              <w:rPr>
                <w:rFonts w:hint="eastAsia"/>
                <w:sz w:val="24"/>
                <w:lang w:val="en-US" w:eastAsia="zh-CN"/>
              </w:rPr>
              <w:t>生态环境</w:t>
            </w:r>
            <w:r>
              <w:rPr>
                <w:rFonts w:hint="eastAsia"/>
                <w:sz w:val="24"/>
              </w:rPr>
              <w:t>受人类活动影响，评价范围内原生植被较少，周边植被主要为灌木、乔木等植被，物种较单一。评价范围内野生动物除灌草丛中栖息的昆虫类和偶见少量觅食的麻雀、鼠类外，未见其它野生动物分布，无珍稀濒危保护物种。</w:t>
            </w:r>
          </w:p>
          <w:p>
            <w:pPr>
              <w:spacing w:line="360" w:lineRule="auto"/>
              <w:rPr>
                <w:b/>
                <w:bCs/>
                <w:sz w:val="24"/>
              </w:rPr>
            </w:pPr>
            <w:r>
              <w:rPr>
                <w:rFonts w:hint="eastAsia"/>
                <w:b/>
                <w:bCs/>
                <w:sz w:val="24"/>
                <w:lang w:val="en-US" w:eastAsia="zh-CN"/>
              </w:rPr>
              <w:t>五</w:t>
            </w:r>
            <w:r>
              <w:rPr>
                <w:b/>
                <w:bCs/>
                <w:sz w:val="24"/>
              </w:rPr>
              <w:t>、电磁辐射</w:t>
            </w:r>
          </w:p>
          <w:p>
            <w:pPr>
              <w:spacing w:line="360" w:lineRule="auto"/>
              <w:ind w:firstLine="480" w:firstLineChars="200"/>
              <w:rPr>
                <w:rFonts w:hint="default"/>
                <w:sz w:val="24"/>
                <w:u w:val="single"/>
                <w:lang w:val="en-US" w:eastAsia="zh-CN"/>
              </w:rPr>
            </w:pPr>
            <w:r>
              <w:rPr>
                <w:rFonts w:hint="eastAsia"/>
                <w:sz w:val="24"/>
                <w:u w:val="single"/>
                <w:lang w:val="en-US" w:eastAsia="zh-CN"/>
              </w:rPr>
              <w:t>自2015年后，本单位已移除了X光机，目前不涉及电磁辐射设备，无需开展相关评价。</w:t>
            </w:r>
          </w:p>
          <w:p>
            <w:pPr>
              <w:spacing w:line="360" w:lineRule="auto"/>
              <w:rPr>
                <w:b/>
                <w:bCs/>
                <w:sz w:val="24"/>
              </w:rPr>
            </w:pPr>
            <w:r>
              <w:rPr>
                <w:rFonts w:hint="eastAsia"/>
                <w:b/>
                <w:bCs/>
                <w:sz w:val="24"/>
                <w:lang w:val="en-US" w:eastAsia="zh-CN"/>
              </w:rPr>
              <w:t>六</w:t>
            </w:r>
            <w:r>
              <w:rPr>
                <w:b/>
                <w:bCs/>
                <w:sz w:val="24"/>
              </w:rPr>
              <w:t>、地下水环境</w:t>
            </w:r>
          </w:p>
          <w:p>
            <w:pPr>
              <w:spacing w:line="360" w:lineRule="auto"/>
              <w:ind w:firstLine="480" w:firstLineChars="200"/>
              <w:rPr>
                <w:rFonts w:hint="eastAsia"/>
                <w:sz w:val="24"/>
              </w:rPr>
            </w:pPr>
            <w:r>
              <w:rPr>
                <w:rFonts w:hint="eastAsia"/>
                <w:sz w:val="24"/>
              </w:rPr>
              <w:t>根据《建设项目环境影响报告表编制技术指南（污染影响类）》，原则上不开展地下水环境质量现状调查。项目所在区域根据现场勘查，用水均为自来水管网供水，区域无地下水取水点等敏感目标，项目建设</w:t>
            </w:r>
            <w:r>
              <w:rPr>
                <w:rFonts w:hint="eastAsia"/>
                <w:sz w:val="24"/>
                <w:lang w:val="en-US" w:eastAsia="zh-CN"/>
              </w:rPr>
              <w:t>区域内已</w:t>
            </w:r>
            <w:r>
              <w:rPr>
                <w:rFonts w:hint="eastAsia"/>
                <w:sz w:val="24"/>
              </w:rPr>
              <w:t>进行地面硬化防渗，</w:t>
            </w:r>
            <w:r>
              <w:rPr>
                <w:rFonts w:hint="eastAsia"/>
                <w:sz w:val="24"/>
                <w:lang w:val="en-US" w:eastAsia="zh-CN"/>
              </w:rPr>
              <w:t>将危废间、化学试剂储存区、污水处理设备设为一般防渗区，</w:t>
            </w:r>
            <w:r>
              <w:rPr>
                <w:rFonts w:hint="eastAsia"/>
                <w:sz w:val="24"/>
              </w:rPr>
              <w:t>对地下水环境基本无污染途径。因此，不</w:t>
            </w:r>
            <w:r>
              <w:rPr>
                <w:rFonts w:hint="eastAsia"/>
                <w:sz w:val="24"/>
                <w:lang w:val="en-US" w:eastAsia="zh-CN"/>
              </w:rPr>
              <w:t>必</w:t>
            </w:r>
            <w:r>
              <w:rPr>
                <w:rFonts w:hint="eastAsia"/>
                <w:sz w:val="24"/>
              </w:rPr>
              <w:t>开展地下水现状监测。</w:t>
            </w:r>
          </w:p>
          <w:p>
            <w:pPr>
              <w:spacing w:line="360" w:lineRule="auto"/>
              <w:rPr>
                <w:b/>
                <w:bCs/>
                <w:sz w:val="24"/>
              </w:rPr>
            </w:pPr>
            <w:r>
              <w:rPr>
                <w:rFonts w:hint="eastAsia"/>
                <w:b/>
                <w:bCs/>
                <w:sz w:val="24"/>
                <w:lang w:val="en-US" w:eastAsia="zh-CN"/>
              </w:rPr>
              <w:t>七</w:t>
            </w:r>
            <w:r>
              <w:rPr>
                <w:b/>
                <w:bCs/>
                <w:sz w:val="24"/>
              </w:rPr>
              <w:t>、土壤环境</w:t>
            </w:r>
          </w:p>
          <w:p>
            <w:pPr>
              <w:spacing w:line="360" w:lineRule="auto"/>
              <w:ind w:firstLine="480" w:firstLineChars="200"/>
              <w:rPr>
                <w:rFonts w:hint="eastAsia"/>
                <w:sz w:val="24"/>
              </w:rPr>
            </w:pPr>
            <w:r>
              <w:rPr>
                <w:rFonts w:hint="eastAsia"/>
                <w:sz w:val="24"/>
              </w:rPr>
              <w:t>根据《建设项目环境影响报告表编制技术指南（污染影响类）》，原则上不开展土壤环境质量现状调查。厂区内生产区域的土地基本硬化，基本无土壤污染途径，不涉及自然保护区、饮用水源地</w:t>
            </w:r>
            <w:r>
              <w:rPr>
                <w:rFonts w:hint="eastAsia"/>
                <w:sz w:val="24"/>
                <w:lang w:eastAsia="zh-CN"/>
              </w:rPr>
              <w:t>、</w:t>
            </w:r>
            <w:r>
              <w:rPr>
                <w:rFonts w:hint="eastAsia"/>
                <w:sz w:val="24"/>
              </w:rPr>
              <w:t>耕地等土壤环境敏感目标，周边土壤环境敏感程度不敏感，因此可不开展土壤环境现状监测。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01" w:type="dxa"/>
            <w:tcBorders>
              <w:tl2br w:val="nil"/>
              <w:tr2bl w:val="nil"/>
            </w:tcBorders>
            <w:noWrap w:val="0"/>
            <w:vAlign w:val="center"/>
          </w:tcPr>
          <w:p>
            <w:pPr>
              <w:pStyle w:val="4"/>
              <w:bidi w:val="0"/>
              <w:rPr>
                <w:rFonts w:hint="eastAsia" w:ascii="宋体" w:hAnsi="宋体" w:cs="宋体"/>
                <w:kern w:val="0"/>
              </w:rPr>
            </w:pPr>
            <w:bookmarkStart w:id="9" w:name="_Toc19664"/>
            <w:r>
              <w:rPr>
                <w:rFonts w:hint="eastAsia"/>
              </w:rPr>
              <w:t>环境保护目标</w:t>
            </w:r>
            <w:bookmarkEnd w:id="9"/>
          </w:p>
        </w:tc>
        <w:tc>
          <w:tcPr>
            <w:tcW w:w="947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b/>
                <w:bCs/>
                <w:kern w:val="0"/>
                <w:sz w:val="24"/>
                <w:u w:val="none"/>
                <w:lang w:val="en-US" w:eastAsia="zh-CN"/>
              </w:rPr>
            </w:pPr>
            <w:r>
              <w:rPr>
                <w:rFonts w:hint="eastAsia"/>
                <w:b/>
                <w:bCs/>
                <w:kern w:val="0"/>
                <w:sz w:val="24"/>
                <w:u w:val="none"/>
                <w:lang w:val="en-US" w:eastAsia="zh-CN"/>
              </w:rPr>
              <w:t>八、环境保护目标</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b/>
                <w:bCs/>
                <w:kern w:val="0"/>
                <w:sz w:val="24"/>
                <w:u w:val="none"/>
                <w:lang w:val="en-US" w:eastAsia="zh-CN"/>
              </w:rPr>
            </w:pPr>
            <w:r>
              <w:rPr>
                <w:rFonts w:hint="eastAsia"/>
                <w:b/>
                <w:bCs/>
                <w:kern w:val="0"/>
                <w:sz w:val="24"/>
                <w:u w:val="none"/>
                <w:lang w:eastAsia="zh-CN"/>
              </w:rPr>
              <w:t>（</w:t>
            </w:r>
            <w:r>
              <w:rPr>
                <w:rFonts w:hint="eastAsia"/>
                <w:b/>
                <w:bCs/>
                <w:kern w:val="0"/>
                <w:sz w:val="24"/>
                <w:u w:val="none"/>
                <w:lang w:val="en-US" w:eastAsia="zh-CN"/>
              </w:rPr>
              <w:t>1）大气环境</w:t>
            </w:r>
          </w:p>
          <w:p>
            <w:pPr>
              <w:adjustRightInd w:val="0"/>
              <w:snapToGrid w:val="0"/>
              <w:spacing w:line="360" w:lineRule="auto"/>
              <w:ind w:firstLine="480" w:firstLineChars="200"/>
              <w:jc w:val="left"/>
              <w:rPr>
                <w:kern w:val="0"/>
                <w:sz w:val="24"/>
                <w:u w:val="none"/>
              </w:rPr>
            </w:pPr>
            <w:r>
              <w:rPr>
                <w:rFonts w:hint="eastAsia"/>
                <w:kern w:val="0"/>
                <w:sz w:val="24"/>
                <w:u w:val="none"/>
                <w:lang w:val="en-US" w:eastAsia="zh-CN"/>
              </w:rPr>
              <w:t>项目位于《环境空气质量标准》（GB3095-2012）中二类区，</w:t>
            </w:r>
            <w:r>
              <w:rPr>
                <w:kern w:val="0"/>
                <w:sz w:val="24"/>
                <w:u w:val="none"/>
              </w:rPr>
              <w:t>厂界外500米范围内</w:t>
            </w:r>
            <w:r>
              <w:rPr>
                <w:rFonts w:hint="eastAsia"/>
                <w:kern w:val="0"/>
                <w:sz w:val="24"/>
                <w:u w:val="none"/>
                <w:lang w:val="en-US" w:eastAsia="zh-CN"/>
              </w:rPr>
              <w:t>有居民居住，</w:t>
            </w:r>
            <w:r>
              <w:rPr>
                <w:rFonts w:hint="eastAsia"/>
                <w:kern w:val="0"/>
                <w:sz w:val="24"/>
                <w:u w:val="none"/>
              </w:rPr>
              <w:t>无</w:t>
            </w:r>
            <w:r>
              <w:rPr>
                <w:kern w:val="0"/>
                <w:sz w:val="24"/>
                <w:u w:val="none"/>
              </w:rPr>
              <w:t>自然保护区、风景名胜区</w:t>
            </w:r>
            <w:r>
              <w:rPr>
                <w:rFonts w:hint="eastAsia"/>
                <w:kern w:val="0"/>
                <w:sz w:val="24"/>
                <w:u w:val="none"/>
                <w:lang w:eastAsia="zh-CN"/>
              </w:rPr>
              <w:t>；</w:t>
            </w:r>
            <w:r>
              <w:rPr>
                <w:kern w:val="0"/>
                <w:sz w:val="24"/>
                <w:u w:val="none"/>
              </w:rPr>
              <w:t>大气环境保护目标</w:t>
            </w:r>
            <w:r>
              <w:rPr>
                <w:rFonts w:hint="eastAsia"/>
                <w:kern w:val="0"/>
                <w:sz w:val="24"/>
                <w:u w:val="none"/>
              </w:rPr>
              <w:t>具体见下表。</w:t>
            </w:r>
          </w:p>
          <w:p>
            <w:pPr>
              <w:adjustRightInd w:val="0"/>
              <w:snapToGrid w:val="0"/>
              <w:spacing w:line="360" w:lineRule="auto"/>
              <w:jc w:val="left"/>
              <w:rPr>
                <w:rFonts w:hint="eastAsia"/>
                <w:b/>
                <w:bCs/>
                <w:kern w:val="0"/>
                <w:sz w:val="24"/>
                <w:u w:val="none"/>
                <w:lang w:eastAsia="zh-CN"/>
              </w:rPr>
            </w:pPr>
            <w:r>
              <w:rPr>
                <w:rFonts w:hint="eastAsia"/>
                <w:b/>
                <w:bCs/>
                <w:kern w:val="0"/>
                <w:sz w:val="24"/>
                <w:u w:val="none"/>
                <w:lang w:eastAsia="zh-CN"/>
              </w:rPr>
              <w:t>（</w:t>
            </w:r>
            <w:r>
              <w:rPr>
                <w:rFonts w:hint="eastAsia"/>
                <w:b/>
                <w:bCs/>
                <w:kern w:val="0"/>
                <w:sz w:val="24"/>
                <w:u w:val="none"/>
                <w:lang w:val="en-US" w:eastAsia="zh-CN"/>
              </w:rPr>
              <w:t>2</w:t>
            </w:r>
            <w:r>
              <w:rPr>
                <w:rFonts w:hint="eastAsia"/>
                <w:b/>
                <w:bCs/>
                <w:kern w:val="0"/>
                <w:sz w:val="24"/>
                <w:u w:val="none"/>
                <w:lang w:eastAsia="zh-CN"/>
              </w:rPr>
              <w:t>）声环境</w:t>
            </w:r>
          </w:p>
          <w:p>
            <w:pPr>
              <w:adjustRightInd w:val="0"/>
              <w:snapToGrid w:val="0"/>
              <w:spacing w:line="360" w:lineRule="auto"/>
              <w:ind w:firstLine="480" w:firstLineChars="200"/>
              <w:jc w:val="left"/>
              <w:rPr>
                <w:rFonts w:hint="default" w:eastAsia="宋体"/>
                <w:kern w:val="0"/>
                <w:sz w:val="24"/>
                <w:u w:val="none"/>
                <w:lang w:val="en-US" w:eastAsia="zh-CN"/>
              </w:rPr>
            </w:pPr>
            <w:r>
              <w:rPr>
                <w:rFonts w:hint="eastAsia"/>
                <w:kern w:val="0"/>
                <w:sz w:val="24"/>
                <w:u w:val="none"/>
                <w:lang w:val="en-US" w:eastAsia="zh-CN"/>
              </w:rPr>
              <w:t>项目位于《声环境质量标准》（GB3096-2008）2类区，厂</w:t>
            </w:r>
            <w:r>
              <w:rPr>
                <w:kern w:val="0"/>
                <w:sz w:val="24"/>
                <w:u w:val="none"/>
              </w:rPr>
              <w:t>界外</w:t>
            </w:r>
            <w:r>
              <w:rPr>
                <w:rFonts w:hint="eastAsia"/>
                <w:kern w:val="0"/>
                <w:sz w:val="24"/>
                <w:u w:val="none"/>
                <w:lang w:val="en-US" w:eastAsia="zh-CN"/>
              </w:rPr>
              <w:t>50米南、西、北侧均有居民居住；具体见下表。</w:t>
            </w:r>
          </w:p>
          <w:p>
            <w:pPr>
              <w:adjustRightInd w:val="0"/>
              <w:snapToGrid w:val="0"/>
              <w:spacing w:line="360" w:lineRule="auto"/>
              <w:jc w:val="left"/>
              <w:rPr>
                <w:rFonts w:hint="eastAsia"/>
                <w:b/>
                <w:bCs/>
                <w:kern w:val="0"/>
                <w:sz w:val="24"/>
                <w:u w:val="none"/>
                <w:lang w:val="en-US" w:eastAsia="zh-CN"/>
              </w:rPr>
            </w:pPr>
            <w:r>
              <w:rPr>
                <w:rFonts w:hint="eastAsia"/>
                <w:b/>
                <w:bCs/>
                <w:kern w:val="0"/>
                <w:sz w:val="24"/>
                <w:u w:val="none"/>
                <w:lang w:eastAsia="zh-CN"/>
              </w:rPr>
              <w:t>（</w:t>
            </w:r>
            <w:r>
              <w:rPr>
                <w:rFonts w:hint="eastAsia"/>
                <w:b/>
                <w:bCs/>
                <w:kern w:val="0"/>
                <w:sz w:val="24"/>
                <w:u w:val="none"/>
                <w:lang w:val="en-US" w:eastAsia="zh-CN"/>
              </w:rPr>
              <w:t>3</w:t>
            </w:r>
            <w:r>
              <w:rPr>
                <w:rFonts w:hint="eastAsia"/>
                <w:b/>
                <w:bCs/>
                <w:kern w:val="0"/>
                <w:sz w:val="24"/>
                <w:u w:val="none"/>
                <w:lang w:eastAsia="zh-CN"/>
              </w:rPr>
              <w:t>）</w:t>
            </w:r>
            <w:r>
              <w:rPr>
                <w:rFonts w:hint="eastAsia"/>
                <w:b/>
                <w:bCs/>
                <w:kern w:val="0"/>
                <w:sz w:val="24"/>
                <w:u w:val="none"/>
                <w:lang w:val="en-US" w:eastAsia="zh-CN"/>
              </w:rPr>
              <w:t>地表水环境</w:t>
            </w:r>
          </w:p>
          <w:p>
            <w:pPr>
              <w:adjustRightInd w:val="0"/>
              <w:snapToGrid w:val="0"/>
              <w:spacing w:line="360" w:lineRule="auto"/>
              <w:ind w:firstLine="480" w:firstLineChars="200"/>
              <w:jc w:val="left"/>
              <w:rPr>
                <w:rFonts w:hint="default"/>
                <w:kern w:val="0"/>
                <w:sz w:val="24"/>
                <w:u w:val="none"/>
                <w:lang w:val="en-US" w:eastAsia="zh-CN"/>
              </w:rPr>
            </w:pPr>
            <w:r>
              <w:rPr>
                <w:rFonts w:hint="eastAsia"/>
                <w:kern w:val="0"/>
                <w:sz w:val="24"/>
                <w:u w:val="none"/>
                <w:lang w:val="en-US" w:eastAsia="zh-CN"/>
              </w:rPr>
              <w:t>厂界外西侧为渠水、文昌溪。其中，渠水“</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县水厂取水口上游1000米至下游200米”流域执行《地表水环境质量标准》(GB3838-2002)Ⅱ类标准，“县水厂取水口下游200米至马鞍洞电站大坝”流域执行《地表水环境质量标准》(GB3838-2002)Ⅲ类标准</w:t>
            </w:r>
            <w:r>
              <w:rPr>
                <w:rFonts w:hint="eastAsia"/>
                <w:kern w:val="0"/>
                <w:sz w:val="24"/>
                <w:u w:val="none"/>
                <w:lang w:val="en-US" w:eastAsia="zh-CN"/>
              </w:rPr>
              <w:t>；文昌溪执行</w:t>
            </w:r>
            <w:r>
              <w:rPr>
                <w:rFonts w:hint="eastAsia" w:cs="Times New Roman"/>
                <w:b w:val="0"/>
                <w:bCs w:val="0"/>
                <w:color w:val="000000" w:themeColor="text1"/>
                <w:kern w:val="0"/>
                <w:sz w:val="24"/>
                <w:szCs w:val="24"/>
                <w:highlight w:val="none"/>
                <w:u w:val="none"/>
                <w:lang w:val="en-US" w:eastAsia="zh-CN"/>
                <w14:textFill>
                  <w14:solidFill>
                    <w14:schemeClr w14:val="tx1"/>
                  </w14:solidFill>
                </w14:textFill>
              </w:rPr>
              <w:t>《地表水环境质量标准》(GB3838-2002)Ⅲ类标准。</w:t>
            </w:r>
          </w:p>
          <w:p>
            <w:pPr>
              <w:adjustRightInd w:val="0"/>
              <w:snapToGrid w:val="0"/>
              <w:spacing w:line="360" w:lineRule="auto"/>
              <w:jc w:val="left"/>
              <w:rPr>
                <w:rFonts w:hint="eastAsia"/>
                <w:b/>
                <w:bCs/>
                <w:kern w:val="0"/>
                <w:sz w:val="24"/>
                <w:u w:val="none"/>
                <w:lang w:eastAsia="zh-CN"/>
              </w:rPr>
            </w:pPr>
            <w:r>
              <w:rPr>
                <w:rFonts w:hint="eastAsia"/>
                <w:b/>
                <w:bCs/>
                <w:kern w:val="0"/>
                <w:sz w:val="24"/>
                <w:u w:val="none"/>
                <w:lang w:eastAsia="zh-CN"/>
              </w:rPr>
              <w:t>（</w:t>
            </w:r>
            <w:r>
              <w:rPr>
                <w:rFonts w:hint="eastAsia"/>
                <w:b/>
                <w:bCs/>
                <w:kern w:val="0"/>
                <w:sz w:val="24"/>
                <w:u w:val="none"/>
                <w:lang w:val="en-US" w:eastAsia="zh-CN"/>
              </w:rPr>
              <w:t>4</w:t>
            </w:r>
            <w:r>
              <w:rPr>
                <w:rFonts w:hint="eastAsia"/>
                <w:b/>
                <w:bCs/>
                <w:kern w:val="0"/>
                <w:sz w:val="24"/>
                <w:u w:val="none"/>
                <w:lang w:eastAsia="zh-CN"/>
              </w:rPr>
              <w:t>）地下水环境</w:t>
            </w:r>
          </w:p>
          <w:p>
            <w:pPr>
              <w:adjustRightInd w:val="0"/>
              <w:snapToGrid w:val="0"/>
              <w:spacing w:line="360" w:lineRule="auto"/>
              <w:ind w:firstLine="480" w:firstLineChars="200"/>
              <w:jc w:val="left"/>
              <w:rPr>
                <w:kern w:val="0"/>
                <w:sz w:val="24"/>
                <w:u w:val="none"/>
              </w:rPr>
            </w:pPr>
            <w:r>
              <w:rPr>
                <w:kern w:val="0"/>
                <w:sz w:val="24"/>
                <w:u w:val="none"/>
              </w:rPr>
              <w:t>厂界外500米范围内</w:t>
            </w:r>
            <w:r>
              <w:rPr>
                <w:rFonts w:hint="eastAsia"/>
                <w:kern w:val="0"/>
                <w:sz w:val="24"/>
                <w:u w:val="none"/>
              </w:rPr>
              <w:t>无</w:t>
            </w:r>
            <w:r>
              <w:rPr>
                <w:kern w:val="0"/>
                <w:sz w:val="24"/>
                <w:u w:val="none"/>
              </w:rPr>
              <w:t>地下水集中式饮用水水源和热水、矿泉水、温泉等特殊地下水资源。</w:t>
            </w:r>
          </w:p>
          <w:p>
            <w:pPr>
              <w:adjustRightInd w:val="0"/>
              <w:snapToGrid w:val="0"/>
              <w:spacing w:line="360" w:lineRule="auto"/>
              <w:jc w:val="left"/>
              <w:rPr>
                <w:rFonts w:hint="eastAsia"/>
                <w:b/>
                <w:bCs/>
                <w:kern w:val="0"/>
                <w:sz w:val="24"/>
                <w:u w:val="none"/>
                <w:lang w:eastAsia="zh-CN"/>
              </w:rPr>
            </w:pPr>
            <w:r>
              <w:rPr>
                <w:rFonts w:hint="eastAsia"/>
                <w:b/>
                <w:bCs/>
                <w:kern w:val="0"/>
                <w:sz w:val="24"/>
                <w:u w:val="none"/>
                <w:lang w:eastAsia="zh-CN"/>
              </w:rPr>
              <w:t>（</w:t>
            </w:r>
            <w:r>
              <w:rPr>
                <w:rFonts w:hint="eastAsia"/>
                <w:b/>
                <w:bCs/>
                <w:kern w:val="0"/>
                <w:sz w:val="24"/>
                <w:u w:val="none"/>
                <w:lang w:val="en-US" w:eastAsia="zh-CN"/>
              </w:rPr>
              <w:t>5</w:t>
            </w:r>
            <w:r>
              <w:rPr>
                <w:rFonts w:hint="eastAsia"/>
                <w:b/>
                <w:bCs/>
                <w:kern w:val="0"/>
                <w:sz w:val="24"/>
                <w:u w:val="none"/>
                <w:lang w:eastAsia="zh-CN"/>
              </w:rPr>
              <w:t>）生态环境</w:t>
            </w:r>
          </w:p>
          <w:p>
            <w:pPr>
              <w:adjustRightInd w:val="0"/>
              <w:snapToGrid w:val="0"/>
              <w:spacing w:line="360" w:lineRule="auto"/>
              <w:ind w:firstLine="480" w:firstLineChars="200"/>
              <w:jc w:val="left"/>
              <w:rPr>
                <w:rFonts w:hint="eastAsia"/>
                <w:kern w:val="0"/>
                <w:sz w:val="24"/>
                <w:u w:val="none"/>
              </w:rPr>
            </w:pPr>
            <w:r>
              <w:rPr>
                <w:rFonts w:hint="eastAsia"/>
                <w:kern w:val="0"/>
                <w:sz w:val="24"/>
                <w:u w:val="none"/>
              </w:rPr>
              <w:t>本项目不涉及生态红线、</w:t>
            </w:r>
            <w:r>
              <w:rPr>
                <w:kern w:val="0"/>
                <w:sz w:val="24"/>
                <w:u w:val="none"/>
              </w:rPr>
              <w:t>自然保护区、风景名胜区</w:t>
            </w:r>
            <w:r>
              <w:rPr>
                <w:rFonts w:hint="eastAsia"/>
                <w:kern w:val="0"/>
                <w:sz w:val="24"/>
                <w:u w:val="none"/>
              </w:rPr>
              <w:t>等敏感目标。</w:t>
            </w:r>
          </w:p>
          <w:p>
            <w:pPr>
              <w:rPr>
                <w:rFonts w:hint="eastAsia"/>
                <w:kern w:val="0"/>
                <w:sz w:val="24"/>
                <w:u w:val="none"/>
              </w:rPr>
            </w:pPr>
          </w:p>
          <w:p>
            <w:pPr>
              <w:pStyle w:val="21"/>
              <w:rPr>
                <w:rFonts w:hint="eastAsia"/>
              </w:rPr>
            </w:pPr>
          </w:p>
          <w:p>
            <w:pPr>
              <w:pStyle w:val="21"/>
              <w:rPr>
                <w:rFonts w:hint="eastAsia"/>
                <w:kern w:val="0"/>
                <w:sz w:val="24"/>
                <w:u w:val="none"/>
              </w:rPr>
            </w:pPr>
          </w:p>
          <w:p>
            <w:pPr>
              <w:rPr>
                <w:rFonts w:hint="eastAsia"/>
                <w:kern w:val="0"/>
                <w:sz w:val="24"/>
                <w:u w:val="none"/>
              </w:rPr>
            </w:pPr>
          </w:p>
          <w:p>
            <w:pPr>
              <w:pStyle w:val="21"/>
              <w:rPr>
                <w:rFonts w:hint="eastAsia"/>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表3-4   环境敏感目标一览表</w:t>
            </w:r>
          </w:p>
          <w:tbl>
            <w:tblPr>
              <w:tblStyle w:val="16"/>
              <w:tblW w:w="4996"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52"/>
              <w:gridCol w:w="1993"/>
              <w:gridCol w:w="2000"/>
              <w:gridCol w:w="1934"/>
              <w:gridCol w:w="14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restart"/>
                  <w:tcBorders>
                    <w:tl2br w:val="nil"/>
                    <w:tr2bl w:val="nil"/>
                  </w:tcBorders>
                  <w:noWrap w:val="0"/>
                  <w:vAlign w:val="center"/>
                </w:tcPr>
                <w:p>
                  <w:pPr>
                    <w:jc w:val="center"/>
                    <w:rPr>
                      <w:b/>
                      <w:szCs w:val="21"/>
                      <w:u w:val="none"/>
                    </w:rPr>
                  </w:pPr>
                  <w:r>
                    <w:rPr>
                      <w:b/>
                      <w:szCs w:val="21"/>
                      <w:u w:val="none"/>
                    </w:rPr>
                    <w:t>环境因素</w:t>
                  </w:r>
                </w:p>
              </w:tc>
              <w:tc>
                <w:tcPr>
                  <w:tcW w:w="733" w:type="pct"/>
                  <w:vMerge w:val="restart"/>
                  <w:tcBorders>
                    <w:tl2br w:val="nil"/>
                    <w:tr2bl w:val="nil"/>
                  </w:tcBorders>
                  <w:noWrap w:val="0"/>
                  <w:vAlign w:val="center"/>
                </w:tcPr>
                <w:p>
                  <w:pPr>
                    <w:jc w:val="center"/>
                    <w:rPr>
                      <w:b/>
                      <w:szCs w:val="21"/>
                      <w:u w:val="none"/>
                    </w:rPr>
                  </w:pPr>
                  <w:r>
                    <w:rPr>
                      <w:b/>
                      <w:szCs w:val="21"/>
                      <w:u w:val="none"/>
                    </w:rPr>
                    <w:t>保护对象名称</w:t>
                  </w:r>
                </w:p>
              </w:tc>
              <w:tc>
                <w:tcPr>
                  <w:tcW w:w="1080" w:type="pct"/>
                  <w:vMerge w:val="restart"/>
                  <w:tcBorders>
                    <w:tl2br w:val="nil"/>
                    <w:tr2bl w:val="nil"/>
                  </w:tcBorders>
                  <w:noWrap w:val="0"/>
                  <w:vAlign w:val="center"/>
                </w:tcPr>
                <w:p>
                  <w:pPr>
                    <w:jc w:val="center"/>
                    <w:rPr>
                      <w:u w:val="none"/>
                    </w:rPr>
                  </w:pPr>
                  <w:r>
                    <w:rPr>
                      <w:u w:val="none"/>
                    </w:rPr>
                    <w:t>规模</w:t>
                  </w:r>
                </w:p>
              </w:tc>
              <w:tc>
                <w:tcPr>
                  <w:tcW w:w="2133" w:type="pct"/>
                  <w:gridSpan w:val="2"/>
                  <w:tcBorders>
                    <w:tl2br w:val="nil"/>
                    <w:tr2bl w:val="nil"/>
                  </w:tcBorders>
                  <w:noWrap w:val="0"/>
                  <w:vAlign w:val="center"/>
                </w:tcPr>
                <w:p>
                  <w:pPr>
                    <w:jc w:val="center"/>
                    <w:rPr>
                      <w:b/>
                      <w:szCs w:val="21"/>
                      <w:u w:val="none"/>
                    </w:rPr>
                  </w:pPr>
                  <w:r>
                    <w:rPr>
                      <w:b/>
                      <w:szCs w:val="21"/>
                      <w:u w:val="none"/>
                    </w:rPr>
                    <w:t>距离厂界的相对位置及坐标</w:t>
                  </w:r>
                </w:p>
              </w:tc>
              <w:tc>
                <w:tcPr>
                  <w:tcW w:w="760" w:type="pct"/>
                  <w:vMerge w:val="restart"/>
                  <w:tcBorders>
                    <w:tl2br w:val="nil"/>
                    <w:tr2bl w:val="nil"/>
                  </w:tcBorders>
                  <w:noWrap w:val="0"/>
                  <w:vAlign w:val="center"/>
                </w:tcPr>
                <w:p>
                  <w:pPr>
                    <w:jc w:val="center"/>
                    <w:rPr>
                      <w:b/>
                      <w:szCs w:val="21"/>
                      <w:u w:val="none"/>
                    </w:rPr>
                  </w:pPr>
                  <w:r>
                    <w:rPr>
                      <w:b/>
                      <w:szCs w:val="21"/>
                      <w:u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szCs w:val="21"/>
                      <w:u w:val="none"/>
                    </w:rPr>
                  </w:pPr>
                </w:p>
              </w:tc>
              <w:tc>
                <w:tcPr>
                  <w:tcW w:w="733" w:type="pct"/>
                  <w:vMerge w:val="continue"/>
                  <w:tcBorders>
                    <w:tl2br w:val="nil"/>
                    <w:tr2bl w:val="nil"/>
                  </w:tcBorders>
                  <w:noWrap w:val="0"/>
                  <w:vAlign w:val="center"/>
                </w:tcPr>
                <w:p>
                  <w:pPr>
                    <w:jc w:val="center"/>
                    <w:rPr>
                      <w:b/>
                      <w:szCs w:val="21"/>
                      <w:u w:val="none"/>
                    </w:rPr>
                  </w:pPr>
                </w:p>
              </w:tc>
              <w:tc>
                <w:tcPr>
                  <w:tcW w:w="1080" w:type="pct"/>
                  <w:vMerge w:val="continue"/>
                  <w:tcBorders>
                    <w:tl2br w:val="nil"/>
                    <w:tr2bl w:val="nil"/>
                  </w:tcBorders>
                  <w:noWrap w:val="0"/>
                  <w:vAlign w:val="center"/>
                </w:tcPr>
                <w:p>
                  <w:pPr>
                    <w:jc w:val="center"/>
                    <w:rPr>
                      <w:u w:val="none"/>
                    </w:rPr>
                  </w:pPr>
                </w:p>
              </w:tc>
              <w:tc>
                <w:tcPr>
                  <w:tcW w:w="1084" w:type="pct"/>
                  <w:tcBorders>
                    <w:tl2br w:val="nil"/>
                    <w:tr2bl w:val="nil"/>
                  </w:tcBorders>
                  <w:noWrap w:val="0"/>
                  <w:vAlign w:val="center"/>
                </w:tcPr>
                <w:p>
                  <w:pPr>
                    <w:jc w:val="center"/>
                    <w:rPr>
                      <w:b/>
                      <w:szCs w:val="21"/>
                      <w:u w:val="none"/>
                    </w:rPr>
                  </w:pPr>
                  <w:r>
                    <w:rPr>
                      <w:b/>
                      <w:szCs w:val="21"/>
                      <w:u w:val="none"/>
                    </w:rPr>
                    <w:t>方位，</w:t>
                  </w:r>
                  <w:r>
                    <w:rPr>
                      <w:rFonts w:hint="eastAsia"/>
                      <w:b/>
                      <w:szCs w:val="21"/>
                      <w:u w:val="none"/>
                    </w:rPr>
                    <w:t>与本项目最近</w:t>
                  </w:r>
                  <w:r>
                    <w:rPr>
                      <w:b/>
                      <w:szCs w:val="21"/>
                      <w:u w:val="none"/>
                    </w:rPr>
                    <w:t>距离（m）</w:t>
                  </w:r>
                </w:p>
              </w:tc>
              <w:tc>
                <w:tcPr>
                  <w:tcW w:w="1048" w:type="pct"/>
                  <w:tcBorders>
                    <w:tl2br w:val="nil"/>
                    <w:tr2bl w:val="nil"/>
                  </w:tcBorders>
                  <w:noWrap w:val="0"/>
                  <w:vAlign w:val="center"/>
                </w:tcPr>
                <w:p>
                  <w:pPr>
                    <w:jc w:val="center"/>
                    <w:rPr>
                      <w:b/>
                      <w:szCs w:val="21"/>
                      <w:u w:val="none"/>
                    </w:rPr>
                  </w:pPr>
                  <w:r>
                    <w:rPr>
                      <w:rFonts w:hint="eastAsia"/>
                      <w:b/>
                      <w:szCs w:val="21"/>
                      <w:u w:val="none"/>
                      <w:lang w:val="en-US" w:eastAsia="zh-CN"/>
                    </w:rPr>
                    <w:t>中心</w:t>
                  </w:r>
                  <w:r>
                    <w:rPr>
                      <w:rFonts w:hint="eastAsia"/>
                      <w:b/>
                      <w:szCs w:val="21"/>
                      <w:u w:val="none"/>
                    </w:rPr>
                    <w:t>坐标</w:t>
                  </w:r>
                </w:p>
              </w:tc>
              <w:tc>
                <w:tcPr>
                  <w:tcW w:w="760" w:type="pct"/>
                  <w:vMerge w:val="continue"/>
                  <w:tcBorders>
                    <w:tl2br w:val="nil"/>
                    <w:tr2bl w:val="nil"/>
                  </w:tcBorders>
                  <w:noWrap w:val="0"/>
                  <w:vAlign w:val="center"/>
                </w:tcPr>
                <w:p>
                  <w:pPr>
                    <w:jc w:val="center"/>
                    <w:rPr>
                      <w:b/>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restart"/>
                  <w:tcBorders>
                    <w:tl2br w:val="nil"/>
                    <w:tr2bl w:val="nil"/>
                  </w:tcBorders>
                  <w:noWrap w:val="0"/>
                  <w:vAlign w:val="center"/>
                </w:tcPr>
                <w:p>
                  <w:pPr>
                    <w:jc w:val="center"/>
                    <w:rPr>
                      <w:b/>
                      <w:bCs/>
                      <w:szCs w:val="21"/>
                      <w:u w:val="none"/>
                    </w:rPr>
                  </w:pPr>
                  <w:r>
                    <w:rPr>
                      <w:b/>
                      <w:bCs/>
                      <w:szCs w:val="21"/>
                      <w:u w:val="none"/>
                    </w:rPr>
                    <w:t>大气环境</w:t>
                  </w: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北侧卫生计生办公人员</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约40人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W5m~W20m</w:t>
                  </w:r>
                </w:p>
              </w:tc>
              <w:tc>
                <w:tcPr>
                  <w:tcW w:w="1048" w:type="pct"/>
                  <w:tcBorders>
                    <w:tl2br w:val="nil"/>
                    <w:tr2bl w:val="nil"/>
                  </w:tcBorders>
                  <w:noWrap w:val="0"/>
                  <w:vAlign w:val="center"/>
                </w:tcPr>
                <w:p>
                  <w:pPr>
                    <w:jc w:val="center"/>
                    <w:rPr>
                      <w:rFonts w:hint="eastAsia"/>
                      <w:lang w:val="en-US" w:eastAsia="zh-CN"/>
                    </w:rPr>
                  </w:pPr>
                  <w:r>
                    <w:rPr>
                      <w:rFonts w:hint="eastAsia"/>
                      <w:u w:val="none"/>
                      <w:lang w:val="en-US" w:eastAsia="zh-CN"/>
                    </w:rPr>
                    <w:t>经度</w:t>
                  </w:r>
                  <w:r>
                    <w:rPr>
                      <w:rFonts w:hint="eastAsia"/>
                      <w:lang w:val="en-US" w:eastAsia="zh-CN"/>
                    </w:rPr>
                    <w:t>109.69648272</w:t>
                  </w:r>
                </w:p>
                <w:p>
                  <w:pPr>
                    <w:pStyle w:val="21"/>
                    <w:jc w:val="center"/>
                    <w:rPr>
                      <w:rFonts w:hint="eastAsia"/>
                      <w:lang w:val="en-US" w:eastAsia="zh-CN"/>
                    </w:rPr>
                  </w:pPr>
                  <w:r>
                    <w:rPr>
                      <w:rFonts w:hint="eastAsia"/>
                      <w:u w:val="none"/>
                      <w:lang w:val="en-US" w:eastAsia="zh-CN"/>
                    </w:rPr>
                    <w:t>纬度</w:t>
                  </w:r>
                  <w:r>
                    <w:rPr>
                      <w:rFonts w:hint="eastAsia" w:ascii="Times New Roman" w:hAnsi="Times New Roman" w:eastAsia="宋体" w:cs="Times New Roman"/>
                      <w:color w:val="auto"/>
                      <w:kern w:val="2"/>
                      <w:sz w:val="21"/>
                      <w:szCs w:val="22"/>
                      <w:lang w:val="en-US" w:eastAsia="zh-CN" w:bidi="ar-SA"/>
                    </w:rPr>
                    <w:t>26.57747939</w:t>
                  </w:r>
                </w:p>
              </w:tc>
              <w:tc>
                <w:tcPr>
                  <w:tcW w:w="760" w:type="pct"/>
                  <w:vMerge w:val="restart"/>
                  <w:tcBorders>
                    <w:tl2br w:val="nil"/>
                    <w:tr2bl w:val="nil"/>
                  </w:tcBorders>
                  <w:noWrap w:val="0"/>
                  <w:vAlign w:val="center"/>
                </w:tcPr>
                <w:p>
                  <w:pPr>
                    <w:jc w:val="center"/>
                    <w:rPr>
                      <w:szCs w:val="21"/>
                      <w:u w:val="none"/>
                    </w:rPr>
                  </w:pPr>
                  <w:r>
                    <w:rPr>
                      <w:szCs w:val="21"/>
                      <w:u w:val="none"/>
                    </w:rPr>
                    <w:t>《环境空气质量标准》（GB3095-2012）中二级标准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西侧居民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约35户，100人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W5m~WS140m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109.69571829</w:t>
                  </w:r>
                </w:p>
                <w:p>
                  <w:pPr>
                    <w:jc w:val="center"/>
                    <w:rPr>
                      <w:u w:val="none"/>
                    </w:rPr>
                  </w:pPr>
                  <w:r>
                    <w:rPr>
                      <w:rFonts w:hint="eastAsia"/>
                      <w:u w:val="none"/>
                      <w:lang w:val="en-US" w:eastAsia="zh-CN"/>
                    </w:rPr>
                    <w:t>纬度</w:t>
                  </w:r>
                  <w:r>
                    <w:rPr>
                      <w:rFonts w:hint="eastAsia"/>
                      <w:u w:val="none"/>
                    </w:rPr>
                    <w:t>26.57702793</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西南侧居民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约110户，330人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WS75m~WS500m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109.69553590</w:t>
                  </w:r>
                </w:p>
                <w:p>
                  <w:pPr>
                    <w:jc w:val="center"/>
                    <w:rPr>
                      <w:u w:val="none"/>
                    </w:rPr>
                  </w:pPr>
                  <w:r>
                    <w:rPr>
                      <w:rFonts w:hint="eastAsia"/>
                      <w:u w:val="none"/>
                      <w:lang w:val="en-US" w:eastAsia="zh-CN"/>
                    </w:rPr>
                    <w:t>纬度</w:t>
                  </w:r>
                  <w:r>
                    <w:rPr>
                      <w:rFonts w:hint="eastAsia"/>
                      <w:u w:val="none"/>
                    </w:rPr>
                    <w:t>26.57437963</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江东小学</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约6500m</w:t>
                  </w:r>
                  <w:r>
                    <w:rPr>
                      <w:rFonts w:hint="eastAsia"/>
                      <w:u w:val="none"/>
                      <w:vertAlign w:val="superscript"/>
                      <w:lang w:val="en-US" w:eastAsia="zh-CN"/>
                    </w:rPr>
                    <w:t>2</w:t>
                  </w:r>
                  <w:r>
                    <w:rPr>
                      <w:rFonts w:hint="eastAsia"/>
                      <w:u w:val="none"/>
                      <w:lang w:val="en-US" w:eastAsia="zh-CN"/>
                    </w:rPr>
                    <w:t>，200人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SE230m~SE340m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109.69659805</w:t>
                  </w:r>
                </w:p>
                <w:p>
                  <w:pPr>
                    <w:jc w:val="center"/>
                    <w:rPr>
                      <w:u w:val="none"/>
                    </w:rPr>
                  </w:pPr>
                  <w:r>
                    <w:rPr>
                      <w:rFonts w:hint="eastAsia"/>
                      <w:u w:val="none"/>
                      <w:lang w:val="en-US" w:eastAsia="zh-CN"/>
                    </w:rPr>
                    <w:t>纬度</w:t>
                  </w:r>
                  <w:r>
                    <w:rPr>
                      <w:rFonts w:hint="eastAsia"/>
                      <w:u w:val="none"/>
                    </w:rPr>
                    <w:t>26.57426928</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南侧居民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约70户210人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S2m~S200m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109.69710767</w:t>
                  </w:r>
                </w:p>
                <w:p>
                  <w:pPr>
                    <w:jc w:val="center"/>
                    <w:rPr>
                      <w:u w:val="none"/>
                    </w:rPr>
                  </w:pPr>
                  <w:r>
                    <w:rPr>
                      <w:rFonts w:hint="eastAsia"/>
                      <w:u w:val="none"/>
                      <w:lang w:val="en-US" w:eastAsia="zh-CN"/>
                    </w:rPr>
                    <w:t>纬度</w:t>
                  </w:r>
                  <w:r>
                    <w:rPr>
                      <w:rFonts w:hint="eastAsia"/>
                      <w:u w:val="none"/>
                    </w:rPr>
                    <w:t>26.57617875</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团结村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约60户，180人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S200m~S480m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109.69769776</w:t>
                  </w:r>
                </w:p>
                <w:p>
                  <w:pPr>
                    <w:jc w:val="center"/>
                    <w:rPr>
                      <w:u w:val="none"/>
                    </w:rPr>
                  </w:pPr>
                  <w:r>
                    <w:rPr>
                      <w:rFonts w:hint="eastAsia"/>
                      <w:u w:val="none"/>
                      <w:lang w:val="en-US" w:eastAsia="zh-CN"/>
                    </w:rPr>
                    <w:t>纬度</w:t>
                  </w:r>
                  <w:r>
                    <w:rPr>
                      <w:rFonts w:hint="eastAsia"/>
                      <w:u w:val="none"/>
                    </w:rPr>
                    <w:t>26.57417813</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江东医院</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约1300m</w:t>
                  </w:r>
                  <w:r>
                    <w:rPr>
                      <w:rFonts w:hint="eastAsia"/>
                      <w:u w:val="none"/>
                      <w:vertAlign w:val="superscript"/>
                      <w:lang w:val="en-US" w:eastAsia="zh-CN"/>
                    </w:rPr>
                    <w:t>2</w:t>
                  </w:r>
                  <w:r>
                    <w:rPr>
                      <w:rFonts w:hint="eastAsia"/>
                      <w:u w:val="none"/>
                      <w:vertAlign w:val="baseline"/>
                      <w:lang w:val="en-US" w:eastAsia="zh-CN"/>
                    </w:rPr>
                    <w:t>，</w:t>
                  </w:r>
                  <w:r>
                    <w:rPr>
                      <w:rFonts w:hint="eastAsia"/>
                      <w:u w:val="none"/>
                      <w:lang w:val="en-US" w:eastAsia="zh-CN"/>
                    </w:rPr>
                    <w:t>50人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SE175m~SE200m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109.69798744</w:t>
                  </w:r>
                </w:p>
                <w:p>
                  <w:pPr>
                    <w:jc w:val="center"/>
                    <w:rPr>
                      <w:rFonts w:hint="eastAsia"/>
                      <w:u w:val="none"/>
                    </w:rPr>
                  </w:pPr>
                  <w:r>
                    <w:rPr>
                      <w:rFonts w:hint="eastAsia"/>
                      <w:u w:val="none"/>
                      <w:lang w:val="en-US" w:eastAsia="zh-CN"/>
                    </w:rPr>
                    <w:t>纬度</w:t>
                  </w:r>
                  <w:r>
                    <w:rPr>
                      <w:rFonts w:hint="eastAsia"/>
                      <w:u w:val="none"/>
                    </w:rPr>
                    <w:t>26.57583572</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东南侧居民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约25户，75人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SE310m~SE400m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109.69934464</w:t>
                  </w:r>
                </w:p>
                <w:p>
                  <w:pPr>
                    <w:jc w:val="center"/>
                    <w:rPr>
                      <w:rFonts w:hint="eastAsia"/>
                      <w:u w:val="none"/>
                    </w:rPr>
                  </w:pPr>
                  <w:r>
                    <w:rPr>
                      <w:rFonts w:hint="eastAsia"/>
                      <w:u w:val="none"/>
                      <w:lang w:val="en-US" w:eastAsia="zh-CN"/>
                    </w:rPr>
                    <w:t>纬度</w:t>
                  </w:r>
                  <w:r>
                    <w:rPr>
                      <w:rFonts w:hint="eastAsia"/>
                      <w:u w:val="none"/>
                    </w:rPr>
                    <w:t>26.57467709</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东侧居民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约35户，100人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E80m~ES210m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109.69838709</w:t>
                  </w:r>
                </w:p>
                <w:p>
                  <w:pPr>
                    <w:jc w:val="center"/>
                    <w:rPr>
                      <w:rFonts w:hint="eastAsia"/>
                      <w:u w:val="none"/>
                    </w:rPr>
                  </w:pPr>
                  <w:r>
                    <w:rPr>
                      <w:rFonts w:hint="eastAsia"/>
                      <w:u w:val="none"/>
                      <w:lang w:val="en-US" w:eastAsia="zh-CN"/>
                    </w:rPr>
                    <w:t>纬度</w:t>
                  </w:r>
                  <w:r>
                    <w:rPr>
                      <w:rFonts w:hint="eastAsia"/>
                      <w:u w:val="none"/>
                    </w:rPr>
                    <w:t>26.57663452</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北侧居民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约23户，70人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N20m~NE140m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109.69682604</w:t>
                  </w:r>
                </w:p>
                <w:p>
                  <w:pPr>
                    <w:jc w:val="center"/>
                    <w:rPr>
                      <w:rFonts w:hint="eastAsia"/>
                      <w:u w:val="none"/>
                    </w:rPr>
                  </w:pPr>
                  <w:r>
                    <w:rPr>
                      <w:rFonts w:hint="eastAsia"/>
                      <w:u w:val="none"/>
                      <w:lang w:val="en-US" w:eastAsia="zh-CN"/>
                    </w:rPr>
                    <w:t>纬度</w:t>
                  </w:r>
                  <w:r>
                    <w:rPr>
                      <w:rFonts w:hint="eastAsia"/>
                      <w:u w:val="none"/>
                    </w:rPr>
                    <w:t>26.57787949</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棠园里居民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约27户，80人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EN175m~EN390m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109.69867945</w:t>
                  </w:r>
                </w:p>
                <w:p>
                  <w:pPr>
                    <w:jc w:val="center"/>
                    <w:rPr>
                      <w:rFonts w:hint="eastAsia"/>
                      <w:u w:val="none"/>
                    </w:rPr>
                  </w:pPr>
                  <w:r>
                    <w:rPr>
                      <w:rFonts w:hint="eastAsia"/>
                      <w:u w:val="none"/>
                      <w:lang w:val="en-US" w:eastAsia="zh-CN"/>
                    </w:rPr>
                    <w:t>纬度</w:t>
                  </w:r>
                  <w:r>
                    <w:rPr>
                      <w:rFonts w:hint="eastAsia"/>
                      <w:u w:val="none"/>
                    </w:rPr>
                    <w:t>26.57892535</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西南侧居民点2</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约60户，180人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WS310m~SW500m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109.69275177</w:t>
                  </w:r>
                </w:p>
                <w:p>
                  <w:pPr>
                    <w:jc w:val="center"/>
                    <w:rPr>
                      <w:rFonts w:hint="eastAsia"/>
                      <w:u w:val="none"/>
                    </w:rPr>
                  </w:pPr>
                  <w:r>
                    <w:rPr>
                      <w:rFonts w:hint="eastAsia"/>
                      <w:u w:val="none"/>
                      <w:lang w:val="en-US" w:eastAsia="zh-CN"/>
                    </w:rPr>
                    <w:t>纬度</w:t>
                  </w:r>
                  <w:r>
                    <w:rPr>
                      <w:rFonts w:hint="eastAsia"/>
                      <w:u w:val="none"/>
                    </w:rPr>
                    <w:t>26.57562702</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卫门口小区</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约250户，750人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WN240~WN400m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109.69326407</w:t>
                  </w:r>
                </w:p>
                <w:p>
                  <w:pPr>
                    <w:jc w:val="center"/>
                    <w:rPr>
                      <w:rFonts w:hint="eastAsia"/>
                      <w:u w:val="none"/>
                    </w:rPr>
                  </w:pPr>
                  <w:r>
                    <w:rPr>
                      <w:rFonts w:hint="eastAsia"/>
                      <w:u w:val="none"/>
                      <w:lang w:val="en-US" w:eastAsia="zh-CN"/>
                    </w:rPr>
                    <w:t>纬度</w:t>
                  </w:r>
                  <w:r>
                    <w:rPr>
                      <w:rFonts w:hint="eastAsia"/>
                      <w:u w:val="none"/>
                    </w:rPr>
                    <w:t>26.57774996</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福音棠居民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约160户，480人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W380m~WN440m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109.69209731</w:t>
                  </w:r>
                </w:p>
                <w:p>
                  <w:pPr>
                    <w:jc w:val="center"/>
                    <w:rPr>
                      <w:rFonts w:hint="eastAsia"/>
                      <w:u w:val="none"/>
                    </w:rPr>
                  </w:pPr>
                  <w:r>
                    <w:rPr>
                      <w:rFonts w:hint="eastAsia"/>
                      <w:u w:val="none"/>
                      <w:lang w:val="en-US" w:eastAsia="zh-CN"/>
                    </w:rPr>
                    <w:t>纬度</w:t>
                  </w:r>
                  <w:r>
                    <w:rPr>
                      <w:rFonts w:hint="eastAsia"/>
                      <w:u w:val="none"/>
                    </w:rPr>
                    <w:t>26.57791308</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西北侧居民</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约25户，75人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WN200m~WN290m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109.69434500</w:t>
                  </w:r>
                </w:p>
                <w:p>
                  <w:pPr>
                    <w:jc w:val="center"/>
                    <w:rPr>
                      <w:rFonts w:hint="eastAsia"/>
                      <w:u w:val="none"/>
                    </w:rPr>
                  </w:pPr>
                  <w:r>
                    <w:rPr>
                      <w:rFonts w:hint="eastAsia"/>
                      <w:u w:val="none"/>
                      <w:lang w:val="en-US" w:eastAsia="zh-CN"/>
                    </w:rPr>
                    <w:t>纬度</w:t>
                  </w:r>
                  <w:r>
                    <w:rPr>
                      <w:rFonts w:hint="eastAsia"/>
                      <w:u w:val="none"/>
                    </w:rPr>
                    <w:t>26.57887258</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rFonts w:hint="eastAsia" w:eastAsia="宋体"/>
                      <w:b/>
                      <w:bCs/>
                      <w:szCs w:val="21"/>
                      <w:u w:val="none"/>
                      <w:lang w:val="en-US" w:eastAsia="zh-CN"/>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武庙绿园</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约60户，180人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WN340m~WN500m</w:t>
                  </w:r>
                </w:p>
              </w:tc>
              <w:tc>
                <w:tcPr>
                  <w:tcW w:w="1048" w:type="pct"/>
                  <w:tcBorders>
                    <w:tl2br w:val="nil"/>
                    <w:tr2bl w:val="nil"/>
                  </w:tcBorders>
                  <w:noWrap w:val="0"/>
                  <w:vAlign w:val="center"/>
                </w:tcPr>
                <w:p>
                  <w:pPr>
                    <w:jc w:val="center"/>
                    <w:rPr>
                      <w:rFonts w:hint="default"/>
                      <w:u w:val="none"/>
                      <w:lang w:val="en-US"/>
                    </w:rPr>
                  </w:pPr>
                  <w:r>
                    <w:rPr>
                      <w:rFonts w:hint="eastAsia"/>
                      <w:u w:val="none"/>
                      <w:lang w:val="en-US" w:eastAsia="zh-CN"/>
                    </w:rPr>
                    <w:t>经度</w:t>
                  </w:r>
                  <w:r>
                    <w:rPr>
                      <w:rFonts w:hint="default"/>
                      <w:u w:val="none"/>
                      <w:lang w:val="en-US"/>
                    </w:rPr>
                    <w:t>109.69296098</w:t>
                  </w:r>
                </w:p>
                <w:p>
                  <w:pPr>
                    <w:jc w:val="center"/>
                    <w:rPr>
                      <w:rFonts w:hint="default"/>
                      <w:u w:val="none"/>
                      <w:lang w:val="en-US"/>
                    </w:rPr>
                  </w:pPr>
                  <w:r>
                    <w:rPr>
                      <w:rFonts w:hint="eastAsia"/>
                      <w:u w:val="none"/>
                      <w:lang w:val="en-US" w:eastAsia="zh-CN"/>
                    </w:rPr>
                    <w:t>纬度</w:t>
                  </w:r>
                  <w:r>
                    <w:rPr>
                      <w:rFonts w:hint="default"/>
                      <w:u w:val="none"/>
                      <w:lang w:val="en-US"/>
                    </w:rPr>
                    <w:t>26.57914844</w:t>
                  </w:r>
                </w:p>
              </w:tc>
              <w:tc>
                <w:tcPr>
                  <w:tcW w:w="760" w:type="pct"/>
                  <w:vMerge w:val="continue"/>
                  <w:tcBorders>
                    <w:tl2br w:val="nil"/>
                    <w:tr2bl w:val="nil"/>
                  </w:tcBorders>
                  <w:noWrap w:val="0"/>
                  <w:vAlign w:val="center"/>
                </w:tcPr>
                <w:p>
                  <w:pPr>
                    <w:jc w:val="center"/>
                    <w:rPr>
                      <w:rFonts w:hint="default"/>
                      <w:szCs w:val="21"/>
                      <w:u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szCs w:val="21"/>
                      <w:u w:val="none"/>
                      <w:lang w:val="en-US" w:eastAsia="zh-CN"/>
                    </w:rPr>
                  </w:pPr>
                  <w:r>
                    <w:rPr>
                      <w:rFonts w:hint="eastAsia"/>
                      <w:szCs w:val="21"/>
                      <w:u w:val="none"/>
                      <w:lang w:val="en-US" w:eastAsia="zh-CN"/>
                    </w:rPr>
                    <w:t>花园住宅小区</w:t>
                  </w:r>
                </w:p>
              </w:tc>
              <w:tc>
                <w:tcPr>
                  <w:tcW w:w="1080" w:type="pct"/>
                  <w:tcBorders>
                    <w:tl2br w:val="nil"/>
                    <w:tr2bl w:val="nil"/>
                  </w:tcBorders>
                  <w:noWrap w:val="0"/>
                  <w:vAlign w:val="center"/>
                </w:tcPr>
                <w:p>
                  <w:pPr>
                    <w:jc w:val="center"/>
                    <w:rPr>
                      <w:rFonts w:hint="default"/>
                      <w:u w:val="none"/>
                      <w:lang w:val="en-US" w:eastAsia="zh-CN"/>
                    </w:rPr>
                  </w:pPr>
                  <w:r>
                    <w:rPr>
                      <w:rFonts w:hint="eastAsia"/>
                      <w:u w:val="none"/>
                      <w:lang w:val="en-US" w:eastAsia="zh-CN"/>
                    </w:rPr>
                    <w:t>约70户，210人</w:t>
                  </w:r>
                </w:p>
              </w:tc>
              <w:tc>
                <w:tcPr>
                  <w:tcW w:w="1084" w:type="pct"/>
                  <w:tcBorders>
                    <w:tl2br w:val="nil"/>
                    <w:tr2bl w:val="nil"/>
                  </w:tcBorders>
                  <w:noWrap w:val="0"/>
                  <w:vAlign w:val="center"/>
                </w:tcPr>
                <w:p>
                  <w:pPr>
                    <w:jc w:val="center"/>
                    <w:rPr>
                      <w:rFonts w:hint="default"/>
                      <w:u w:val="none"/>
                      <w:lang w:val="en-US" w:eastAsia="zh-CN"/>
                    </w:rPr>
                  </w:pPr>
                  <w:r>
                    <w:rPr>
                      <w:rFonts w:hint="eastAsia"/>
                      <w:u w:val="none"/>
                      <w:lang w:val="en-US" w:eastAsia="zh-CN"/>
                    </w:rPr>
                    <w:t>WN340m~WN500m</w:t>
                  </w:r>
                </w:p>
              </w:tc>
              <w:tc>
                <w:tcPr>
                  <w:tcW w:w="1048" w:type="pct"/>
                  <w:tcBorders>
                    <w:tl2br w:val="nil"/>
                    <w:tr2bl w:val="nil"/>
                  </w:tcBorders>
                  <w:noWrap w:val="0"/>
                  <w:vAlign w:val="center"/>
                </w:tcPr>
                <w:p>
                  <w:pPr>
                    <w:jc w:val="center"/>
                    <w:rPr>
                      <w:rFonts w:hint="eastAsia"/>
                      <w:u w:val="none"/>
                    </w:rPr>
                  </w:pPr>
                  <w:r>
                    <w:rPr>
                      <w:rFonts w:hint="eastAsia"/>
                      <w:u w:val="none"/>
                      <w:lang w:val="en-US" w:eastAsia="zh-CN"/>
                    </w:rPr>
                    <w:t>经度</w:t>
                  </w:r>
                  <w:r>
                    <w:rPr>
                      <w:rFonts w:hint="eastAsia"/>
                      <w:u w:val="none"/>
                    </w:rPr>
                    <w:t>109.69352961</w:t>
                  </w:r>
                </w:p>
                <w:p>
                  <w:pPr>
                    <w:jc w:val="center"/>
                    <w:rPr>
                      <w:rFonts w:hint="eastAsia"/>
                      <w:u w:val="none"/>
                    </w:rPr>
                  </w:pPr>
                  <w:r>
                    <w:rPr>
                      <w:rFonts w:hint="eastAsia"/>
                      <w:u w:val="none"/>
                      <w:lang w:val="en-US" w:eastAsia="zh-CN"/>
                    </w:rPr>
                    <w:t>纬度</w:t>
                  </w:r>
                  <w:r>
                    <w:rPr>
                      <w:rFonts w:hint="eastAsia"/>
                      <w:u w:val="none"/>
                    </w:rPr>
                    <w:t>26.57960899</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restart"/>
                  <w:tcBorders>
                    <w:tl2br w:val="nil"/>
                    <w:tr2bl w:val="nil"/>
                  </w:tcBorders>
                  <w:noWrap w:val="0"/>
                  <w:vAlign w:val="center"/>
                </w:tcPr>
                <w:p>
                  <w:pPr>
                    <w:jc w:val="center"/>
                    <w:rPr>
                      <w:b/>
                      <w:bCs/>
                      <w:szCs w:val="21"/>
                      <w:u w:val="none"/>
                    </w:rPr>
                  </w:pPr>
                  <w:r>
                    <w:rPr>
                      <w:b/>
                      <w:bCs/>
                      <w:szCs w:val="21"/>
                      <w:u w:val="none"/>
                    </w:rPr>
                    <w:t>声</w:t>
                  </w:r>
                </w:p>
                <w:p>
                  <w:pPr>
                    <w:jc w:val="center"/>
                    <w:rPr>
                      <w:b/>
                      <w:bCs/>
                      <w:szCs w:val="21"/>
                      <w:u w:val="none"/>
                    </w:rPr>
                  </w:pPr>
                  <w:r>
                    <w:rPr>
                      <w:b/>
                      <w:bCs/>
                      <w:szCs w:val="21"/>
                      <w:u w:val="none"/>
                    </w:rPr>
                    <w:t xml:space="preserve">环境                                                                                                                                                                                                                                                                                                                             </w:t>
                  </w:r>
                </w:p>
              </w:tc>
              <w:tc>
                <w:tcPr>
                  <w:tcW w:w="733" w:type="pct"/>
                  <w:tcBorders>
                    <w:tl2br w:val="nil"/>
                    <w:tr2bl w:val="nil"/>
                  </w:tcBorders>
                  <w:noWrap w:val="0"/>
                  <w:vAlign w:val="center"/>
                </w:tcPr>
                <w:p>
                  <w:pPr>
                    <w:jc w:val="center"/>
                    <w:rPr>
                      <w:rFonts w:hint="eastAsia"/>
                      <w:szCs w:val="21"/>
                      <w:u w:val="none"/>
                      <w:lang w:val="en-US" w:eastAsia="zh-CN"/>
                    </w:rPr>
                  </w:pPr>
                  <w:r>
                    <w:rPr>
                      <w:rFonts w:hint="eastAsia"/>
                      <w:szCs w:val="21"/>
                      <w:u w:val="none"/>
                      <w:lang w:val="en-US" w:eastAsia="zh-CN"/>
                    </w:rPr>
                    <w:t>北侧卫生计生办公人员</w:t>
                  </w:r>
                </w:p>
              </w:tc>
              <w:tc>
                <w:tcPr>
                  <w:tcW w:w="1080" w:type="pct"/>
                  <w:tcBorders>
                    <w:tl2br w:val="nil"/>
                    <w:tr2bl w:val="nil"/>
                  </w:tcBorders>
                  <w:noWrap w:val="0"/>
                  <w:vAlign w:val="center"/>
                </w:tcPr>
                <w:p>
                  <w:pPr>
                    <w:jc w:val="center"/>
                    <w:rPr>
                      <w:rFonts w:hint="eastAsia"/>
                      <w:szCs w:val="21"/>
                      <w:u w:val="none"/>
                      <w:lang w:val="en-US" w:eastAsia="zh-CN"/>
                    </w:rPr>
                  </w:pPr>
                  <w:r>
                    <w:rPr>
                      <w:rFonts w:hint="eastAsia"/>
                      <w:u w:val="none"/>
                      <w:lang w:val="en-US" w:eastAsia="zh-CN"/>
                    </w:rPr>
                    <w:t>约40人</w:t>
                  </w:r>
                </w:p>
              </w:tc>
              <w:tc>
                <w:tcPr>
                  <w:tcW w:w="1084" w:type="pct"/>
                  <w:tcBorders>
                    <w:tl2br w:val="nil"/>
                    <w:tr2bl w:val="nil"/>
                  </w:tcBorders>
                  <w:noWrap w:val="0"/>
                  <w:vAlign w:val="center"/>
                </w:tcPr>
                <w:p>
                  <w:pPr>
                    <w:jc w:val="center"/>
                    <w:rPr>
                      <w:rFonts w:hint="eastAsia"/>
                      <w:u w:val="none"/>
                      <w:lang w:val="en-US" w:eastAsia="zh-CN"/>
                    </w:rPr>
                  </w:pPr>
                  <w:r>
                    <w:rPr>
                      <w:rFonts w:hint="eastAsia"/>
                      <w:u w:val="none"/>
                      <w:lang w:val="en-US" w:eastAsia="zh-CN"/>
                    </w:rPr>
                    <w:t>W5m~W20m</w:t>
                  </w:r>
                </w:p>
              </w:tc>
              <w:tc>
                <w:tcPr>
                  <w:tcW w:w="1048" w:type="pct"/>
                  <w:tcBorders>
                    <w:tl2br w:val="nil"/>
                    <w:tr2bl w:val="nil"/>
                  </w:tcBorders>
                  <w:noWrap w:val="0"/>
                  <w:vAlign w:val="center"/>
                </w:tcPr>
                <w:p>
                  <w:pPr>
                    <w:jc w:val="center"/>
                    <w:rPr>
                      <w:rFonts w:hint="eastAsia"/>
                      <w:lang w:val="en-US" w:eastAsia="zh-CN"/>
                    </w:rPr>
                  </w:pPr>
                  <w:r>
                    <w:rPr>
                      <w:rFonts w:hint="eastAsia"/>
                      <w:u w:val="none"/>
                      <w:lang w:val="en-US" w:eastAsia="zh-CN"/>
                    </w:rPr>
                    <w:t>经度</w:t>
                  </w:r>
                  <w:r>
                    <w:rPr>
                      <w:rFonts w:hint="eastAsia"/>
                      <w:lang w:val="en-US" w:eastAsia="zh-CN"/>
                    </w:rPr>
                    <w:t>109.69648272</w:t>
                  </w:r>
                </w:p>
                <w:p>
                  <w:pPr>
                    <w:pStyle w:val="21"/>
                    <w:jc w:val="center"/>
                    <w:rPr>
                      <w:rFonts w:hint="eastAsia"/>
                      <w:u w:val="none"/>
                      <w:lang w:val="en-US" w:eastAsia="zh-CN"/>
                    </w:rPr>
                  </w:pPr>
                  <w:r>
                    <w:rPr>
                      <w:rFonts w:hint="eastAsia"/>
                      <w:u w:val="none"/>
                      <w:lang w:val="en-US" w:eastAsia="zh-CN"/>
                    </w:rPr>
                    <w:t>纬度</w:t>
                  </w:r>
                  <w:r>
                    <w:rPr>
                      <w:rFonts w:hint="eastAsia" w:ascii="Times New Roman" w:hAnsi="Times New Roman" w:eastAsia="宋体" w:cs="Times New Roman"/>
                      <w:color w:val="auto"/>
                      <w:kern w:val="2"/>
                      <w:sz w:val="21"/>
                      <w:szCs w:val="22"/>
                      <w:lang w:val="en-US" w:eastAsia="zh-CN" w:bidi="ar-SA"/>
                    </w:rPr>
                    <w:t>26.57747939</w:t>
                  </w:r>
                </w:p>
              </w:tc>
              <w:tc>
                <w:tcPr>
                  <w:tcW w:w="760" w:type="pct"/>
                  <w:vMerge w:val="restart"/>
                  <w:tcBorders>
                    <w:tl2br w:val="nil"/>
                    <w:tr2bl w:val="nil"/>
                  </w:tcBorders>
                  <w:noWrap w:val="0"/>
                  <w:vAlign w:val="center"/>
                </w:tcPr>
                <w:p>
                  <w:pPr>
                    <w:jc w:val="center"/>
                    <w:rPr>
                      <w:szCs w:val="21"/>
                      <w:u w:val="none"/>
                    </w:rPr>
                  </w:pPr>
                  <w:r>
                    <w:rPr>
                      <w:szCs w:val="21"/>
                      <w:u w:val="none"/>
                    </w:rPr>
                    <w:t>《声环境质量标准》（GB3096-2008）</w:t>
                  </w:r>
                  <w:r>
                    <w:rPr>
                      <w:rFonts w:hint="eastAsia"/>
                      <w:szCs w:val="21"/>
                      <w:u w:val="none"/>
                    </w:rPr>
                    <w:t>2</w:t>
                  </w:r>
                  <w:r>
                    <w:rPr>
                      <w:szCs w:val="21"/>
                      <w:u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西侧居民</w:t>
                  </w:r>
                </w:p>
              </w:tc>
              <w:tc>
                <w:tcPr>
                  <w:tcW w:w="1080"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约11户，33人</w:t>
                  </w:r>
                </w:p>
              </w:tc>
              <w:tc>
                <w:tcPr>
                  <w:tcW w:w="1084" w:type="pct"/>
                  <w:tcBorders>
                    <w:tl2br w:val="nil"/>
                    <w:tr2bl w:val="nil"/>
                  </w:tcBorders>
                  <w:noWrap w:val="0"/>
                  <w:vAlign w:val="center"/>
                </w:tcPr>
                <w:p>
                  <w:pPr>
                    <w:jc w:val="center"/>
                    <w:rPr>
                      <w:rFonts w:hint="default" w:eastAsia="宋体"/>
                      <w:szCs w:val="21"/>
                      <w:u w:val="none"/>
                      <w:lang w:val="en-US" w:eastAsia="zh-CN"/>
                    </w:rPr>
                  </w:pPr>
                  <w:r>
                    <w:rPr>
                      <w:rFonts w:hint="eastAsia"/>
                      <w:u w:val="none"/>
                      <w:lang w:val="en-US" w:eastAsia="zh-CN"/>
                    </w:rPr>
                    <w:t>W5m~W50m</w:t>
                  </w:r>
                </w:p>
              </w:tc>
              <w:tc>
                <w:tcPr>
                  <w:tcW w:w="1048" w:type="pct"/>
                  <w:tcBorders>
                    <w:tl2br w:val="nil"/>
                    <w:tr2bl w:val="nil"/>
                  </w:tcBorders>
                  <w:noWrap w:val="0"/>
                  <w:vAlign w:val="center"/>
                </w:tcPr>
                <w:p>
                  <w:pPr>
                    <w:jc w:val="center"/>
                    <w:rPr>
                      <w:rFonts w:hint="eastAsia"/>
                      <w:u w:val="none"/>
                      <w:lang w:val="en-US" w:eastAsia="zh-CN"/>
                    </w:rPr>
                  </w:pPr>
                  <w:r>
                    <w:rPr>
                      <w:rFonts w:hint="eastAsia"/>
                      <w:u w:val="none"/>
                      <w:lang w:val="en-US" w:eastAsia="zh-CN"/>
                    </w:rPr>
                    <w:t>经度109.69606563</w:t>
                  </w:r>
                </w:p>
                <w:p>
                  <w:pPr>
                    <w:jc w:val="center"/>
                    <w:rPr>
                      <w:rFonts w:hint="eastAsia"/>
                      <w:u w:val="none"/>
                      <w:lang w:val="en-US" w:eastAsia="zh-CN"/>
                    </w:rPr>
                  </w:pPr>
                  <w:r>
                    <w:rPr>
                      <w:rFonts w:hint="eastAsia"/>
                      <w:u w:val="none"/>
                      <w:lang w:val="en-US" w:eastAsia="zh-CN"/>
                    </w:rPr>
                    <w:t>纬度26.57709509</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南侧居民</w:t>
                  </w:r>
                </w:p>
              </w:tc>
              <w:tc>
                <w:tcPr>
                  <w:tcW w:w="1080"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约15户，35人</w:t>
                  </w:r>
                </w:p>
              </w:tc>
              <w:tc>
                <w:tcPr>
                  <w:tcW w:w="1084"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S2m~S50m</w:t>
                  </w:r>
                </w:p>
              </w:tc>
              <w:tc>
                <w:tcPr>
                  <w:tcW w:w="1048" w:type="pct"/>
                  <w:tcBorders>
                    <w:tl2br w:val="nil"/>
                    <w:tr2bl w:val="nil"/>
                  </w:tcBorders>
                  <w:noWrap w:val="0"/>
                  <w:vAlign w:val="center"/>
                </w:tcPr>
                <w:p>
                  <w:pPr>
                    <w:jc w:val="center"/>
                    <w:rPr>
                      <w:rFonts w:hint="eastAsia"/>
                      <w:u w:val="none"/>
                      <w:lang w:val="en-US" w:eastAsia="zh-CN"/>
                    </w:rPr>
                  </w:pPr>
                  <w:r>
                    <w:rPr>
                      <w:rFonts w:hint="eastAsia"/>
                      <w:u w:val="none"/>
                      <w:lang w:val="en-US" w:eastAsia="zh-CN"/>
                    </w:rPr>
                    <w:t>经度109.69648942</w:t>
                  </w:r>
                </w:p>
                <w:p>
                  <w:pPr>
                    <w:jc w:val="center"/>
                    <w:rPr>
                      <w:rFonts w:hint="eastAsia"/>
                      <w:u w:val="none"/>
                      <w:lang w:val="en-US" w:eastAsia="zh-CN"/>
                    </w:rPr>
                  </w:pPr>
                  <w:r>
                    <w:rPr>
                      <w:rFonts w:hint="eastAsia"/>
                      <w:u w:val="none"/>
                      <w:lang w:val="en-US" w:eastAsia="zh-CN"/>
                    </w:rPr>
                    <w:t>纬度26.57680364</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jc w:val="center"/>
                    <w:rPr>
                      <w:b/>
                      <w:bCs/>
                      <w:szCs w:val="21"/>
                      <w:u w:val="none"/>
                    </w:rPr>
                  </w:pPr>
                </w:p>
              </w:tc>
              <w:tc>
                <w:tcPr>
                  <w:tcW w:w="733"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北侧居民</w:t>
                  </w:r>
                </w:p>
              </w:tc>
              <w:tc>
                <w:tcPr>
                  <w:tcW w:w="1080"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约13户，36人</w:t>
                  </w:r>
                </w:p>
              </w:tc>
              <w:tc>
                <w:tcPr>
                  <w:tcW w:w="1084" w:type="pct"/>
                  <w:tcBorders>
                    <w:tl2br w:val="nil"/>
                    <w:tr2bl w:val="nil"/>
                  </w:tcBorders>
                  <w:noWrap w:val="0"/>
                  <w:vAlign w:val="center"/>
                </w:tcPr>
                <w:p>
                  <w:pPr>
                    <w:jc w:val="center"/>
                    <w:rPr>
                      <w:rFonts w:hint="default" w:eastAsia="宋体"/>
                      <w:szCs w:val="21"/>
                      <w:u w:val="none"/>
                      <w:lang w:val="en-US" w:eastAsia="zh-CN"/>
                    </w:rPr>
                  </w:pPr>
                  <w:r>
                    <w:rPr>
                      <w:rFonts w:hint="eastAsia"/>
                      <w:szCs w:val="21"/>
                      <w:u w:val="none"/>
                      <w:lang w:val="en-US" w:eastAsia="zh-CN"/>
                    </w:rPr>
                    <w:t>N20m~N50m</w:t>
                  </w:r>
                </w:p>
              </w:tc>
              <w:tc>
                <w:tcPr>
                  <w:tcW w:w="1048" w:type="pct"/>
                  <w:tcBorders>
                    <w:tl2br w:val="nil"/>
                    <w:tr2bl w:val="nil"/>
                  </w:tcBorders>
                  <w:noWrap w:val="0"/>
                  <w:vAlign w:val="center"/>
                </w:tcPr>
                <w:p>
                  <w:pPr>
                    <w:jc w:val="center"/>
                    <w:rPr>
                      <w:rFonts w:hint="eastAsia"/>
                      <w:u w:val="none"/>
                      <w:lang w:val="en-US" w:eastAsia="zh-CN"/>
                    </w:rPr>
                  </w:pPr>
                  <w:r>
                    <w:rPr>
                      <w:rFonts w:hint="eastAsia"/>
                      <w:u w:val="none"/>
                      <w:lang w:val="en-US" w:eastAsia="zh-CN"/>
                    </w:rPr>
                    <w:t>经度109.69663158</w:t>
                  </w:r>
                </w:p>
                <w:p>
                  <w:pPr>
                    <w:jc w:val="center"/>
                    <w:rPr>
                      <w:rFonts w:hint="eastAsia"/>
                      <w:u w:val="none"/>
                      <w:lang w:val="en-US" w:eastAsia="zh-CN"/>
                    </w:rPr>
                  </w:pPr>
                  <w:r>
                    <w:rPr>
                      <w:rFonts w:hint="eastAsia"/>
                      <w:u w:val="none"/>
                      <w:lang w:val="en-US" w:eastAsia="zh-CN"/>
                    </w:rPr>
                    <w:t>纬度26.57769239</w:t>
                  </w:r>
                </w:p>
              </w:tc>
              <w:tc>
                <w:tcPr>
                  <w:tcW w:w="760" w:type="pct"/>
                  <w:vMerge w:val="continue"/>
                  <w:tcBorders>
                    <w:tl2br w:val="nil"/>
                    <w:tr2bl w:val="nil"/>
                  </w:tcBorders>
                  <w:noWrap w:val="0"/>
                  <w:vAlign w:val="center"/>
                </w:tcPr>
                <w:p>
                  <w:pPr>
                    <w:jc w:val="center"/>
                    <w:rPr>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restart"/>
                  <w:tcBorders>
                    <w:tl2br w:val="nil"/>
                    <w:tr2bl w:val="nil"/>
                  </w:tcBorders>
                  <w:noWrap w:val="0"/>
                  <w:vAlign w:val="center"/>
                </w:tcPr>
                <w:p>
                  <w:pPr>
                    <w:jc w:val="center"/>
                    <w:rPr>
                      <w:b/>
                      <w:bCs/>
                      <w:szCs w:val="21"/>
                      <w:u w:val="none"/>
                    </w:rPr>
                  </w:pPr>
                  <w:r>
                    <w:rPr>
                      <w:rFonts w:hint="eastAsia"/>
                      <w:b/>
                      <w:bCs/>
                      <w:szCs w:val="21"/>
                      <w:u w:val="none"/>
                    </w:rPr>
                    <w:t>地表水</w:t>
                  </w:r>
                </w:p>
              </w:tc>
              <w:tc>
                <w:tcPr>
                  <w:tcW w:w="733" w:type="pct"/>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szCs w:val="21"/>
                      <w:u w:val="none"/>
                      <w:lang w:val="en-US" w:eastAsia="zh-CN"/>
                    </w:rPr>
                  </w:pPr>
                  <w:r>
                    <w:rPr>
                      <w:rFonts w:hint="eastAsia"/>
                      <w:szCs w:val="21"/>
                      <w:u w:val="none"/>
                      <w:lang w:val="en-US" w:eastAsia="zh-CN"/>
                    </w:rPr>
                    <w:t>渠水</w:t>
                  </w:r>
                </w:p>
              </w:tc>
              <w:tc>
                <w:tcPr>
                  <w:tcW w:w="1080" w:type="pct"/>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szCs w:val="21"/>
                      <w:u w:val="none"/>
                      <w:lang w:val="en-US" w:eastAsia="zh-CN"/>
                    </w:rPr>
                  </w:pPr>
                  <w:r>
                    <w:rPr>
                      <w:rFonts w:hint="eastAsia"/>
                      <w:u w:val="none"/>
                      <w:lang w:val="en-US" w:eastAsia="zh-CN"/>
                    </w:rPr>
                    <w:t>/</w:t>
                  </w:r>
                </w:p>
              </w:tc>
              <w:tc>
                <w:tcPr>
                  <w:tcW w:w="1084" w:type="pct"/>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szCs w:val="21"/>
                      <w:u w:val="none"/>
                      <w:lang w:val="en-US" w:eastAsia="zh-CN"/>
                    </w:rPr>
                  </w:pPr>
                  <w:r>
                    <w:rPr>
                      <w:rFonts w:hint="eastAsia"/>
                      <w:szCs w:val="21"/>
                      <w:u w:val="none"/>
                      <w:lang w:val="en-US" w:eastAsia="zh-CN"/>
                    </w:rPr>
                    <w:t>项目西侧90m</w:t>
                  </w:r>
                </w:p>
              </w:tc>
              <w:tc>
                <w:tcPr>
                  <w:tcW w:w="1809" w:type="pct"/>
                  <w:gridSpan w:val="2"/>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szCs w:val="21"/>
                      <w:u w:val="none"/>
                    </w:rPr>
                  </w:pPr>
                  <w:r>
                    <w:rPr>
                      <w:rFonts w:hint="eastAsia"/>
                      <w:szCs w:val="21"/>
                      <w:u w:val="none"/>
                      <w:lang w:val="en-US" w:eastAsia="zh-CN"/>
                    </w:rPr>
                    <w:t>县水厂取水口上游1000米至下游200米执行(GB3838-2002)Ⅱ类</w:t>
                  </w:r>
                  <w:r>
                    <w:rPr>
                      <w:rFonts w:hint="eastAsia"/>
                      <w:lang w:val="en-US" w:eastAsia="zh-CN"/>
                    </w:rPr>
                    <w:t>标准，县水厂取水口下游200米至马鞍洞电站大坝执行</w:t>
                  </w:r>
                  <w:r>
                    <w:rPr>
                      <w:rFonts w:hint="eastAsia"/>
                      <w:szCs w:val="21"/>
                      <w:u w:val="none"/>
                      <w:lang w:val="en-US" w:eastAsia="zh-CN"/>
                    </w:rPr>
                    <w:t>(GB3838-2002)Ⅲ类标准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2" w:type="pct"/>
                  <w:vMerge w:val="continue"/>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b/>
                      <w:bCs/>
                      <w:szCs w:val="21"/>
                      <w:u w:val="none"/>
                    </w:rPr>
                  </w:pPr>
                </w:p>
              </w:tc>
              <w:tc>
                <w:tcPr>
                  <w:tcW w:w="733" w:type="pct"/>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szCs w:val="21"/>
                      <w:u w:val="none"/>
                      <w:lang w:val="en-US" w:eastAsia="zh-CN"/>
                    </w:rPr>
                  </w:pPr>
                  <w:r>
                    <w:rPr>
                      <w:rFonts w:hint="eastAsia"/>
                      <w:szCs w:val="21"/>
                      <w:u w:val="none"/>
                      <w:lang w:val="en-US" w:eastAsia="zh-CN"/>
                    </w:rPr>
                    <w:t>文昌溪</w:t>
                  </w:r>
                </w:p>
              </w:tc>
              <w:tc>
                <w:tcPr>
                  <w:tcW w:w="1080" w:type="pct"/>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szCs w:val="21"/>
                      <w:u w:val="none"/>
                      <w:lang w:val="en-US" w:eastAsia="zh-CN"/>
                    </w:rPr>
                  </w:pPr>
                  <w:r>
                    <w:rPr>
                      <w:rFonts w:hint="eastAsia"/>
                      <w:u w:val="none"/>
                      <w:lang w:val="en-US" w:eastAsia="zh-CN"/>
                    </w:rPr>
                    <w:t>/</w:t>
                  </w:r>
                </w:p>
              </w:tc>
              <w:tc>
                <w:tcPr>
                  <w:tcW w:w="1084" w:type="pct"/>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rPr>
                      <w:rFonts w:hint="eastAsia"/>
                      <w:szCs w:val="21"/>
                      <w:u w:val="none"/>
                      <w:lang w:val="en-US" w:eastAsia="zh-CN"/>
                    </w:rPr>
                  </w:pPr>
                  <w:r>
                    <w:rPr>
                      <w:rFonts w:hint="eastAsia"/>
                      <w:szCs w:val="21"/>
                      <w:u w:val="none"/>
                      <w:lang w:val="en-US" w:eastAsia="zh-CN"/>
                    </w:rPr>
                    <w:t>项目东侧250m</w:t>
                  </w:r>
                </w:p>
              </w:tc>
              <w:tc>
                <w:tcPr>
                  <w:tcW w:w="1809" w:type="pct"/>
                  <w:gridSpan w:val="2"/>
                  <w:tcBorders>
                    <w:tl2br w:val="nil"/>
                    <w:tr2bl w:val="nil"/>
                  </w:tcBorders>
                  <w:noWrap w:val="0"/>
                  <w:vAlign w:val="center"/>
                </w:tcPr>
                <w:p>
                  <w:pPr>
                    <w:keepNext w:val="0"/>
                    <w:keepLines w:val="0"/>
                    <w:pageBreakBefore w:val="0"/>
                    <w:widowControl w:val="0"/>
                    <w:kinsoku w:val="0"/>
                    <w:wordWrap w:val="0"/>
                    <w:overflowPunct/>
                    <w:topLinePunct w:val="0"/>
                    <w:autoSpaceDE/>
                    <w:autoSpaceDN/>
                    <w:bidi w:val="0"/>
                    <w:adjustRightInd/>
                    <w:snapToGrid/>
                    <w:jc w:val="center"/>
                    <w:textAlignment w:val="auto"/>
                  </w:pPr>
                  <w:r>
                    <w:rPr>
                      <w:rFonts w:hint="eastAsia"/>
                      <w:lang w:val="en-US" w:eastAsia="zh-CN"/>
                    </w:rPr>
                    <w:t>执行(GB3838-2002)Ⅲ类标准</w:t>
                  </w:r>
                </w:p>
              </w:tc>
            </w:tr>
          </w:tbl>
          <w:p>
            <w:pPr>
              <w:spacing w:line="360" w:lineRule="auto"/>
              <w:ind w:firstLine="480" w:firstLineChars="200"/>
              <w:jc w:val="both"/>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601" w:type="dxa"/>
            <w:tcBorders>
              <w:tl2br w:val="nil"/>
              <w:tr2bl w:val="nil"/>
            </w:tcBorders>
            <w:noWrap w:val="0"/>
            <w:vAlign w:val="center"/>
          </w:tcPr>
          <w:p>
            <w:pPr>
              <w:pStyle w:val="4"/>
              <w:bidi w:val="0"/>
              <w:rPr>
                <w:rFonts w:hint="eastAsia" w:ascii="宋体" w:hAnsi="宋体" w:cs="宋体"/>
                <w:kern w:val="0"/>
                <w:szCs w:val="21"/>
              </w:rPr>
            </w:pPr>
            <w:bookmarkStart w:id="10" w:name="_Toc21948"/>
            <w:r>
              <w:rPr>
                <w:rFonts w:hint="eastAsia"/>
              </w:rPr>
              <w:t>污染物排放控制标准</w:t>
            </w:r>
            <w:bookmarkEnd w:id="10"/>
          </w:p>
        </w:tc>
        <w:tc>
          <w:tcPr>
            <w:tcW w:w="9473"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left"/>
              <w:textAlignment w:val="auto"/>
              <w:rPr>
                <w:rFonts w:hint="eastAsia"/>
                <w:b/>
                <w:bCs/>
                <w:kern w:val="0"/>
                <w:sz w:val="24"/>
                <w:u w:val="none"/>
                <w:lang w:val="en-US" w:eastAsia="zh-CN"/>
              </w:rPr>
            </w:pPr>
            <w:r>
              <w:rPr>
                <w:rFonts w:hint="eastAsia"/>
                <w:b/>
                <w:bCs/>
                <w:kern w:val="0"/>
                <w:sz w:val="24"/>
                <w:u w:val="none"/>
                <w:lang w:val="en-US" w:eastAsia="zh-CN"/>
              </w:rPr>
              <w:t>九、施工期污染物排放标准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kern w:val="0"/>
                <w:sz w:val="24"/>
                <w:u w:val="none"/>
                <w:lang w:val="en-US" w:eastAsia="zh-CN"/>
              </w:rPr>
            </w:pPr>
            <w:r>
              <w:rPr>
                <w:rFonts w:hint="eastAsia"/>
                <w:b/>
                <w:bCs/>
                <w:kern w:val="0"/>
                <w:sz w:val="24"/>
                <w:u w:val="none"/>
                <w:lang w:val="en-US" w:eastAsia="zh-CN"/>
              </w:rPr>
              <w:t>（1）废气</w:t>
            </w:r>
          </w:p>
          <w:p>
            <w:pPr>
              <w:adjustRightInd w:val="0"/>
              <w:snapToGrid w:val="0"/>
              <w:spacing w:line="360" w:lineRule="auto"/>
              <w:ind w:firstLine="480" w:firstLineChars="200"/>
              <w:jc w:val="left"/>
              <w:rPr>
                <w:rFonts w:hint="default"/>
                <w:lang w:val="en-US" w:eastAsia="zh-CN"/>
              </w:rPr>
            </w:pPr>
            <w:r>
              <w:rPr>
                <w:rFonts w:hint="eastAsia"/>
                <w:kern w:val="0"/>
                <w:sz w:val="24"/>
                <w:u w:val="none"/>
                <w:lang w:val="en-US" w:eastAsia="zh-CN"/>
              </w:rPr>
              <w:t>施工期污染物主要为施工过程中产生的扬尘，执行《大气污染物综合排放标准》（</w:t>
            </w:r>
            <w:r>
              <w:rPr>
                <w:rFonts w:hint="default"/>
                <w:kern w:val="0"/>
                <w:sz w:val="24"/>
                <w:u w:val="none"/>
                <w:lang w:val="en-US" w:eastAsia="zh-CN"/>
              </w:rPr>
              <w:t>GB16297-1996</w:t>
            </w:r>
            <w:r>
              <w:rPr>
                <w:rFonts w:hint="eastAsia"/>
                <w:kern w:val="0"/>
                <w:sz w:val="24"/>
                <w:u w:val="none"/>
                <w:lang w:val="en-US" w:eastAsia="zh-CN"/>
              </w:rPr>
              <w:t>）表</w:t>
            </w:r>
            <w:r>
              <w:rPr>
                <w:rFonts w:hint="default"/>
                <w:kern w:val="0"/>
                <w:sz w:val="24"/>
                <w:u w:val="none"/>
                <w:lang w:val="en-US" w:eastAsia="zh-CN"/>
              </w:rPr>
              <w:t>2</w:t>
            </w:r>
            <w:r>
              <w:rPr>
                <w:rFonts w:hint="eastAsia"/>
                <w:kern w:val="0"/>
                <w:sz w:val="24"/>
                <w:u w:val="none"/>
                <w:lang w:val="en-US" w:eastAsia="zh-CN"/>
              </w:rPr>
              <w:t>中无组织排放监控浓度限值。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kern w:val="0"/>
                <w:sz w:val="24"/>
                <w:u w:val="none"/>
                <w:lang w:val="en-US" w:eastAsia="zh-CN"/>
              </w:rPr>
            </w:pPr>
            <w:r>
              <w:rPr>
                <w:rFonts w:hint="eastAsia"/>
                <w:b/>
                <w:bCs/>
                <w:kern w:val="0"/>
                <w:sz w:val="24"/>
                <w:u w:val="none"/>
                <w:lang w:val="en-US" w:eastAsia="zh-CN"/>
              </w:rPr>
              <w:t>（2）废水</w:t>
            </w:r>
          </w:p>
          <w:p>
            <w:pPr>
              <w:adjustRightInd w:val="0"/>
              <w:snapToGrid w:val="0"/>
              <w:spacing w:line="360" w:lineRule="auto"/>
              <w:ind w:firstLine="480" w:firstLineChars="200"/>
              <w:jc w:val="left"/>
              <w:rPr>
                <w:rFonts w:hint="default"/>
                <w:kern w:val="0"/>
                <w:sz w:val="24"/>
                <w:u w:val="none"/>
                <w:lang w:val="en-US" w:eastAsia="zh-CN"/>
              </w:rPr>
            </w:pPr>
            <w:r>
              <w:rPr>
                <w:rFonts w:hint="eastAsia"/>
                <w:kern w:val="0"/>
                <w:sz w:val="24"/>
                <w:u w:val="none"/>
                <w:lang w:val="en-US" w:eastAsia="zh-CN"/>
              </w:rPr>
              <w:t>施工期废水主要为施工人员产生的生活废水，由化粪池集中收集，后期外委相关单位利用清粪车转运至靖州县县城污水处理厂，执行《污水综合排放标准》（GB8978-1996）中Ⅲ级标准。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kern w:val="0"/>
                <w:sz w:val="24"/>
                <w:u w:val="none"/>
                <w:lang w:val="en-US" w:eastAsia="zh-CN"/>
              </w:rPr>
            </w:pPr>
            <w:r>
              <w:rPr>
                <w:rFonts w:hint="eastAsia"/>
                <w:b/>
                <w:bCs/>
                <w:kern w:val="0"/>
                <w:sz w:val="24"/>
                <w:u w:val="none"/>
                <w:lang w:val="en-US" w:eastAsia="zh-CN"/>
              </w:rPr>
              <w:t>（3）噪声</w:t>
            </w:r>
          </w:p>
          <w:p>
            <w:pPr>
              <w:adjustRightInd w:val="0"/>
              <w:snapToGrid w:val="0"/>
              <w:spacing w:line="360" w:lineRule="auto"/>
              <w:ind w:firstLine="480" w:firstLineChars="200"/>
              <w:jc w:val="left"/>
              <w:rPr>
                <w:rFonts w:hint="default"/>
                <w:lang w:val="en-US" w:eastAsia="zh-CN"/>
              </w:rPr>
            </w:pPr>
            <w:r>
              <w:rPr>
                <w:rFonts w:hint="eastAsia"/>
                <w:kern w:val="0"/>
                <w:sz w:val="24"/>
                <w:u w:val="none"/>
                <w:lang w:val="en-US" w:eastAsia="zh-CN"/>
              </w:rPr>
              <w:t>施工期噪声执行《建筑施工场界环境噪声排放标准》（</w:t>
            </w:r>
            <w:r>
              <w:rPr>
                <w:rFonts w:hint="default"/>
                <w:kern w:val="0"/>
                <w:sz w:val="24"/>
                <w:u w:val="none"/>
                <w:lang w:val="en-US" w:eastAsia="zh-CN"/>
              </w:rPr>
              <w:t>GB12523-2011</w:t>
            </w:r>
            <w:r>
              <w:rPr>
                <w:rFonts w:hint="eastAsia"/>
                <w:kern w:val="0"/>
                <w:sz w:val="24"/>
                <w:u w:val="none"/>
                <w:lang w:val="en-US" w:eastAsia="zh-CN"/>
              </w:rPr>
              <w:t>）相关限值。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kern w:val="0"/>
                <w:sz w:val="24"/>
                <w:u w:val="none"/>
                <w:lang w:val="en-US" w:eastAsia="zh-CN"/>
              </w:rPr>
            </w:pPr>
            <w:r>
              <w:rPr>
                <w:rFonts w:hint="eastAsia"/>
                <w:b/>
                <w:bCs/>
                <w:kern w:val="0"/>
                <w:sz w:val="24"/>
                <w:u w:val="none"/>
                <w:lang w:val="en-US" w:eastAsia="zh-CN"/>
              </w:rPr>
              <w:t>（4）固废</w:t>
            </w:r>
          </w:p>
          <w:p>
            <w:pPr>
              <w:adjustRightInd w:val="0"/>
              <w:snapToGrid w:val="0"/>
              <w:spacing w:line="360" w:lineRule="auto"/>
              <w:ind w:firstLine="480" w:firstLineChars="200"/>
              <w:jc w:val="left"/>
              <w:rPr>
                <w:rFonts w:hint="default"/>
                <w:kern w:val="0"/>
                <w:sz w:val="24"/>
                <w:u w:val="none"/>
                <w:lang w:val="en-US" w:eastAsia="zh-CN"/>
              </w:rPr>
            </w:pPr>
            <w:r>
              <w:rPr>
                <w:rFonts w:hint="eastAsia"/>
                <w:kern w:val="0"/>
                <w:sz w:val="24"/>
                <w:u w:val="none"/>
                <w:lang w:val="en-US" w:eastAsia="zh-CN"/>
              </w:rPr>
              <w:t>施工期固废主要为建筑废料，不涉及危险废物，执行《</w:t>
            </w:r>
            <w:r>
              <w:rPr>
                <w:rFonts w:hint="default"/>
                <w:kern w:val="0"/>
                <w:sz w:val="24"/>
                <w:u w:val="none"/>
                <w:lang w:val="en-US" w:eastAsia="zh-CN"/>
              </w:rPr>
              <w:t>一般工业固体废物贮存和填埋污染控制标准</w:t>
            </w:r>
            <w:r>
              <w:rPr>
                <w:rFonts w:hint="eastAsia"/>
                <w:kern w:val="0"/>
                <w:sz w:val="24"/>
                <w:u w:val="none"/>
                <w:lang w:val="en-US" w:eastAsia="zh-CN"/>
              </w:rPr>
              <w:t>》（</w:t>
            </w:r>
            <w:r>
              <w:rPr>
                <w:rFonts w:hint="default"/>
                <w:kern w:val="0"/>
                <w:sz w:val="24"/>
                <w:u w:val="none"/>
                <w:lang w:val="en-US" w:eastAsia="zh-CN"/>
              </w:rPr>
              <w:t>GB</w:t>
            </w:r>
            <w:r>
              <w:rPr>
                <w:rFonts w:hint="eastAsia"/>
                <w:kern w:val="0"/>
                <w:sz w:val="24"/>
                <w:u w:val="none"/>
                <w:lang w:val="en-US" w:eastAsia="zh-CN"/>
              </w:rPr>
              <w:t>1</w:t>
            </w:r>
            <w:r>
              <w:rPr>
                <w:rFonts w:hint="default"/>
                <w:kern w:val="0"/>
                <w:sz w:val="24"/>
                <w:u w:val="none"/>
                <w:lang w:val="en-US" w:eastAsia="zh-CN"/>
              </w:rPr>
              <w:t>8599</w:t>
            </w:r>
            <w:r>
              <w:rPr>
                <w:rFonts w:hint="eastAsia"/>
                <w:kern w:val="0"/>
                <w:sz w:val="24"/>
                <w:u w:val="none"/>
                <w:lang w:val="en-US" w:eastAsia="zh-CN"/>
              </w:rPr>
              <w:t>—</w:t>
            </w:r>
            <w:r>
              <w:rPr>
                <w:rFonts w:hint="default"/>
                <w:kern w:val="0"/>
                <w:sz w:val="24"/>
                <w:u w:val="none"/>
                <w:lang w:val="en-US" w:eastAsia="zh-CN"/>
              </w:rPr>
              <w:t>20</w:t>
            </w:r>
            <w:r>
              <w:rPr>
                <w:rFonts w:hint="eastAsia"/>
                <w:kern w:val="0"/>
                <w:sz w:val="24"/>
                <w:u w:val="none"/>
                <w:lang w:val="en-US" w:eastAsia="zh-CN"/>
              </w:rPr>
              <w:t>20）。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b/>
                <w:bCs/>
                <w:kern w:val="0"/>
                <w:sz w:val="24"/>
                <w:u w:val="none"/>
                <w:lang w:val="en-US" w:eastAsia="zh-CN"/>
              </w:rPr>
            </w:pPr>
            <w:r>
              <w:rPr>
                <w:rFonts w:hint="eastAsia"/>
                <w:b/>
                <w:bCs/>
                <w:kern w:val="0"/>
                <w:sz w:val="24"/>
                <w:u w:val="none"/>
                <w:lang w:val="en-US" w:eastAsia="zh-CN"/>
              </w:rPr>
              <w:t>十、运营期污染物排放标准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kern w:val="0"/>
                <w:sz w:val="24"/>
                <w:u w:val="none"/>
                <w:lang w:val="en-US" w:eastAsia="zh-CN"/>
              </w:rPr>
            </w:pPr>
            <w:r>
              <w:rPr>
                <w:rFonts w:hint="eastAsia"/>
                <w:b/>
                <w:bCs/>
                <w:kern w:val="0"/>
                <w:sz w:val="24"/>
                <w:u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leftChars="100" w:firstLine="0" w:firstLineChars="0"/>
              <w:jc w:val="left"/>
              <w:textAlignment w:val="auto"/>
              <w:rPr>
                <w:rFonts w:hint="eastAsia"/>
                <w:b/>
                <w:bCs/>
                <w:kern w:val="0"/>
                <w:sz w:val="24"/>
                <w:u w:val="none"/>
                <w:lang w:val="en-US" w:eastAsia="zh-CN"/>
              </w:rPr>
            </w:pPr>
            <w:r>
              <w:rPr>
                <w:rFonts w:hint="eastAsia"/>
                <w:b/>
                <w:bCs/>
                <w:kern w:val="0"/>
                <w:sz w:val="24"/>
                <w:u w:val="none"/>
                <w:lang w:val="en-US" w:eastAsia="zh-CN"/>
              </w:rPr>
              <w:t>A、实验楼废气</w:t>
            </w:r>
          </w:p>
          <w:p>
            <w:pPr>
              <w:keepNext w:val="0"/>
              <w:keepLines w:val="0"/>
              <w:pageBreakBefore w:val="0"/>
              <w:widowControl w:val="0"/>
              <w:kinsoku w:val="0"/>
              <w:wordWrap/>
              <w:overflowPunct/>
              <w:topLinePunct/>
              <w:autoSpaceDE/>
              <w:autoSpaceDN/>
              <w:bidi w:val="0"/>
              <w:adjustRightInd w:val="0"/>
              <w:snapToGrid w:val="0"/>
              <w:spacing w:line="360" w:lineRule="auto"/>
              <w:ind w:firstLine="480" w:firstLineChars="200"/>
              <w:jc w:val="left"/>
              <w:textAlignment w:val="auto"/>
              <w:rPr>
                <w:rFonts w:hint="default"/>
                <w:kern w:val="0"/>
                <w:sz w:val="24"/>
                <w:u w:val="none"/>
                <w:lang w:val="en-US" w:eastAsia="zh-CN"/>
              </w:rPr>
            </w:pPr>
            <w:r>
              <w:rPr>
                <w:rFonts w:hint="eastAsia"/>
                <w:kern w:val="0"/>
                <w:sz w:val="24"/>
                <w:u w:val="none"/>
                <w:vertAlign w:val="baseline"/>
                <w:lang w:val="en-US" w:eastAsia="zh-CN"/>
              </w:rPr>
              <w:t>执行</w:t>
            </w:r>
            <w:r>
              <w:rPr>
                <w:rFonts w:hint="eastAsia"/>
                <w:kern w:val="0"/>
                <w:sz w:val="24"/>
                <w:u w:val="none"/>
                <w:lang w:val="en-US" w:eastAsia="zh-CN"/>
              </w:rPr>
              <w:t>《大气污染物综合排放标准》（GB16297—1996）二级标准。其中：</w:t>
            </w:r>
          </w:p>
          <w:p>
            <w:pPr>
              <w:keepNext w:val="0"/>
              <w:keepLines w:val="0"/>
              <w:pageBreakBefore w:val="0"/>
              <w:widowControl w:val="0"/>
              <w:numPr>
                <w:ilvl w:val="0"/>
                <w:numId w:val="2"/>
              </w:numPr>
              <w:kinsoku w:val="0"/>
              <w:wordWrap/>
              <w:overflowPunct/>
              <w:topLinePunct/>
              <w:autoSpaceDE/>
              <w:autoSpaceDN/>
              <w:bidi w:val="0"/>
              <w:adjustRightInd w:val="0"/>
              <w:snapToGrid w:val="0"/>
              <w:spacing w:line="360" w:lineRule="auto"/>
              <w:ind w:firstLine="480" w:firstLineChars="200"/>
              <w:jc w:val="left"/>
              <w:textAlignment w:val="auto"/>
              <w:rPr>
                <w:rFonts w:hint="eastAsia"/>
                <w:kern w:val="0"/>
                <w:sz w:val="24"/>
                <w:u w:val="none"/>
                <w:lang w:val="en-US" w:eastAsia="zh-CN"/>
              </w:rPr>
            </w:pPr>
            <w:r>
              <w:rPr>
                <w:rFonts w:hint="eastAsia"/>
                <w:kern w:val="0"/>
                <w:sz w:val="24"/>
                <w:u w:val="none"/>
                <w:lang w:val="en-US" w:eastAsia="zh-CN"/>
              </w:rPr>
              <w:t>有组织排放的消解废气中NO</w:t>
            </w:r>
            <w:r>
              <w:rPr>
                <w:rFonts w:hint="eastAsia"/>
                <w:kern w:val="0"/>
                <w:sz w:val="24"/>
                <w:u w:val="none"/>
                <w:vertAlign w:val="subscript"/>
                <w:lang w:val="en-US" w:eastAsia="zh-CN"/>
              </w:rPr>
              <w:t>x</w:t>
            </w:r>
            <w:r>
              <w:rPr>
                <w:rFonts w:hint="eastAsia"/>
                <w:kern w:val="0"/>
                <w:sz w:val="24"/>
                <w:u w:val="none"/>
                <w:vertAlign w:val="baseline"/>
                <w:lang w:val="en-US" w:eastAsia="zh-CN"/>
              </w:rPr>
              <w:t>执行</w:t>
            </w:r>
            <w:r>
              <w:rPr>
                <w:rFonts w:hint="eastAsia"/>
                <w:kern w:val="0"/>
                <w:sz w:val="24"/>
                <w:u w:val="none"/>
                <w:lang w:val="en-US" w:eastAsia="zh-CN"/>
              </w:rPr>
              <w:t>表2之15m排气筒相关排放限值；</w:t>
            </w:r>
          </w:p>
          <w:p>
            <w:pPr>
              <w:keepNext w:val="0"/>
              <w:keepLines w:val="0"/>
              <w:pageBreakBefore w:val="0"/>
              <w:widowControl w:val="0"/>
              <w:numPr>
                <w:ilvl w:val="0"/>
                <w:numId w:val="2"/>
              </w:numPr>
              <w:kinsoku/>
              <w:wordWrap/>
              <w:overflowPunct/>
              <w:topLinePunct/>
              <w:autoSpaceDE/>
              <w:autoSpaceDN/>
              <w:bidi w:val="0"/>
              <w:adjustRightInd w:val="0"/>
              <w:snapToGrid w:val="0"/>
              <w:spacing w:line="360" w:lineRule="auto"/>
              <w:ind w:left="0" w:leftChars="0" w:firstLine="480" w:firstLineChars="200"/>
              <w:jc w:val="left"/>
              <w:textAlignment w:val="auto"/>
              <w:rPr>
                <w:rFonts w:hint="eastAsia"/>
                <w:kern w:val="0"/>
                <w:sz w:val="24"/>
                <w:u w:val="none"/>
                <w:lang w:val="en-US" w:eastAsia="zh-CN"/>
              </w:rPr>
            </w:pPr>
            <w:r>
              <w:rPr>
                <w:rFonts w:hint="eastAsia"/>
                <w:kern w:val="0"/>
                <w:sz w:val="24"/>
                <w:u w:val="none"/>
                <w:lang w:val="en-US" w:eastAsia="zh-CN"/>
              </w:rPr>
              <w:t>无组织排放的试剂挥发废气中硫酸雾、盐酸雾（以氯化氢计）、硝酸雾（以氮氧化物计）执行表2之无组织排放监控点浓度限值。</w:t>
            </w:r>
          </w:p>
          <w:p>
            <w:pPr>
              <w:keepNext w:val="0"/>
              <w:keepLines w:val="0"/>
              <w:pageBreakBefore w:val="0"/>
              <w:widowControl w:val="0"/>
              <w:kinsoku/>
              <w:wordWrap/>
              <w:overflowPunct/>
              <w:topLinePunct w:val="0"/>
              <w:autoSpaceDE/>
              <w:autoSpaceDN/>
              <w:bidi w:val="0"/>
              <w:adjustRightInd w:val="0"/>
              <w:snapToGrid w:val="0"/>
              <w:spacing w:line="360" w:lineRule="auto"/>
              <w:ind w:leftChars="100" w:firstLine="0" w:firstLineChars="0"/>
              <w:jc w:val="left"/>
              <w:textAlignment w:val="auto"/>
              <w:rPr>
                <w:rFonts w:hint="eastAsia"/>
                <w:b/>
                <w:bCs/>
                <w:kern w:val="0"/>
                <w:sz w:val="24"/>
                <w:u w:val="none"/>
                <w:lang w:val="en-US" w:eastAsia="zh-CN"/>
              </w:rPr>
            </w:pPr>
            <w:r>
              <w:rPr>
                <w:rFonts w:hint="eastAsia"/>
                <w:b/>
                <w:bCs/>
                <w:kern w:val="0"/>
                <w:sz w:val="24"/>
                <w:u w:val="none"/>
                <w:lang w:val="en-US" w:eastAsia="zh-CN"/>
              </w:rPr>
              <w:t>B、污水处理站恶臭气体</w:t>
            </w:r>
          </w:p>
          <w:p>
            <w:pPr>
              <w:keepNext w:val="0"/>
              <w:keepLines w:val="0"/>
              <w:pageBreakBefore w:val="0"/>
              <w:widowControl w:val="0"/>
              <w:kinsoku w:val="0"/>
              <w:wordWrap/>
              <w:overflowPunct/>
              <w:topLinePunct/>
              <w:autoSpaceDE/>
              <w:autoSpaceDN/>
              <w:bidi w:val="0"/>
              <w:adjustRightInd w:val="0"/>
              <w:snapToGrid w:val="0"/>
              <w:spacing w:line="360" w:lineRule="auto"/>
              <w:ind w:firstLine="480" w:firstLineChars="200"/>
              <w:jc w:val="left"/>
              <w:textAlignment w:val="auto"/>
              <w:rPr>
                <w:rFonts w:hint="eastAsia"/>
                <w:kern w:val="0"/>
                <w:sz w:val="24"/>
                <w:u w:val="none"/>
                <w:lang w:val="en-US" w:eastAsia="zh-CN"/>
              </w:rPr>
            </w:pPr>
            <w:r>
              <w:rPr>
                <w:rFonts w:hint="eastAsia"/>
                <w:kern w:val="0"/>
                <w:sz w:val="24"/>
                <w:u w:val="none"/>
                <w:lang w:val="en-US" w:eastAsia="zh-CN"/>
              </w:rPr>
              <w:t>氨、硫化氢、臭气浓度、氯气、甲烷等污染物执行《医疗机构水污染物排放标准》（GB18466-2005）之表</w:t>
            </w:r>
            <w:r>
              <w:rPr>
                <w:rFonts w:hint="default"/>
                <w:kern w:val="0"/>
                <w:sz w:val="24"/>
                <w:u w:val="none"/>
                <w:lang w:val="en-US" w:eastAsia="zh-CN"/>
              </w:rPr>
              <w:t>3</w:t>
            </w:r>
            <w:r>
              <w:rPr>
                <w:rFonts w:hint="eastAsia"/>
                <w:kern w:val="0"/>
                <w:sz w:val="24"/>
                <w:u w:val="none"/>
                <w:lang w:val="en-US" w:eastAsia="zh-CN"/>
              </w:rPr>
              <w:t>中污水处理站周边大气污染物最高允许浓度要求。</w:t>
            </w:r>
          </w:p>
          <w:p>
            <w:pPr>
              <w:keepNext w:val="0"/>
              <w:keepLines w:val="0"/>
              <w:pageBreakBefore w:val="0"/>
              <w:widowControl w:val="0"/>
              <w:kinsoku/>
              <w:wordWrap/>
              <w:overflowPunct/>
              <w:topLinePunct w:val="0"/>
              <w:autoSpaceDE/>
              <w:autoSpaceDN/>
              <w:bidi w:val="0"/>
              <w:adjustRightInd w:val="0"/>
              <w:snapToGrid w:val="0"/>
              <w:spacing w:line="360" w:lineRule="auto"/>
              <w:ind w:leftChars="100" w:firstLine="0" w:firstLineChars="0"/>
              <w:jc w:val="left"/>
              <w:textAlignment w:val="auto"/>
              <w:rPr>
                <w:rFonts w:hint="eastAsia"/>
                <w:b/>
                <w:bCs/>
                <w:kern w:val="0"/>
                <w:sz w:val="24"/>
                <w:u w:val="none"/>
                <w:lang w:val="en-US" w:eastAsia="zh-CN"/>
              </w:rPr>
            </w:pPr>
            <w:r>
              <w:rPr>
                <w:rFonts w:hint="eastAsia"/>
                <w:b/>
                <w:bCs/>
                <w:kern w:val="0"/>
                <w:sz w:val="24"/>
                <w:u w:val="none"/>
                <w:lang w:val="en-US" w:eastAsia="zh-CN"/>
              </w:rPr>
              <w:t>C、食堂油烟</w:t>
            </w:r>
          </w:p>
          <w:p>
            <w:pPr>
              <w:keepNext w:val="0"/>
              <w:keepLines w:val="0"/>
              <w:pageBreakBefore w:val="0"/>
              <w:widowControl w:val="0"/>
              <w:kinsoku w:val="0"/>
              <w:wordWrap/>
              <w:overflowPunct/>
              <w:topLinePunct/>
              <w:autoSpaceDE/>
              <w:autoSpaceDN/>
              <w:bidi w:val="0"/>
              <w:adjustRightInd w:val="0"/>
              <w:snapToGrid w:val="0"/>
              <w:spacing w:line="360" w:lineRule="auto"/>
              <w:ind w:firstLine="480" w:firstLineChars="200"/>
              <w:jc w:val="left"/>
              <w:textAlignment w:val="auto"/>
              <w:rPr>
                <w:rFonts w:hint="default"/>
                <w:kern w:val="0"/>
                <w:sz w:val="24"/>
                <w:u w:val="none"/>
                <w:lang w:val="en-US" w:eastAsia="zh-CN"/>
              </w:rPr>
            </w:pPr>
            <w:r>
              <w:rPr>
                <w:rFonts w:hint="eastAsia"/>
                <w:kern w:val="0"/>
                <w:sz w:val="24"/>
                <w:u w:val="none"/>
                <w:lang w:val="en-US" w:eastAsia="zh-CN"/>
              </w:rPr>
              <w:t>油烟参照《饮食业油烟排放标准（试行）》（GB18483-2001）之表2中相关排放限值。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kern w:val="0"/>
                <w:sz w:val="24"/>
                <w:u w:val="none"/>
                <w:lang w:val="en-US" w:eastAsia="zh-CN"/>
              </w:rPr>
            </w:pPr>
            <w:r>
              <w:rPr>
                <w:rFonts w:hint="eastAsia"/>
                <w:b/>
                <w:bCs/>
                <w:kern w:val="0"/>
                <w:sz w:val="24"/>
                <w:u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left="210" w:leftChars="100" w:firstLine="0" w:firstLineChars="0"/>
              <w:jc w:val="left"/>
              <w:textAlignment w:val="auto"/>
              <w:rPr>
                <w:rFonts w:hint="eastAsia"/>
                <w:kern w:val="0"/>
                <w:sz w:val="24"/>
                <w:u w:val="none"/>
                <w:lang w:val="en-US" w:eastAsia="zh-CN"/>
              </w:rPr>
            </w:pPr>
            <w:r>
              <w:rPr>
                <w:rFonts w:hint="eastAsia"/>
                <w:b/>
                <w:bCs/>
                <w:kern w:val="0"/>
                <w:sz w:val="24"/>
                <w:u w:val="none"/>
                <w:lang w:val="en-US" w:eastAsia="zh-CN"/>
              </w:rPr>
              <w:t>A、生活污水</w:t>
            </w:r>
          </w:p>
          <w:p>
            <w:pPr>
              <w:adjustRightInd w:val="0"/>
              <w:snapToGrid w:val="0"/>
              <w:spacing w:line="360" w:lineRule="auto"/>
              <w:ind w:firstLine="480" w:firstLineChars="200"/>
              <w:jc w:val="left"/>
              <w:rPr>
                <w:rFonts w:hint="default"/>
                <w:kern w:val="0"/>
                <w:sz w:val="24"/>
                <w:u w:val="none"/>
                <w:lang w:val="en-US" w:eastAsia="zh-CN"/>
              </w:rPr>
            </w:pPr>
            <w:r>
              <w:rPr>
                <w:rFonts w:hint="eastAsia"/>
                <w:kern w:val="0"/>
                <w:sz w:val="24"/>
                <w:u w:val="none"/>
                <w:lang w:val="en-US" w:eastAsia="zh-CN"/>
              </w:rPr>
              <w:t>生活污水由清粪车转运至县污水处理厂，执行《污水综合排放标准》（GB8978-1996）中Ⅲ级标准。</w:t>
            </w:r>
          </w:p>
          <w:p>
            <w:pPr>
              <w:keepNext w:val="0"/>
              <w:keepLines w:val="0"/>
              <w:pageBreakBefore w:val="0"/>
              <w:widowControl w:val="0"/>
              <w:kinsoku/>
              <w:wordWrap/>
              <w:overflowPunct/>
              <w:topLinePunct w:val="0"/>
              <w:autoSpaceDE/>
              <w:autoSpaceDN/>
              <w:bidi w:val="0"/>
              <w:adjustRightInd w:val="0"/>
              <w:snapToGrid w:val="0"/>
              <w:spacing w:line="360" w:lineRule="auto"/>
              <w:ind w:leftChars="100" w:firstLine="0" w:firstLineChars="0"/>
              <w:jc w:val="left"/>
              <w:textAlignment w:val="auto"/>
              <w:rPr>
                <w:rFonts w:hint="eastAsia"/>
                <w:b/>
                <w:bCs/>
                <w:kern w:val="0"/>
                <w:sz w:val="24"/>
                <w:u w:val="none"/>
                <w:lang w:val="en-US" w:eastAsia="zh-CN"/>
              </w:rPr>
            </w:pPr>
            <w:r>
              <w:rPr>
                <w:rFonts w:hint="eastAsia"/>
                <w:b/>
                <w:bCs/>
                <w:kern w:val="0"/>
                <w:sz w:val="24"/>
                <w:u w:val="none"/>
                <w:lang w:val="en-US" w:eastAsia="zh-CN"/>
              </w:rPr>
              <w:t>B、实验室废水（医疗废水）</w:t>
            </w:r>
          </w:p>
          <w:p>
            <w:pPr>
              <w:keepNext w:val="0"/>
              <w:keepLines w:val="0"/>
              <w:pageBreakBefore w:val="0"/>
              <w:widowControl w:val="0"/>
              <w:kinsoku w:val="0"/>
              <w:wordWrap w:val="0"/>
              <w:overflowPunct/>
              <w:topLinePunct w:val="0"/>
              <w:autoSpaceDE/>
              <w:autoSpaceDN/>
              <w:bidi w:val="0"/>
              <w:adjustRightInd w:val="0"/>
              <w:snapToGrid w:val="0"/>
              <w:spacing w:line="360" w:lineRule="auto"/>
              <w:ind w:firstLine="480" w:firstLineChars="200"/>
              <w:jc w:val="left"/>
              <w:textAlignment w:val="auto"/>
              <w:rPr>
                <w:rFonts w:hint="default"/>
                <w:kern w:val="0"/>
                <w:sz w:val="24"/>
                <w:u w:val="none"/>
                <w:lang w:val="en-US" w:eastAsia="zh-CN"/>
              </w:rPr>
            </w:pPr>
            <w:r>
              <w:rPr>
                <w:rFonts w:hint="eastAsia"/>
                <w:kern w:val="0"/>
                <w:sz w:val="24"/>
                <w:u w:val="none"/>
                <w:lang w:val="en-US" w:eastAsia="zh-CN"/>
              </w:rPr>
              <w:t>实验室废水由污水处理设备净化后直排入文昌溪，执行《医疗机构水污染物排放标准》（</w:t>
            </w:r>
            <w:r>
              <w:rPr>
                <w:rFonts w:hint="default"/>
                <w:kern w:val="0"/>
                <w:sz w:val="24"/>
                <w:u w:val="none"/>
                <w:lang w:val="en-US" w:eastAsia="zh-CN"/>
              </w:rPr>
              <w:t>GB18446</w:t>
            </w:r>
            <w:r>
              <w:rPr>
                <w:rFonts w:hint="eastAsia"/>
                <w:kern w:val="0"/>
                <w:sz w:val="24"/>
                <w:u w:val="none"/>
                <w:lang w:val="en-US" w:eastAsia="zh-CN"/>
              </w:rPr>
              <w:t>—</w:t>
            </w:r>
            <w:r>
              <w:rPr>
                <w:rFonts w:hint="default"/>
                <w:kern w:val="0"/>
                <w:sz w:val="24"/>
                <w:u w:val="none"/>
                <w:lang w:val="en-US" w:eastAsia="zh-CN"/>
              </w:rPr>
              <w:t>200</w:t>
            </w:r>
            <w:r>
              <w:rPr>
                <w:rFonts w:hint="eastAsia"/>
                <w:kern w:val="0"/>
                <w:sz w:val="24"/>
                <w:u w:val="none"/>
                <w:lang w:val="en-US" w:eastAsia="zh-CN"/>
              </w:rPr>
              <w:t>5）表2中所规定的相应排放限值。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kern w:val="0"/>
                <w:sz w:val="24"/>
                <w:u w:val="none"/>
                <w:lang w:val="en-US" w:eastAsia="zh-CN"/>
              </w:rPr>
            </w:pPr>
            <w:r>
              <w:rPr>
                <w:rFonts w:hint="eastAsia"/>
                <w:b/>
                <w:bCs/>
                <w:kern w:val="0"/>
                <w:sz w:val="24"/>
                <w:u w:val="none"/>
                <w:lang w:val="en-US" w:eastAsia="zh-CN"/>
              </w:rPr>
              <w:t>（3）噪声</w:t>
            </w:r>
          </w:p>
          <w:p>
            <w:pPr>
              <w:adjustRightInd w:val="0"/>
              <w:snapToGrid w:val="0"/>
              <w:spacing w:line="360" w:lineRule="auto"/>
              <w:ind w:firstLine="480" w:firstLineChars="200"/>
              <w:jc w:val="left"/>
              <w:rPr>
                <w:rFonts w:hint="eastAsia"/>
                <w:kern w:val="0"/>
                <w:sz w:val="24"/>
                <w:u w:val="none"/>
                <w:lang w:val="en-US" w:eastAsia="zh-CN"/>
              </w:rPr>
            </w:pPr>
            <w:r>
              <w:rPr>
                <w:rFonts w:hint="eastAsia"/>
                <w:kern w:val="0"/>
                <w:sz w:val="24"/>
                <w:u w:val="none"/>
                <w:lang w:val="en-US" w:eastAsia="zh-CN"/>
              </w:rPr>
              <w:t>噪声执行《工业企业厂界环境噪声排放标准》（</w:t>
            </w:r>
            <w:r>
              <w:rPr>
                <w:rFonts w:hint="default"/>
                <w:kern w:val="0"/>
                <w:sz w:val="24"/>
                <w:u w:val="none"/>
                <w:lang w:val="en-US" w:eastAsia="zh-CN"/>
              </w:rPr>
              <w:t>GB12348</w:t>
            </w:r>
            <w:r>
              <w:rPr>
                <w:rFonts w:hint="eastAsia"/>
                <w:kern w:val="0"/>
                <w:sz w:val="24"/>
                <w:u w:val="none"/>
                <w:lang w:val="en-US" w:eastAsia="zh-CN"/>
              </w:rPr>
              <w:t>—</w:t>
            </w:r>
            <w:r>
              <w:rPr>
                <w:rFonts w:hint="default"/>
                <w:kern w:val="0"/>
                <w:sz w:val="24"/>
                <w:u w:val="none"/>
                <w:lang w:val="en-US" w:eastAsia="zh-CN"/>
              </w:rPr>
              <w:t>2008</w:t>
            </w:r>
            <w:r>
              <w:rPr>
                <w:rFonts w:hint="eastAsia"/>
                <w:kern w:val="0"/>
                <w:sz w:val="24"/>
                <w:u w:val="none"/>
                <w:lang w:val="en-US" w:eastAsia="zh-CN"/>
              </w:rPr>
              <w:t>）中</w:t>
            </w:r>
            <w:r>
              <w:rPr>
                <w:rFonts w:hint="default"/>
                <w:kern w:val="0"/>
                <w:sz w:val="24"/>
                <w:u w:val="none"/>
                <w:lang w:val="en-US" w:eastAsia="zh-CN"/>
              </w:rPr>
              <w:t>2</w:t>
            </w:r>
            <w:r>
              <w:rPr>
                <w:rFonts w:hint="eastAsia"/>
                <w:kern w:val="0"/>
                <w:sz w:val="24"/>
                <w:u w:val="none"/>
                <w:lang w:val="en-US" w:eastAsia="zh-CN"/>
              </w:rPr>
              <w:t>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kern w:val="0"/>
                <w:sz w:val="24"/>
                <w:u w:val="none"/>
                <w:lang w:val="en-US" w:eastAsia="zh-CN"/>
              </w:rPr>
            </w:pPr>
            <w:r>
              <w:rPr>
                <w:rFonts w:hint="eastAsia"/>
                <w:b/>
                <w:bCs/>
                <w:kern w:val="0"/>
                <w:sz w:val="24"/>
                <w:u w:val="none"/>
                <w:lang w:val="en-US" w:eastAsia="zh-CN"/>
              </w:rPr>
              <w:t>（4）固体废物</w:t>
            </w:r>
          </w:p>
          <w:p>
            <w:pPr>
              <w:adjustRightInd w:val="0"/>
              <w:snapToGrid w:val="0"/>
              <w:spacing w:line="360" w:lineRule="auto"/>
              <w:ind w:firstLine="480" w:firstLineChars="200"/>
              <w:jc w:val="left"/>
              <w:rPr>
                <w:rFonts w:hint="eastAsia"/>
                <w:kern w:val="0"/>
                <w:sz w:val="24"/>
                <w:u w:val="none"/>
                <w:lang w:val="en-US" w:eastAsia="zh-CN"/>
              </w:rPr>
            </w:pPr>
            <w:r>
              <w:rPr>
                <w:rFonts w:hint="eastAsia"/>
                <w:kern w:val="0"/>
                <w:sz w:val="24"/>
                <w:u w:val="none"/>
                <w:lang w:val="en-US" w:eastAsia="zh-CN"/>
              </w:rPr>
              <w:t>项目运营期不产生一般工业固体废物。其余危险废物中：</w:t>
            </w:r>
          </w:p>
          <w:p>
            <w:pPr>
              <w:numPr>
                <w:ilvl w:val="0"/>
                <w:numId w:val="3"/>
              </w:numPr>
              <w:adjustRightInd w:val="0"/>
              <w:snapToGrid w:val="0"/>
              <w:spacing w:line="360" w:lineRule="auto"/>
              <w:ind w:firstLine="480" w:firstLineChars="200"/>
              <w:jc w:val="left"/>
              <w:rPr>
                <w:rFonts w:hint="eastAsia"/>
                <w:kern w:val="0"/>
                <w:sz w:val="24"/>
                <w:u w:val="none"/>
                <w:lang w:val="en-US" w:eastAsia="zh-CN"/>
              </w:rPr>
            </w:pPr>
            <w:r>
              <w:rPr>
                <w:rFonts w:hint="eastAsia"/>
                <w:kern w:val="0"/>
                <w:sz w:val="24"/>
                <w:u w:val="none"/>
                <w:lang w:val="en-US" w:eastAsia="zh-CN"/>
              </w:rPr>
              <w:t>医疗废物、污水处理站污泥和污水处理站废活性炭执行《医疗机构水污染物排放标准》（</w:t>
            </w:r>
            <w:r>
              <w:rPr>
                <w:rFonts w:hint="default"/>
                <w:kern w:val="0"/>
                <w:sz w:val="24"/>
                <w:u w:val="none"/>
                <w:lang w:val="en-US" w:eastAsia="zh-CN"/>
              </w:rPr>
              <w:t>GB18446</w:t>
            </w:r>
            <w:r>
              <w:rPr>
                <w:rFonts w:hint="eastAsia"/>
                <w:kern w:val="0"/>
                <w:sz w:val="24"/>
                <w:u w:val="none"/>
                <w:lang w:val="en-US" w:eastAsia="zh-CN"/>
              </w:rPr>
              <w:t>—</w:t>
            </w:r>
            <w:r>
              <w:rPr>
                <w:rFonts w:hint="default"/>
                <w:kern w:val="0"/>
                <w:sz w:val="24"/>
                <w:u w:val="none"/>
                <w:lang w:val="en-US" w:eastAsia="zh-CN"/>
              </w:rPr>
              <w:t>200</w:t>
            </w:r>
            <w:r>
              <w:rPr>
                <w:rFonts w:hint="eastAsia"/>
                <w:kern w:val="0"/>
                <w:sz w:val="24"/>
                <w:u w:val="none"/>
                <w:lang w:val="en-US" w:eastAsia="zh-CN"/>
              </w:rPr>
              <w:t>5）与《危险废物贮存污染控制标准》（</w:t>
            </w:r>
            <w:r>
              <w:rPr>
                <w:rFonts w:hint="default"/>
                <w:kern w:val="0"/>
                <w:sz w:val="24"/>
                <w:u w:val="none"/>
                <w:lang w:val="en-US" w:eastAsia="zh-CN"/>
              </w:rPr>
              <w:t>GB18597-2001</w:t>
            </w:r>
            <w:r>
              <w:rPr>
                <w:rFonts w:hint="eastAsia"/>
                <w:kern w:val="0"/>
                <w:sz w:val="24"/>
                <w:u w:val="none"/>
                <w:lang w:val="en-US" w:eastAsia="zh-CN"/>
              </w:rPr>
              <w:t>）及修改单要求；</w:t>
            </w:r>
          </w:p>
          <w:p>
            <w:pPr>
              <w:numPr>
                <w:ilvl w:val="0"/>
                <w:numId w:val="3"/>
              </w:numPr>
              <w:adjustRightInd w:val="0"/>
              <w:snapToGrid w:val="0"/>
              <w:spacing w:line="360" w:lineRule="auto"/>
              <w:ind w:left="0" w:leftChars="0" w:firstLine="480" w:firstLineChars="200"/>
              <w:jc w:val="left"/>
              <w:rPr>
                <w:rFonts w:hint="default"/>
                <w:kern w:val="0"/>
                <w:sz w:val="24"/>
                <w:u w:val="none"/>
                <w:lang w:val="en-US" w:eastAsia="zh-CN"/>
              </w:rPr>
            </w:pPr>
            <w:r>
              <w:rPr>
                <w:rFonts w:hint="eastAsia"/>
                <w:kern w:val="0"/>
                <w:sz w:val="24"/>
                <w:u w:val="none"/>
                <w:lang w:val="en-US" w:eastAsia="zh-CN"/>
              </w:rPr>
              <w:t>医疗废物、废试剂瓶、废试剂、废美沙酮桶、废试剂瓶执行《危险废物贮存污染控制标准》（</w:t>
            </w:r>
            <w:r>
              <w:rPr>
                <w:rFonts w:hint="default"/>
                <w:kern w:val="0"/>
                <w:sz w:val="24"/>
                <w:u w:val="none"/>
                <w:lang w:val="en-US" w:eastAsia="zh-CN"/>
              </w:rPr>
              <w:t>GB18597-2001</w:t>
            </w:r>
            <w:r>
              <w:rPr>
                <w:rFonts w:hint="eastAsia"/>
                <w:kern w:val="0"/>
                <w:sz w:val="24"/>
                <w:u w:val="none"/>
                <w:lang w:val="en-US" w:eastAsia="zh-CN"/>
              </w:rPr>
              <w:t>）要求。</w:t>
            </w:r>
          </w:p>
          <w:p>
            <w:pPr>
              <w:adjustRightInd w:val="0"/>
              <w:snapToGrid w:val="0"/>
              <w:spacing w:line="360" w:lineRule="auto"/>
              <w:jc w:val="center"/>
              <w:rPr>
                <w:rFonts w:hint="default"/>
                <w:b/>
                <w:bCs/>
                <w:kern w:val="0"/>
                <w:sz w:val="24"/>
                <w:u w:val="none"/>
                <w:lang w:val="en-US" w:eastAsia="zh-CN"/>
              </w:rPr>
            </w:pPr>
            <w:r>
              <w:rPr>
                <w:rFonts w:hint="eastAsia"/>
                <w:b/>
                <w:bCs/>
                <w:kern w:val="0"/>
                <w:sz w:val="24"/>
                <w:u w:val="none"/>
                <w:lang w:val="en-US" w:eastAsia="zh-CN"/>
              </w:rPr>
              <w:t>表3-5运营期主要污染物执行标准及排放限值摘录</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911"/>
              <w:gridCol w:w="2040"/>
              <w:gridCol w:w="1261"/>
              <w:gridCol w:w="1455"/>
              <w:gridCol w:w="1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污染类型</w:t>
                  </w:r>
                </w:p>
              </w:tc>
              <w:tc>
                <w:tcPr>
                  <w:tcW w:w="2040"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执行标准</w:t>
                  </w:r>
                </w:p>
              </w:tc>
              <w:tc>
                <w:tcPr>
                  <w:tcW w:w="2716" w:type="dxa"/>
                  <w:gridSpan w:val="2"/>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污染物</w:t>
                  </w:r>
                </w:p>
              </w:tc>
              <w:tc>
                <w:tcPr>
                  <w:tcW w:w="1850" w:type="dxa"/>
                  <w:tcBorders>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排放限值摘录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实验室楼废气</w:t>
                  </w:r>
                </w:p>
              </w:tc>
              <w:tc>
                <w:tcPr>
                  <w:tcW w:w="204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《大气污染物综合排放标准》（GB16297—1996）</w:t>
                  </w:r>
                </w:p>
              </w:tc>
              <w:tc>
                <w:tcPr>
                  <w:tcW w:w="126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消解废气</w:t>
                  </w:r>
                </w:p>
              </w:tc>
              <w:tc>
                <w:tcPr>
                  <w:tcW w:w="1455"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氮氧化物</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1.3（kg/h）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1261"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试剂挥发废气</w:t>
                  </w:r>
                </w:p>
              </w:tc>
              <w:tc>
                <w:tcPr>
                  <w:tcW w:w="1455"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氮氧化物</w:t>
                  </w:r>
                </w:p>
              </w:tc>
              <w:tc>
                <w:tcPr>
                  <w:tcW w:w="1850"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0.12（mg/m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pPr>
                </w:p>
              </w:tc>
              <w:tc>
                <w:tcPr>
                  <w:tcW w:w="2040" w:type="dxa"/>
                  <w:vMerge w:val="continue"/>
                  <w:tcBorders>
                    <w:tl2br w:val="nil"/>
                    <w:tr2bl w:val="nil"/>
                  </w:tcBorders>
                  <w:vAlign w:val="center"/>
                </w:tcPr>
                <w:p>
                  <w:pPr>
                    <w:jc w:val="center"/>
                    <w:rPr>
                      <w:rFonts w:hint="eastAsia"/>
                      <w:sz w:val="21"/>
                      <w:szCs w:val="21"/>
                      <w:lang w:val="en-US" w:eastAsia="zh-CN"/>
                    </w:rPr>
                  </w:pPr>
                </w:p>
              </w:tc>
              <w:tc>
                <w:tcPr>
                  <w:tcW w:w="1261" w:type="dxa"/>
                  <w:vMerge w:val="continue"/>
                  <w:tcBorders>
                    <w:tl2br w:val="nil"/>
                    <w:tr2bl w:val="nil"/>
                  </w:tcBorders>
                  <w:vAlign w:val="center"/>
                </w:tcPr>
                <w:p>
                  <w:pPr>
                    <w:jc w:val="center"/>
                    <w:rPr>
                      <w:rFonts w:hint="eastAsia"/>
                      <w:sz w:val="21"/>
                      <w:szCs w:val="21"/>
                      <w:lang w:val="en-US" w:eastAsia="zh-CN"/>
                    </w:rPr>
                  </w:pPr>
                </w:p>
              </w:tc>
              <w:tc>
                <w:tcPr>
                  <w:tcW w:w="1455"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硫酸雾</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1.2（mg/m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eastAsia"/>
                      <w:sz w:val="21"/>
                      <w:szCs w:val="21"/>
                      <w:lang w:val="en-US" w:eastAsia="zh-CN"/>
                    </w:rPr>
                  </w:pPr>
                </w:p>
              </w:tc>
              <w:tc>
                <w:tcPr>
                  <w:tcW w:w="2040" w:type="dxa"/>
                  <w:vMerge w:val="continue"/>
                  <w:tcBorders>
                    <w:tl2br w:val="nil"/>
                    <w:tr2bl w:val="nil"/>
                  </w:tcBorders>
                  <w:vAlign w:val="center"/>
                </w:tcPr>
                <w:p>
                  <w:pPr>
                    <w:jc w:val="center"/>
                    <w:rPr>
                      <w:rFonts w:hint="eastAsia"/>
                      <w:sz w:val="21"/>
                      <w:szCs w:val="21"/>
                      <w:lang w:val="en-US" w:eastAsia="zh-CN"/>
                    </w:rPr>
                  </w:pPr>
                </w:p>
              </w:tc>
              <w:tc>
                <w:tcPr>
                  <w:tcW w:w="1261" w:type="dxa"/>
                  <w:vMerge w:val="continue"/>
                  <w:tcBorders>
                    <w:tl2br w:val="nil"/>
                    <w:tr2bl w:val="nil"/>
                  </w:tcBorders>
                  <w:vAlign w:val="center"/>
                </w:tcPr>
                <w:p>
                  <w:pPr>
                    <w:jc w:val="center"/>
                    <w:rPr>
                      <w:rFonts w:hint="eastAsia"/>
                      <w:sz w:val="21"/>
                      <w:szCs w:val="21"/>
                      <w:lang w:val="en-US" w:eastAsia="zh-CN"/>
                    </w:rPr>
                  </w:pPr>
                </w:p>
              </w:tc>
              <w:tc>
                <w:tcPr>
                  <w:tcW w:w="1455"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盐酸雾（HCl）</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0.024（mg/m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eastAsia"/>
                      <w:sz w:val="21"/>
                      <w:szCs w:val="21"/>
                      <w:lang w:val="en-US" w:eastAsia="zh-CN"/>
                    </w:rPr>
                  </w:pPr>
                </w:p>
              </w:tc>
              <w:tc>
                <w:tcPr>
                  <w:tcW w:w="2040"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《挥发性有机物无组织排放控制标准》（GB37822-2019）</w:t>
                  </w:r>
                </w:p>
              </w:tc>
              <w:tc>
                <w:tcPr>
                  <w:tcW w:w="1261" w:type="dxa"/>
                  <w:vMerge w:val="continue"/>
                  <w:tcBorders>
                    <w:tl2br w:val="nil"/>
                    <w:tr2bl w:val="nil"/>
                  </w:tcBorders>
                  <w:vAlign w:val="center"/>
                </w:tcPr>
                <w:p>
                  <w:pPr>
                    <w:jc w:val="center"/>
                    <w:rPr>
                      <w:rFonts w:hint="eastAsia"/>
                      <w:sz w:val="21"/>
                      <w:szCs w:val="21"/>
                      <w:lang w:val="en-US" w:eastAsia="zh-CN"/>
                    </w:rPr>
                  </w:pPr>
                </w:p>
              </w:tc>
              <w:tc>
                <w:tcPr>
                  <w:tcW w:w="1455"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三氯甲烷</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污水处理站恶臭气体</w:t>
                  </w:r>
                </w:p>
              </w:tc>
              <w:tc>
                <w:tcPr>
                  <w:tcW w:w="204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《医疗机构水污染物排放标准》（GB18466-2005）</w:t>
                  </w: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氨</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1.0（mg/m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硫化氢</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0.03（mg/m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臭气浓度</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氯气</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0.1（mg/m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tcBorders>
                    <w:tl2br w:val="nil"/>
                    <w:tr2bl w:val="nil"/>
                  </w:tcBorders>
                  <w:vAlign w:val="center"/>
                </w:tcPr>
                <w:p>
                  <w:pPr>
                    <w:jc w:val="center"/>
                    <w:rPr>
                      <w:rFonts w:hint="default"/>
                      <w:sz w:val="21"/>
                      <w:szCs w:val="21"/>
                      <w:lang w:val="en-US" w:eastAsia="zh-CN"/>
                    </w:rPr>
                  </w:pPr>
                </w:p>
              </w:tc>
              <w:tc>
                <w:tcPr>
                  <w:tcW w:w="2040" w:type="dxa"/>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甲烷</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食堂油烟</w:t>
                  </w:r>
                </w:p>
              </w:tc>
              <w:tc>
                <w:tcPr>
                  <w:tcW w:w="204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《饮食业油烟排放标准（试行）》（GB18483-2001）</w:t>
                  </w: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油烟</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2.0（mg/m</w:t>
                  </w:r>
                  <w:r>
                    <w:rPr>
                      <w:rFonts w:hint="eastAsia"/>
                      <w:sz w:val="21"/>
                      <w:szCs w:val="21"/>
                      <w:vertAlign w:val="superscript"/>
                      <w:lang w:val="en-US" w:eastAsia="zh-CN"/>
                    </w:rPr>
                    <w:t>3</w:t>
                  </w: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实验室废水</w:t>
                  </w:r>
                </w:p>
              </w:tc>
              <w:tc>
                <w:tcPr>
                  <w:tcW w:w="204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《医疗机构水污染物排放标准》（GB18466-2005）</w:t>
                  </w: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粪大肠菌群数</w:t>
                  </w:r>
                </w:p>
              </w:tc>
              <w:tc>
                <w:tcPr>
                  <w:tcW w:w="1850" w:type="dxa"/>
                  <w:tcBorders>
                    <w:tl2br w:val="nil"/>
                    <w:tr2bl w:val="nil"/>
                  </w:tcBorders>
                  <w:vAlign w:val="center"/>
                </w:tcPr>
                <w:p>
                  <w:pPr>
                    <w:jc w:val="center"/>
                    <w:rPr>
                      <w:rFonts w:hint="default"/>
                      <w:lang w:val="en-US" w:eastAsia="zh-CN"/>
                    </w:rPr>
                  </w:pPr>
                  <w:r>
                    <w:rPr>
                      <w:lang w:val="en-US" w:eastAsia="en-US"/>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肠道致病菌</w:t>
                  </w:r>
                </w:p>
              </w:tc>
              <w:tc>
                <w:tcPr>
                  <w:tcW w:w="1850" w:type="dxa"/>
                  <w:tcBorders>
                    <w:tl2br w:val="nil"/>
                    <w:tr2bl w:val="nil"/>
                  </w:tcBorders>
                  <w:vAlign w:val="center"/>
                </w:tcPr>
                <w:p>
                  <w:pPr>
                    <w:jc w:val="center"/>
                    <w:rPr>
                      <w:rFonts w:hint="default"/>
                      <w:lang w:val="en-US" w:eastAsia="zh-CN"/>
                    </w:rPr>
                  </w:pPr>
                  <w:r>
                    <w:t>不得检出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肠道病毒</w:t>
                  </w:r>
                </w:p>
              </w:tc>
              <w:tc>
                <w:tcPr>
                  <w:tcW w:w="1850" w:type="dxa"/>
                  <w:tcBorders>
                    <w:tl2br w:val="nil"/>
                    <w:tr2bl w:val="nil"/>
                  </w:tcBorders>
                  <w:vAlign w:val="center"/>
                </w:tcPr>
                <w:p>
                  <w:pPr>
                    <w:jc w:val="center"/>
                    <w:rPr>
                      <w:rFonts w:hint="default"/>
                      <w:lang w:val="en-US" w:eastAsia="zh-CN"/>
                    </w:rPr>
                  </w:pPr>
                  <w:r>
                    <w:t>不得检出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lang w:val="en-US" w:eastAsia="en-US"/>
                    </w:rPr>
                    <w:t>pH</w:t>
                  </w:r>
                </w:p>
              </w:tc>
              <w:tc>
                <w:tcPr>
                  <w:tcW w:w="1850" w:type="dxa"/>
                  <w:tcBorders>
                    <w:tl2br w:val="nil"/>
                    <w:tr2bl w:val="nil"/>
                  </w:tcBorders>
                  <w:vAlign w:val="center"/>
                </w:tcPr>
                <w:p>
                  <w:pPr>
                    <w:jc w:val="center"/>
                    <w:rPr>
                      <w:rFonts w:hint="default"/>
                      <w:lang w:val="en-US" w:eastAsia="zh-CN"/>
                    </w:rPr>
                  </w:pPr>
                  <w:r>
                    <w:t>6~9</w:t>
                  </w:r>
                  <w:r>
                    <w:rPr>
                      <w:color w:val="000000"/>
                      <w:spacing w:val="0"/>
                      <w:w w:val="100"/>
                      <w:position w:val="0"/>
                      <w:lang w:val="en-US" w:eastAsia="en-US" w:bidi="en-US"/>
                    </w:rPr>
                    <w:t>(MPN/L)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eastAsia="宋体"/>
                      <w:sz w:val="21"/>
                      <w:szCs w:val="21"/>
                      <w:lang w:val="en-US" w:eastAsia="zh-CN"/>
                    </w:rPr>
                  </w:pPr>
                  <w:r>
                    <w:rPr>
                      <w:sz w:val="21"/>
                      <w:szCs w:val="21"/>
                      <w:lang w:val="en-US" w:eastAsia="en-US"/>
                    </w:rPr>
                    <w:t>COD</w:t>
                  </w:r>
                  <w:r>
                    <w:rPr>
                      <w:rFonts w:hint="eastAsia"/>
                      <w:sz w:val="21"/>
                      <w:szCs w:val="21"/>
                      <w:lang w:val="en-US" w:eastAsia="zh-CN"/>
                    </w:rPr>
                    <w:t>cr</w:t>
                  </w:r>
                </w:p>
              </w:tc>
              <w:tc>
                <w:tcPr>
                  <w:tcW w:w="1850" w:type="dxa"/>
                  <w:tcBorders>
                    <w:tl2br w:val="nil"/>
                    <w:tr2bl w:val="nil"/>
                  </w:tcBorders>
                  <w:vAlign w:val="center"/>
                </w:tcPr>
                <w:p>
                  <w:pPr>
                    <w:jc w:val="center"/>
                    <w:rPr>
                      <w:rFonts w:hint="eastAsia" w:eastAsia="宋体"/>
                      <w:lang w:val="en-US" w:eastAsia="zh-CN"/>
                    </w:rPr>
                  </w:pPr>
                  <w:r>
                    <w:t>60</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eastAsia" w:eastAsia="宋体"/>
                      <w:sz w:val="21"/>
                      <w:szCs w:val="21"/>
                      <w:lang w:val="en-US" w:eastAsia="zh-CN"/>
                    </w:rPr>
                  </w:pPr>
                  <w:r>
                    <w:rPr>
                      <w:sz w:val="21"/>
                      <w:szCs w:val="21"/>
                      <w:lang w:val="en-US" w:eastAsia="en-US"/>
                    </w:rPr>
                    <w:t>BOD</w:t>
                  </w:r>
                  <w:r>
                    <w:rPr>
                      <w:rFonts w:hint="eastAsia"/>
                      <w:sz w:val="21"/>
                      <w:szCs w:val="21"/>
                      <w:vertAlign w:val="subscript"/>
                      <w:lang w:val="en-US" w:eastAsia="zh-CN"/>
                    </w:rPr>
                    <w:t>5</w:t>
                  </w:r>
                </w:p>
              </w:tc>
              <w:tc>
                <w:tcPr>
                  <w:tcW w:w="1850" w:type="dxa"/>
                  <w:tcBorders>
                    <w:tl2br w:val="nil"/>
                    <w:tr2bl w:val="nil"/>
                  </w:tcBorders>
                  <w:vAlign w:val="center"/>
                </w:tcPr>
                <w:p>
                  <w:pPr>
                    <w:jc w:val="center"/>
                    <w:rPr>
                      <w:rFonts w:hint="default"/>
                      <w:lang w:val="en-US" w:eastAsia="zh-CN"/>
                    </w:rPr>
                  </w:pPr>
                  <w:r>
                    <w:t>20</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悬浮物</w:t>
                  </w:r>
                </w:p>
              </w:tc>
              <w:tc>
                <w:tcPr>
                  <w:tcW w:w="1850" w:type="dxa"/>
                  <w:tcBorders>
                    <w:tl2br w:val="nil"/>
                    <w:tr2bl w:val="nil"/>
                  </w:tcBorders>
                  <w:vAlign w:val="center"/>
                </w:tcPr>
                <w:p>
                  <w:pPr>
                    <w:jc w:val="center"/>
                    <w:rPr>
                      <w:rFonts w:hint="default"/>
                      <w:lang w:val="en-US" w:eastAsia="zh-CN"/>
                    </w:rPr>
                  </w:pPr>
                  <w:r>
                    <w:t>20</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氨氮</w:t>
                  </w:r>
                </w:p>
              </w:tc>
              <w:tc>
                <w:tcPr>
                  <w:tcW w:w="1850" w:type="dxa"/>
                  <w:tcBorders>
                    <w:tl2br w:val="nil"/>
                    <w:tr2bl w:val="nil"/>
                  </w:tcBorders>
                  <w:vAlign w:val="center"/>
                </w:tcPr>
                <w:p>
                  <w:pPr>
                    <w:jc w:val="center"/>
                    <w:rPr>
                      <w:rFonts w:hint="default"/>
                      <w:lang w:val="en-US" w:eastAsia="zh-CN"/>
                    </w:rPr>
                  </w:pPr>
                  <w:r>
                    <w:t>15</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动植物油</w:t>
                  </w:r>
                </w:p>
              </w:tc>
              <w:tc>
                <w:tcPr>
                  <w:tcW w:w="1850" w:type="dxa"/>
                  <w:tcBorders>
                    <w:tl2br w:val="nil"/>
                    <w:tr2bl w:val="nil"/>
                  </w:tcBorders>
                  <w:vAlign w:val="center"/>
                </w:tcPr>
                <w:p>
                  <w:pPr>
                    <w:jc w:val="center"/>
                    <w:rPr>
                      <w:rFonts w:hint="default"/>
                      <w:lang w:val="en-US" w:eastAsia="zh-CN"/>
                    </w:rPr>
                  </w:pPr>
                  <w:r>
                    <w:t>5</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石油类</w:t>
                  </w:r>
                </w:p>
              </w:tc>
              <w:tc>
                <w:tcPr>
                  <w:tcW w:w="1850" w:type="dxa"/>
                  <w:tcBorders>
                    <w:tl2br w:val="nil"/>
                    <w:tr2bl w:val="nil"/>
                  </w:tcBorders>
                  <w:vAlign w:val="center"/>
                </w:tcPr>
                <w:p>
                  <w:pPr>
                    <w:jc w:val="center"/>
                    <w:rPr>
                      <w:rFonts w:hint="default"/>
                      <w:lang w:val="en-US" w:eastAsia="zh-CN"/>
                    </w:rPr>
                  </w:pPr>
                  <w:r>
                    <w:t>5</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阴离子表面活性剂</w:t>
                  </w:r>
                </w:p>
              </w:tc>
              <w:tc>
                <w:tcPr>
                  <w:tcW w:w="1850" w:type="dxa"/>
                  <w:tcBorders>
                    <w:tl2br w:val="nil"/>
                    <w:tr2bl w:val="nil"/>
                  </w:tcBorders>
                  <w:vAlign w:val="center"/>
                </w:tcPr>
                <w:p>
                  <w:pPr>
                    <w:jc w:val="center"/>
                    <w:rPr>
                      <w:rFonts w:hint="default"/>
                      <w:lang w:val="en-US" w:eastAsia="zh-CN"/>
                    </w:rPr>
                  </w:pPr>
                  <w:r>
                    <w:t>5</w:t>
                  </w:r>
                  <w:r>
                    <w:rPr>
                      <w:rFonts w:hint="eastAsia"/>
                      <w:lang w:eastAsia="zh-CN"/>
                    </w:rPr>
                    <w:t>（</w:t>
                  </w:r>
                  <w:r>
                    <w:rPr>
                      <w:rFonts w:hint="eastAsia"/>
                      <w:sz w:val="21"/>
                      <w:szCs w:val="21"/>
                      <w:lang w:val="en-US" w:eastAsia="zh-CN"/>
                    </w:rPr>
                    <w:t>mg/L</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色度</w:t>
                  </w:r>
                </w:p>
              </w:tc>
              <w:tc>
                <w:tcPr>
                  <w:tcW w:w="1850" w:type="dxa"/>
                  <w:tcBorders>
                    <w:tl2br w:val="nil"/>
                    <w:tr2bl w:val="nil"/>
                  </w:tcBorders>
                  <w:vAlign w:val="center"/>
                </w:tcPr>
                <w:p>
                  <w:pPr>
                    <w:jc w:val="center"/>
                    <w:rPr>
                      <w:rFonts w:hint="eastAsia" w:eastAsia="宋体"/>
                      <w:lang w:val="en-US" w:eastAsia="zh-CN"/>
                    </w:rPr>
                  </w:pPr>
                  <w:r>
                    <w:t>30</w:t>
                  </w:r>
                  <w:r>
                    <w:rPr>
                      <w:rFonts w:hint="eastAsia"/>
                      <w:lang w:eastAsia="zh-CN"/>
                    </w:rPr>
                    <w:t>（</w:t>
                  </w:r>
                  <w:r>
                    <w:rPr>
                      <w:rFonts w:hint="eastAsia"/>
                      <w:lang w:val="en-US" w:eastAsia="zh-CN"/>
                    </w:rPr>
                    <w:t>稀释倍数</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挥发酚</w:t>
                  </w:r>
                </w:p>
              </w:tc>
              <w:tc>
                <w:tcPr>
                  <w:tcW w:w="1850" w:type="dxa"/>
                  <w:tcBorders>
                    <w:tl2br w:val="nil"/>
                    <w:tr2bl w:val="nil"/>
                  </w:tcBorders>
                  <w:vAlign w:val="center"/>
                </w:tcPr>
                <w:p>
                  <w:pPr>
                    <w:jc w:val="center"/>
                    <w:rPr>
                      <w:rFonts w:hint="eastAsia" w:eastAsia="宋体"/>
                      <w:lang w:val="en-US" w:eastAsia="zh-CN"/>
                    </w:rPr>
                  </w:pPr>
                  <w:r>
                    <w:rPr>
                      <w:lang w:val="en-US" w:eastAsia="en-US"/>
                    </w:rPr>
                    <w:t>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总氧化物</w:t>
                  </w:r>
                </w:p>
              </w:tc>
              <w:tc>
                <w:tcPr>
                  <w:tcW w:w="1850" w:type="dxa"/>
                  <w:tcBorders>
                    <w:tl2br w:val="nil"/>
                    <w:tr2bl w:val="nil"/>
                  </w:tcBorders>
                  <w:vAlign w:val="center"/>
                </w:tcPr>
                <w:p>
                  <w:pPr>
                    <w:jc w:val="center"/>
                    <w:rPr>
                      <w:rFonts w:hint="default"/>
                      <w:lang w:val="en-US" w:eastAsia="zh-CN"/>
                    </w:rPr>
                  </w:pPr>
                  <w:r>
                    <w:rPr>
                      <w:lang w:val="en-US" w:eastAsia="en-US"/>
                    </w:rPr>
                    <w:t>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总汞</w:t>
                  </w:r>
                </w:p>
              </w:tc>
              <w:tc>
                <w:tcPr>
                  <w:tcW w:w="1850" w:type="dxa"/>
                  <w:tcBorders>
                    <w:tl2br w:val="nil"/>
                    <w:tr2bl w:val="nil"/>
                  </w:tcBorders>
                  <w:vAlign w:val="center"/>
                </w:tcPr>
                <w:p>
                  <w:pPr>
                    <w:jc w:val="center"/>
                    <w:rPr>
                      <w:rFonts w:hint="default"/>
                      <w:lang w:val="en-US" w:eastAsia="zh-CN"/>
                    </w:rPr>
                  </w:pPr>
                  <w:r>
                    <w:rPr>
                      <w:lang w:val="en-US" w:eastAsia="en-US"/>
                    </w:rPr>
                    <w:t>0.05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总镉</w:t>
                  </w:r>
                </w:p>
              </w:tc>
              <w:tc>
                <w:tcPr>
                  <w:tcW w:w="1850" w:type="dxa"/>
                  <w:tcBorders>
                    <w:tl2br w:val="nil"/>
                    <w:tr2bl w:val="nil"/>
                  </w:tcBorders>
                  <w:vAlign w:val="center"/>
                </w:tcPr>
                <w:p>
                  <w:pPr>
                    <w:jc w:val="center"/>
                    <w:rPr>
                      <w:rFonts w:hint="default"/>
                      <w:lang w:val="en-US" w:eastAsia="zh-CN"/>
                    </w:rPr>
                  </w:pPr>
                  <w:r>
                    <w:rPr>
                      <w:lang w:val="en-US" w:eastAsia="en-US"/>
                    </w:rPr>
                    <w:t>0.1</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lang w:val="zh-CN" w:eastAsia="zh-CN"/>
                    </w:rPr>
                    <w:t>总铭</w:t>
                  </w:r>
                </w:p>
              </w:tc>
              <w:tc>
                <w:tcPr>
                  <w:tcW w:w="1850" w:type="dxa"/>
                  <w:tcBorders>
                    <w:tl2br w:val="nil"/>
                    <w:tr2bl w:val="nil"/>
                  </w:tcBorders>
                  <w:vAlign w:val="center"/>
                </w:tcPr>
                <w:p>
                  <w:pPr>
                    <w:jc w:val="center"/>
                    <w:rPr>
                      <w:rFonts w:hint="default"/>
                      <w:lang w:val="en-US" w:eastAsia="zh-CN"/>
                    </w:rPr>
                  </w:pPr>
                  <w:r>
                    <w:rPr>
                      <w:lang w:val="en-US" w:eastAsia="en-US"/>
                    </w:rPr>
                    <w:t>1.5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六价铭</w:t>
                  </w:r>
                </w:p>
              </w:tc>
              <w:tc>
                <w:tcPr>
                  <w:tcW w:w="1850" w:type="dxa"/>
                  <w:tcBorders>
                    <w:tl2br w:val="nil"/>
                    <w:tr2bl w:val="nil"/>
                  </w:tcBorders>
                  <w:vAlign w:val="center"/>
                </w:tcPr>
                <w:p>
                  <w:pPr>
                    <w:jc w:val="center"/>
                    <w:rPr>
                      <w:rFonts w:hint="default"/>
                      <w:lang w:val="en-US" w:eastAsia="zh-CN"/>
                    </w:rPr>
                  </w:pPr>
                  <w:r>
                    <w:rPr>
                      <w:lang w:val="en-US" w:eastAsia="en-US"/>
                    </w:rPr>
                    <w:t>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eastAsia" w:eastAsia="宋体"/>
                      <w:sz w:val="21"/>
                      <w:szCs w:val="21"/>
                      <w:lang w:val="en-US" w:eastAsia="zh-CN"/>
                    </w:rPr>
                  </w:pPr>
                  <w:r>
                    <w:rPr>
                      <w:sz w:val="21"/>
                      <w:szCs w:val="21"/>
                    </w:rPr>
                    <w:t>总</w:t>
                  </w:r>
                  <w:r>
                    <w:rPr>
                      <w:rFonts w:hint="eastAsia"/>
                      <w:sz w:val="21"/>
                      <w:szCs w:val="21"/>
                      <w:lang w:val="en-US" w:eastAsia="zh-CN"/>
                    </w:rPr>
                    <w:t>砷</w:t>
                  </w:r>
                </w:p>
              </w:tc>
              <w:tc>
                <w:tcPr>
                  <w:tcW w:w="1850" w:type="dxa"/>
                  <w:tcBorders>
                    <w:tl2br w:val="nil"/>
                    <w:tr2bl w:val="nil"/>
                  </w:tcBorders>
                  <w:vAlign w:val="center"/>
                </w:tcPr>
                <w:p>
                  <w:pPr>
                    <w:jc w:val="center"/>
                    <w:rPr>
                      <w:rFonts w:hint="default"/>
                      <w:lang w:val="en-US" w:eastAsia="zh-CN"/>
                    </w:rPr>
                  </w:pPr>
                  <w:r>
                    <w:rPr>
                      <w:lang w:val="en-US" w:eastAsia="en-US"/>
                    </w:rPr>
                    <w:t>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总铅</w:t>
                  </w:r>
                </w:p>
              </w:tc>
              <w:tc>
                <w:tcPr>
                  <w:tcW w:w="1850" w:type="dxa"/>
                  <w:tcBorders>
                    <w:tl2br w:val="nil"/>
                    <w:tr2bl w:val="nil"/>
                  </w:tcBorders>
                  <w:vAlign w:val="center"/>
                </w:tcPr>
                <w:p>
                  <w:pPr>
                    <w:jc w:val="center"/>
                    <w:rPr>
                      <w:rFonts w:hint="default"/>
                      <w:lang w:val="en-US" w:eastAsia="zh-CN"/>
                    </w:rPr>
                  </w:pPr>
                  <w:r>
                    <w:rPr>
                      <w:lang w:val="en-US" w:eastAsia="en-US"/>
                    </w:rPr>
                    <w:t>1.0</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总银</w:t>
                  </w:r>
                </w:p>
              </w:tc>
              <w:tc>
                <w:tcPr>
                  <w:tcW w:w="1850" w:type="dxa"/>
                  <w:tcBorders>
                    <w:tl2br w:val="nil"/>
                    <w:tr2bl w:val="nil"/>
                  </w:tcBorders>
                  <w:vAlign w:val="center"/>
                </w:tcPr>
                <w:p>
                  <w:pPr>
                    <w:jc w:val="center"/>
                    <w:rPr>
                      <w:rFonts w:hint="default"/>
                      <w:lang w:val="en-US" w:eastAsia="zh-CN"/>
                    </w:rPr>
                  </w:pPr>
                  <w:r>
                    <w:rPr>
                      <w:lang w:val="en-US" w:eastAsia="en-US"/>
                    </w:rPr>
                    <w:t>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总α</w:t>
                  </w:r>
                </w:p>
              </w:tc>
              <w:tc>
                <w:tcPr>
                  <w:tcW w:w="1850" w:type="dxa"/>
                  <w:tcBorders>
                    <w:tl2br w:val="nil"/>
                    <w:tr2bl w:val="nil"/>
                  </w:tcBorders>
                  <w:vAlign w:val="center"/>
                </w:tcPr>
                <w:p>
                  <w:pPr>
                    <w:jc w:val="center"/>
                    <w:rPr>
                      <w:rFonts w:hint="default"/>
                      <w:lang w:val="en-US" w:eastAsia="zh-CN"/>
                    </w:rPr>
                  </w:pPr>
                  <w:r>
                    <w:t>1</w:t>
                  </w:r>
                  <w:r>
                    <w:rPr>
                      <w:rFonts w:hint="eastAsia"/>
                      <w:lang w:val="en-US" w:eastAsia="zh-CN"/>
                    </w:rPr>
                    <w:t>（Bq/L）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总β</w:t>
                  </w:r>
                </w:p>
              </w:tc>
              <w:tc>
                <w:tcPr>
                  <w:tcW w:w="1850" w:type="dxa"/>
                  <w:tcBorders>
                    <w:tl2br w:val="nil"/>
                    <w:tr2bl w:val="nil"/>
                  </w:tcBorders>
                  <w:vAlign w:val="center"/>
                </w:tcPr>
                <w:p>
                  <w:pPr>
                    <w:jc w:val="center"/>
                    <w:rPr>
                      <w:rFonts w:hint="default"/>
                      <w:lang w:val="en-US" w:eastAsia="zh-CN"/>
                    </w:rPr>
                  </w:pPr>
                  <w:r>
                    <w:t>10</w:t>
                  </w:r>
                  <w:r>
                    <w:rPr>
                      <w:rFonts w:hint="eastAsia"/>
                      <w:lang w:val="en-US" w:eastAsia="zh-CN"/>
                    </w:rPr>
                    <w:t>（Bq/L）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sz w:val="21"/>
                      <w:szCs w:val="21"/>
                      <w:lang w:val="en-US" w:eastAsia="zh-CN"/>
                    </w:rPr>
                  </w:pPr>
                  <w:r>
                    <w:rPr>
                      <w:sz w:val="21"/>
                      <w:szCs w:val="21"/>
                    </w:rPr>
                    <w:t>总余氯</w:t>
                  </w:r>
                </w:p>
              </w:tc>
              <w:tc>
                <w:tcPr>
                  <w:tcW w:w="1850" w:type="dxa"/>
                  <w:tcBorders>
                    <w:tl2br w:val="nil"/>
                    <w:tr2bl w:val="nil"/>
                  </w:tcBorders>
                  <w:vAlign w:val="center"/>
                </w:tcPr>
                <w:p>
                  <w:pPr>
                    <w:jc w:val="center"/>
                    <w:rPr>
                      <w:rFonts w:hint="default"/>
                      <w:lang w:val="en-US" w:eastAsia="zh-CN"/>
                    </w:rPr>
                  </w:pPr>
                  <w:r>
                    <w:rPr>
                      <w:lang w:val="en-US" w:eastAsia="en-US"/>
                    </w:rPr>
                    <w:t>0.5</w:t>
                  </w:r>
                  <w:r>
                    <w:rPr>
                      <w:rFonts w:hint="eastAsia"/>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562" w:type="dxa"/>
                  <w:gridSpan w:val="2"/>
                  <w:vMerge w:val="restart"/>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生活污水</w:t>
                  </w:r>
                </w:p>
              </w:tc>
              <w:tc>
                <w:tcPr>
                  <w:tcW w:w="2040" w:type="dxa"/>
                  <w:vMerge w:val="restart"/>
                  <w:tcBorders>
                    <w:tl2br w:val="nil"/>
                    <w:tr2bl w:val="nil"/>
                  </w:tcBorders>
                  <w:vAlign w:val="center"/>
                </w:tcPr>
                <w:p>
                  <w:pPr>
                    <w:jc w:val="center"/>
                    <w:rPr>
                      <w:sz w:val="21"/>
                      <w:szCs w:val="21"/>
                    </w:rPr>
                  </w:pPr>
                  <w:r>
                    <w:rPr>
                      <w:rFonts w:hint="eastAsia"/>
                      <w:kern w:val="0"/>
                      <w:sz w:val="21"/>
                      <w:szCs w:val="21"/>
                      <w:u w:val="none"/>
                      <w:lang w:val="en-US" w:eastAsia="zh-CN"/>
                    </w:rPr>
                    <w:t>《污水综合排放标准》（GB8978-1996）</w:t>
                  </w:r>
                </w:p>
              </w:tc>
              <w:tc>
                <w:tcPr>
                  <w:tcW w:w="2716"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lang w:val="en-US" w:eastAsia="en-US"/>
                    </w:rPr>
                    <w:t>COD</w:t>
                  </w:r>
                </w:p>
              </w:tc>
              <w:tc>
                <w:tcPr>
                  <w:tcW w:w="1850" w:type="dxa"/>
                  <w:tcBorders>
                    <w:tl2br w:val="nil"/>
                    <w:tr2bl w:val="nil"/>
                  </w:tcBorders>
                  <w:vAlign w:val="center"/>
                </w:tcPr>
                <w:p>
                  <w:pPr>
                    <w:jc w:val="center"/>
                    <w:rPr>
                      <w:rFonts w:hint="default" w:eastAsia="宋体"/>
                      <w:lang w:val="en-US" w:eastAsia="zh-CN"/>
                    </w:rPr>
                  </w:pPr>
                  <w:r>
                    <w:rPr>
                      <w:rFonts w:hint="eastAsia"/>
                      <w:lang w:val="en-US" w:eastAsia="zh-CN"/>
                    </w:rPr>
                    <w:t>500</w:t>
                  </w:r>
                  <w:r>
                    <w:rPr>
                      <w:rFonts w:hint="eastAsia"/>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562" w:type="dxa"/>
                  <w:gridSpan w:val="2"/>
                  <w:vMerge w:val="continue"/>
                  <w:tcBorders>
                    <w:tl2br w:val="nil"/>
                    <w:tr2bl w:val="nil"/>
                  </w:tcBorders>
                  <w:vAlign w:val="center"/>
                </w:tcPr>
                <w:p>
                  <w:pPr>
                    <w:jc w:val="center"/>
                  </w:pPr>
                </w:p>
              </w:tc>
              <w:tc>
                <w:tcPr>
                  <w:tcW w:w="2040" w:type="dxa"/>
                  <w:vMerge w:val="continue"/>
                  <w:tcBorders>
                    <w:tl2br w:val="nil"/>
                    <w:tr2bl w:val="nil"/>
                  </w:tcBorders>
                  <w:vAlign w:val="center"/>
                </w:tcPr>
                <w:p>
                  <w:pPr>
                    <w:jc w:val="center"/>
                  </w:pPr>
                </w:p>
              </w:tc>
              <w:tc>
                <w:tcPr>
                  <w:tcW w:w="2716"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sz w:val="21"/>
                      <w:szCs w:val="21"/>
                      <w:lang w:val="en-US" w:eastAsia="en-US"/>
                    </w:rPr>
                    <w:t>BOD</w:t>
                  </w:r>
                  <w:r>
                    <w:rPr>
                      <w:rFonts w:hint="eastAsia"/>
                      <w:sz w:val="21"/>
                      <w:szCs w:val="21"/>
                      <w:vertAlign w:val="subscript"/>
                      <w:lang w:val="en-US" w:eastAsia="zh-CN"/>
                    </w:rPr>
                    <w:t>5</w:t>
                  </w:r>
                </w:p>
              </w:tc>
              <w:tc>
                <w:tcPr>
                  <w:tcW w:w="1850"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300（mg/L）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悬浮物</w:t>
                  </w:r>
                </w:p>
              </w:tc>
              <w:tc>
                <w:tcPr>
                  <w:tcW w:w="1850"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400（mg/L）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氨氮</w:t>
                  </w:r>
                </w:p>
              </w:tc>
              <w:tc>
                <w:tcPr>
                  <w:tcW w:w="1850"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62" w:type="dxa"/>
                  <w:gridSpan w:val="2"/>
                  <w:vMerge w:val="continue"/>
                  <w:tcBorders>
                    <w:tl2br w:val="nil"/>
                    <w:tr2bl w:val="nil"/>
                  </w:tcBorders>
                  <w:vAlign w:val="center"/>
                </w:tcPr>
                <w:p>
                  <w:pPr>
                    <w:jc w:val="center"/>
                    <w:rPr>
                      <w:sz w:val="21"/>
                      <w:szCs w:val="21"/>
                    </w:rPr>
                  </w:pPr>
                </w:p>
              </w:tc>
              <w:tc>
                <w:tcPr>
                  <w:tcW w:w="2040" w:type="dxa"/>
                  <w:vMerge w:val="continue"/>
                  <w:tcBorders>
                    <w:tl2br w:val="nil"/>
                    <w:tr2bl w:val="nil"/>
                  </w:tcBorders>
                  <w:vAlign w:val="center"/>
                </w:tcPr>
                <w:p>
                  <w:pPr>
                    <w:jc w:val="center"/>
                    <w:rPr>
                      <w:sz w:val="21"/>
                      <w:szCs w:val="21"/>
                    </w:rPr>
                  </w:pPr>
                </w:p>
              </w:tc>
              <w:tc>
                <w:tcPr>
                  <w:tcW w:w="2716" w:type="dxa"/>
                  <w:gridSpan w:val="2"/>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sz w:val="21"/>
                      <w:szCs w:val="21"/>
                    </w:rPr>
                    <w:t>动植物油</w:t>
                  </w:r>
                </w:p>
              </w:tc>
              <w:tc>
                <w:tcPr>
                  <w:tcW w:w="1850"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噪声</w:t>
                  </w:r>
                </w:p>
              </w:tc>
              <w:tc>
                <w:tcPr>
                  <w:tcW w:w="204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《工业企业厂界环境噪声排放标准》（</w:t>
                  </w:r>
                  <w:r>
                    <w:rPr>
                      <w:rFonts w:hint="default"/>
                      <w:sz w:val="21"/>
                      <w:szCs w:val="21"/>
                      <w:lang w:val="en-US" w:eastAsia="zh-CN"/>
                    </w:rPr>
                    <w:t>GB12348</w:t>
                  </w:r>
                  <w:r>
                    <w:rPr>
                      <w:rFonts w:hint="eastAsia"/>
                      <w:sz w:val="21"/>
                      <w:szCs w:val="21"/>
                      <w:lang w:val="en-US" w:eastAsia="zh-CN"/>
                    </w:rPr>
                    <w:t>—</w:t>
                  </w:r>
                  <w:r>
                    <w:rPr>
                      <w:rFonts w:hint="default"/>
                      <w:sz w:val="21"/>
                      <w:szCs w:val="21"/>
                      <w:lang w:val="en-US" w:eastAsia="zh-CN"/>
                    </w:rPr>
                    <w:t>2008</w:t>
                  </w:r>
                  <w:r>
                    <w:rPr>
                      <w:rFonts w:hint="eastAsia"/>
                      <w:sz w:val="21"/>
                      <w:szCs w:val="21"/>
                      <w:lang w:val="en-US" w:eastAsia="zh-CN"/>
                    </w:rPr>
                    <w:t>）</w:t>
                  </w: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昼间</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60（dB（A））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62" w:type="dxa"/>
                  <w:gridSpan w:val="2"/>
                  <w:vMerge w:val="continue"/>
                  <w:tcBorders>
                    <w:tl2br w:val="nil"/>
                    <w:tr2bl w:val="nil"/>
                  </w:tcBorders>
                  <w:vAlign w:val="center"/>
                </w:tcPr>
                <w:p>
                  <w:pPr>
                    <w:jc w:val="center"/>
                  </w:pPr>
                </w:p>
              </w:tc>
              <w:tc>
                <w:tcPr>
                  <w:tcW w:w="2040" w:type="dxa"/>
                  <w:vMerge w:val="continue"/>
                  <w:tcBorders>
                    <w:tl2br w:val="nil"/>
                    <w:tr2bl w:val="nil"/>
                  </w:tcBorders>
                  <w:vAlign w:val="center"/>
                </w:tcPr>
                <w:p>
                  <w:pPr>
                    <w:jc w:val="cente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夜间</w:t>
                  </w:r>
                </w:p>
              </w:tc>
              <w:tc>
                <w:tcPr>
                  <w:tcW w:w="1850"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50（dB（A））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危险废物</w:t>
                  </w:r>
                </w:p>
              </w:tc>
              <w:tc>
                <w:tcPr>
                  <w:tcW w:w="911" w:type="dxa"/>
                  <w:vMerge w:val="restart"/>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医疗废物</w:t>
                  </w:r>
                </w:p>
              </w:tc>
              <w:tc>
                <w:tcPr>
                  <w:tcW w:w="204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《危险废物贮存污染控制标准》（</w:t>
                  </w:r>
                  <w:r>
                    <w:rPr>
                      <w:rFonts w:hint="default"/>
                      <w:sz w:val="21"/>
                      <w:szCs w:val="21"/>
                      <w:lang w:val="en-US" w:eastAsia="zh-CN"/>
                    </w:rPr>
                    <w:t>GB18597-2001</w:t>
                  </w:r>
                  <w:r>
                    <w:rPr>
                      <w:rFonts w:hint="eastAsia"/>
                      <w:sz w:val="21"/>
                      <w:szCs w:val="21"/>
                      <w:lang w:val="en-US" w:eastAsia="zh-CN"/>
                    </w:rPr>
                    <w:t>）</w:t>
                  </w: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u w:val="single"/>
                      <w:lang w:val="en-US" w:eastAsia="zh-CN"/>
                    </w:rPr>
                    <w:t>废弃生物样品</w:t>
                  </w:r>
                </w:p>
              </w:tc>
              <w:tc>
                <w:tcPr>
                  <w:tcW w:w="185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集中收集至危废间，定期交由有资质的单位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pPr>
                </w:p>
              </w:tc>
              <w:tc>
                <w:tcPr>
                  <w:tcW w:w="911" w:type="dxa"/>
                  <w:vMerge w:val="continue"/>
                  <w:tcBorders>
                    <w:tl2br w:val="nil"/>
                    <w:tr2bl w:val="nil"/>
                  </w:tcBorders>
                  <w:vAlign w:val="center"/>
                </w:tcPr>
                <w:p>
                  <w:pPr>
                    <w:jc w:val="center"/>
                  </w:pPr>
                </w:p>
              </w:tc>
              <w:tc>
                <w:tcPr>
                  <w:tcW w:w="2040" w:type="dxa"/>
                  <w:vMerge w:val="continue"/>
                  <w:tcBorders>
                    <w:tl2br w:val="nil"/>
                    <w:tr2bl w:val="nil"/>
                  </w:tcBorders>
                  <w:vAlign w:val="center"/>
                </w:tcPr>
                <w:p>
                  <w:pPr>
                    <w:jc w:val="cente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u w:val="single"/>
                      <w:lang w:val="en-US" w:eastAsia="zh-CN"/>
                    </w:rPr>
                    <w:t>废弃培养基</w:t>
                  </w:r>
                </w:p>
              </w:tc>
              <w:tc>
                <w:tcPr>
                  <w:tcW w:w="1850" w:type="dxa"/>
                  <w:vMerge w:val="continue"/>
                  <w:tcBorders>
                    <w:tl2br w:val="nil"/>
                    <w:tr2bl w:val="nil"/>
                  </w:tcBorders>
                  <w:vAlign w:val="center"/>
                </w:tcPr>
                <w:p>
                  <w:pPr>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u w:val="single"/>
                      <w:lang w:val="en-US" w:eastAsia="zh-CN"/>
                    </w:rPr>
                    <w:t>废一次性医</w:t>
                  </w:r>
                  <w:r>
                    <w:rPr>
                      <w:rFonts w:hint="default" w:ascii="Times New Roman" w:hAnsi="Times New Roman" w:cs="Times New Roman"/>
                      <w:sz w:val="21"/>
                      <w:szCs w:val="21"/>
                      <w:u w:val="single"/>
                      <w:lang w:val="en-US" w:eastAsia="zh-CN"/>
                    </w:rPr>
                    <w:t>疗用品</w:t>
                  </w:r>
                </w:p>
              </w:tc>
              <w:tc>
                <w:tcPr>
                  <w:tcW w:w="1850" w:type="dxa"/>
                  <w:vMerge w:val="continue"/>
                  <w:tcBorders>
                    <w:tl2br w:val="nil"/>
                    <w:tr2bl w:val="nil"/>
                  </w:tcBorders>
                  <w:vAlign w:val="center"/>
                </w:tcPr>
                <w:p>
                  <w:pPr>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default"/>
                      <w:sz w:val="21"/>
                      <w:szCs w:val="21"/>
                      <w:lang w:val="en-US" w:eastAsia="zh-CN"/>
                    </w:rPr>
                  </w:pPr>
                  <w:r>
                    <w:rPr>
                      <w:rFonts w:hint="eastAsia"/>
                      <w:sz w:val="21"/>
                      <w:szCs w:val="21"/>
                      <w:u w:val="single"/>
                      <w:lang w:val="en-US" w:eastAsia="zh-CN"/>
                    </w:rPr>
                    <w:t>过期</w:t>
                  </w:r>
                  <w:r>
                    <w:rPr>
                      <w:rFonts w:hint="default" w:ascii="Times New Roman" w:hAnsi="Times New Roman" w:cs="Times New Roman"/>
                      <w:sz w:val="21"/>
                      <w:szCs w:val="21"/>
                      <w:u w:val="single"/>
                      <w:lang w:val="en-US" w:eastAsia="zh-CN"/>
                    </w:rPr>
                    <w:t>药物</w:t>
                  </w:r>
                </w:p>
              </w:tc>
              <w:tc>
                <w:tcPr>
                  <w:tcW w:w="1850" w:type="dxa"/>
                  <w:vMerge w:val="continue"/>
                  <w:tcBorders>
                    <w:tl2br w:val="nil"/>
                    <w:tr2bl w:val="nil"/>
                  </w:tcBorders>
                  <w:vAlign w:val="center"/>
                </w:tcPr>
                <w:p>
                  <w:pPr>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default"/>
                      <w:sz w:val="21"/>
                      <w:szCs w:val="21"/>
                      <w:lang w:val="en-US" w:eastAsia="zh-CN"/>
                    </w:rPr>
                  </w:pPr>
                </w:p>
              </w:tc>
              <w:tc>
                <w:tcPr>
                  <w:tcW w:w="2716" w:type="dxa"/>
                  <w:gridSpan w:val="2"/>
                  <w:tcBorders>
                    <w:tl2br w:val="nil"/>
                    <w:tr2bl w:val="nil"/>
                  </w:tcBorders>
                  <w:vAlign w:val="center"/>
                </w:tcPr>
                <w:p>
                  <w:pPr>
                    <w:jc w:val="center"/>
                    <w:rPr>
                      <w:rFonts w:hint="eastAsia"/>
                      <w:sz w:val="21"/>
                      <w:szCs w:val="21"/>
                      <w:u w:val="single"/>
                      <w:lang w:val="en-US" w:eastAsia="zh-CN"/>
                    </w:rPr>
                  </w:pPr>
                  <w:r>
                    <w:rPr>
                      <w:rFonts w:hint="eastAsia"/>
                      <w:sz w:val="21"/>
                      <w:szCs w:val="21"/>
                      <w:u w:val="single"/>
                      <w:lang w:val="en-US" w:eastAsia="zh-CN"/>
                    </w:rPr>
                    <w:t>废弃HEPA滤网</w:t>
                  </w:r>
                </w:p>
              </w:tc>
              <w:tc>
                <w:tcPr>
                  <w:tcW w:w="1850" w:type="dxa"/>
                  <w:vMerge w:val="continue"/>
                  <w:tcBorders>
                    <w:tl2br w:val="nil"/>
                    <w:tr2bl w:val="nil"/>
                  </w:tcBorders>
                  <w:vAlign w:val="center"/>
                </w:tcPr>
                <w:p>
                  <w:pPr>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restart"/>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废试剂瓶</w:t>
                  </w:r>
                </w:p>
              </w:tc>
              <w:tc>
                <w:tcPr>
                  <w:tcW w:w="2040" w:type="dxa"/>
                  <w:vMerge w:val="restart"/>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《危险废物贮存污染控制标准》（</w:t>
                  </w:r>
                  <w:r>
                    <w:rPr>
                      <w:rFonts w:hint="default"/>
                      <w:sz w:val="21"/>
                      <w:szCs w:val="21"/>
                      <w:lang w:val="en-US" w:eastAsia="zh-CN"/>
                    </w:rPr>
                    <w:t>GB18597-2001</w:t>
                  </w:r>
                  <w:r>
                    <w:rPr>
                      <w:rFonts w:hint="eastAsia"/>
                      <w:sz w:val="21"/>
                      <w:szCs w:val="21"/>
                      <w:lang w:val="en-US" w:eastAsia="zh-CN"/>
                    </w:rPr>
                    <w:t>）</w:t>
                  </w:r>
                </w:p>
              </w:tc>
              <w:tc>
                <w:tcPr>
                  <w:tcW w:w="2716" w:type="dxa"/>
                  <w:gridSpan w:val="2"/>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eastAsia"/>
                      <w:lang w:val="en-US" w:eastAsia="zh-CN"/>
                    </w:rPr>
                    <w:t>废酸液</w:t>
                  </w:r>
                </w:p>
              </w:tc>
              <w:tc>
                <w:tcPr>
                  <w:tcW w:w="1850" w:type="dxa"/>
                  <w:vMerge w:val="continue"/>
                  <w:tcBorders>
                    <w:tl2br w:val="nil"/>
                    <w:tr2bl w:val="nil"/>
                  </w:tcBorders>
                  <w:vAlign w:val="center"/>
                </w:tcPr>
                <w:p>
                  <w:pPr>
                    <w:jc w:val="center"/>
                    <w:rPr>
                      <w:rFonts w:hint="default"/>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eastAsia"/>
                      <w:sz w:val="21"/>
                      <w:szCs w:val="21"/>
                      <w:lang w:val="en-US" w:eastAsia="zh-CN"/>
                    </w:rPr>
                  </w:pPr>
                </w:p>
              </w:tc>
              <w:tc>
                <w:tcPr>
                  <w:tcW w:w="2716" w:type="dxa"/>
                  <w:gridSpan w:val="2"/>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废碱液</w:t>
                  </w:r>
                </w:p>
              </w:tc>
              <w:tc>
                <w:tcPr>
                  <w:tcW w:w="18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eastAsia"/>
                      <w:sz w:val="21"/>
                      <w:szCs w:val="21"/>
                      <w:lang w:val="en-US" w:eastAsia="zh-CN"/>
                    </w:rPr>
                  </w:pPr>
                </w:p>
              </w:tc>
              <w:tc>
                <w:tcPr>
                  <w:tcW w:w="2716" w:type="dxa"/>
                  <w:gridSpan w:val="2"/>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废三氯甲烷</w:t>
                  </w:r>
                </w:p>
              </w:tc>
              <w:tc>
                <w:tcPr>
                  <w:tcW w:w="18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vMerge w:val="continue"/>
                  <w:tcBorders>
                    <w:tl2br w:val="nil"/>
                    <w:tr2bl w:val="nil"/>
                  </w:tcBorders>
                  <w:vAlign w:val="center"/>
                </w:tcPr>
                <w:p>
                  <w:pPr>
                    <w:jc w:val="center"/>
                    <w:rPr>
                      <w:rFonts w:hint="default"/>
                      <w:sz w:val="21"/>
                      <w:szCs w:val="21"/>
                      <w:lang w:val="en-US" w:eastAsia="zh-CN"/>
                    </w:rPr>
                  </w:pPr>
                </w:p>
              </w:tc>
              <w:tc>
                <w:tcPr>
                  <w:tcW w:w="2040" w:type="dxa"/>
                  <w:vMerge w:val="continue"/>
                  <w:tcBorders>
                    <w:tl2br w:val="nil"/>
                    <w:tr2bl w:val="nil"/>
                  </w:tcBorders>
                  <w:vAlign w:val="center"/>
                </w:tcPr>
                <w:p>
                  <w:pPr>
                    <w:jc w:val="center"/>
                    <w:rPr>
                      <w:rFonts w:hint="eastAsia"/>
                      <w:sz w:val="21"/>
                      <w:szCs w:val="21"/>
                      <w:lang w:val="en-US" w:eastAsia="zh-CN"/>
                    </w:rPr>
                  </w:pPr>
                </w:p>
              </w:tc>
              <w:tc>
                <w:tcPr>
                  <w:tcW w:w="2716" w:type="dxa"/>
                  <w:gridSpan w:val="2"/>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lang w:val="en-US" w:eastAsia="zh-CN"/>
                    </w:rPr>
                    <w:t>废甲醇</w:t>
                  </w:r>
                </w:p>
              </w:tc>
              <w:tc>
                <w:tcPr>
                  <w:tcW w:w="18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废试剂瓶</w:t>
                  </w:r>
                </w:p>
              </w:tc>
              <w:tc>
                <w:tcPr>
                  <w:tcW w:w="2040" w:type="dxa"/>
                  <w:vMerge w:val="continue"/>
                  <w:tcBorders>
                    <w:tl2br w:val="nil"/>
                    <w:tr2bl w:val="nil"/>
                  </w:tcBorders>
                  <w:vAlign w:val="center"/>
                </w:tcPr>
                <w:p>
                  <w:pPr>
                    <w:jc w:val="center"/>
                    <w:rPr>
                      <w:rFonts w:hint="eastAsia"/>
                      <w:sz w:val="21"/>
                      <w:szCs w:val="21"/>
                      <w:lang w:val="en-US" w:eastAsia="zh-CN"/>
                    </w:rPr>
                  </w:pPr>
                </w:p>
              </w:tc>
              <w:tc>
                <w:tcPr>
                  <w:tcW w:w="2716" w:type="dxa"/>
                  <w:gridSpan w:val="2"/>
                  <w:tcBorders>
                    <w:tl2br w:val="nil"/>
                    <w:tr2bl w:val="nil"/>
                  </w:tcBorders>
                  <w:vAlign w:val="center"/>
                </w:tcPr>
                <w:p>
                  <w:pPr>
                    <w:jc w:val="center"/>
                    <w:rPr>
                      <w:rFonts w:hint="default"/>
                      <w:lang w:val="en-US" w:eastAsia="zh-CN"/>
                    </w:rPr>
                  </w:pPr>
                  <w:r>
                    <w:rPr>
                      <w:rFonts w:hint="eastAsia"/>
                      <w:lang w:val="en-US" w:eastAsia="zh-CN"/>
                    </w:rPr>
                    <w:t>酸液瓶、碱液瓶、三氯甲烷瓶、甲醇瓶</w:t>
                  </w:r>
                </w:p>
              </w:tc>
              <w:tc>
                <w:tcPr>
                  <w:tcW w:w="18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lang w:val="en-US" w:eastAsia="zh-CN"/>
                    </w:rPr>
                    <w:t>废美沙酮桶</w:t>
                  </w:r>
                </w:p>
              </w:tc>
              <w:tc>
                <w:tcPr>
                  <w:tcW w:w="2040" w:type="dxa"/>
                  <w:vMerge w:val="continue"/>
                  <w:tcBorders>
                    <w:tl2br w:val="nil"/>
                    <w:tr2bl w:val="nil"/>
                  </w:tcBorders>
                  <w:vAlign w:val="center"/>
                </w:tcPr>
                <w:p>
                  <w:pPr>
                    <w:jc w:val="center"/>
                    <w:rPr>
                      <w:rFonts w:hint="eastAsia"/>
                      <w:sz w:val="21"/>
                      <w:szCs w:val="21"/>
                      <w:lang w:val="en-US" w:eastAsia="zh-CN"/>
                    </w:rPr>
                  </w:pPr>
                </w:p>
              </w:tc>
              <w:tc>
                <w:tcPr>
                  <w:tcW w:w="2716" w:type="dxa"/>
                  <w:gridSpan w:val="2"/>
                  <w:tcBorders>
                    <w:tl2br w:val="nil"/>
                    <w:tr2bl w:val="nil"/>
                  </w:tcBorders>
                  <w:vAlign w:val="center"/>
                </w:tcPr>
                <w:p>
                  <w:pPr>
                    <w:jc w:val="center"/>
                    <w:rPr>
                      <w:rFonts w:hint="default"/>
                      <w:lang w:val="en-US" w:eastAsia="zh-CN"/>
                    </w:rPr>
                  </w:pPr>
                  <w:r>
                    <w:rPr>
                      <w:rFonts w:hint="eastAsia"/>
                      <w:lang w:val="en-US" w:eastAsia="zh-CN"/>
                    </w:rPr>
                    <w:t>废美沙酮桶</w:t>
                  </w:r>
                </w:p>
              </w:tc>
              <w:tc>
                <w:tcPr>
                  <w:tcW w:w="1850" w:type="dxa"/>
                  <w:vMerge w:val="continue"/>
                  <w:tcBorders>
                    <w:tl2br w:val="nil"/>
                    <w:tr2bl w:val="nil"/>
                  </w:tcBorders>
                  <w:vAlign w:val="center"/>
                </w:tcPr>
                <w:p>
                  <w:pPr>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1" w:type="dxa"/>
                  <w:vMerge w:val="continue"/>
                  <w:tcBorders>
                    <w:tl2br w:val="nil"/>
                    <w:tr2bl w:val="nil"/>
                  </w:tcBorders>
                  <w:vAlign w:val="center"/>
                </w:tcPr>
                <w:p>
                  <w:pPr>
                    <w:jc w:val="center"/>
                    <w:rPr>
                      <w:rFonts w:hint="default"/>
                      <w:sz w:val="21"/>
                      <w:szCs w:val="21"/>
                      <w:lang w:val="en-US" w:eastAsia="zh-CN"/>
                    </w:rPr>
                  </w:pPr>
                </w:p>
              </w:tc>
              <w:tc>
                <w:tcPr>
                  <w:tcW w:w="911"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污水处理站污泥</w:t>
                  </w:r>
                </w:p>
              </w:tc>
              <w:tc>
                <w:tcPr>
                  <w:tcW w:w="2040" w:type="dxa"/>
                  <w:tcBorders>
                    <w:tl2br w:val="nil"/>
                    <w:tr2bl w:val="nil"/>
                  </w:tcBorders>
                  <w:vAlign w:val="center"/>
                </w:tcPr>
                <w:p>
                  <w:pPr>
                    <w:jc w:val="center"/>
                    <w:rPr>
                      <w:rFonts w:hint="eastAsia" w:ascii="Times New Roman" w:hAnsi="Times New Roman" w:eastAsia="宋体" w:cs="Times New Roman"/>
                      <w:kern w:val="2"/>
                      <w:sz w:val="21"/>
                      <w:szCs w:val="22"/>
                      <w:lang w:val="en-US" w:eastAsia="zh-CN" w:bidi="ar-SA"/>
                    </w:rPr>
                  </w:pPr>
                  <w:r>
                    <w:rPr>
                      <w:rFonts w:hint="eastAsia"/>
                      <w:sz w:val="21"/>
                      <w:szCs w:val="21"/>
                      <w:lang w:val="en-US" w:eastAsia="zh-CN"/>
                    </w:rPr>
                    <w:t>《医疗机构水污染物排放标准》（</w:t>
                  </w:r>
                  <w:r>
                    <w:rPr>
                      <w:rFonts w:hint="default"/>
                      <w:sz w:val="21"/>
                      <w:szCs w:val="21"/>
                      <w:lang w:val="en-US" w:eastAsia="zh-CN"/>
                    </w:rPr>
                    <w:t>GB18446</w:t>
                  </w:r>
                  <w:r>
                    <w:rPr>
                      <w:rFonts w:hint="eastAsia"/>
                      <w:sz w:val="21"/>
                      <w:szCs w:val="21"/>
                      <w:lang w:val="en-US" w:eastAsia="zh-CN"/>
                    </w:rPr>
                    <w:t>—</w:t>
                  </w:r>
                  <w:r>
                    <w:rPr>
                      <w:rFonts w:hint="default"/>
                      <w:sz w:val="21"/>
                      <w:szCs w:val="21"/>
                      <w:lang w:val="en-US" w:eastAsia="zh-CN"/>
                    </w:rPr>
                    <w:t>200</w:t>
                  </w:r>
                  <w:r>
                    <w:rPr>
                      <w:rFonts w:hint="eastAsia"/>
                      <w:sz w:val="21"/>
                      <w:szCs w:val="21"/>
                      <w:lang w:val="en-US" w:eastAsia="zh-CN"/>
                    </w:rPr>
                    <w:t>5）及《危险废物贮存污染控制标准》（</w:t>
                  </w:r>
                  <w:r>
                    <w:rPr>
                      <w:rFonts w:hint="default"/>
                      <w:sz w:val="21"/>
                      <w:szCs w:val="21"/>
                      <w:lang w:val="en-US" w:eastAsia="zh-CN"/>
                    </w:rPr>
                    <w:t>GB18597-2001</w:t>
                  </w:r>
                  <w:r>
                    <w:rPr>
                      <w:rFonts w:hint="eastAsia"/>
                      <w:sz w:val="21"/>
                      <w:szCs w:val="21"/>
                      <w:lang w:val="en-US" w:eastAsia="zh-CN"/>
                    </w:rPr>
                    <w:t>）</w:t>
                  </w:r>
                </w:p>
              </w:tc>
              <w:tc>
                <w:tcPr>
                  <w:tcW w:w="2716" w:type="dxa"/>
                  <w:gridSpan w:val="2"/>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污水处理站污泥</w:t>
                  </w:r>
                </w:p>
              </w:tc>
              <w:tc>
                <w:tcPr>
                  <w:tcW w:w="1850"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消毒后（粪大肠杆菌≤100MNP/g；肠道致病菌、肠道病毒、结核杆菌不得检出）集中收集至危废间，定期交由有资质的单位</w:t>
                  </w:r>
                </w:p>
              </w:tc>
            </w:tr>
          </w:tbl>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tcBorders>
              <w:tl2br w:val="nil"/>
              <w:tr2bl w:val="nil"/>
            </w:tcBorders>
            <w:noWrap w:val="0"/>
            <w:vAlign w:val="center"/>
          </w:tcPr>
          <w:p>
            <w:pPr>
              <w:pStyle w:val="4"/>
              <w:bidi w:val="0"/>
              <w:rPr>
                <w:rFonts w:hint="eastAsia" w:ascii="宋体" w:hAnsi="宋体" w:cs="宋体"/>
                <w:kern w:val="0"/>
                <w:szCs w:val="21"/>
              </w:rPr>
            </w:pPr>
            <w:bookmarkStart w:id="11" w:name="_Toc15758"/>
            <w:r>
              <w:rPr>
                <w:rFonts w:hint="eastAsia"/>
              </w:rPr>
              <w:t>总量控制指标</w:t>
            </w:r>
            <w:bookmarkEnd w:id="11"/>
          </w:p>
        </w:tc>
        <w:tc>
          <w:tcPr>
            <w:tcW w:w="9473"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left"/>
              <w:textAlignment w:val="auto"/>
              <w:rPr>
                <w:rFonts w:hint="default"/>
                <w:b/>
                <w:bCs/>
                <w:kern w:val="0"/>
                <w:sz w:val="24"/>
                <w:u w:val="none"/>
                <w:lang w:val="en-US" w:eastAsia="zh-CN"/>
              </w:rPr>
            </w:pPr>
            <w:r>
              <w:rPr>
                <w:rFonts w:hint="eastAsia"/>
                <w:b/>
                <w:bCs/>
                <w:kern w:val="0"/>
                <w:sz w:val="24"/>
                <w:u w:val="none"/>
                <w:lang w:val="en-US" w:eastAsia="zh-CN"/>
              </w:rPr>
              <w:t>十一、总量控制指标</w:t>
            </w:r>
          </w:p>
          <w:p>
            <w:pPr>
              <w:adjustRightInd w:val="0"/>
              <w:snapToGrid w:val="0"/>
              <w:spacing w:line="360" w:lineRule="auto"/>
              <w:ind w:firstLine="480" w:firstLineChars="200"/>
              <w:jc w:val="left"/>
              <w:rPr>
                <w:rFonts w:hint="eastAsia"/>
                <w:kern w:val="0"/>
                <w:sz w:val="24"/>
                <w:szCs w:val="24"/>
                <w:u w:val="none"/>
                <w:lang w:val="en-US" w:eastAsia="zh-CN"/>
              </w:rPr>
            </w:pPr>
            <w:r>
              <w:rPr>
                <w:rFonts w:hint="eastAsia"/>
                <w:kern w:val="0"/>
                <w:sz w:val="24"/>
                <w:u w:val="none"/>
                <w:lang w:val="en-US" w:eastAsia="zh-CN"/>
              </w:rPr>
              <w:t>依据湖南省</w:t>
            </w:r>
            <w:r>
              <w:rPr>
                <w:rFonts w:hint="eastAsia"/>
                <w:kern w:val="0"/>
                <w:sz w:val="24"/>
                <w:szCs w:val="24"/>
                <w:u w:val="none"/>
                <w:lang w:val="en-US" w:eastAsia="zh-CN"/>
              </w:rPr>
              <w:t>人民政府办公厅关于印发《湖南省“十四五”生态环境保护规划》的通知</w:t>
            </w:r>
          </w:p>
          <w:p>
            <w:pPr>
              <w:adjustRightInd w:val="0"/>
              <w:snapToGrid w:val="0"/>
              <w:spacing w:line="360" w:lineRule="auto"/>
              <w:jc w:val="left"/>
              <w:rPr>
                <w:rFonts w:hint="default"/>
                <w:kern w:val="0"/>
                <w:sz w:val="24"/>
                <w:szCs w:val="24"/>
                <w:u w:val="none"/>
                <w:lang w:val="en-US" w:eastAsia="zh-CN"/>
              </w:rPr>
            </w:pPr>
            <w:r>
              <w:rPr>
                <w:rFonts w:hint="eastAsia"/>
                <w:kern w:val="0"/>
                <w:sz w:val="24"/>
                <w:szCs w:val="24"/>
                <w:u w:val="none"/>
                <w:lang w:val="en-US" w:eastAsia="zh-CN"/>
              </w:rPr>
              <w:t>，湖南省对 COD</w:t>
            </w:r>
            <w:r>
              <w:rPr>
                <w:rFonts w:hint="eastAsia"/>
                <w:kern w:val="0"/>
                <w:sz w:val="24"/>
                <w:szCs w:val="24"/>
                <w:u w:val="none"/>
                <w:vertAlign w:val="subscript"/>
                <w:lang w:val="en-US" w:eastAsia="zh-CN"/>
              </w:rPr>
              <w:t>cr</w:t>
            </w:r>
            <w:r>
              <w:rPr>
                <w:rFonts w:hint="eastAsia"/>
                <w:kern w:val="0"/>
                <w:sz w:val="24"/>
                <w:szCs w:val="24"/>
                <w:u w:val="none"/>
                <w:lang w:val="en-US" w:eastAsia="zh-CN"/>
              </w:rPr>
              <w:t>、NH</w:t>
            </w:r>
            <w:r>
              <w:rPr>
                <w:rFonts w:hint="eastAsia"/>
                <w:kern w:val="0"/>
                <w:sz w:val="24"/>
                <w:szCs w:val="24"/>
                <w:u w:val="none"/>
                <w:vertAlign w:val="subscript"/>
                <w:lang w:val="en-US" w:eastAsia="zh-CN"/>
              </w:rPr>
              <w:t>3</w:t>
            </w:r>
            <w:r>
              <w:rPr>
                <w:rFonts w:hint="eastAsia"/>
                <w:kern w:val="0"/>
                <w:sz w:val="24"/>
                <w:szCs w:val="24"/>
                <w:u w:val="none"/>
                <w:lang w:val="en-US" w:eastAsia="zh-CN"/>
              </w:rPr>
              <w:t>-N、SO</w:t>
            </w:r>
            <w:r>
              <w:rPr>
                <w:rFonts w:hint="eastAsia"/>
                <w:kern w:val="0"/>
                <w:sz w:val="24"/>
                <w:szCs w:val="24"/>
                <w:u w:val="none"/>
                <w:vertAlign w:val="subscript"/>
                <w:lang w:val="en-US" w:eastAsia="zh-CN"/>
              </w:rPr>
              <w:t>2</w:t>
            </w:r>
            <w:r>
              <w:rPr>
                <w:rFonts w:hint="eastAsia"/>
                <w:kern w:val="0"/>
                <w:sz w:val="24"/>
                <w:szCs w:val="24"/>
                <w:u w:val="none"/>
                <w:lang w:val="en-US" w:eastAsia="zh-CN"/>
              </w:rPr>
              <w:t>、NO</w:t>
            </w:r>
            <w:r>
              <w:rPr>
                <w:rFonts w:hint="eastAsia"/>
                <w:kern w:val="0"/>
                <w:sz w:val="24"/>
                <w:szCs w:val="24"/>
                <w:u w:val="none"/>
                <w:vertAlign w:val="subscript"/>
                <w:lang w:val="en-US" w:eastAsia="zh-CN"/>
              </w:rPr>
              <w:t>X</w:t>
            </w:r>
            <w:r>
              <w:rPr>
                <w:rFonts w:hint="eastAsia"/>
                <w:kern w:val="0"/>
                <w:sz w:val="24"/>
                <w:szCs w:val="24"/>
                <w:u w:val="none"/>
                <w:lang w:val="en-US" w:eastAsia="zh-CN"/>
              </w:rPr>
              <w:t>、VOCs五项污染物实施总量控制，其中COD</w:t>
            </w:r>
            <w:r>
              <w:rPr>
                <w:rFonts w:hint="eastAsia"/>
                <w:kern w:val="0"/>
                <w:sz w:val="24"/>
                <w:szCs w:val="24"/>
                <w:u w:val="none"/>
                <w:vertAlign w:val="subscript"/>
                <w:lang w:val="en-US" w:eastAsia="zh-CN"/>
              </w:rPr>
              <w:t>cr</w:t>
            </w:r>
            <w:r>
              <w:rPr>
                <w:rFonts w:hint="eastAsia"/>
                <w:kern w:val="0"/>
                <w:sz w:val="24"/>
                <w:szCs w:val="24"/>
                <w:u w:val="none"/>
                <w:lang w:val="en-US" w:eastAsia="zh-CN"/>
              </w:rPr>
              <w:t>、NH</w:t>
            </w:r>
            <w:r>
              <w:rPr>
                <w:rFonts w:hint="eastAsia"/>
                <w:kern w:val="0"/>
                <w:sz w:val="24"/>
                <w:szCs w:val="24"/>
                <w:u w:val="none"/>
                <w:vertAlign w:val="subscript"/>
                <w:lang w:val="en-US" w:eastAsia="zh-CN"/>
              </w:rPr>
              <w:t>3</w:t>
            </w:r>
            <w:r>
              <w:rPr>
                <w:rFonts w:hint="eastAsia"/>
                <w:kern w:val="0"/>
                <w:sz w:val="24"/>
                <w:szCs w:val="24"/>
                <w:u w:val="none"/>
                <w:lang w:val="en-US" w:eastAsia="zh-CN"/>
              </w:rPr>
              <w:t>-N、SO</w:t>
            </w:r>
            <w:r>
              <w:rPr>
                <w:rFonts w:hint="eastAsia"/>
                <w:kern w:val="0"/>
                <w:sz w:val="24"/>
                <w:szCs w:val="24"/>
                <w:u w:val="none"/>
                <w:vertAlign w:val="subscript"/>
                <w:lang w:val="en-US" w:eastAsia="zh-CN"/>
              </w:rPr>
              <w:t>2</w:t>
            </w:r>
            <w:r>
              <w:rPr>
                <w:rFonts w:hint="eastAsia"/>
                <w:kern w:val="0"/>
                <w:sz w:val="24"/>
                <w:szCs w:val="24"/>
                <w:u w:val="none"/>
                <w:lang w:val="en-US" w:eastAsia="zh-CN"/>
              </w:rPr>
              <w:t>、NO</w:t>
            </w:r>
            <w:r>
              <w:rPr>
                <w:rFonts w:hint="eastAsia"/>
                <w:kern w:val="0"/>
                <w:sz w:val="24"/>
                <w:szCs w:val="24"/>
                <w:u w:val="none"/>
                <w:vertAlign w:val="subscript"/>
                <w:lang w:val="en-US" w:eastAsia="zh-CN"/>
              </w:rPr>
              <w:t>X</w:t>
            </w:r>
            <w:r>
              <w:rPr>
                <w:rFonts w:hint="eastAsia"/>
                <w:kern w:val="0"/>
                <w:sz w:val="24"/>
                <w:szCs w:val="24"/>
                <w:u w:val="none"/>
                <w:lang w:val="en-US" w:eastAsia="zh-CN"/>
              </w:rPr>
              <w:t>为约束性指标，VOCs为指导性指标。实施污染物排放总量控制，将有助于促进节约资源、产业结构的优化、科学技术进步和污染的防治，这是环境保护工作服务于两个根本性转变和推行可持续发展战略的重大举措之一。结合项目污染物排放特点，确定其总量控制指标NO</w:t>
            </w:r>
            <w:r>
              <w:rPr>
                <w:rFonts w:hint="eastAsia"/>
                <w:kern w:val="0"/>
                <w:sz w:val="24"/>
                <w:szCs w:val="24"/>
                <w:u w:val="none"/>
                <w:vertAlign w:val="subscript"/>
                <w:lang w:val="en-US" w:eastAsia="zh-CN"/>
              </w:rPr>
              <w:t>x</w:t>
            </w:r>
            <w:r>
              <w:rPr>
                <w:rFonts w:hint="eastAsia"/>
                <w:kern w:val="0"/>
                <w:sz w:val="24"/>
                <w:szCs w:val="24"/>
                <w:u w:val="none"/>
                <w:lang w:val="en-US" w:eastAsia="zh-CN"/>
              </w:rPr>
              <w:t>、COD</w:t>
            </w:r>
            <w:r>
              <w:rPr>
                <w:rFonts w:hint="eastAsia"/>
                <w:kern w:val="0"/>
                <w:sz w:val="24"/>
                <w:szCs w:val="24"/>
                <w:u w:val="none"/>
                <w:vertAlign w:val="subscript"/>
                <w:lang w:val="en-US" w:eastAsia="zh-CN"/>
              </w:rPr>
              <w:t>cr</w:t>
            </w:r>
            <w:r>
              <w:rPr>
                <w:rFonts w:hint="eastAsia"/>
                <w:kern w:val="0"/>
                <w:sz w:val="24"/>
                <w:szCs w:val="24"/>
                <w:u w:val="none"/>
                <w:lang w:val="en-US" w:eastAsia="zh-CN"/>
              </w:rPr>
              <w:t>、NH</w:t>
            </w:r>
            <w:r>
              <w:rPr>
                <w:rFonts w:hint="eastAsia"/>
                <w:kern w:val="0"/>
                <w:sz w:val="24"/>
                <w:szCs w:val="24"/>
                <w:u w:val="none"/>
                <w:vertAlign w:val="subscript"/>
                <w:lang w:val="en-US" w:eastAsia="zh-CN"/>
              </w:rPr>
              <w:t>3</w:t>
            </w:r>
            <w:r>
              <w:rPr>
                <w:rFonts w:hint="eastAsia"/>
                <w:kern w:val="0"/>
                <w:sz w:val="24"/>
                <w:szCs w:val="24"/>
                <w:u w:val="none"/>
                <w:lang w:val="en-US" w:eastAsia="zh-CN"/>
              </w:rPr>
              <w:t>-N。</w:t>
            </w:r>
          </w:p>
          <w:p>
            <w:pPr>
              <w:tabs>
                <w:tab w:val="left" w:pos="1440"/>
                <w:tab w:val="left" w:pos="1800"/>
              </w:tabs>
              <w:spacing w:line="360" w:lineRule="auto"/>
              <w:rPr>
                <w:rFonts w:hint="default"/>
                <w:b/>
                <w:bCs/>
                <w:sz w:val="24"/>
                <w:szCs w:val="24"/>
                <w:lang w:val="en-US" w:eastAsia="zh-CN"/>
              </w:rPr>
            </w:pPr>
            <w:r>
              <w:rPr>
                <w:rFonts w:hint="eastAsia"/>
                <w:b/>
                <w:bCs/>
                <w:sz w:val="24"/>
                <w:szCs w:val="24"/>
                <w:lang w:val="en-US" w:eastAsia="zh-CN"/>
              </w:rPr>
              <w:t>（1）废气</w:t>
            </w:r>
          </w:p>
          <w:p>
            <w:pPr>
              <w:adjustRightInd w:val="0"/>
              <w:snapToGrid w:val="0"/>
              <w:spacing w:line="360" w:lineRule="auto"/>
              <w:ind w:firstLine="480" w:firstLineChars="200"/>
              <w:jc w:val="left"/>
              <w:rPr>
                <w:rFonts w:hint="eastAsia"/>
                <w:kern w:val="0"/>
                <w:sz w:val="24"/>
                <w:szCs w:val="24"/>
                <w:u w:val="none"/>
                <w:lang w:val="en-US" w:eastAsia="zh-CN"/>
              </w:rPr>
            </w:pPr>
            <w:r>
              <w:rPr>
                <w:rFonts w:hint="eastAsia"/>
                <w:kern w:val="0"/>
                <w:sz w:val="24"/>
                <w:szCs w:val="24"/>
                <w:u w:val="none"/>
                <w:lang w:val="en-US" w:eastAsia="zh-CN"/>
              </w:rPr>
              <w:t>项目废气主要为实验废气，改建前后总量不变，其中：</w:t>
            </w:r>
          </w:p>
          <w:p>
            <w:pPr>
              <w:adjustRightInd w:val="0"/>
              <w:snapToGrid w:val="0"/>
              <w:spacing w:line="360" w:lineRule="auto"/>
              <w:ind w:firstLine="480" w:firstLineChars="200"/>
              <w:jc w:val="left"/>
              <w:rPr>
                <w:sz w:val="24"/>
                <w:szCs w:val="24"/>
              </w:rPr>
            </w:pPr>
            <w:r>
              <w:rPr>
                <w:rFonts w:hint="eastAsia"/>
                <w:kern w:val="0"/>
                <w:sz w:val="24"/>
                <w:szCs w:val="24"/>
                <w:u w:val="none"/>
                <w:lang w:val="en-US" w:eastAsia="zh-CN"/>
              </w:rPr>
              <w:t>a、消解废气NO</w:t>
            </w:r>
            <w:r>
              <w:rPr>
                <w:rFonts w:hint="eastAsia"/>
                <w:kern w:val="0"/>
                <w:sz w:val="24"/>
                <w:szCs w:val="24"/>
                <w:u w:val="none"/>
                <w:vertAlign w:val="subscript"/>
                <w:lang w:val="en-US" w:eastAsia="zh-CN"/>
              </w:rPr>
              <w:t>x</w:t>
            </w:r>
            <w:r>
              <w:rPr>
                <w:rFonts w:hint="eastAsia"/>
                <w:kern w:val="0"/>
                <w:sz w:val="24"/>
                <w:szCs w:val="24"/>
                <w:u w:val="none"/>
                <w:vertAlign w:val="baseline"/>
                <w:lang w:val="en-US" w:eastAsia="zh-CN"/>
              </w:rPr>
              <w:t>产生量</w:t>
            </w:r>
            <w:r>
              <w:rPr>
                <w:rFonts w:hint="eastAsia" w:cs="Times New Roman"/>
                <w:sz w:val="24"/>
                <w:szCs w:val="24"/>
                <w:u w:val="single"/>
                <w:vertAlign w:val="baseline"/>
                <w:lang w:val="en-US" w:eastAsia="zh-CN"/>
              </w:rPr>
              <w:t>0.655</w:t>
            </w:r>
            <w:r>
              <w:rPr>
                <w:rFonts w:hint="eastAsia"/>
                <w:sz w:val="24"/>
                <w:szCs w:val="24"/>
                <w:vertAlign w:val="baseline"/>
                <w:lang w:val="en-US" w:eastAsia="zh-CN"/>
              </w:rPr>
              <w:t>kg/a，试剂挥发废气</w:t>
            </w:r>
            <w:r>
              <w:rPr>
                <w:rFonts w:hint="eastAsia"/>
                <w:kern w:val="0"/>
                <w:sz w:val="24"/>
                <w:szCs w:val="24"/>
                <w:u w:val="none"/>
                <w:lang w:val="en-US" w:eastAsia="zh-CN"/>
              </w:rPr>
              <w:t>NO</w:t>
            </w:r>
            <w:r>
              <w:rPr>
                <w:rFonts w:hint="eastAsia"/>
                <w:kern w:val="0"/>
                <w:sz w:val="24"/>
                <w:szCs w:val="24"/>
                <w:u w:val="none"/>
                <w:vertAlign w:val="subscript"/>
                <w:lang w:val="en-US" w:eastAsia="zh-CN"/>
              </w:rPr>
              <w:t>x</w:t>
            </w:r>
            <w:r>
              <w:rPr>
                <w:rFonts w:hint="eastAsia"/>
                <w:kern w:val="0"/>
                <w:sz w:val="24"/>
                <w:szCs w:val="24"/>
                <w:u w:val="none"/>
                <w:vertAlign w:val="baseline"/>
                <w:lang w:val="en-US" w:eastAsia="zh-CN"/>
              </w:rPr>
              <w:t>产生量</w:t>
            </w:r>
            <w:r>
              <w:rPr>
                <w:rFonts w:hint="eastAsia"/>
                <w:sz w:val="24"/>
                <w:szCs w:val="24"/>
                <w:lang w:val="en-US" w:eastAsia="zh-CN"/>
              </w:rPr>
              <w:t>0.1064</w:t>
            </w:r>
            <w:r>
              <w:rPr>
                <w:rFonts w:hint="eastAsia"/>
                <w:sz w:val="24"/>
                <w:szCs w:val="24"/>
                <w:vertAlign w:val="baseline"/>
                <w:lang w:val="en-US" w:eastAsia="zh-CN"/>
              </w:rPr>
              <w:t>kg/a，总</w:t>
            </w:r>
            <w:r>
              <w:rPr>
                <w:rFonts w:hint="eastAsia"/>
                <w:kern w:val="0"/>
                <w:sz w:val="24"/>
                <w:szCs w:val="24"/>
                <w:u w:val="none"/>
                <w:lang w:val="en-US" w:eastAsia="zh-CN"/>
              </w:rPr>
              <w:t>NO</w:t>
            </w:r>
            <w:r>
              <w:rPr>
                <w:rFonts w:hint="eastAsia"/>
                <w:kern w:val="0"/>
                <w:sz w:val="24"/>
                <w:szCs w:val="24"/>
                <w:u w:val="none"/>
                <w:vertAlign w:val="subscript"/>
                <w:lang w:val="en-US" w:eastAsia="zh-CN"/>
              </w:rPr>
              <w:t>x</w:t>
            </w:r>
            <w:r>
              <w:rPr>
                <w:rFonts w:hint="eastAsia"/>
                <w:kern w:val="0"/>
                <w:sz w:val="24"/>
                <w:szCs w:val="24"/>
                <w:u w:val="none"/>
                <w:vertAlign w:val="baseline"/>
                <w:lang w:val="en-US" w:eastAsia="zh-CN"/>
              </w:rPr>
              <w:t>产生量0.4614</w:t>
            </w:r>
            <w:r>
              <w:rPr>
                <w:rFonts w:hint="eastAsia"/>
                <w:sz w:val="24"/>
                <w:szCs w:val="24"/>
                <w:vertAlign w:val="baseline"/>
                <w:lang w:val="en-US" w:eastAsia="zh-CN"/>
              </w:rPr>
              <w:t>kg/a；</w:t>
            </w:r>
          </w:p>
          <w:p>
            <w:pPr>
              <w:tabs>
                <w:tab w:val="left" w:pos="1440"/>
                <w:tab w:val="left" w:pos="1800"/>
              </w:tabs>
              <w:spacing w:line="360" w:lineRule="auto"/>
              <w:rPr>
                <w:rFonts w:hint="eastAsia"/>
                <w:b/>
                <w:bCs/>
                <w:color w:val="auto"/>
                <w:sz w:val="24"/>
                <w:szCs w:val="24"/>
                <w:highlight w:val="none"/>
                <w:lang w:val="en-US" w:eastAsia="zh-CN"/>
              </w:rPr>
            </w:pPr>
            <w:r>
              <w:rPr>
                <w:rFonts w:hint="eastAsia"/>
                <w:b/>
                <w:bCs/>
                <w:color w:val="auto"/>
                <w:sz w:val="24"/>
                <w:szCs w:val="24"/>
                <w:highlight w:val="none"/>
                <w:lang w:val="en-US" w:eastAsia="zh-CN"/>
              </w:rPr>
              <w:t>（2）废水</w:t>
            </w:r>
          </w:p>
          <w:p>
            <w:pPr>
              <w:adjustRightInd w:val="0"/>
              <w:snapToGrid w:val="0"/>
              <w:spacing w:line="360" w:lineRule="auto"/>
              <w:ind w:firstLine="480" w:firstLineChars="200"/>
              <w:jc w:val="left"/>
              <w:rPr>
                <w:rFonts w:hint="default"/>
                <w:kern w:val="0"/>
                <w:sz w:val="24"/>
                <w:szCs w:val="24"/>
                <w:u w:val="none"/>
                <w:lang w:val="en-US" w:eastAsia="zh-CN"/>
              </w:rPr>
            </w:pPr>
            <w:r>
              <w:rPr>
                <w:rFonts w:hint="eastAsia"/>
                <w:kern w:val="0"/>
                <w:sz w:val="24"/>
                <w:szCs w:val="24"/>
                <w:u w:val="none"/>
                <w:lang w:val="en-US" w:eastAsia="zh-CN"/>
              </w:rPr>
              <w:t>生活污水：改建前，生活污水经化粪池预处理后排入文昌溪，</w:t>
            </w:r>
            <w:r>
              <w:rPr>
                <w:rFonts w:hint="eastAsia"/>
                <w:sz w:val="24"/>
                <w:szCs w:val="24"/>
                <w:lang w:val="en-US" w:eastAsia="zh-CN"/>
              </w:rPr>
              <w:t>COD</w:t>
            </w:r>
            <w:r>
              <w:rPr>
                <w:rFonts w:hint="eastAsia"/>
                <w:sz w:val="24"/>
                <w:szCs w:val="24"/>
                <w:vertAlign w:val="subscript"/>
                <w:lang w:val="en-US" w:eastAsia="zh-CN"/>
              </w:rPr>
              <w:t>cr</w:t>
            </w:r>
            <w:r>
              <w:rPr>
                <w:rFonts w:hint="eastAsia"/>
                <w:sz w:val="24"/>
                <w:szCs w:val="24"/>
                <w:vertAlign w:val="baseline"/>
                <w:lang w:val="en-US" w:eastAsia="zh-CN"/>
              </w:rPr>
              <w:t>排放总量</w:t>
            </w:r>
            <w:r>
              <w:rPr>
                <w:rFonts w:hint="eastAsia"/>
                <w:sz w:val="24"/>
                <w:szCs w:val="24"/>
                <w:lang w:val="en-US" w:eastAsia="zh-CN"/>
              </w:rPr>
              <w:t>92.39</w:t>
            </w:r>
            <w:r>
              <w:rPr>
                <w:rFonts w:hint="eastAsia"/>
                <w:kern w:val="0"/>
                <w:sz w:val="24"/>
                <w:szCs w:val="24"/>
                <w:u w:val="none"/>
                <w:lang w:val="en-US" w:eastAsia="zh-CN"/>
              </w:rPr>
              <w:t>kg/a，</w:t>
            </w:r>
            <w:r>
              <w:rPr>
                <w:rFonts w:hint="eastAsia"/>
                <w:sz w:val="24"/>
                <w:szCs w:val="24"/>
                <w:lang w:val="en-US" w:eastAsia="zh-CN"/>
              </w:rPr>
              <w:t>氨氮</w:t>
            </w:r>
            <w:r>
              <w:rPr>
                <w:rFonts w:hint="eastAsia"/>
                <w:sz w:val="24"/>
                <w:szCs w:val="24"/>
                <w:vertAlign w:val="baseline"/>
                <w:lang w:val="en-US" w:eastAsia="zh-CN"/>
              </w:rPr>
              <w:t>排放总量</w:t>
            </w:r>
            <w:r>
              <w:rPr>
                <w:rFonts w:hint="eastAsia"/>
                <w:sz w:val="24"/>
                <w:szCs w:val="24"/>
                <w:lang w:val="en-US" w:eastAsia="zh-CN"/>
              </w:rPr>
              <w:t>7.32</w:t>
            </w:r>
            <w:r>
              <w:rPr>
                <w:rFonts w:hint="eastAsia"/>
                <w:kern w:val="0"/>
                <w:sz w:val="24"/>
                <w:szCs w:val="24"/>
                <w:u w:val="none"/>
                <w:lang w:val="en-US" w:eastAsia="zh-CN"/>
              </w:rPr>
              <w:t>kg/a；改建后，项目生活污水外委有相关单位利用清粪车定期转运至靖州县县城污水处理厂，因此无需进行总量控制。</w:t>
            </w:r>
          </w:p>
          <w:p>
            <w:pPr>
              <w:adjustRightInd w:val="0"/>
              <w:snapToGrid w:val="0"/>
              <w:spacing w:line="360" w:lineRule="auto"/>
              <w:ind w:firstLine="480" w:firstLineChars="200"/>
              <w:jc w:val="left"/>
              <w:rPr>
                <w:rFonts w:hint="default"/>
                <w:kern w:val="0"/>
                <w:sz w:val="24"/>
                <w:szCs w:val="24"/>
                <w:u w:val="none"/>
                <w:lang w:val="en-US" w:eastAsia="zh-CN"/>
              </w:rPr>
            </w:pPr>
            <w:r>
              <w:rPr>
                <w:rFonts w:hint="eastAsia"/>
                <w:kern w:val="0"/>
                <w:sz w:val="24"/>
                <w:szCs w:val="24"/>
                <w:u w:val="none"/>
                <w:lang w:val="en-US" w:eastAsia="zh-CN"/>
              </w:rPr>
              <w:t>实验室废水（医疗废水）：经前后文分析，改建前，COD</w:t>
            </w:r>
            <w:r>
              <w:rPr>
                <w:rFonts w:hint="eastAsia"/>
                <w:kern w:val="0"/>
                <w:sz w:val="24"/>
                <w:szCs w:val="24"/>
                <w:u w:val="none"/>
                <w:vertAlign w:val="subscript"/>
                <w:lang w:val="en-US" w:eastAsia="zh-CN"/>
              </w:rPr>
              <w:t>cr</w:t>
            </w:r>
            <w:r>
              <w:rPr>
                <w:rFonts w:hint="eastAsia"/>
                <w:kern w:val="0"/>
                <w:sz w:val="24"/>
                <w:szCs w:val="24"/>
                <w:u w:val="none"/>
                <w:lang w:val="en-US" w:eastAsia="zh-CN"/>
              </w:rPr>
              <w:t>排放总量</w:t>
            </w:r>
            <w:r>
              <w:rPr>
                <w:rFonts w:hint="default"/>
                <w:kern w:val="0"/>
                <w:sz w:val="24"/>
                <w:szCs w:val="24"/>
                <w:u w:val="none"/>
                <w:lang w:val="en-US" w:eastAsia="zh-CN"/>
              </w:rPr>
              <w:t>2.7001</w:t>
            </w:r>
            <w:r>
              <w:rPr>
                <w:rFonts w:hint="eastAsia"/>
                <w:kern w:val="0"/>
                <w:sz w:val="24"/>
                <w:szCs w:val="24"/>
                <w:u w:val="none"/>
                <w:lang w:val="en-US" w:eastAsia="zh-CN"/>
              </w:rPr>
              <w:t>kg/a，NH</w:t>
            </w:r>
            <w:r>
              <w:rPr>
                <w:rFonts w:hint="eastAsia"/>
                <w:kern w:val="0"/>
                <w:sz w:val="24"/>
                <w:szCs w:val="24"/>
                <w:u w:val="none"/>
                <w:vertAlign w:val="subscript"/>
                <w:lang w:val="en-US" w:eastAsia="zh-CN"/>
              </w:rPr>
              <w:t>3</w:t>
            </w:r>
            <w:r>
              <w:rPr>
                <w:rFonts w:hint="eastAsia"/>
                <w:kern w:val="0"/>
                <w:sz w:val="24"/>
                <w:szCs w:val="24"/>
                <w:u w:val="none"/>
                <w:lang w:val="en-US" w:eastAsia="zh-CN"/>
              </w:rPr>
              <w:t>-N排放总量</w:t>
            </w:r>
            <w:r>
              <w:rPr>
                <w:rFonts w:hint="default"/>
                <w:kern w:val="0"/>
                <w:sz w:val="24"/>
                <w:szCs w:val="24"/>
                <w:u w:val="none"/>
                <w:lang w:val="en-US" w:eastAsia="zh-CN"/>
              </w:rPr>
              <w:t>0.0113</w:t>
            </w:r>
            <w:r>
              <w:rPr>
                <w:rFonts w:hint="eastAsia"/>
                <w:kern w:val="0"/>
                <w:sz w:val="24"/>
                <w:szCs w:val="24"/>
                <w:u w:val="none"/>
                <w:lang w:val="en-US" w:eastAsia="zh-CN"/>
              </w:rPr>
              <w:t>kg/a；改建后COD</w:t>
            </w:r>
            <w:r>
              <w:rPr>
                <w:rFonts w:hint="eastAsia"/>
                <w:kern w:val="0"/>
                <w:sz w:val="24"/>
                <w:szCs w:val="24"/>
                <w:u w:val="none"/>
                <w:vertAlign w:val="subscript"/>
                <w:lang w:val="en-US" w:eastAsia="zh-CN"/>
              </w:rPr>
              <w:t>cr</w:t>
            </w:r>
            <w:r>
              <w:rPr>
                <w:rFonts w:hint="eastAsia"/>
                <w:kern w:val="0"/>
                <w:sz w:val="24"/>
                <w:szCs w:val="24"/>
                <w:u w:val="none"/>
                <w:lang w:val="en-US" w:eastAsia="zh-CN"/>
              </w:rPr>
              <w:t>排放总量3.1357kg/a，NH</w:t>
            </w:r>
            <w:r>
              <w:rPr>
                <w:rFonts w:hint="eastAsia"/>
                <w:kern w:val="0"/>
                <w:sz w:val="24"/>
                <w:szCs w:val="24"/>
                <w:u w:val="none"/>
                <w:vertAlign w:val="subscript"/>
                <w:lang w:val="en-US" w:eastAsia="zh-CN"/>
              </w:rPr>
              <w:t>3</w:t>
            </w:r>
            <w:r>
              <w:rPr>
                <w:rFonts w:hint="eastAsia"/>
                <w:kern w:val="0"/>
                <w:sz w:val="24"/>
                <w:szCs w:val="24"/>
                <w:u w:val="none"/>
                <w:lang w:val="en-US" w:eastAsia="zh-CN"/>
              </w:rPr>
              <w:t>-N排放总量0.0131kg/a。</w:t>
            </w:r>
          </w:p>
          <w:p>
            <w:pPr>
              <w:pStyle w:val="21"/>
              <w:jc w:val="center"/>
              <w:rPr>
                <w:rFonts w:hint="eastAsia"/>
                <w:b/>
                <w:bCs/>
                <w:sz w:val="24"/>
                <w:vertAlign w:val="baseline"/>
                <w:lang w:val="en-US" w:eastAsia="zh-CN"/>
              </w:rPr>
            </w:pPr>
            <w:r>
              <w:rPr>
                <w:rFonts w:hint="eastAsia"/>
                <w:b/>
                <w:bCs/>
                <w:sz w:val="24"/>
                <w:vertAlign w:val="baseline"/>
                <w:lang w:val="en-US" w:eastAsia="zh-CN"/>
              </w:rPr>
              <w:t>表3-7  项目改建前后污染物排放“三本帐”</w:t>
            </w:r>
          </w:p>
          <w:tbl>
            <w:tblPr>
              <w:tblStyle w:val="16"/>
              <w:tblW w:w="84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97"/>
              <w:gridCol w:w="1153"/>
              <w:gridCol w:w="1024"/>
              <w:gridCol w:w="1024"/>
              <w:gridCol w:w="1025"/>
              <w:gridCol w:w="1282"/>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460" w:type="dxa"/>
                  <w:gridSpan w:val="7"/>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b/>
                      <w:bCs/>
                      <w:sz w:val="21"/>
                      <w:szCs w:val="21"/>
                      <w:u w:val="single"/>
                      <w:lang w:val="en-US" w:eastAsia="zh-CN"/>
                    </w:rPr>
                    <w:t>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797" w:type="dxa"/>
                  <w:vMerge w:val="restart"/>
                  <w:tcBorders>
                    <w:tl2br w:val="nil"/>
                    <w:tr2bl w:val="nil"/>
                  </w:tcBorders>
                  <w:shd w:val="clear" w:color="auto" w:fill="auto"/>
                  <w:noWrap/>
                  <w:vAlign w:val="center"/>
                </w:tcPr>
                <w:p>
                  <w:pPr>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类型</w:t>
                  </w:r>
                </w:p>
              </w:tc>
              <w:tc>
                <w:tcPr>
                  <w:tcW w:w="217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改建前</w:t>
                  </w:r>
                </w:p>
              </w:tc>
              <w:tc>
                <w:tcPr>
                  <w:tcW w:w="2049"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改建后</w:t>
                  </w:r>
                </w:p>
              </w:tc>
              <w:tc>
                <w:tcPr>
                  <w:tcW w:w="243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变化量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797" w:type="dxa"/>
                  <w:vMerge w:val="continue"/>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p>
              </w:tc>
              <w:tc>
                <w:tcPr>
                  <w:tcW w:w="1153"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CODcr</w:t>
                  </w:r>
                </w:p>
              </w:tc>
              <w:tc>
                <w:tcPr>
                  <w:tcW w:w="1024"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氨氮</w:t>
                  </w:r>
                </w:p>
              </w:tc>
              <w:tc>
                <w:tcPr>
                  <w:tcW w:w="1024"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CODcr</w:t>
                  </w:r>
                </w:p>
              </w:tc>
              <w:tc>
                <w:tcPr>
                  <w:tcW w:w="1025"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氨氮</w:t>
                  </w:r>
                </w:p>
              </w:tc>
              <w:tc>
                <w:tcPr>
                  <w:tcW w:w="1282"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CODcr</w:t>
                  </w:r>
                </w:p>
              </w:tc>
              <w:tc>
                <w:tcPr>
                  <w:tcW w:w="1155"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生活污水</w:t>
                  </w:r>
                </w:p>
              </w:tc>
              <w:tc>
                <w:tcPr>
                  <w:tcW w:w="1153"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92.39</w:t>
                  </w:r>
                </w:p>
              </w:tc>
              <w:tc>
                <w:tcPr>
                  <w:tcW w:w="1024"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7.32</w:t>
                  </w:r>
                </w:p>
              </w:tc>
              <w:tc>
                <w:tcPr>
                  <w:tcW w:w="1024"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w:t>
                  </w:r>
                </w:p>
              </w:tc>
              <w:tc>
                <w:tcPr>
                  <w:tcW w:w="1025"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w:t>
                  </w:r>
                </w:p>
              </w:tc>
              <w:tc>
                <w:tcPr>
                  <w:tcW w:w="1282"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-92.39</w:t>
                  </w:r>
                </w:p>
              </w:tc>
              <w:tc>
                <w:tcPr>
                  <w:tcW w:w="1155"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实验室废水</w:t>
                  </w:r>
                </w:p>
              </w:tc>
              <w:tc>
                <w:tcPr>
                  <w:tcW w:w="1153"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2.7001</w:t>
                  </w:r>
                </w:p>
              </w:tc>
              <w:tc>
                <w:tcPr>
                  <w:tcW w:w="1024"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0.0113</w:t>
                  </w:r>
                </w:p>
              </w:tc>
              <w:tc>
                <w:tcPr>
                  <w:tcW w:w="1024"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3.1357</w:t>
                  </w:r>
                </w:p>
              </w:tc>
              <w:tc>
                <w:tcPr>
                  <w:tcW w:w="1025"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0.0131</w:t>
                  </w:r>
                </w:p>
              </w:tc>
              <w:tc>
                <w:tcPr>
                  <w:tcW w:w="1282"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0.4356</w:t>
                  </w:r>
                </w:p>
              </w:tc>
              <w:tc>
                <w:tcPr>
                  <w:tcW w:w="1155"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合计</w:t>
                  </w:r>
                </w:p>
              </w:tc>
              <w:tc>
                <w:tcPr>
                  <w:tcW w:w="1153"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95.0901</w:t>
                  </w:r>
                </w:p>
              </w:tc>
              <w:tc>
                <w:tcPr>
                  <w:tcW w:w="1024"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7.3313</w:t>
                  </w:r>
                </w:p>
              </w:tc>
              <w:tc>
                <w:tcPr>
                  <w:tcW w:w="1024"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lang w:val="en-US" w:eastAsia="zh-CN"/>
                    </w:rPr>
                    <w:t>3.1357</w:t>
                  </w:r>
                </w:p>
              </w:tc>
              <w:tc>
                <w:tcPr>
                  <w:tcW w:w="1025"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lang w:val="en-US" w:eastAsia="zh-CN"/>
                    </w:rPr>
                    <w:t>0.0131</w:t>
                  </w:r>
                </w:p>
              </w:tc>
              <w:tc>
                <w:tcPr>
                  <w:tcW w:w="1282"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-91.9544</w:t>
                  </w:r>
                </w:p>
              </w:tc>
              <w:tc>
                <w:tcPr>
                  <w:tcW w:w="1155" w:type="dxa"/>
                  <w:tcBorders>
                    <w:bottom w:val="single" w:color="auto" w:sz="12" w:space="0"/>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-7.3182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460" w:type="dxa"/>
                  <w:gridSpan w:val="7"/>
                  <w:tcBorders>
                    <w:top w:val="single" w:color="auto" w:sz="12" w:space="0"/>
                    <w:left w:val="single" w:color="auto" w:sz="12" w:space="0"/>
                    <w:right w:val="single" w:color="auto" w:sz="12" w:space="0"/>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b/>
                      <w:bCs/>
                      <w:sz w:val="21"/>
                      <w:szCs w:val="21"/>
                      <w:u w:val="single"/>
                      <w:lang w:val="en-US" w:eastAsia="zh-CN"/>
                    </w:rPr>
                    <w:t>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vMerge w:val="restart"/>
                  <w:tcBorders>
                    <w:tl2br w:val="nil"/>
                    <w:tr2bl w:val="nil"/>
                  </w:tcBorders>
                  <w:shd w:val="clear" w:color="auto" w:fill="auto"/>
                  <w:noWrap/>
                  <w:vAlign w:val="center"/>
                </w:tcPr>
                <w:p>
                  <w:pPr>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类型</w:t>
                  </w:r>
                </w:p>
              </w:tc>
              <w:tc>
                <w:tcPr>
                  <w:tcW w:w="2177" w:type="dxa"/>
                  <w:gridSpan w:val="2"/>
                  <w:tcBorders>
                    <w:tl2br w:val="nil"/>
                    <w:tr2bl w:val="nil"/>
                  </w:tcBorders>
                  <w:shd w:val="clear" w:color="auto" w:fill="auto"/>
                  <w:noWrap/>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lang w:val="en-US" w:eastAsia="zh-CN"/>
                    </w:rPr>
                    <w:t>改建前</w:t>
                  </w:r>
                </w:p>
              </w:tc>
              <w:tc>
                <w:tcPr>
                  <w:tcW w:w="2049" w:type="dxa"/>
                  <w:gridSpan w:val="2"/>
                  <w:tcBorders>
                    <w:tl2br w:val="nil"/>
                    <w:tr2bl w:val="nil"/>
                  </w:tcBorders>
                  <w:shd w:val="clear" w:color="auto" w:fill="auto"/>
                  <w:noWrap/>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lang w:val="en-US" w:eastAsia="zh-CN"/>
                    </w:rPr>
                    <w:t>改建后</w:t>
                  </w:r>
                </w:p>
              </w:tc>
              <w:tc>
                <w:tcPr>
                  <w:tcW w:w="2437" w:type="dxa"/>
                  <w:gridSpan w:val="2"/>
                  <w:tcBorders>
                    <w:tl2br w:val="nil"/>
                    <w:tr2bl w:val="nil"/>
                  </w:tcBorders>
                  <w:shd w:val="clear" w:color="auto" w:fill="auto"/>
                  <w:noWrap/>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lang w:val="en-US" w:eastAsia="zh-CN"/>
                    </w:rPr>
                    <w:t>变化量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vMerge w:val="continue"/>
                  <w:tcBorders>
                    <w:tl2br w:val="nil"/>
                    <w:tr2bl w:val="nil"/>
                  </w:tcBorders>
                  <w:shd w:val="clear" w:color="auto" w:fill="auto"/>
                  <w:noWrap/>
                  <w:vAlign w:val="center"/>
                </w:tcPr>
                <w:p>
                  <w:pPr>
                    <w:jc w:val="center"/>
                    <w:rPr>
                      <w:rFonts w:hint="default" w:ascii="Times New Roman" w:hAnsi="Times New Roman" w:cs="Times New Roman"/>
                      <w:sz w:val="21"/>
                      <w:szCs w:val="21"/>
                      <w:u w:val="single"/>
                      <w:lang w:val="en-US" w:eastAsia="zh-CN"/>
                    </w:rPr>
                  </w:pPr>
                </w:p>
              </w:tc>
              <w:tc>
                <w:tcPr>
                  <w:tcW w:w="217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NO</w:t>
                  </w:r>
                  <w:r>
                    <w:rPr>
                      <w:rFonts w:hint="eastAsia" w:cs="Times New Roman"/>
                      <w:sz w:val="21"/>
                      <w:szCs w:val="21"/>
                      <w:u w:val="single"/>
                      <w:vertAlign w:val="subscript"/>
                      <w:lang w:val="en-US" w:eastAsia="zh-CN"/>
                    </w:rPr>
                    <w:t>x</w:t>
                  </w:r>
                </w:p>
              </w:tc>
              <w:tc>
                <w:tcPr>
                  <w:tcW w:w="2049"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NO</w:t>
                  </w:r>
                  <w:r>
                    <w:rPr>
                      <w:rFonts w:hint="eastAsia" w:cs="Times New Roman"/>
                      <w:sz w:val="21"/>
                      <w:szCs w:val="21"/>
                      <w:u w:val="single"/>
                      <w:vertAlign w:val="subscript"/>
                      <w:lang w:val="en-US" w:eastAsia="zh-CN"/>
                    </w:rPr>
                    <w:t>x</w:t>
                  </w:r>
                </w:p>
              </w:tc>
              <w:tc>
                <w:tcPr>
                  <w:tcW w:w="243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NO</w:t>
                  </w:r>
                  <w:r>
                    <w:rPr>
                      <w:rFonts w:hint="eastAsia" w:cs="Times New Roman"/>
                      <w:sz w:val="21"/>
                      <w:szCs w:val="21"/>
                      <w:u w:val="single"/>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消解废气</w:t>
                  </w:r>
                </w:p>
              </w:tc>
              <w:tc>
                <w:tcPr>
                  <w:tcW w:w="217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0.655</w:t>
                  </w:r>
                </w:p>
              </w:tc>
              <w:tc>
                <w:tcPr>
                  <w:tcW w:w="2049"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0.655</w:t>
                  </w:r>
                </w:p>
              </w:tc>
              <w:tc>
                <w:tcPr>
                  <w:tcW w:w="243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试剂挥发废气</w:t>
                  </w:r>
                </w:p>
              </w:tc>
              <w:tc>
                <w:tcPr>
                  <w:tcW w:w="217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0.1064</w:t>
                  </w:r>
                </w:p>
              </w:tc>
              <w:tc>
                <w:tcPr>
                  <w:tcW w:w="2049"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0.1064</w:t>
                  </w:r>
                </w:p>
              </w:tc>
              <w:tc>
                <w:tcPr>
                  <w:tcW w:w="243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97" w:type="dxa"/>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合计</w:t>
                  </w:r>
                </w:p>
              </w:tc>
              <w:tc>
                <w:tcPr>
                  <w:tcW w:w="217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0.7614</w:t>
                  </w:r>
                </w:p>
              </w:tc>
              <w:tc>
                <w:tcPr>
                  <w:tcW w:w="2049"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b/>
                      <w:bCs/>
                      <w:sz w:val="21"/>
                      <w:szCs w:val="21"/>
                      <w:u w:val="single"/>
                      <w:lang w:val="en-US" w:eastAsia="zh-CN"/>
                    </w:rPr>
                    <w:t>0.7614</w:t>
                  </w:r>
                </w:p>
              </w:tc>
              <w:tc>
                <w:tcPr>
                  <w:tcW w:w="2437" w:type="dxa"/>
                  <w:gridSpan w:val="2"/>
                  <w:tcBorders>
                    <w:tl2br w:val="nil"/>
                    <w:tr2bl w:val="nil"/>
                  </w:tcBorders>
                  <w:shd w:val="clear" w:color="auto" w:fill="auto"/>
                  <w:noWrap/>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460" w:type="dxa"/>
                  <w:gridSpan w:val="7"/>
                  <w:tcBorders>
                    <w:tl2br w:val="nil"/>
                    <w:tr2bl w:val="nil"/>
                  </w:tcBorders>
                  <w:shd w:val="clear" w:color="auto" w:fill="auto"/>
                  <w:noWrap/>
                  <w:vAlign w:val="center"/>
                </w:tcPr>
                <w:p>
                  <w:pPr>
                    <w:jc w:val="left"/>
                    <w:rPr>
                      <w:rFonts w:hint="default" w:ascii="Times New Roman" w:hAnsi="Times New Roman" w:cs="Times New Roman"/>
                      <w:sz w:val="21"/>
                      <w:szCs w:val="21"/>
                      <w:u w:val="single"/>
                      <w:lang w:val="en-US" w:eastAsia="zh-CN"/>
                    </w:rPr>
                  </w:pPr>
                  <w:r>
                    <w:rPr>
                      <w:rFonts w:hint="eastAsia" w:ascii="仿宋" w:hAnsi="仿宋" w:eastAsia="仿宋" w:cs="仿宋"/>
                      <w:sz w:val="18"/>
                      <w:szCs w:val="18"/>
                      <w:u w:val="single"/>
                      <w:lang w:val="en-US" w:eastAsia="zh-CN"/>
                    </w:rPr>
                    <w:t>说明：单位均为kg/a。</w:t>
                  </w:r>
                </w:p>
              </w:tc>
            </w:tr>
          </w:tbl>
          <w:p>
            <w:pPr>
              <w:keepNext w:val="0"/>
              <w:keepLines w:val="0"/>
              <w:pageBreakBefore w:val="0"/>
              <w:widowControl w:val="0"/>
              <w:kinsoku w:val="0"/>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综上，环评</w:t>
            </w:r>
            <w:r>
              <w:rPr>
                <w:rFonts w:hint="default" w:ascii="Times New Roman" w:hAnsi="Times New Roman" w:eastAsia="宋体" w:cs="Times New Roman"/>
                <w:sz w:val="24"/>
                <w:szCs w:val="24"/>
                <w:lang w:val="en-US" w:eastAsia="zh-CN"/>
              </w:rPr>
              <w:t>建议项目改建后总量控制指标：废气NO</w:t>
            </w:r>
            <w:r>
              <w:rPr>
                <w:rFonts w:hint="default" w:ascii="Times New Roman" w:hAnsi="Times New Roman" w:eastAsia="宋体" w:cs="Times New Roman"/>
                <w:sz w:val="24"/>
                <w:szCs w:val="24"/>
                <w:vertAlign w:val="subscript"/>
                <w:lang w:val="en-US" w:eastAsia="zh-CN"/>
              </w:rPr>
              <w:t>x</w:t>
            </w:r>
            <w:r>
              <w:rPr>
                <w:rFonts w:hint="default" w:ascii="Times New Roman" w:hAnsi="Times New Roman" w:cs="Times New Roman"/>
                <w:sz w:val="24"/>
                <w:szCs w:val="24"/>
                <w:lang w:val="en-US" w:eastAsia="zh-CN"/>
              </w:rPr>
              <w:t>0.7614</w:t>
            </w:r>
            <w:r>
              <w:rPr>
                <w:rFonts w:hint="default" w:ascii="Times New Roman" w:hAnsi="Times New Roman" w:eastAsia="宋体" w:cs="Times New Roman"/>
                <w:sz w:val="24"/>
                <w:szCs w:val="24"/>
                <w:lang w:val="en-US" w:eastAsia="zh-CN"/>
              </w:rPr>
              <w:t>kg/a；废水COD</w:t>
            </w:r>
            <w:r>
              <w:rPr>
                <w:rFonts w:hint="default" w:ascii="Times New Roman" w:hAnsi="Times New Roman" w:eastAsia="宋体" w:cs="Times New Roman"/>
                <w:sz w:val="24"/>
                <w:szCs w:val="24"/>
                <w:vertAlign w:val="subscript"/>
                <w:lang w:val="en-US" w:eastAsia="zh-CN"/>
              </w:rPr>
              <w:t>cr</w:t>
            </w:r>
            <w:r>
              <w:rPr>
                <w:rFonts w:hint="default" w:ascii="Times New Roman" w:hAnsi="Times New Roman" w:cs="Times New Roman"/>
                <w:sz w:val="24"/>
                <w:szCs w:val="24"/>
                <w:lang w:val="en-US" w:eastAsia="zh-CN"/>
              </w:rPr>
              <w:t>3.1357</w:t>
            </w:r>
            <w:r>
              <w:rPr>
                <w:rFonts w:hint="default" w:ascii="Times New Roman" w:hAnsi="Times New Roman" w:eastAsia="宋体" w:cs="Times New Roman"/>
                <w:sz w:val="24"/>
                <w:szCs w:val="24"/>
                <w:lang w:val="en-US" w:eastAsia="zh-CN"/>
              </w:rPr>
              <w:t>kg/a，NH</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val="en-US" w:eastAsia="zh-CN"/>
              </w:rPr>
              <w:t>-N</w:t>
            </w:r>
            <w:r>
              <w:rPr>
                <w:rFonts w:hint="default" w:ascii="Times New Roman" w:hAnsi="Times New Roman" w:cs="Times New Roman"/>
                <w:sz w:val="24"/>
                <w:szCs w:val="24"/>
                <w:lang w:val="en-US" w:eastAsia="zh-CN"/>
              </w:rPr>
              <w:t>0.0131</w:t>
            </w:r>
            <w:r>
              <w:rPr>
                <w:rFonts w:hint="default" w:ascii="Times New Roman" w:hAnsi="Times New Roman" w:eastAsia="宋体" w:cs="Times New Roman"/>
                <w:sz w:val="24"/>
                <w:szCs w:val="24"/>
                <w:lang w:val="en-US" w:eastAsia="zh-CN"/>
              </w:rPr>
              <w:t>1kg/a。</w:t>
            </w:r>
          </w:p>
          <w:p>
            <w:pPr>
              <w:keepNext w:val="0"/>
              <w:keepLines w:val="0"/>
              <w:pageBreakBefore w:val="0"/>
              <w:widowControl w:val="0"/>
              <w:kinsoku w:val="0"/>
              <w:wordWrap w:val="0"/>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ascii="Times New Roman" w:hAnsi="Times New Roman" w:eastAsia="宋体" w:cs="Times New Roman"/>
                <w:b w:val="0"/>
                <w:bCs w:val="0"/>
                <w:color w:val="auto"/>
                <w:sz w:val="24"/>
                <w:szCs w:val="24"/>
                <w:u w:val="none" w:color="auto"/>
                <w:lang w:val="en-US" w:eastAsia="zh-CN"/>
              </w:rPr>
              <w:t>另</w:t>
            </w:r>
            <w:r>
              <w:rPr>
                <w:rFonts w:hint="eastAsia" w:ascii="Times New Roman" w:hAnsi="Times New Roman" w:eastAsia="宋体" w:cs="Times New Roman"/>
                <w:sz w:val="24"/>
                <w:lang w:val="en-US" w:eastAsia="zh-CN"/>
              </w:rPr>
              <w:t>外，疾控中心是由政府举办的实施国家级疾病预防控制与公共卫生技术管理和服务的公益事业单位</w:t>
            </w:r>
            <w:r>
              <w:rPr>
                <w:rFonts w:hint="eastAsia" w:cs="Times New Roman"/>
                <w:sz w:val="24"/>
                <w:lang w:val="en-US" w:eastAsia="zh-CN"/>
              </w:rPr>
              <w:t>，废水废气可纳入</w:t>
            </w:r>
            <w:r>
              <w:rPr>
                <w:rFonts w:hint="default" w:ascii="Times New Roman" w:hAnsi="Times New Roman" w:eastAsia="宋体" w:cs="Times New Roman"/>
                <w:sz w:val="24"/>
                <w:lang w:val="en-US" w:eastAsia="zh-CN"/>
              </w:rPr>
              <w:t>生活污染源</w:t>
            </w:r>
            <w:r>
              <w:rPr>
                <w:rFonts w:hint="eastAsia" w:cs="Times New Roman"/>
                <w:sz w:val="24"/>
                <w:lang w:val="en-US" w:eastAsia="zh-CN"/>
              </w:rPr>
              <w:t>，可按照</w:t>
            </w:r>
            <w:r>
              <w:rPr>
                <w:rFonts w:hint="default" w:ascii="Times New Roman" w:hAnsi="Times New Roman" w:eastAsia="宋体" w:cs="Times New Roman"/>
                <w:sz w:val="24"/>
                <w:lang w:val="en-US" w:eastAsia="zh-CN"/>
              </w:rPr>
              <w:t>污染物总量减排统计体系</w:t>
            </w:r>
            <w:r>
              <w:rPr>
                <w:rFonts w:hint="eastAsia" w:cs="Times New Roman"/>
                <w:sz w:val="24"/>
                <w:lang w:val="en-US" w:eastAsia="zh-CN"/>
              </w:rPr>
              <w:t>管理，</w:t>
            </w:r>
            <w:r>
              <w:rPr>
                <w:rFonts w:hint="eastAsia" w:ascii="Times New Roman" w:hAnsi="Times New Roman" w:eastAsia="宋体" w:cs="Times New Roman"/>
                <w:sz w:val="24"/>
                <w:lang w:val="en-US" w:eastAsia="zh-CN"/>
              </w:rPr>
              <w:t>无</w:t>
            </w:r>
            <w:r>
              <w:rPr>
                <w:rFonts w:hint="default" w:ascii="Times New Roman" w:hAnsi="Times New Roman" w:eastAsia="宋体" w:cs="Times New Roman"/>
                <w:sz w:val="24"/>
                <w:lang w:val="en-US" w:eastAsia="zh-CN"/>
              </w:rPr>
              <w:t>需购买</w:t>
            </w:r>
            <w:r>
              <w:rPr>
                <w:rFonts w:hint="eastAsia" w:cs="Times New Roman"/>
                <w:sz w:val="24"/>
                <w:lang w:val="en-US" w:eastAsia="zh-CN"/>
              </w:rPr>
              <w:t>排污权指标</w:t>
            </w:r>
            <w:r>
              <w:rPr>
                <w:rFonts w:hint="default" w:ascii="Times New Roman" w:hAnsi="Times New Roman" w:eastAsia="宋体" w:cs="Times New Roman"/>
                <w:sz w:val="24"/>
                <w:lang w:val="en-US" w:eastAsia="zh-CN"/>
              </w:rPr>
              <w:t>。</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pPr>
      <w:bookmarkStart w:id="12" w:name="_Toc6027"/>
      <w:bookmarkStart w:id="13" w:name="_Toc84686387"/>
      <w:r>
        <w:rPr>
          <w:rFonts w:hint="eastAsia"/>
        </w:rPr>
        <w:t>四、主要环境影响和保护措施</w:t>
      </w:r>
      <w:bookmarkEnd w:id="12"/>
      <w:bookmarkEnd w:id="13"/>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6" w:hRule="atLeast"/>
        </w:trPr>
        <w:tc>
          <w:tcPr>
            <w:tcW w:w="455" w:type="dxa"/>
            <w:vAlign w:val="center"/>
          </w:tcPr>
          <w:p>
            <w:pPr>
              <w:pStyle w:val="4"/>
              <w:bidi w:val="0"/>
              <w:rPr>
                <w:rFonts w:hint="default" w:ascii="Times New Roman" w:hAnsi="Times New Roman" w:cs="Times New Roman"/>
                <w:szCs w:val="24"/>
              </w:rPr>
            </w:pPr>
            <w:bookmarkStart w:id="14" w:name="_Toc18860"/>
            <w:r>
              <w:rPr>
                <w:rFonts w:hint="default" w:ascii="Times New Roman" w:hAnsi="Times New Roman" w:cs="Times New Roman"/>
              </w:rPr>
              <w:t>施工期环境保护措施</w:t>
            </w:r>
            <w:bookmarkEnd w:id="14"/>
          </w:p>
        </w:tc>
        <w:tc>
          <w:tcPr>
            <w:tcW w:w="8067"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针对施工期环境影响范围小、持续时间短的特点，应在整个施工期内做到科学、文明施工、精心安排、保证质量按量交付使用，使施工期对环境影响降至最小。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本项目施工期主要内容为搬迁、新购一批实验设备，对建设楼房屋顶、墙体进行翻新，总体工程量不大，不影响原有工程的正常运行。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一、废气污染物防治措施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施工期间对环境空气影响最主要的是扬尘。项目建筑物拆卸过程中产生施工扬尘；建材运输等过程中产生道路扬尘。拟采取的污染防治措施如下：</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（1）施工扬尘防治措施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a、在施工场地安排施工人员定期对施工场地洒水以减少扬尘量，洒水次数根据天气状况而定，一般每天洒水1~2次，若遇到大风或干燥天气可适当增加洒水次数；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对建筑垃圾及弃土应及时处理、清理、以减少占地，防止扬尘污染，改善施工场地的环境。在施工场地设置专人负责弃土、建筑垃圾、建筑材料的处置、清运和堆放，堆放场地加盖篷布或洒水，防治二次防尘。</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（2）机动车尾气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a、应尽量选用低能耗、低污染排放的施工机械和运输车辆，并加强施工机械的管理、保养、维护，减少因其状况不佳而造成的空气污染。</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二、施工期水污染物治理措施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施工期废水主要为员工产生的生活污水，由化粪池统一收集，委托相关单位利用清粪车转运至靖州县县城污水处理厂。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三、施工期声环境治理措施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施工期噪声影响是短暂的，一旦施工活动结束，施工噪声也将随之结束。为避免施工噪声对周围环境的影响，项目施工过程中应采取有效的噪声污染防治措施，将施工噪声影响降低至最小，施工期具体噪声防治措施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b、严格按照《建筑施工场界环境噪声排放标准》（GB12523-2011）中对建筑施工的有关管理规定和要求，严禁在中午(12:00～14:00)和夜间(22:00～次日早上6:00)期间作业；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c、对人为的施工噪声有相关的降噪措施和管理制度，并进行严格控制，最大限度地减少噪声扰民；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d、从声源上控制：①选用低噪声、低振动设备，采用低噪声、低振动施工工艺；②改造施工方法和操作方法，防止产生高噪声、高振动；③采取消声减振措施，努力使噪声、振动降低到对人体无害的水平。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e、由于项目施工期短，施工噪声随施工期结束而消失，在采取以上治理措施后对区域声环境产生的不利影响较小。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四、固体废物治理措施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施工期固体废物主要为本项目建设过程中产生的施工建筑垃圾、施工人员产生的生活垃圾，采取的污染防治措施如下：</w:t>
            </w:r>
          </w:p>
          <w:p>
            <w:pPr>
              <w:pStyle w:val="7"/>
              <w:spacing w:before="0" w:after="0" w:line="360" w:lineRule="auto"/>
              <w:ind w:right="0" w:firstLine="480" w:firstLineChars="200"/>
              <w:rPr>
                <w:rFonts w:hint="default" w:ascii="Times New Roman" w:hAnsi="Times New Roman" w:cs="Times New Roman"/>
                <w:kern w:val="2"/>
                <w:sz w:val="24"/>
                <w:szCs w:val="24"/>
              </w:rPr>
            </w:pPr>
            <w:r>
              <w:rPr>
                <w:rFonts w:hint="default" w:ascii="Times New Roman" w:hAnsi="Times New Roman" w:cs="Times New Roman"/>
                <w:sz w:val="24"/>
                <w:szCs w:val="24"/>
                <w:lang w:val="en-US" w:eastAsia="zh-CN"/>
              </w:rPr>
              <w:t>a、</w:t>
            </w:r>
            <w:r>
              <w:rPr>
                <w:rFonts w:hint="default" w:ascii="Times New Roman" w:hAnsi="Times New Roman" w:cs="Times New Roman"/>
                <w:kern w:val="2"/>
                <w:sz w:val="24"/>
                <w:szCs w:val="24"/>
              </w:rPr>
              <w:t>建筑材料应按用量进行调配，尽量做到不洒、不漏、不剩、不倒；</w:t>
            </w:r>
          </w:p>
          <w:p>
            <w:pPr>
              <w:pStyle w:val="7"/>
              <w:spacing w:before="0" w:after="0" w:line="360" w:lineRule="auto"/>
              <w:ind w:right="0"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lang w:val="en-US" w:eastAsia="zh-CN"/>
              </w:rPr>
              <w:t>b</w:t>
            </w:r>
            <w:r>
              <w:rPr>
                <w:rFonts w:hint="default" w:ascii="Times New Roman" w:hAnsi="Times New Roman" w:cs="Times New Roman"/>
                <w:kern w:val="2"/>
                <w:sz w:val="24"/>
                <w:szCs w:val="24"/>
                <w:lang w:eastAsia="zh-CN"/>
              </w:rPr>
              <w:t>、</w:t>
            </w:r>
            <w:r>
              <w:rPr>
                <w:rFonts w:hint="default" w:ascii="Times New Roman" w:hAnsi="Times New Roman" w:cs="Times New Roman"/>
                <w:kern w:val="2"/>
                <w:sz w:val="24"/>
                <w:szCs w:val="24"/>
              </w:rPr>
              <w:t>建筑垃圾与生活垃圾应分类收集，分类堆放；</w:t>
            </w:r>
          </w:p>
          <w:p>
            <w:pPr>
              <w:pStyle w:val="7"/>
              <w:spacing w:before="0" w:after="0" w:line="360" w:lineRule="auto"/>
              <w:ind w:right="0"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lang w:val="en-US" w:eastAsia="zh-CN"/>
              </w:rPr>
              <w:t>c</w:t>
            </w:r>
            <w:r>
              <w:rPr>
                <w:rFonts w:hint="default" w:ascii="Times New Roman" w:hAnsi="Times New Roman" w:cs="Times New Roman"/>
                <w:kern w:val="2"/>
                <w:sz w:val="24"/>
                <w:szCs w:val="24"/>
                <w:lang w:eastAsia="zh-CN"/>
              </w:rPr>
              <w:t>、</w:t>
            </w:r>
            <w:r>
              <w:rPr>
                <w:rFonts w:hint="default" w:ascii="Times New Roman" w:hAnsi="Times New Roman" w:cs="Times New Roman"/>
                <w:kern w:val="2"/>
                <w:sz w:val="24"/>
                <w:szCs w:val="24"/>
              </w:rPr>
              <w:t>生活垃圾及时收集在垃圾桶，由施工单位集中收集后清运至环卫部门指定地点集中处置；</w:t>
            </w:r>
          </w:p>
          <w:p>
            <w:pPr>
              <w:pStyle w:val="7"/>
              <w:spacing w:before="0" w:after="0" w:line="360" w:lineRule="auto"/>
              <w:ind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kern w:val="2"/>
                <w:sz w:val="24"/>
                <w:szCs w:val="24"/>
                <w:lang w:val="en-US" w:eastAsia="zh-CN"/>
              </w:rPr>
              <w:t>d</w:t>
            </w:r>
            <w:r>
              <w:rPr>
                <w:rFonts w:hint="default" w:ascii="Times New Roman" w:hAnsi="Times New Roman" w:cs="Times New Roman"/>
                <w:kern w:val="2"/>
                <w:sz w:val="24"/>
                <w:szCs w:val="24"/>
                <w:lang w:eastAsia="zh-CN"/>
              </w:rPr>
              <w:t>、</w:t>
            </w:r>
            <w:r>
              <w:rPr>
                <w:rFonts w:hint="default" w:ascii="Times New Roman" w:hAnsi="Times New Roman" w:cs="Times New Roman"/>
                <w:kern w:val="2"/>
                <w:sz w:val="24"/>
                <w:szCs w:val="24"/>
              </w:rPr>
              <w:t>建筑垃圾由各施工单位负责，对于可回用的尽可能回用，不能回用的建筑垃圾需运至指定的垃圾填埋场处理。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8" w:hRule="atLeast"/>
        </w:trPr>
        <w:tc>
          <w:tcPr>
            <w:tcW w:w="455" w:type="dxa"/>
            <w:vAlign w:val="center"/>
          </w:tcPr>
          <w:p>
            <w:pPr>
              <w:pStyle w:val="4"/>
              <w:bidi w:val="0"/>
              <w:rPr>
                <w:rFonts w:hint="default" w:ascii="Times New Roman" w:hAnsi="Times New Roman" w:cs="Times New Roman"/>
              </w:rPr>
            </w:pPr>
            <w:bookmarkStart w:id="15" w:name="_Toc21935"/>
            <w:r>
              <w:rPr>
                <w:rFonts w:hint="default" w:ascii="Times New Roman" w:hAnsi="Times New Roman" w:cs="Times New Roman"/>
              </w:rPr>
              <w:t>运营期环境影响和保护措施</w:t>
            </w:r>
            <w:bookmarkEnd w:id="15"/>
          </w:p>
        </w:tc>
        <w:tc>
          <w:tcPr>
            <w:tcW w:w="8067" w:type="dxa"/>
            <w:vAlign w:val="top"/>
          </w:tcPr>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一、废气</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（1）实验室废气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a、消解废气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由于项目改建后消解频次、规模、使用试剂的总量不变，因此消解废气源强不变，NO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排放总量</w:t>
            </w:r>
            <w:r>
              <w:rPr>
                <w:rFonts w:hint="default" w:ascii="Times New Roman" w:hAnsi="Times New Roman" w:cs="Times New Roman"/>
                <w:sz w:val="24"/>
                <w:szCs w:val="24"/>
                <w:u w:val="single"/>
                <w:vertAlign w:val="baseline"/>
                <w:lang w:val="en-US" w:eastAsia="zh-CN"/>
              </w:rPr>
              <w:t>0.655</w:t>
            </w:r>
            <w:r>
              <w:rPr>
                <w:rFonts w:hint="default" w:ascii="Times New Roman" w:hAnsi="Times New Roman" w:cs="Times New Roman"/>
                <w:sz w:val="24"/>
                <w:szCs w:val="24"/>
                <w:lang w:val="en-US" w:eastAsia="zh-CN"/>
              </w:rPr>
              <w:t>kg/a，排放速率</w:t>
            </w:r>
            <w:r>
              <w:rPr>
                <w:rFonts w:hint="default" w:ascii="Times New Roman" w:hAnsi="Times New Roman" w:cs="Times New Roman"/>
                <w:sz w:val="24"/>
                <w:szCs w:val="24"/>
                <w:u w:val="single"/>
                <w:vertAlign w:val="baseline"/>
                <w:lang w:val="en-US" w:eastAsia="zh-CN"/>
              </w:rPr>
              <w:t>0.0218</w:t>
            </w:r>
            <w:r>
              <w:rPr>
                <w:rFonts w:hint="default" w:ascii="Times New Roman" w:hAnsi="Times New Roman" w:cs="Times New Roman"/>
                <w:sz w:val="24"/>
                <w:szCs w:val="24"/>
                <w:lang w:val="en-US" w:eastAsia="zh-CN"/>
              </w:rPr>
              <w:t>kg/h，排放浓度</w:t>
            </w:r>
            <w:r>
              <w:rPr>
                <w:rFonts w:hint="default" w:ascii="Times New Roman" w:hAnsi="Times New Roman" w:cs="Times New Roman"/>
                <w:sz w:val="24"/>
                <w:szCs w:val="24"/>
                <w:u w:val="single"/>
                <w:vertAlign w:val="baseline"/>
                <w:lang w:val="en-US" w:eastAsia="zh-CN"/>
              </w:rPr>
              <w:t>10.92</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（具体核算过程可见“与项目有关的原有环境污染问题”章节），满足《大气污染物综合排放标准》（GB16297-1996）之表2中15m排气筒相关排放限值。</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b、试剂挥发废气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项目主要改建内容主要为搬迁及更新部分仪器，其实验内容、实验频次、实验规模基本不变，因此试剂挥发废气中污染物总量也与改建前一致；其中，硫酸雾1.765×10</w:t>
            </w:r>
            <w:r>
              <w:rPr>
                <w:rFonts w:hint="default" w:ascii="Times New Roman" w:hAnsi="Times New Roman" w:cs="Times New Roman"/>
                <w:sz w:val="24"/>
                <w:szCs w:val="24"/>
                <w:vertAlign w:val="superscript"/>
                <w:lang w:val="en-US" w:eastAsia="zh-CN"/>
              </w:rPr>
              <w:t>-5</w:t>
            </w:r>
            <w:r>
              <w:rPr>
                <w:rFonts w:hint="default" w:ascii="Times New Roman" w:hAnsi="Times New Roman" w:cs="Times New Roman"/>
                <w:sz w:val="24"/>
                <w:szCs w:val="24"/>
                <w:lang w:val="en-US" w:eastAsia="zh-CN"/>
              </w:rPr>
              <w:t>kg/a、磷酸雾0.2675kg/a、硝酸雾（以NOx计）0.1064kg/a、盐酸雾（以HCl计）0.1171kg/a，酸雾产生量共计0.49105kg/a（具体计算过程可见“与项目有关的原有环境污染问题”章节）。可见，项目试剂挥发废气量极小，基本不对环境构成影响。</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c、微生物实验废气</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次改建不新增微生物实验室，主要微生物实验室仍为HIV初筛实验室、病原微生物实验室、生化实验室、霉菌实验室、临检室、PCR实验室等微生物实验室。其中，生化实验室、临检室、HIV初筛实验室有检验楼搬迁至检验检测楼，PCR实验室已在检验检测楼建设，病原微生物实验室、霉菌实验室仍在检验楼内。各微生物实验室仍使用生物安全柜过滤废气，除PCR实验室外废气均为内循环，处置方式及设备型号不变。经HEPA滤网过滤后的尾气，其致病微生物基本均已被过滤，对周边环境基本不造成影响。</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  改建前后各微生物实验室废气</w:t>
            </w:r>
          </w:p>
          <w:tbl>
            <w:tblPr>
              <w:tblStyle w:val="16"/>
              <w:tblW w:w="769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950"/>
              <w:gridCol w:w="1718"/>
              <w:gridCol w:w="1362"/>
              <w:gridCol w:w="1350"/>
              <w:gridCol w:w="13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23" w:hRule="atLeast"/>
                <w:jc w:val="center"/>
              </w:trPr>
              <w:tc>
                <w:tcPr>
                  <w:tcW w:w="19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实验室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生物安全柜型号</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处理方式</w:t>
                  </w:r>
                </w:p>
              </w:tc>
              <w:tc>
                <w:tcPr>
                  <w:tcW w:w="13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尾气排放方式</w:t>
                  </w:r>
                </w:p>
              </w:tc>
              <w:tc>
                <w:tcPr>
                  <w:tcW w:w="13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23" w:hRule="atLeast"/>
                <w:jc w:val="center"/>
              </w:trPr>
              <w:tc>
                <w:tcPr>
                  <w:tcW w:w="19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HIV初筛实验室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BSC-1500ⅡA 2</w:t>
                  </w:r>
                </w:p>
              </w:tc>
              <w:tc>
                <w:tcPr>
                  <w:tcW w:w="13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HEPA滤网，对于0.3μm颗粒的过滤效率≥99.99%</w:t>
                  </w:r>
                </w:p>
              </w:tc>
              <w:tc>
                <w:tcPr>
                  <w:tcW w:w="13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内循环</w:t>
                  </w:r>
                </w:p>
              </w:tc>
              <w:tc>
                <w:tcPr>
                  <w:tcW w:w="13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搬迁至检验检测楼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23" w:hRule="atLeast"/>
                <w:jc w:val="center"/>
              </w:trPr>
              <w:tc>
                <w:tcPr>
                  <w:tcW w:w="19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临检室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HFsafe-1200LC</w:t>
                  </w:r>
                </w:p>
              </w:tc>
              <w:tc>
                <w:tcPr>
                  <w:tcW w:w="1362"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50"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16" w:type="dxa"/>
                  <w:vMerge w:val="continue"/>
                  <w:tcBorders>
                    <w:tl2br w:val="nil"/>
                    <w:tr2bl w:val="nil"/>
                  </w:tcBorders>
                  <w:shd w:val="clear" w:color="auto" w:fill="auto"/>
                  <w:vAlign w:val="center"/>
                </w:tcPr>
                <w:p>
                  <w:pPr>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19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生化实验室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BSC-110IIA2X</w:t>
                  </w:r>
                </w:p>
              </w:tc>
              <w:tc>
                <w:tcPr>
                  <w:tcW w:w="1362"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50"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16" w:type="dxa"/>
                  <w:vMerge w:val="continue"/>
                  <w:tcBorders>
                    <w:tl2br w:val="nil"/>
                    <w:tr2bl w:val="nil"/>
                  </w:tcBorders>
                  <w:shd w:val="clear" w:color="auto" w:fill="auto"/>
                  <w:vAlign w:val="center"/>
                </w:tcPr>
                <w:p>
                  <w:pPr>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23" w:hRule="atLeast"/>
                <w:jc w:val="center"/>
              </w:trPr>
              <w:tc>
                <w:tcPr>
                  <w:tcW w:w="19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病原微生物实验室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BSC-110IIA2X</w:t>
                  </w:r>
                </w:p>
              </w:tc>
              <w:tc>
                <w:tcPr>
                  <w:tcW w:w="1362"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50"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16" w:type="dxa"/>
                  <w:vMerge w:val="restart"/>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仍在检验楼内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23" w:hRule="atLeast"/>
                <w:jc w:val="center"/>
              </w:trPr>
              <w:tc>
                <w:tcPr>
                  <w:tcW w:w="19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霉菌实验室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BSC-110IIA2X</w:t>
                  </w:r>
                </w:p>
              </w:tc>
              <w:tc>
                <w:tcPr>
                  <w:tcW w:w="1362"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50"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16" w:type="dxa"/>
                  <w:vMerge w:val="continue"/>
                  <w:tcBorders>
                    <w:tl2br w:val="nil"/>
                    <w:tr2bl w:val="nil"/>
                  </w:tcBorders>
                  <w:shd w:val="clear" w:color="auto" w:fill="auto"/>
                  <w:vAlign w:val="center"/>
                </w:tcPr>
                <w:p>
                  <w:pPr>
                    <w:jc w:val="center"/>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23" w:hRule="atLeast"/>
                <w:jc w:val="center"/>
              </w:trPr>
              <w:tc>
                <w:tcPr>
                  <w:tcW w:w="19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PCR实验室</w:t>
                  </w: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BSC-110IIB2X</w:t>
                  </w:r>
                </w:p>
              </w:tc>
              <w:tc>
                <w:tcPr>
                  <w:tcW w:w="1362"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50"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lang w:val="en-US" w:eastAsia="zh-CN"/>
                    </w:rPr>
                    <w:t>内循环</w:t>
                  </w:r>
                </w:p>
              </w:tc>
              <w:tc>
                <w:tcPr>
                  <w:tcW w:w="1316" w:type="dxa"/>
                  <w:vMerge w:val="restart"/>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检验检测楼已建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1950"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BSC-1500IIB2-X</w:t>
                  </w:r>
                </w:p>
              </w:tc>
              <w:tc>
                <w:tcPr>
                  <w:tcW w:w="1362" w:type="dxa"/>
                  <w:vMerge w:val="continue"/>
                  <w:tcBorders>
                    <w:tl2br w:val="nil"/>
                    <w:tr2bl w:val="nil"/>
                  </w:tcBorders>
                  <w:shd w:val="clear" w:color="auto" w:fill="auto"/>
                  <w:vAlign w:val="center"/>
                </w:tcPr>
                <w:p>
                  <w:pPr>
                    <w:jc w:val="center"/>
                    <w:rPr>
                      <w:rFonts w:hint="default" w:ascii="Times New Roman" w:hAnsi="Times New Roman" w:cs="Times New Roman"/>
                    </w:rPr>
                  </w:pPr>
                </w:p>
              </w:tc>
              <w:tc>
                <w:tcPr>
                  <w:tcW w:w="13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排气口排至室外</w:t>
                  </w:r>
                </w:p>
              </w:tc>
              <w:tc>
                <w:tcPr>
                  <w:tcW w:w="131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bl>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（2）污水处理站恶臭气体</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改建后，项目实验室废水产生量增大，由111.573t/a增加至129.573t/a，污水处理规模增大，恶臭气体产生量也随之增大。</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依据“与项目有关的原有环境污染问题”章节的计算方法，每处理1g的BOD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，可产生0.0031g的NH</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和0.00012g的H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S，项目实验室废水进水BOD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浓度34.5mg/L，出水3.12mg/L，则改建后BOD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年产生量=（34.5-3.12）×129.573=4065g/a，NH</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及H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S产生量12.61g/a、0.4883g/a，较改建前增加1.761g/a，0.0681g/a。</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表4-2  恶臭污染物改建前后产生量对照</w:t>
            </w:r>
          </w:p>
          <w:tbl>
            <w:tblPr>
              <w:tblStyle w:val="17"/>
              <w:tblW w:w="6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5"/>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污染物</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改建前产生量</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改建后产生量</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增加量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10.85</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12.61</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vertAlign w:val="baseline"/>
                      <w:lang w:val="en-US" w:eastAsia="zh-CN"/>
                    </w:rPr>
                    <w:t>S</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0.4201</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0.4883</w:t>
                  </w:r>
                </w:p>
              </w:tc>
              <w:tc>
                <w:tcPr>
                  <w:tcW w:w="1705"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0.06816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20" w:type="dxa"/>
                  <w:gridSpan w:val="4"/>
                  <w:tcBorders>
                    <w:tl2br w:val="nil"/>
                    <w:tr2bl w:val="nil"/>
                  </w:tcBorders>
                  <w:vAlign w:val="center"/>
                </w:tcPr>
                <w:p>
                  <w:pPr>
                    <w:jc w:val="both"/>
                    <w:rPr>
                      <w:rFonts w:hint="default" w:ascii="Times New Roman" w:hAnsi="Times New Roman" w:cs="Times New Roman"/>
                      <w:lang w:val="en-US" w:eastAsia="zh-CN"/>
                    </w:rPr>
                  </w:pPr>
                  <w:r>
                    <w:rPr>
                      <w:rFonts w:hint="default" w:ascii="Times New Roman" w:hAnsi="Times New Roman" w:eastAsia="仿宋" w:cs="Times New Roman"/>
                      <w:sz w:val="18"/>
                      <w:szCs w:val="18"/>
                      <w:lang w:val="en-US" w:eastAsia="zh-CN"/>
                    </w:rPr>
                    <w:t>说明：单位均为g/a</w:t>
                  </w:r>
                </w:p>
              </w:tc>
            </w:tr>
          </w:tbl>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对此，环评报告要求建设单位在建设期落实好</w:t>
            </w:r>
            <w:r>
              <w:rPr>
                <w:rFonts w:hint="eastAsia" w:ascii="Times New Roman" w:hAnsi="Times New Roman" w:cs="Times New Roman"/>
                <w:sz w:val="24"/>
                <w:szCs w:val="24"/>
                <w:lang w:val="en-US" w:eastAsia="zh-CN"/>
              </w:rPr>
              <w:t>以下</w:t>
            </w:r>
            <w:r>
              <w:rPr>
                <w:rFonts w:hint="default" w:ascii="Times New Roman" w:hAnsi="Times New Roman" w:cs="Times New Roman"/>
                <w:sz w:val="24"/>
                <w:szCs w:val="24"/>
                <w:lang w:val="en-US" w:eastAsia="zh-CN"/>
              </w:rPr>
              <w:t>两点：</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a、加强污水处理设备密闭性，减少恶臭气味溢出量；</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b、在设备周边加强绿化，种植如</w:t>
            </w:r>
            <w:r>
              <w:rPr>
                <w:rFonts w:hint="default" w:ascii="Times New Roman" w:hAnsi="Times New Roman" w:cs="Times New Roman"/>
                <w:sz w:val="24"/>
                <w:szCs w:val="24"/>
              </w:rPr>
              <w:t>小叶黄杨</w:t>
            </w:r>
            <w:r>
              <w:rPr>
                <w:rFonts w:hint="default" w:ascii="Times New Roman" w:hAnsi="Times New Roman" w:cs="Times New Roman"/>
                <w:sz w:val="24"/>
                <w:szCs w:val="24"/>
                <w:lang w:eastAsia="zh-CN"/>
              </w:rPr>
              <w:t>、</w:t>
            </w:r>
            <w:r>
              <w:rPr>
                <w:rFonts w:hint="default" w:ascii="Times New Roman" w:hAnsi="Times New Roman" w:cs="Times New Roman"/>
                <w:sz w:val="24"/>
                <w:szCs w:val="24"/>
              </w:rPr>
              <w:t>木槿锦葵</w:t>
            </w:r>
            <w:r>
              <w:rPr>
                <w:rFonts w:hint="default" w:ascii="Times New Roman" w:hAnsi="Times New Roman" w:cs="Times New Roman"/>
                <w:sz w:val="24"/>
                <w:szCs w:val="24"/>
                <w:lang w:val="en-US" w:eastAsia="zh-CN"/>
              </w:rPr>
              <w:t>等灌木，以吸收刺鼻气味。</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综上，改建后，恶臭污染物排放量虽有所增加，但总量较小，建设单位在落实好环评提出的要求后，污水处理站恶臭气体对周围环境影响不大。</w:t>
            </w:r>
          </w:p>
          <w:p>
            <w:pPr>
              <w:numPr>
                <w:ilvl w:val="0"/>
                <w:numId w:val="0"/>
              </w:numPr>
              <w:tabs>
                <w:tab w:val="left" w:pos="1440"/>
                <w:tab w:val="left" w:pos="1800"/>
              </w:tabs>
              <w:spacing w:line="360" w:lineRule="auto"/>
              <w:ind w:left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（3）厨房油烟</w:t>
            </w:r>
          </w:p>
          <w:p>
            <w:pPr>
              <w:keepNext w:val="0"/>
              <w:keepLines w:val="0"/>
              <w:pageBreakBefore w:val="0"/>
              <w:widowControl w:val="0"/>
              <w:tabs>
                <w:tab w:val="left" w:pos="1440"/>
                <w:tab w:val="left" w:pos="1800"/>
              </w:tabs>
              <w:kinsoku/>
              <w:wordWrap/>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改建后靖州疾控无新增人员，仍为44人，用餐人数同样不变，为18人，因此食堂油烟排放量不变，排放浓度1.8mg/m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，满足《饮食业油烟排放标准（试行）》（GB18483-2001）标准限值，油烟≤2.0mg/m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。源强核算过程可见“与项目有关的原有环境污染问题”章节。</w:t>
            </w: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lang w:val="en-US" w:eastAsia="zh-CN"/>
              </w:rPr>
            </w:pPr>
          </w:p>
          <w:p>
            <w:pPr>
              <w:pStyle w:val="21"/>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表4-3  项目改建后废气排放一览表</w:t>
            </w:r>
          </w:p>
          <w:tbl>
            <w:tblPr>
              <w:tblStyle w:val="17"/>
              <w:tblW w:w="7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
              <w:gridCol w:w="698"/>
              <w:gridCol w:w="913"/>
              <w:gridCol w:w="778"/>
              <w:gridCol w:w="750"/>
              <w:gridCol w:w="765"/>
              <w:gridCol w:w="1305"/>
              <w:gridCol w:w="772"/>
              <w:gridCol w:w="779"/>
              <w:gridCol w:w="6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产排污环节</w:t>
                  </w:r>
                </w:p>
              </w:tc>
              <w:tc>
                <w:tcPr>
                  <w:tcW w:w="9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污染物种类</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rPr>
                    <w:t>产生浓度</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rPr>
                    <w:t>产生量</w:t>
                  </w:r>
                </w:p>
              </w:tc>
              <w:tc>
                <w:tcPr>
                  <w:tcW w:w="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排放形式</w:t>
                  </w:r>
                </w:p>
              </w:tc>
              <w:tc>
                <w:tcPr>
                  <w:tcW w:w="13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治理设施及效率</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排放浓度</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排放量</w:t>
                  </w:r>
                </w:p>
              </w:tc>
              <w:tc>
                <w:tcPr>
                  <w:tcW w:w="6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治理措施可行性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实验室废气</w:t>
                  </w:r>
                </w:p>
              </w:tc>
              <w:tc>
                <w:tcPr>
                  <w:tcW w:w="69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消解废气</w:t>
                  </w:r>
                </w:p>
              </w:tc>
              <w:tc>
                <w:tcPr>
                  <w:tcW w:w="9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2</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u w:val="single"/>
                      <w:vertAlign w:val="baseline"/>
                      <w:lang w:val="en-US" w:eastAsia="zh-CN"/>
                    </w:rPr>
                    <w:t>10.92</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u w:val="single"/>
                      <w:vertAlign w:val="baseline"/>
                      <w:lang w:val="en-US" w:eastAsia="zh-CN"/>
                    </w:rPr>
                    <w:t>0.655</w:t>
                  </w:r>
                </w:p>
              </w:tc>
              <w:tc>
                <w:tcPr>
                  <w:tcW w:w="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有组织</w:t>
                  </w:r>
                </w:p>
              </w:tc>
              <w:tc>
                <w:tcPr>
                  <w:tcW w:w="13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风机引至屋顶由15m排气口（DA001）排放</w:t>
                  </w: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u w:val="single"/>
                      <w:vertAlign w:val="baseline"/>
                      <w:lang w:val="en-US" w:eastAsia="zh-CN"/>
                    </w:rPr>
                    <w:t>10.92</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u w:val="single"/>
                      <w:vertAlign w:val="baseline"/>
                      <w:lang w:val="en-US" w:eastAsia="zh-CN"/>
                    </w:rPr>
                    <w:t>0.655</w:t>
                  </w:r>
                </w:p>
              </w:tc>
              <w:tc>
                <w:tcPr>
                  <w:tcW w:w="662"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98"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试剂挥发废气</w:t>
                  </w: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硫酸雾</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1.765×10</w:t>
                  </w:r>
                  <w:r>
                    <w:rPr>
                      <w:rFonts w:hint="default" w:ascii="Times New Roman" w:hAnsi="Times New Roman" w:cs="Times New Roman"/>
                      <w:vertAlign w:val="superscript"/>
                      <w:lang w:val="en-US" w:eastAsia="zh-CN"/>
                    </w:rPr>
                    <w:t>-5</w:t>
                  </w:r>
                </w:p>
              </w:tc>
              <w:tc>
                <w:tcPr>
                  <w:tcW w:w="76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130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加强通风</w:t>
                  </w: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1.765×10</w:t>
                  </w:r>
                  <w:r>
                    <w:rPr>
                      <w:rFonts w:hint="default" w:ascii="Times New Roman" w:hAnsi="Times New Roman" w:cs="Times New Roman"/>
                      <w:vertAlign w:val="superscript"/>
                      <w:lang w:val="en-US" w:eastAsia="zh-CN"/>
                    </w:rPr>
                    <w:t>-5</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98"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磷酸雾</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0.2675</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0.2675</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98"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硝酸雾(</w:t>
                  </w: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cs="Times New Roman"/>
                      <w:sz w:val="21"/>
                      <w:szCs w:val="21"/>
                      <w:vertAlign w:val="subscript"/>
                      <w:lang w:val="en-US" w:eastAsia="zh-CN"/>
                    </w:rPr>
                    <w:t>x</w:t>
                  </w:r>
                  <w:r>
                    <w:rPr>
                      <w:rFonts w:hint="default" w:ascii="Times New Roman" w:hAnsi="Times New Roman" w:cs="Times New Roman"/>
                      <w:sz w:val="21"/>
                      <w:szCs w:val="21"/>
                      <w:vertAlign w:val="baseline"/>
                      <w:lang w:val="en-US" w:eastAsia="zh-CN"/>
                    </w:rPr>
                    <w:t>)</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0.1064</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0.1064</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98"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盐酸雾（HCl）</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0.1171</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0.1171</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98"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三氯甲烷</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0.1134</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0.1134</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9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p>
              </w:tc>
              <w:tc>
                <w:tcPr>
                  <w:tcW w:w="69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微生物废气</w:t>
                  </w:r>
                </w:p>
              </w:tc>
              <w:tc>
                <w:tcPr>
                  <w:tcW w:w="9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致病细菌、病毒</w:t>
                  </w:r>
                </w:p>
              </w:tc>
              <w:tc>
                <w:tcPr>
                  <w:tcW w:w="77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13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设置7台生物安全柜，使用HEPA滤网，对于0.3μm颗粒的过滤效率≥99.99%</w:t>
                  </w:r>
                </w:p>
              </w:tc>
              <w:tc>
                <w:tcPr>
                  <w:tcW w:w="77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6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污水处理站恶臭气体</w:t>
                  </w: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0.01261</w:t>
                  </w:r>
                </w:p>
              </w:tc>
              <w:tc>
                <w:tcPr>
                  <w:tcW w:w="76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130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加强密封、绿化</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0.01261</w:t>
                  </w:r>
                </w:p>
              </w:tc>
              <w:tc>
                <w:tcPr>
                  <w:tcW w:w="662"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硫化氢</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0.0004883</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0.0004883</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臭气浓度</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氯气</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甲烷</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76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130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66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食堂油烟</w:t>
                  </w:r>
                </w:p>
              </w:tc>
              <w:tc>
                <w:tcPr>
                  <w:tcW w:w="913"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油烟</w:t>
                  </w:r>
                </w:p>
              </w:tc>
              <w:tc>
                <w:tcPr>
                  <w:tcW w:w="7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1.8</w:t>
                  </w:r>
                </w:p>
              </w:tc>
              <w:tc>
                <w:tcPr>
                  <w:tcW w:w="7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67.5</w:t>
                  </w:r>
                </w:p>
              </w:tc>
              <w:tc>
                <w:tcPr>
                  <w:tcW w:w="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13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加强通风、绿化</w:t>
                  </w:r>
                </w:p>
              </w:tc>
              <w:tc>
                <w:tcPr>
                  <w:tcW w:w="7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1.8</w:t>
                  </w:r>
                </w:p>
              </w:tc>
              <w:tc>
                <w:tcPr>
                  <w:tcW w:w="7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67.5</w:t>
                  </w:r>
                </w:p>
              </w:tc>
              <w:tc>
                <w:tcPr>
                  <w:tcW w:w="6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815" w:type="dxa"/>
                  <w:gridSpan w:val="10"/>
                  <w:tcBorders>
                    <w:tl2br w:val="nil"/>
                    <w:tr2bl w:val="nil"/>
                  </w:tcBorders>
                  <w:vAlign w:val="center"/>
                </w:tcPr>
                <w:p>
                  <w:pPr>
                    <w:keepNext w:val="0"/>
                    <w:keepLines w:val="0"/>
                    <w:pageBreakBefore w:val="0"/>
                    <w:widowControl w:val="0"/>
                    <w:kinsoku/>
                    <w:wordWrap/>
                    <w:overflowPunct/>
                    <w:topLinePunct w:val="0"/>
                    <w:bidi w:val="0"/>
                    <w:snapToGrid/>
                    <w:jc w:val="left"/>
                    <w:textAlignment w:val="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说明：</w:t>
                  </w:r>
                </w:p>
                <w:p>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lang w:val="en-US" w:eastAsia="zh-CN"/>
                    </w:rPr>
                  </w:pPr>
                  <w:r>
                    <w:rPr>
                      <w:rFonts w:hint="default" w:ascii="Times New Roman" w:hAnsi="Times New Roman" w:eastAsia="仿宋" w:cs="Times New Roman"/>
                      <w:sz w:val="18"/>
                      <w:szCs w:val="18"/>
                      <w:lang w:val="en-US" w:eastAsia="zh-CN"/>
                    </w:rPr>
                    <w:t>1、关于单位：污染物浓度为mg/m</w:t>
                  </w:r>
                  <w:r>
                    <w:rPr>
                      <w:rFonts w:hint="default" w:ascii="Times New Roman" w:hAnsi="Times New Roman" w:eastAsia="仿宋" w:cs="Times New Roman"/>
                      <w:sz w:val="18"/>
                      <w:szCs w:val="18"/>
                      <w:vertAlign w:val="superscript"/>
                      <w:lang w:val="en-US" w:eastAsia="zh-CN"/>
                    </w:rPr>
                    <w:t>3</w:t>
                  </w:r>
                  <w:r>
                    <w:rPr>
                      <w:rFonts w:hint="default" w:ascii="Times New Roman" w:hAnsi="Times New Roman" w:eastAsia="仿宋" w:cs="Times New Roman"/>
                      <w:sz w:val="18"/>
                      <w:szCs w:val="18"/>
                      <w:lang w:val="en-US" w:eastAsia="zh-CN"/>
                    </w:rPr>
                    <w:t>，产生量为kg/a</w:t>
                  </w:r>
                </w:p>
              </w:tc>
            </w:tr>
          </w:tbl>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（4）废气治理技术可行性分析</w:t>
            </w:r>
          </w:p>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项主要废气为消解时产生的NO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废气经风机引至屋顶由15m排气口有组织排放。由于项目每年仅进行1次消解，且消解时使用的试剂量不大（硝酸540ml/次），因此项目排放的废气总量不大；在不设置其他污染物治理设备的情况下排放，排放的废气浓度</w:t>
            </w:r>
            <w:r>
              <w:rPr>
                <w:rFonts w:hint="default" w:ascii="Times New Roman" w:hAnsi="Times New Roman" w:cs="Times New Roman"/>
                <w:sz w:val="24"/>
                <w:szCs w:val="24"/>
                <w:u w:val="single"/>
                <w:vertAlign w:val="baseline"/>
                <w:lang w:val="en-US" w:eastAsia="zh-CN"/>
              </w:rPr>
              <w:t>10.92</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，排放速率</w:t>
            </w:r>
            <w:r>
              <w:rPr>
                <w:rFonts w:hint="default" w:ascii="Times New Roman" w:hAnsi="Times New Roman" w:cs="Times New Roman"/>
                <w:sz w:val="24"/>
                <w:szCs w:val="24"/>
                <w:u w:val="single"/>
                <w:vertAlign w:val="baseline"/>
                <w:lang w:val="en-US" w:eastAsia="zh-CN"/>
              </w:rPr>
              <w:t>0.0218</w:t>
            </w:r>
            <w:r>
              <w:rPr>
                <w:rFonts w:hint="default" w:ascii="Times New Roman" w:hAnsi="Times New Roman" w:cs="Times New Roman"/>
                <w:sz w:val="24"/>
                <w:szCs w:val="24"/>
                <w:lang w:val="en-US" w:eastAsia="zh-CN"/>
              </w:rPr>
              <w:t>kg/h，可满足《大气污染物综合排放标准》（GB16297-1996）之表2中15m排气口排放限值，氮氧化物排放速率＜0.77kg/h，排放浓度＜240mg/m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环评依据《环境影响评价技术导则  大气环境》（HJ2.2-2018）中推荐的AERSCREEN模型对项目各废气进行了预测，其中：</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a：有组织排放的NO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。预测结果表明，NO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最大落地浓</w:t>
            </w:r>
            <w:r>
              <w:rPr>
                <w:rFonts w:hint="default" w:ascii="Times New Roman" w:hAnsi="Times New Roman" w:cs="Times New Roman"/>
                <w:sz w:val="24"/>
                <w:szCs w:val="24"/>
                <w:u w:val="single"/>
                <w:lang w:val="en-US" w:eastAsia="zh-CN"/>
              </w:rPr>
              <w:t>度0.00445</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，出现在排放口下风向48m处，满足排放标准限值。</w:t>
            </w:r>
          </w:p>
          <w:p>
            <w:pPr>
              <w:tabs>
                <w:tab w:val="left" w:pos="1440"/>
                <w:tab w:val="left" w:pos="1800"/>
              </w:tabs>
              <w:spacing w:line="360" w:lineRule="auto"/>
              <w:ind w:firstLine="360" w:firstLineChars="150"/>
              <w:rPr>
                <w:rFonts w:hint="default" w:ascii="Times New Roman" w:hAnsi="Times New Roman" w:cs="Times New Roman"/>
                <w:vertAlign w:val="baseline"/>
                <w:lang w:val="en-US" w:eastAsia="zh-CN"/>
              </w:rPr>
            </w:pPr>
            <w:r>
              <w:rPr>
                <w:rFonts w:hint="default" w:ascii="Times New Roman" w:hAnsi="Times New Roman" w:cs="Times New Roman"/>
                <w:sz w:val="24"/>
                <w:szCs w:val="24"/>
                <w:vertAlign w:val="baseline"/>
                <w:lang w:val="en-US" w:eastAsia="zh-CN"/>
              </w:rPr>
              <w:t>b：无组织排放的三氯甲烷、HCl、硫酸雾、NO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vertAlign w:val="baseline"/>
                <w:lang w:val="en-US" w:eastAsia="zh-CN"/>
              </w:rPr>
              <w:t>、硫化氢、氨最大落地浓度</w:t>
            </w:r>
            <w:r>
              <w:rPr>
                <w:rFonts w:hint="default" w:ascii="Times New Roman" w:hAnsi="Times New Roman" w:cs="Times New Roman"/>
                <w:sz w:val="24"/>
                <w:szCs w:val="24"/>
                <w:u w:val="single"/>
                <w:lang w:val="en-US" w:eastAsia="zh-CN"/>
              </w:rPr>
              <w:t>5.40×10</w:t>
            </w:r>
            <w:r>
              <w:rPr>
                <w:rFonts w:hint="default" w:ascii="Times New Roman" w:hAnsi="Times New Roman" w:cs="Times New Roman"/>
                <w:sz w:val="24"/>
                <w:szCs w:val="24"/>
                <w:u w:val="single"/>
                <w:vertAlign w:val="superscript"/>
                <w:lang w:val="en-US" w:eastAsia="zh-CN"/>
              </w:rPr>
              <w:t>-4</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vertAlign w:val="baseline"/>
                <w:lang w:val="en-US" w:eastAsia="zh-CN"/>
              </w:rPr>
              <w:t>、</w:t>
            </w:r>
            <w:r>
              <w:rPr>
                <w:rFonts w:hint="default" w:ascii="Times New Roman" w:hAnsi="Times New Roman" w:cs="Times New Roman"/>
                <w:sz w:val="24"/>
                <w:szCs w:val="24"/>
                <w:u w:val="single"/>
                <w:lang w:val="en-US" w:eastAsia="zh-CN"/>
              </w:rPr>
              <w:t>5.57×10</w:t>
            </w:r>
            <w:r>
              <w:rPr>
                <w:rFonts w:hint="default" w:ascii="Times New Roman" w:hAnsi="Times New Roman" w:cs="Times New Roman"/>
                <w:sz w:val="24"/>
                <w:szCs w:val="24"/>
                <w:u w:val="single"/>
                <w:vertAlign w:val="superscript"/>
                <w:lang w:val="en-US" w:eastAsia="zh-CN"/>
              </w:rPr>
              <w:t>-4</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vertAlign w:val="baseline"/>
                <w:lang w:val="en-US" w:eastAsia="zh-CN"/>
              </w:rPr>
              <w:t>、</w:t>
            </w:r>
            <w:r>
              <w:rPr>
                <w:rFonts w:hint="default" w:ascii="Times New Roman" w:hAnsi="Times New Roman" w:cs="Times New Roman"/>
                <w:sz w:val="24"/>
                <w:szCs w:val="24"/>
                <w:u w:val="single"/>
                <w:lang w:val="en-US" w:eastAsia="zh-CN"/>
              </w:rPr>
              <w:t>5.57×10</w:t>
            </w:r>
            <w:r>
              <w:rPr>
                <w:rFonts w:hint="default" w:ascii="Times New Roman" w:hAnsi="Times New Roman" w:cs="Times New Roman"/>
                <w:sz w:val="24"/>
                <w:szCs w:val="24"/>
                <w:u w:val="single"/>
                <w:vertAlign w:val="superscript"/>
                <w:lang w:val="en-US" w:eastAsia="zh-CN"/>
              </w:rPr>
              <w:t>-4</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vertAlign w:val="baseline"/>
                <w:lang w:val="en-US" w:eastAsia="zh-CN"/>
              </w:rPr>
              <w:t>、</w:t>
            </w:r>
            <w:r>
              <w:rPr>
                <w:rFonts w:hint="default" w:ascii="Times New Roman" w:hAnsi="Times New Roman" w:cs="Times New Roman"/>
                <w:sz w:val="24"/>
                <w:szCs w:val="24"/>
                <w:u w:val="single"/>
                <w:lang w:val="en-US" w:eastAsia="zh-CN"/>
              </w:rPr>
              <w:t>1.47×10</w:t>
            </w:r>
            <w:r>
              <w:rPr>
                <w:rFonts w:hint="default" w:ascii="Times New Roman" w:hAnsi="Times New Roman" w:cs="Times New Roman"/>
                <w:sz w:val="24"/>
                <w:szCs w:val="24"/>
                <w:u w:val="single"/>
                <w:vertAlign w:val="superscript"/>
                <w:lang w:val="en-US" w:eastAsia="zh-CN"/>
              </w:rPr>
              <w:t>-7</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vertAlign w:val="baseline"/>
                <w:lang w:val="en-US" w:eastAsia="zh-CN"/>
              </w:rPr>
              <w:t>、</w:t>
            </w:r>
            <w:r>
              <w:rPr>
                <w:rFonts w:hint="default" w:ascii="Times New Roman" w:hAnsi="Times New Roman" w:cs="Times New Roman"/>
                <w:sz w:val="24"/>
                <w:szCs w:val="24"/>
                <w:u w:val="single"/>
                <w:lang w:val="en-US" w:eastAsia="zh-CN"/>
              </w:rPr>
              <w:t>5.06×10</w:t>
            </w:r>
            <w:r>
              <w:rPr>
                <w:rFonts w:hint="default" w:ascii="Times New Roman" w:hAnsi="Times New Roman" w:cs="Times New Roman"/>
                <w:sz w:val="24"/>
                <w:szCs w:val="24"/>
                <w:u w:val="single"/>
                <w:vertAlign w:val="superscript"/>
                <w:lang w:val="en-US" w:eastAsia="zh-CN"/>
              </w:rPr>
              <w:t>-5</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vertAlign w:val="baseline"/>
                <w:lang w:val="en-US" w:eastAsia="zh-CN"/>
              </w:rPr>
              <w:t>、</w:t>
            </w:r>
            <w:r>
              <w:rPr>
                <w:rFonts w:hint="default" w:ascii="Times New Roman" w:hAnsi="Times New Roman" w:cs="Times New Roman"/>
                <w:sz w:val="24"/>
                <w:szCs w:val="24"/>
                <w:u w:val="single"/>
                <w:lang w:val="en-US" w:eastAsia="zh-CN"/>
              </w:rPr>
              <w:t>1.85×10</w:t>
            </w:r>
            <w:r>
              <w:rPr>
                <w:rFonts w:hint="default" w:ascii="Times New Roman" w:hAnsi="Times New Roman" w:cs="Times New Roman"/>
                <w:sz w:val="24"/>
                <w:szCs w:val="24"/>
                <w:u w:val="single"/>
                <w:vertAlign w:val="superscript"/>
                <w:lang w:val="en-US" w:eastAsia="zh-CN"/>
              </w:rPr>
              <w:t>-7</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u w:val="single"/>
                <w:vertAlign w:val="baseline"/>
                <w:lang w:val="en-US" w:eastAsia="zh-CN"/>
              </w:rPr>
              <w:t>、</w:t>
            </w:r>
            <w:r>
              <w:rPr>
                <w:rFonts w:hint="default" w:ascii="Times New Roman" w:hAnsi="Times New Roman" w:cs="Times New Roman"/>
                <w:sz w:val="24"/>
                <w:szCs w:val="24"/>
                <w:u w:val="single"/>
                <w:lang w:val="en-US" w:eastAsia="zh-CN"/>
              </w:rPr>
              <w:t>6.13×10</w:t>
            </w:r>
            <w:r>
              <w:rPr>
                <w:rFonts w:hint="default" w:ascii="Times New Roman" w:hAnsi="Times New Roman" w:cs="Times New Roman"/>
                <w:sz w:val="24"/>
                <w:szCs w:val="24"/>
                <w:u w:val="single"/>
                <w:vertAlign w:val="superscript"/>
                <w:lang w:val="en-US" w:eastAsia="zh-CN"/>
              </w:rPr>
              <w:t>-6</w:t>
            </w:r>
            <w:r>
              <w:rPr>
                <w:rFonts w:hint="default" w:ascii="Times New Roman" w:hAnsi="Times New Roman" w:cs="Times New Roman"/>
                <w:sz w:val="24"/>
                <w:szCs w:val="24"/>
                <w:u w:val="single"/>
                <w:lang w:val="en-US" w:eastAsia="zh-CN"/>
              </w:rPr>
              <w:t>mg/m</w:t>
            </w:r>
            <w:r>
              <w:rPr>
                <w:rFonts w:hint="default" w:ascii="Times New Roman" w:hAnsi="Times New Roman" w:cs="Times New Roman"/>
                <w:sz w:val="24"/>
                <w:szCs w:val="24"/>
                <w:u w:val="single"/>
                <w:vertAlign w:val="superscript"/>
                <w:lang w:val="en-US" w:eastAsia="zh-CN"/>
              </w:rPr>
              <w:t>3，</w:t>
            </w:r>
            <w:r>
              <w:rPr>
                <w:rFonts w:hint="default" w:ascii="Times New Roman" w:hAnsi="Times New Roman" w:cs="Times New Roman"/>
                <w:sz w:val="24"/>
                <w:szCs w:val="24"/>
                <w:vertAlign w:val="baseline"/>
                <w:lang w:val="en-US" w:eastAsia="zh-CN"/>
              </w:rPr>
              <w:t>出现在下风向26m处，均低于其无组织排放标准限制。</w:t>
            </w:r>
          </w:p>
          <w:p>
            <w:pPr>
              <w:pStyle w:val="21"/>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表4-4  项目主要废气排放口参数信息一览表</w:t>
            </w:r>
          </w:p>
          <w:tbl>
            <w:tblPr>
              <w:tblStyle w:val="17"/>
              <w:tblW w:w="779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948"/>
              <w:gridCol w:w="948"/>
              <w:gridCol w:w="906"/>
              <w:gridCol w:w="907"/>
              <w:gridCol w:w="997"/>
              <w:gridCol w:w="1082"/>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8" w:type="dxa"/>
                  <w:vMerge w:val="restart"/>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排放口</w:t>
                  </w:r>
                  <w:r>
                    <w:rPr>
                      <w:rFonts w:hint="default" w:ascii="Times New Roman" w:hAnsi="Times New Roman" w:cs="Times New Roman"/>
                      <w:b/>
                      <w:bCs/>
                      <w:sz w:val="21"/>
                      <w:szCs w:val="21"/>
                      <w:lang w:val="en-US" w:eastAsia="zh-CN"/>
                    </w:rPr>
                    <w:t>名称</w:t>
                  </w:r>
                </w:p>
              </w:tc>
              <w:tc>
                <w:tcPr>
                  <w:tcW w:w="948" w:type="dxa"/>
                  <w:vMerge w:val="restart"/>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排放口编号</w:t>
                  </w:r>
                </w:p>
              </w:tc>
              <w:tc>
                <w:tcPr>
                  <w:tcW w:w="948" w:type="dxa"/>
                  <w:vMerge w:val="restart"/>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污染种类</w:t>
                  </w:r>
                </w:p>
              </w:tc>
              <w:tc>
                <w:tcPr>
                  <w:tcW w:w="1813" w:type="dxa"/>
                  <w:gridSpan w:val="2"/>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排放口地理坐标</w:t>
                  </w:r>
                </w:p>
              </w:tc>
              <w:tc>
                <w:tcPr>
                  <w:tcW w:w="997" w:type="dxa"/>
                  <w:vMerge w:val="restart"/>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排气筒高度(m)</w:t>
                  </w:r>
                </w:p>
              </w:tc>
              <w:tc>
                <w:tcPr>
                  <w:tcW w:w="1082" w:type="dxa"/>
                  <w:vMerge w:val="restart"/>
                  <w:tcBorders>
                    <w:tl2br w:val="nil"/>
                    <w:tr2bl w:val="nil"/>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排气筒出口内径</w:t>
                  </w:r>
                </w:p>
              </w:tc>
              <w:tc>
                <w:tcPr>
                  <w:tcW w:w="1061" w:type="dxa"/>
                  <w:vMerge w:val="restart"/>
                  <w:tcBorders>
                    <w:tl2br w:val="nil"/>
                    <w:tr2bl w:val="nil"/>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排气温度（°C）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4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4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48" w:type="dxa"/>
                  <w:vMerge w:val="continue"/>
                  <w:tcBorders>
                    <w:tl2br w:val="nil"/>
                    <w:tr2bl w:val="nil"/>
                  </w:tcBorders>
                  <w:vAlign w:val="center"/>
                </w:tcPr>
                <w:p>
                  <w:pPr>
                    <w:jc w:val="center"/>
                    <w:rPr>
                      <w:rFonts w:hint="default" w:ascii="Times New Roman" w:hAnsi="Times New Roman" w:cs="Times New Roman"/>
                      <w:sz w:val="21"/>
                      <w:szCs w:val="21"/>
                    </w:rPr>
                  </w:pPr>
                </w:p>
              </w:tc>
              <w:tc>
                <w:tcPr>
                  <w:tcW w:w="906" w:type="dxa"/>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经度</w:t>
                  </w:r>
                </w:p>
              </w:tc>
              <w:tc>
                <w:tcPr>
                  <w:tcW w:w="907" w:type="dxa"/>
                  <w:tcBorders>
                    <w:tl2br w:val="nil"/>
                    <w:tr2bl w:val="nil"/>
                  </w:tcBorders>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纬度</w:t>
                  </w:r>
                </w:p>
              </w:tc>
              <w:tc>
                <w:tcPr>
                  <w:tcW w:w="997"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c>
                <w:tcPr>
                  <w:tcW w:w="1082"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c>
                <w:tcPr>
                  <w:tcW w:w="1061" w:type="dxa"/>
                  <w:vMerge w:val="continue"/>
                  <w:tcBorders>
                    <w:tl2br w:val="nil"/>
                    <w:tr2bl w:val="nil"/>
                  </w:tcBorders>
                  <w:vAlign w:val="center"/>
                </w:tcPr>
                <w:p>
                  <w:pPr>
                    <w:jc w:val="center"/>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48"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实验室废气排气口</w:t>
                  </w:r>
                </w:p>
              </w:tc>
              <w:tc>
                <w:tcPr>
                  <w:tcW w:w="948"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DA001</w:t>
                  </w:r>
                </w:p>
              </w:tc>
              <w:tc>
                <w:tcPr>
                  <w:tcW w:w="948"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NOx</w:t>
                  </w:r>
                </w:p>
              </w:tc>
              <w:tc>
                <w:tcPr>
                  <w:tcW w:w="906"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109.696680368</w:t>
                  </w:r>
                </w:p>
              </w:tc>
              <w:tc>
                <w:tcPr>
                  <w:tcW w:w="90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26.577038373</w:t>
                  </w:r>
                </w:p>
              </w:tc>
              <w:tc>
                <w:tcPr>
                  <w:tcW w:w="997"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1082"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w:t>
                  </w:r>
                </w:p>
              </w:tc>
              <w:tc>
                <w:tcPr>
                  <w:tcW w:w="1061"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常温</w:t>
                  </w:r>
                </w:p>
              </w:tc>
            </w:tr>
          </w:tbl>
          <w:p>
            <w:pPr>
              <w:pStyle w:val="21"/>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表4-5  AERSCREEN模型预测结果</w:t>
            </w:r>
          </w:p>
          <w:tbl>
            <w:tblPr>
              <w:tblStyle w:val="17"/>
              <w:tblW w:w="76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148"/>
              <w:gridCol w:w="1406"/>
              <w:gridCol w:w="1394"/>
              <w:gridCol w:w="1231"/>
              <w:gridCol w:w="11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29"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排放口</w:t>
                  </w:r>
                </w:p>
              </w:tc>
              <w:tc>
                <w:tcPr>
                  <w:tcW w:w="1148"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污染物</w:t>
                  </w:r>
                </w:p>
              </w:tc>
              <w:tc>
                <w:tcPr>
                  <w:tcW w:w="1406"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排放速率</w:t>
                  </w: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（kg/h）</w:t>
                  </w:r>
                </w:p>
              </w:tc>
              <w:tc>
                <w:tcPr>
                  <w:tcW w:w="1394"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最大落地浓度（mg/m</w:t>
                  </w:r>
                  <w:r>
                    <w:rPr>
                      <w:rFonts w:hint="default" w:ascii="Times New Roman" w:hAnsi="Times New Roman" w:cs="Times New Roman"/>
                      <w:b/>
                      <w:bCs/>
                      <w:vertAlign w:val="superscript"/>
                      <w:lang w:val="en-US" w:eastAsia="zh-CN"/>
                    </w:rPr>
                    <w:t>3</w:t>
                  </w:r>
                  <w:r>
                    <w:rPr>
                      <w:rFonts w:hint="default" w:ascii="Times New Roman" w:hAnsi="Times New Roman" w:cs="Times New Roman"/>
                      <w:b/>
                      <w:bCs/>
                      <w:lang w:val="en-US" w:eastAsia="zh-CN"/>
                    </w:rPr>
                    <w:t>）</w:t>
                  </w:r>
                </w:p>
              </w:tc>
              <w:tc>
                <w:tcPr>
                  <w:tcW w:w="1231"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无组织排放标准限值（mg/m</w:t>
                  </w:r>
                  <w:r>
                    <w:rPr>
                      <w:rFonts w:hint="default" w:ascii="Times New Roman" w:hAnsi="Times New Roman" w:cs="Times New Roman"/>
                      <w:b/>
                      <w:bCs/>
                      <w:vertAlign w:val="superscript"/>
                      <w:lang w:val="en-US" w:eastAsia="zh-CN"/>
                    </w:rPr>
                    <w:t>3</w:t>
                  </w:r>
                  <w:r>
                    <w:rPr>
                      <w:rFonts w:hint="default" w:ascii="Times New Roman" w:hAnsi="Times New Roman" w:cs="Times New Roman"/>
                      <w:b/>
                      <w:bCs/>
                      <w:lang w:val="en-US" w:eastAsia="zh-CN"/>
                    </w:rPr>
                    <w:t>）</w:t>
                  </w:r>
                </w:p>
              </w:tc>
              <w:tc>
                <w:tcPr>
                  <w:tcW w:w="1149"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下方向出现距离（m）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32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检验楼废气排放口(DA001)</w:t>
                  </w: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NOx</w:t>
                  </w:r>
                </w:p>
              </w:tc>
              <w:tc>
                <w:tcPr>
                  <w:tcW w:w="140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0.0589</w:t>
                  </w:r>
                </w:p>
              </w:tc>
              <w:tc>
                <w:tcPr>
                  <w:tcW w:w="1394"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0.00445</w:t>
                  </w:r>
                </w:p>
              </w:tc>
              <w:tc>
                <w:tcPr>
                  <w:tcW w:w="12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sz w:val="21"/>
                      <w:szCs w:val="21"/>
                      <w:u w:val="single"/>
                      <w:lang w:val="en-US" w:eastAsia="zh-CN"/>
                    </w:rPr>
                    <w:t>0.12</w:t>
                  </w:r>
                </w:p>
              </w:tc>
              <w:tc>
                <w:tcPr>
                  <w:tcW w:w="114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29"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无组织，将本单位视为面源</w:t>
                  </w: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三氯甲烷</w:t>
                  </w:r>
                </w:p>
              </w:tc>
              <w:tc>
                <w:tcPr>
                  <w:tcW w:w="140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9.072×10</w:t>
                  </w:r>
                  <w:r>
                    <w:rPr>
                      <w:rFonts w:hint="default" w:ascii="Times New Roman" w:hAnsi="Times New Roman" w:cs="Times New Roman"/>
                      <w:vertAlign w:val="superscript"/>
                      <w:lang w:val="en-US" w:eastAsia="zh-CN"/>
                    </w:rPr>
                    <w:t>-4</w:t>
                  </w:r>
                </w:p>
              </w:tc>
              <w:tc>
                <w:tcPr>
                  <w:tcW w:w="139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5.40×10</w:t>
                  </w:r>
                  <w:r>
                    <w:rPr>
                      <w:rFonts w:hint="default" w:ascii="Times New Roman" w:hAnsi="Times New Roman" w:cs="Times New Roman"/>
                      <w:vertAlign w:val="superscript"/>
                      <w:lang w:val="en-US" w:eastAsia="zh-CN"/>
                    </w:rPr>
                    <w:t>-4</w:t>
                  </w:r>
                </w:p>
              </w:tc>
              <w:tc>
                <w:tcPr>
                  <w:tcW w:w="1231"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9"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2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HCl</w:t>
                  </w:r>
                </w:p>
              </w:tc>
              <w:tc>
                <w:tcPr>
                  <w:tcW w:w="140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9.372×10</w:t>
                  </w:r>
                  <w:r>
                    <w:rPr>
                      <w:rFonts w:hint="default" w:ascii="Times New Roman" w:hAnsi="Times New Roman" w:cs="Times New Roman"/>
                      <w:sz w:val="21"/>
                      <w:szCs w:val="21"/>
                      <w:vertAlign w:val="superscript"/>
                      <w:lang w:val="en-US" w:eastAsia="zh-CN"/>
                    </w:rPr>
                    <w:t>-4</w:t>
                  </w:r>
                </w:p>
              </w:tc>
              <w:tc>
                <w:tcPr>
                  <w:tcW w:w="139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5.57×10</w:t>
                  </w:r>
                  <w:r>
                    <w:rPr>
                      <w:rFonts w:hint="default" w:ascii="Times New Roman" w:hAnsi="Times New Roman" w:cs="Times New Roman"/>
                      <w:vertAlign w:val="superscript"/>
                      <w:lang w:val="en-US" w:eastAsia="zh-CN"/>
                    </w:rPr>
                    <w:t>-4</w:t>
                  </w:r>
                </w:p>
              </w:tc>
              <w:tc>
                <w:tcPr>
                  <w:tcW w:w="1231"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0.024</w:t>
                  </w:r>
                </w:p>
              </w:tc>
              <w:tc>
                <w:tcPr>
                  <w:tcW w:w="1149"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2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硫酸雾</w:t>
                  </w:r>
                </w:p>
              </w:tc>
              <w:tc>
                <w:tcPr>
                  <w:tcW w:w="140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1.41×10</w:t>
                  </w:r>
                  <w:r>
                    <w:rPr>
                      <w:rFonts w:hint="default" w:ascii="Times New Roman" w:hAnsi="Times New Roman" w:cs="Times New Roman"/>
                      <w:sz w:val="21"/>
                      <w:szCs w:val="21"/>
                      <w:vertAlign w:val="superscript"/>
                      <w:lang w:val="en-US" w:eastAsia="zh-CN"/>
                    </w:rPr>
                    <w:t>-7</w:t>
                  </w:r>
                </w:p>
              </w:tc>
              <w:tc>
                <w:tcPr>
                  <w:tcW w:w="139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1.47×10</w:t>
                  </w:r>
                  <w:r>
                    <w:rPr>
                      <w:rFonts w:hint="default" w:ascii="Times New Roman" w:hAnsi="Times New Roman" w:cs="Times New Roman"/>
                      <w:vertAlign w:val="superscript"/>
                      <w:lang w:val="en-US" w:eastAsia="zh-CN"/>
                    </w:rPr>
                    <w:t>-7</w:t>
                  </w:r>
                </w:p>
              </w:tc>
              <w:tc>
                <w:tcPr>
                  <w:tcW w:w="1231"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1.2</w:t>
                  </w:r>
                </w:p>
              </w:tc>
              <w:tc>
                <w:tcPr>
                  <w:tcW w:w="1149"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2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x</w:t>
                  </w:r>
                </w:p>
              </w:tc>
              <w:tc>
                <w:tcPr>
                  <w:tcW w:w="140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8.510×10</w:t>
                  </w:r>
                  <w:r>
                    <w:rPr>
                      <w:rFonts w:hint="default" w:ascii="Times New Roman" w:hAnsi="Times New Roman" w:cs="Times New Roman"/>
                      <w:sz w:val="21"/>
                      <w:szCs w:val="21"/>
                      <w:vertAlign w:val="superscript"/>
                      <w:lang w:val="en-US" w:eastAsia="zh-CN"/>
                    </w:rPr>
                    <w:t>-4</w:t>
                  </w:r>
                </w:p>
              </w:tc>
              <w:tc>
                <w:tcPr>
                  <w:tcW w:w="139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5.06×10</w:t>
                  </w:r>
                  <w:r>
                    <w:rPr>
                      <w:rFonts w:hint="default" w:ascii="Times New Roman" w:hAnsi="Times New Roman" w:cs="Times New Roman"/>
                      <w:vertAlign w:val="superscript"/>
                      <w:lang w:val="en-US" w:eastAsia="zh-CN"/>
                    </w:rPr>
                    <w:t>-5</w:t>
                  </w:r>
                </w:p>
              </w:tc>
              <w:tc>
                <w:tcPr>
                  <w:tcW w:w="1231"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0.12</w:t>
                  </w:r>
                </w:p>
              </w:tc>
              <w:tc>
                <w:tcPr>
                  <w:tcW w:w="1149"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2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硫化氢</w:t>
                  </w:r>
                </w:p>
              </w:tc>
              <w:tc>
                <w:tcPr>
                  <w:tcW w:w="140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3.1×10</w:t>
                  </w:r>
                  <w:r>
                    <w:rPr>
                      <w:rFonts w:hint="default" w:ascii="Times New Roman" w:hAnsi="Times New Roman" w:cs="Times New Roman"/>
                      <w:sz w:val="21"/>
                      <w:szCs w:val="21"/>
                      <w:vertAlign w:val="superscript"/>
                      <w:lang w:val="en-US" w:eastAsia="zh-CN"/>
                    </w:rPr>
                    <w:t>-7</w:t>
                  </w:r>
                </w:p>
              </w:tc>
              <w:tc>
                <w:tcPr>
                  <w:tcW w:w="139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1.85×10</w:t>
                  </w:r>
                  <w:r>
                    <w:rPr>
                      <w:rFonts w:hint="default" w:ascii="Times New Roman" w:hAnsi="Times New Roman" w:cs="Times New Roman"/>
                      <w:vertAlign w:val="superscript"/>
                      <w:lang w:val="en-US" w:eastAsia="zh-CN"/>
                    </w:rPr>
                    <w:t>-7</w:t>
                  </w:r>
                </w:p>
              </w:tc>
              <w:tc>
                <w:tcPr>
                  <w:tcW w:w="1231"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0.03</w:t>
                  </w:r>
                </w:p>
              </w:tc>
              <w:tc>
                <w:tcPr>
                  <w:tcW w:w="1149"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2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14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w:t>
                  </w:r>
                </w:p>
              </w:tc>
              <w:tc>
                <w:tcPr>
                  <w:tcW w:w="140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1.031×10</w:t>
                  </w:r>
                  <w:r>
                    <w:rPr>
                      <w:rFonts w:hint="default" w:ascii="Times New Roman" w:hAnsi="Times New Roman" w:cs="Times New Roman"/>
                      <w:sz w:val="21"/>
                      <w:szCs w:val="21"/>
                      <w:vertAlign w:val="superscript"/>
                      <w:lang w:val="en-US" w:eastAsia="zh-CN"/>
                    </w:rPr>
                    <w:t>-5</w:t>
                  </w:r>
                </w:p>
              </w:tc>
              <w:tc>
                <w:tcPr>
                  <w:tcW w:w="139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6.13×10</w:t>
                  </w:r>
                  <w:r>
                    <w:rPr>
                      <w:rFonts w:hint="default" w:ascii="Times New Roman" w:hAnsi="Times New Roman" w:cs="Times New Roman"/>
                      <w:vertAlign w:val="superscript"/>
                      <w:lang w:val="en-US" w:eastAsia="zh-CN"/>
                    </w:rPr>
                    <w:t>-6</w:t>
                  </w:r>
                </w:p>
              </w:tc>
              <w:tc>
                <w:tcPr>
                  <w:tcW w:w="1231"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1.0</w:t>
                  </w:r>
                </w:p>
              </w:tc>
              <w:tc>
                <w:tcPr>
                  <w:tcW w:w="1149" w:type="dxa"/>
                  <w:vMerge w:val="continue"/>
                  <w:tcBorders>
                    <w:tl2br w:val="nil"/>
                    <w:tr2bl w:val="nil"/>
                  </w:tcBorders>
                  <w:vAlign w:val="center"/>
                </w:tcPr>
                <w:p>
                  <w:pPr>
                    <w:jc w:val="center"/>
                    <w:rPr>
                      <w:rFonts w:hint="default" w:ascii="Times New Roman" w:hAnsi="Times New Roman" w:cs="Times New Roman"/>
                      <w:lang w:val="en-US" w:eastAsia="zh-CN"/>
                    </w:rPr>
                  </w:pPr>
                </w:p>
              </w:tc>
            </w:tr>
          </w:tbl>
          <w:p>
            <w:pPr>
              <w:keepNext w:val="0"/>
              <w:keepLines w:val="0"/>
              <w:pageBreakBefore w:val="0"/>
              <w:widowControl w:val="0"/>
              <w:tabs>
                <w:tab w:val="left" w:pos="1440"/>
                <w:tab w:val="left" w:pos="1800"/>
              </w:tabs>
              <w:kinsoku w:val="0"/>
              <w:wordWrap w:val="0"/>
              <w:overflowPunct/>
              <w:topLinePunct/>
              <w:autoSpaceDE/>
              <w:autoSpaceDN/>
              <w:bidi w:val="0"/>
              <w:adjustRightInd/>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综上，有组织排放的消解废气可满足标准限值；依据预测结果，污染物落地后对周围环境空气影响不大，污染物治理技术可行。</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（5）改建后，大气影响结论</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a、实验室废气主要为实验室废气（消解废气、试剂挥发废气、微生物实验废气）、污水处理站恶臭气体、食堂油烟。</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b、由于改建后实验规模、内容、频次不变，因此实验室废气与食堂油烟的排放量、排放浓度与改建前一致。</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c、消解废气经风机引至屋顶由15m排气口排放，其中NO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排放速率：</w:t>
            </w:r>
            <w:r>
              <w:rPr>
                <w:rFonts w:hint="default" w:ascii="Times New Roman" w:hAnsi="Times New Roman" w:cs="Times New Roman"/>
                <w:sz w:val="24"/>
                <w:szCs w:val="24"/>
                <w:u w:val="single"/>
                <w:vertAlign w:val="baseline"/>
                <w:lang w:val="en-US" w:eastAsia="zh-CN"/>
              </w:rPr>
              <w:t>0.0218</w:t>
            </w:r>
            <w:r>
              <w:rPr>
                <w:rFonts w:hint="default" w:ascii="Times New Roman" w:hAnsi="Times New Roman" w:cs="Times New Roman"/>
                <w:sz w:val="24"/>
                <w:szCs w:val="24"/>
                <w:lang w:val="en-US" w:eastAsia="zh-CN"/>
              </w:rPr>
              <w:t>kg/h，排放浓度：</w:t>
            </w:r>
            <w:r>
              <w:rPr>
                <w:rFonts w:hint="default" w:ascii="Times New Roman" w:hAnsi="Times New Roman" w:cs="Times New Roman"/>
                <w:sz w:val="24"/>
                <w:szCs w:val="24"/>
                <w:u w:val="single"/>
                <w:vertAlign w:val="baseline"/>
                <w:lang w:val="en-US" w:eastAsia="zh-CN"/>
              </w:rPr>
              <w:t>10.92</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szCs w:val="24"/>
                <w:lang w:val="en-US" w:eastAsia="zh-CN"/>
              </w:rPr>
              <w:t>可满足《大气污染物综合排放标准》（GB16297-1996）之表2中15m排气口排放限值。</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d、试剂挥发废气中各污染物排放量：硫酸雾1.765×10</w:t>
            </w:r>
            <w:r>
              <w:rPr>
                <w:rFonts w:hint="default" w:ascii="Times New Roman" w:hAnsi="Times New Roman" w:cs="Times New Roman"/>
                <w:sz w:val="24"/>
                <w:szCs w:val="24"/>
                <w:vertAlign w:val="superscript"/>
                <w:lang w:val="en-US" w:eastAsia="zh-CN"/>
              </w:rPr>
              <w:t>-5</w:t>
            </w:r>
            <w:r>
              <w:rPr>
                <w:rFonts w:hint="default" w:ascii="Times New Roman" w:hAnsi="Times New Roman" w:cs="Times New Roman"/>
                <w:sz w:val="24"/>
                <w:szCs w:val="24"/>
                <w:lang w:val="en-US" w:eastAsia="zh-CN"/>
              </w:rPr>
              <w:t>kg/a，硝酸雾（NO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）0.1064kg/a，盐酸雾（HCl）0.1171kg/a，三氯甲烷0.1134kg/a。污染物排放总量不大，对周围环境影响较小。</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本项目共设置生物安全柜处理7台，用于处理实验产生的微生物废气。其中，1台废气经HEPA滤网过滤后外排，另外6台废气经HEPA滤网过滤后内循环。HEPA滤网对于0.3μm颗粒的过滤效率≥99.99%，净化后的尾气基本不含致病微生物。</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f、由于实验室废水量增加，因此污水处理站恶臭气体中NH</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排放量由10.85g/a增加至12.61g/a，H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S排放量由0.4201g/a增加至0.4883g/a，环评要求建设单位加强绿化及设备密封。</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g、本次改建无新增人员，因此食堂油烟产排量不变。经核算，产生的油烟排放浓度为1.8mg/m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，满足《饮食业油烟排放标准（试行）》（GB18483-2001）中相应的标准限值：油烟≤2.0mg/m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h、综上所述，本项目改建后废气中各污染物排放量不大，对环境造成的影响在可接受程度之内。</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二、废水</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（1）生活污水</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改建后，项目无新增人员，生活污水产生量不变（355.3t/a），依据</w:t>
            </w:r>
            <w:r>
              <w:rPr>
                <w:rFonts w:hint="default" w:ascii="Times New Roman" w:hAnsi="Times New Roman" w:cs="Times New Roman"/>
                <w:sz w:val="24"/>
                <w:szCs w:val="24"/>
              </w:rPr>
              <w:t>《生活污染源产排污系数手册》（试用版）</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确定各污染物源强：COD</w:t>
            </w:r>
            <w:r>
              <w:rPr>
                <w:rFonts w:hint="default" w:ascii="Times New Roman" w:hAnsi="Times New Roman" w:cs="Times New Roman"/>
                <w:sz w:val="24"/>
                <w:szCs w:val="24"/>
                <w:vertAlign w:val="subscript"/>
                <w:lang w:val="en-US" w:eastAsia="zh-CN"/>
              </w:rPr>
              <w:t>cr</w:t>
            </w:r>
            <w:r>
              <w:rPr>
                <w:rFonts w:hint="default" w:ascii="Times New Roman" w:hAnsi="Times New Roman" w:cs="Times New Roman"/>
                <w:sz w:val="24"/>
                <w:szCs w:val="24"/>
                <w:lang w:val="en-US" w:eastAsia="zh-CN"/>
              </w:rPr>
              <w:t>260mg/L，BOD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117mg/L、氨氮20.6mg/L、动植物油3.34mg/L、SS：200mg/L。</w:t>
            </w:r>
            <w:r>
              <w:rPr>
                <w:rFonts w:hint="default" w:ascii="Times New Roman" w:hAnsi="Times New Roman" w:cs="Times New Roman"/>
                <w:sz w:val="24"/>
                <w:szCs w:val="24"/>
                <w:u w:val="single"/>
                <w:lang w:val="en-US" w:eastAsia="zh-CN"/>
              </w:rPr>
              <w:t>生活污水排放方式由化粪池处理后直排至文昌溪改变为由化粪池处理后经清粪车收集转运至靖州县县城污水处理厂深度净化，</w:t>
            </w:r>
            <w:r>
              <w:rPr>
                <w:rFonts w:hint="default" w:ascii="Times New Roman" w:hAnsi="Times New Roman" w:eastAsia="宋体" w:cs="Times New Roman"/>
                <w:sz w:val="24"/>
                <w:szCs w:val="24"/>
                <w:u w:val="single"/>
                <w:lang w:val="en-US" w:eastAsia="zh-CN"/>
              </w:rPr>
              <w:t>净化后达《湖南省城镇污水处理厂主要水污染排放标准》(GB43-T1546-2018)中一级标准排入异溪河</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极大程度上减轻了其对环境造成负面影响。</w:t>
            </w:r>
          </w:p>
          <w:p>
            <w:pPr>
              <w:tabs>
                <w:tab w:val="left" w:pos="1440"/>
                <w:tab w:val="left" w:pos="1800"/>
              </w:tabs>
              <w:spacing w:line="360" w:lineRule="auto"/>
              <w:ind w:leftChars="1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清粪车转运可行性分析：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ascii="Times New Roman" w:hAnsi="Times New Roman" w:eastAsia="宋体" w:cs="Times New Roman"/>
                <w:b/>
                <w:bCs/>
                <w:sz w:val="24"/>
                <w:szCs w:val="24"/>
                <w:highlight w:val="none"/>
                <w:u w:val="single"/>
                <w:lang w:val="en-US" w:eastAsia="zh-CN"/>
              </w:rPr>
            </w:pPr>
            <w:r>
              <w:rPr>
                <w:rFonts w:hint="default" w:ascii="Times New Roman" w:hAnsi="Times New Roman" w:eastAsia="宋体" w:cs="Times New Roman"/>
                <w:b/>
                <w:bCs/>
                <w:sz w:val="24"/>
                <w:szCs w:val="24"/>
                <w:highlight w:val="none"/>
                <w:u w:val="single"/>
                <w:lang w:val="en-US" w:eastAsia="zh-CN"/>
              </w:rPr>
              <w:t>a、操作可行性分析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sz w:val="24"/>
                <w:szCs w:val="24"/>
                <w:highlight w:val="none"/>
                <w:u w:val="single"/>
                <w:vertAlign w:val="baseline"/>
                <w:lang w:val="en-US" w:eastAsia="zh-CN"/>
              </w:rPr>
            </w:pPr>
            <w:r>
              <w:rPr>
                <w:rFonts w:hint="default" w:ascii="Times New Roman" w:hAnsi="Times New Roman" w:cs="Times New Roman"/>
                <w:sz w:val="24"/>
                <w:szCs w:val="24"/>
                <w:highlight w:val="none"/>
                <w:u w:val="single"/>
                <w:lang w:val="en-US" w:eastAsia="zh-CN"/>
              </w:rPr>
              <w:t>本项目采用3级化粪池，化粪池总体积3×（2m×2m×2m）=24m</w:t>
            </w:r>
            <w:r>
              <w:rPr>
                <w:rFonts w:hint="default" w:ascii="Times New Roman" w:hAnsi="Times New Roman" w:cs="Times New Roman"/>
                <w:sz w:val="24"/>
                <w:szCs w:val="24"/>
                <w:highlight w:val="none"/>
                <w:u w:val="single"/>
                <w:vertAlign w:val="superscript"/>
                <w:lang w:val="en-US" w:eastAsia="zh-CN"/>
              </w:rPr>
              <w:t>2</w:t>
            </w:r>
            <w:r>
              <w:rPr>
                <w:rFonts w:hint="default" w:ascii="Times New Roman" w:hAnsi="Times New Roman" w:cs="Times New Roman"/>
                <w:sz w:val="24"/>
                <w:szCs w:val="24"/>
                <w:highlight w:val="none"/>
                <w:u w:val="single"/>
                <w:vertAlign w:val="baseline"/>
                <w:lang w:val="en-US" w:eastAsia="zh-CN"/>
              </w:rPr>
              <w:t>，已在一、二、三级池上预留了清粪口，吸粪车可直接进入院内，将直接将吸粪管</w:t>
            </w:r>
            <w:r>
              <w:rPr>
                <w:rFonts w:hint="eastAsia" w:ascii="Times New Roman" w:hAnsi="Times New Roman" w:cs="Times New Roman"/>
                <w:sz w:val="24"/>
                <w:szCs w:val="24"/>
                <w:highlight w:val="none"/>
                <w:u w:val="single"/>
                <w:vertAlign w:val="baseline"/>
                <w:lang w:val="en-US" w:eastAsia="zh-CN"/>
              </w:rPr>
              <w:t>伸入</w:t>
            </w:r>
            <w:r>
              <w:rPr>
                <w:rFonts w:hint="default" w:ascii="Times New Roman" w:hAnsi="Times New Roman" w:cs="Times New Roman"/>
                <w:sz w:val="24"/>
                <w:szCs w:val="24"/>
                <w:highlight w:val="none"/>
                <w:u w:val="single"/>
                <w:vertAlign w:val="baseline"/>
                <w:lang w:val="en-US" w:eastAsia="zh-CN"/>
              </w:rPr>
              <w:t>粪池内对其清空，无需建设额工程。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sz w:val="24"/>
                <w:szCs w:val="24"/>
                <w:u w:val="single"/>
                <w:vertAlign w:val="baseline"/>
                <w:lang w:val="en-US" w:eastAsia="zh-CN"/>
              </w:rPr>
            </w:pPr>
            <w:r>
              <w:rPr>
                <w:rFonts w:hint="default" w:ascii="Times New Roman" w:hAnsi="Times New Roman" w:cs="Times New Roman"/>
                <w:sz w:val="24"/>
                <w:szCs w:val="24"/>
                <w:highlight w:val="none"/>
                <w:u w:val="single"/>
                <w:vertAlign w:val="baseline"/>
                <w:lang w:val="en-US" w:eastAsia="zh-CN"/>
              </w:rPr>
              <w:t>本</w:t>
            </w:r>
            <w:r>
              <w:rPr>
                <w:rFonts w:hint="default" w:ascii="Times New Roman" w:hAnsi="Times New Roman" w:cs="Times New Roman"/>
                <w:sz w:val="24"/>
                <w:szCs w:val="24"/>
                <w:u w:val="single"/>
                <w:vertAlign w:val="baseline"/>
                <w:lang w:val="en-US" w:eastAsia="zh-CN"/>
              </w:rPr>
              <w:t>项目年生活废水产生量355.3t（1.421t/d）。假定生活污水在占化粪池总容积80</w:t>
            </w:r>
            <w:r>
              <w:rPr>
                <w:rFonts w:hint="default" w:ascii="Times New Roman" w:hAnsi="Times New Roman" w:eastAsia="宋体" w:cs="Times New Roman"/>
                <w:sz w:val="24"/>
                <w:szCs w:val="24"/>
                <w:u w:val="single"/>
                <w:vertAlign w:val="baseline"/>
                <w:lang w:val="en-US" w:eastAsia="zh-CN"/>
              </w:rPr>
              <w:t>％</w:t>
            </w:r>
            <w:r>
              <w:rPr>
                <w:rFonts w:hint="default" w:ascii="Times New Roman" w:hAnsi="Times New Roman" w:cs="Times New Roman"/>
                <w:sz w:val="24"/>
                <w:szCs w:val="24"/>
                <w:u w:val="single"/>
                <w:vertAlign w:val="baseline"/>
                <w:lang w:val="en-US" w:eastAsia="zh-CN"/>
              </w:rPr>
              <w:t>时清运，则约需每17天转运一次，转运频次在可接受范围内。</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ascii="Times New Roman" w:hAnsi="Times New Roman" w:eastAsia="宋体" w:cs="Times New Roman"/>
                <w:b/>
                <w:bCs/>
                <w:sz w:val="24"/>
                <w:szCs w:val="24"/>
                <w:highlight w:val="none"/>
                <w:u w:val="single"/>
                <w:lang w:val="en-US" w:eastAsia="zh-CN"/>
              </w:rPr>
            </w:pPr>
            <w:r>
              <w:rPr>
                <w:rFonts w:hint="default" w:ascii="Times New Roman" w:hAnsi="Times New Roman" w:eastAsia="宋体" w:cs="Times New Roman"/>
                <w:b/>
                <w:bCs/>
                <w:sz w:val="24"/>
                <w:szCs w:val="24"/>
                <w:highlight w:val="none"/>
                <w:u w:val="single"/>
                <w:lang w:val="en-US" w:eastAsia="zh-CN"/>
              </w:rPr>
              <w:t>b、工艺可行性分析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b w:val="0"/>
                <w:bCs w:val="0"/>
                <w:color w:val="auto"/>
                <w:kern w:val="0"/>
                <w:sz w:val="24"/>
                <w:szCs w:val="24"/>
                <w:u w:val="single"/>
                <w:lang w:val="en-US" w:eastAsia="zh-CN"/>
              </w:rPr>
            </w:pPr>
            <w:r>
              <w:rPr>
                <w:rFonts w:hint="default" w:ascii="Times New Roman" w:hAnsi="Times New Roman" w:cs="Times New Roman"/>
                <w:b w:val="0"/>
                <w:bCs w:val="0"/>
                <w:color w:val="auto"/>
                <w:kern w:val="0"/>
                <w:sz w:val="24"/>
                <w:szCs w:val="24"/>
                <w:u w:val="single"/>
                <w:lang w:val="en-US" w:eastAsia="zh-CN"/>
              </w:rPr>
              <w:t>化粪池工作过程大致来讲是四个环节：过滤沉淀-厌氧发酵-固体物分解-粪液排放。工作原理:污水首先由进水口排到第一格，在第一格里比重较大的固体物及寄生虫卵等物沉淀下来，开始初步的发酵分解，经第一格处理过的污水可分为三层：糊状粪皮、比较澄清的粪液、和固体状的粪渣。经过初步分解的粪液流入第二格，而漂浮在上面的粪皮和沉积在下面的粪渣则留在第一格继续发酵。在第二格中，粪液继续发酵分解，虫卵继续下沉，病原体逐渐死亡，粪液得到进一步无害化，产生的粪皮和粪渣厚度比第一格显著减少 。</w:t>
            </w:r>
            <w:r>
              <w:rPr>
                <w:rFonts w:hint="eastAsia" w:ascii="Times New Roman" w:hAnsi="Times New Roman" w:cs="Times New Roman"/>
                <w:b w:val="0"/>
                <w:bCs w:val="0"/>
                <w:color w:val="auto"/>
                <w:kern w:val="0"/>
                <w:sz w:val="24"/>
                <w:szCs w:val="24"/>
                <w:u w:val="single"/>
                <w:lang w:val="en-US" w:eastAsia="zh-CN"/>
              </w:rPr>
              <w:t>流入</w:t>
            </w:r>
            <w:r>
              <w:rPr>
                <w:rFonts w:hint="default" w:ascii="Times New Roman" w:hAnsi="Times New Roman" w:cs="Times New Roman"/>
                <w:b w:val="0"/>
                <w:bCs w:val="0"/>
                <w:color w:val="auto"/>
                <w:kern w:val="0"/>
                <w:sz w:val="24"/>
                <w:szCs w:val="24"/>
                <w:u w:val="single"/>
                <w:lang w:val="en-US" w:eastAsia="zh-CN"/>
              </w:rPr>
              <w:t>第三格的粪液一般已经腐熟，其中病菌和寄生虫卵已基本杀灭。第三格功能主要起暂时储存已基本无害的粪液作用。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default" w:ascii="Times New Roman" w:hAnsi="Times New Roman" w:eastAsia="宋体" w:cs="Times New Roman"/>
                <w:b/>
                <w:bCs/>
                <w:color w:val="auto"/>
                <w:kern w:val="0"/>
                <w:sz w:val="24"/>
                <w:szCs w:val="24"/>
                <w:u w:val="single"/>
                <w:lang w:val="en-US" w:eastAsia="zh-CN"/>
              </w:rPr>
            </w:pPr>
            <w:r>
              <w:rPr>
                <w:rFonts w:hint="default" w:ascii="Times New Roman" w:hAnsi="Times New Roman" w:eastAsia="宋体" w:cs="Times New Roman"/>
                <w:b/>
                <w:bCs/>
                <w:sz w:val="24"/>
                <w:szCs w:val="24"/>
                <w:highlight w:val="none"/>
                <w:u w:val="single"/>
                <w:lang w:val="en-US" w:eastAsia="zh-CN"/>
              </w:rPr>
              <w:t>c、</w:t>
            </w:r>
            <w:r>
              <w:rPr>
                <w:rFonts w:hint="default" w:ascii="Times New Roman" w:hAnsi="Times New Roman" w:eastAsia="宋体" w:cs="Times New Roman"/>
                <w:b/>
                <w:bCs/>
                <w:color w:val="auto"/>
                <w:kern w:val="0"/>
                <w:sz w:val="24"/>
                <w:szCs w:val="24"/>
                <w:u w:val="single"/>
                <w:lang w:val="en-US" w:eastAsia="zh-CN"/>
              </w:rPr>
              <w:t>进出水水质可行性分析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sz w:val="24"/>
                <w:u w:val="single" w:color="auto"/>
                <w:lang w:val="en-US" w:eastAsia="zh-CN"/>
              </w:rPr>
            </w:pPr>
            <w:r>
              <w:rPr>
                <w:rFonts w:hint="default" w:ascii="Times New Roman" w:hAnsi="Times New Roman" w:cs="Times New Roman"/>
                <w:b w:val="0"/>
                <w:bCs/>
                <w:color w:val="auto"/>
                <w:sz w:val="24"/>
                <w:szCs w:val="24"/>
                <w:u w:val="single" w:color="auto"/>
                <w:lang w:val="en-US" w:eastAsia="zh-CN"/>
              </w:rPr>
              <w:t>依据</w:t>
            </w:r>
            <w:r>
              <w:rPr>
                <w:rFonts w:hint="default" w:ascii="Times New Roman" w:hAnsi="Times New Roman" w:cs="Times New Roman"/>
                <w:sz w:val="24"/>
                <w:u w:val="single" w:color="auto"/>
              </w:rPr>
              <w:t>《生活污染源产排污系数手册》（试用版）</w:t>
            </w:r>
            <w:r>
              <w:rPr>
                <w:rFonts w:hint="default" w:ascii="Times New Roman" w:hAnsi="Times New Roman" w:cs="Times New Roman"/>
                <w:sz w:val="24"/>
                <w:u w:val="single" w:color="auto"/>
                <w:lang w:eastAsia="zh-CN"/>
              </w:rPr>
              <w:t>，</w:t>
            </w:r>
            <w:r>
              <w:rPr>
                <w:rFonts w:hint="default" w:ascii="Times New Roman" w:hAnsi="Times New Roman" w:cs="Times New Roman"/>
                <w:sz w:val="24"/>
                <w:u w:val="single" w:color="auto"/>
                <w:lang w:val="en-US" w:eastAsia="zh-CN"/>
              </w:rPr>
              <w:t>靖州苗族侗族自治县属于五区县城，可取各污染物浓度取平均值，COD260mg/L，BOD</w:t>
            </w:r>
            <w:r>
              <w:rPr>
                <w:rFonts w:hint="default" w:ascii="Times New Roman" w:hAnsi="Times New Roman" w:cs="Times New Roman"/>
                <w:sz w:val="24"/>
                <w:u w:val="single" w:color="auto"/>
                <w:vertAlign w:val="subscript"/>
                <w:lang w:val="en-US" w:eastAsia="zh-CN"/>
              </w:rPr>
              <w:t>5</w:t>
            </w:r>
            <w:r>
              <w:rPr>
                <w:rFonts w:hint="default" w:ascii="Times New Roman" w:hAnsi="Times New Roman" w:cs="Times New Roman"/>
                <w:sz w:val="24"/>
                <w:u w:val="single" w:color="auto"/>
                <w:lang w:val="en-US" w:eastAsia="zh-CN"/>
              </w:rPr>
              <w:t>117mg/L、氨氮20.6mg/L、动植物油3.34mg/L、SS200mg/L，满足《污水综合排放标准》（GB8978-1996）中Ⅲ级排放标准。</w:t>
            </w:r>
          </w:p>
          <w:p>
            <w:pPr>
              <w:tabs>
                <w:tab w:val="right" w:pos="1916"/>
              </w:tabs>
              <w:spacing w:line="360" w:lineRule="auto"/>
              <w:ind w:firstLine="480" w:firstLineChars="200"/>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eastAsia="宋体" w:cs="Times New Roman"/>
                <w:sz w:val="24"/>
                <w:u w:val="single" w:color="auto"/>
                <w:lang w:val="en-US" w:eastAsia="zh-CN"/>
              </w:rPr>
              <w:t>靖州县县城污水处理厂正在进行扩建，</w:t>
            </w:r>
            <w:r>
              <w:rPr>
                <w:rFonts w:hint="default" w:ascii="Times New Roman" w:hAnsi="Times New Roman" w:cs="Times New Roman" w:eastAsiaTheme="minorEastAsia"/>
                <w:color w:val="auto"/>
                <w:sz w:val="24"/>
                <w:szCs w:val="24"/>
                <w:highlight w:val="none"/>
                <w:u w:val="single" w:color="auto"/>
              </w:rPr>
              <w:t>将现有的复合式AAO工艺改为改良的A</w:t>
            </w:r>
            <w:r>
              <w:rPr>
                <w:rFonts w:hint="default" w:ascii="Times New Roman" w:hAnsi="Times New Roman" w:cs="Times New Roman" w:eastAsiaTheme="minorEastAsia"/>
                <w:color w:val="auto"/>
                <w:sz w:val="24"/>
                <w:szCs w:val="24"/>
                <w:highlight w:val="none"/>
                <w:u w:val="single" w:color="auto"/>
                <w:vertAlign w:val="superscript"/>
              </w:rPr>
              <w:t>2</w:t>
            </w:r>
            <w:r>
              <w:rPr>
                <w:rFonts w:hint="default" w:ascii="Times New Roman" w:hAnsi="Times New Roman" w:cs="Times New Roman" w:eastAsiaTheme="minorEastAsia"/>
                <w:color w:val="auto"/>
                <w:sz w:val="24"/>
                <w:szCs w:val="24"/>
                <w:highlight w:val="none"/>
                <w:u w:val="single" w:color="auto"/>
              </w:rPr>
              <w:t>/O工艺，改扩建完成后出水水质主要污染物由《城镇污水处理厂污染物排放标准》(GB18918- 2002)中的一级B标准提升为《湖南省城镇污水处理厂主要水污染物排放标准》(DB43/T 1546-2018)一级标准，其余提升至《城镇污水处理厂污染物排放标准》(GB18918- 2002)中的一级A标准。</w:t>
            </w:r>
            <w:r>
              <w:rPr>
                <w:rFonts w:hint="default" w:ascii="Times New Roman" w:hAnsi="Times New Roman" w:cs="Times New Roman" w:eastAsiaTheme="minorEastAsia"/>
                <w:color w:val="auto"/>
                <w:sz w:val="24"/>
                <w:szCs w:val="24"/>
                <w:highlight w:val="none"/>
                <w:u w:val="single" w:color="auto"/>
                <w:lang w:val="en-US" w:eastAsia="zh-CN"/>
              </w:rPr>
              <w:t>设计进出水水质见下表：</w:t>
            </w:r>
          </w:p>
          <w:p>
            <w:pPr>
              <w:bidi w:val="0"/>
              <w:rPr>
                <w:rFonts w:hint="default"/>
                <w:lang w:val="en-US" w:eastAsia="zh-CN"/>
              </w:rPr>
            </w:pPr>
          </w:p>
          <w:p>
            <w:pPr>
              <w:jc w:val="center"/>
              <w:rPr>
                <w:rFonts w:hint="default" w:ascii="Times New Roman" w:hAnsi="Times New Roman" w:cs="Times New Roman"/>
                <w:b/>
                <w:bCs/>
                <w:u w:val="single" w:color="auto"/>
                <w:lang w:val="en-US" w:eastAsia="zh-CN"/>
              </w:rPr>
            </w:pPr>
            <w:r>
              <w:rPr>
                <w:rFonts w:hint="default" w:ascii="Times New Roman" w:hAnsi="Times New Roman" w:cs="Times New Roman"/>
                <w:b/>
                <w:bCs/>
                <w:sz w:val="24"/>
                <w:u w:val="single" w:color="auto"/>
                <w:lang w:val="en-US" w:eastAsia="zh-CN"/>
              </w:rPr>
              <w:t>表4-6  生活污水源强对比</w:t>
            </w:r>
          </w:p>
          <w:tbl>
            <w:tblPr>
              <w:tblStyle w:val="17"/>
              <w:tblW w:w="779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408"/>
              <w:gridCol w:w="1767"/>
              <w:gridCol w:w="1976"/>
              <w:gridCol w:w="1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9"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污染物</w:t>
                  </w:r>
                </w:p>
              </w:tc>
              <w:tc>
                <w:tcPr>
                  <w:tcW w:w="1408"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本项目生活污水源</w:t>
                  </w:r>
                  <w:r>
                    <w:rPr>
                      <w:rFonts w:hint="default" w:ascii="Times New Roman" w:hAnsi="Times New Roman" w:eastAsia="宋体" w:cs="Times New Roman"/>
                      <w:sz w:val="21"/>
                      <w:szCs w:val="21"/>
                      <w:u w:val="single" w:color="auto"/>
                      <w:lang w:val="en-US" w:eastAsia="zh-CN"/>
                    </w:rPr>
                    <w:t>强</w:t>
                  </w:r>
                </w:p>
              </w:tc>
              <w:tc>
                <w:tcPr>
                  <w:tcW w:w="1767"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靖州苗族侗族自治县县城污水处理厂设计进水水质（扩建后）</w:t>
                  </w:r>
                </w:p>
              </w:tc>
              <w:tc>
                <w:tcPr>
                  <w:tcW w:w="1976" w:type="dxa"/>
                  <w:tcBorders>
                    <w:tl2br w:val="nil"/>
                    <w:tr2bl w:val="nil"/>
                  </w:tcBorders>
                  <w:vAlign w:val="center"/>
                </w:tcPr>
                <w:p>
                  <w:pPr>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cs="Times New Roman"/>
                      <w:sz w:val="21"/>
                      <w:szCs w:val="21"/>
                      <w:u w:val="single" w:color="auto"/>
                      <w:lang w:val="en-US" w:eastAsia="zh-CN"/>
                    </w:rPr>
                    <w:t>《污水综合排放标准》（GB8978-1996）中Ⅲ级排放标准</w:t>
                  </w:r>
                </w:p>
              </w:tc>
              <w:tc>
                <w:tcPr>
                  <w:tcW w:w="1520"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靖州苗族侗族自治县县城污水处理厂设计出水水质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9"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COD</w:t>
                  </w:r>
                </w:p>
              </w:tc>
              <w:tc>
                <w:tcPr>
                  <w:tcW w:w="1408"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4"/>
                      <w:u w:val="single" w:color="auto"/>
                      <w:lang w:val="en-US" w:eastAsia="zh-CN"/>
                    </w:rPr>
                    <w:t>260</w:t>
                  </w:r>
                </w:p>
              </w:tc>
              <w:tc>
                <w:tcPr>
                  <w:tcW w:w="1767"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color w:val="auto"/>
                      <w:sz w:val="21"/>
                      <w:szCs w:val="21"/>
                      <w:highlight w:val="none"/>
                      <w:u w:val="single" w:color="auto"/>
                    </w:rPr>
                    <w:t>300</w:t>
                  </w:r>
                </w:p>
              </w:tc>
              <w:tc>
                <w:tcPr>
                  <w:tcW w:w="1976" w:type="dxa"/>
                  <w:tcBorders>
                    <w:tl2br w:val="nil"/>
                    <w:tr2bl w:val="nil"/>
                  </w:tcBorders>
                  <w:vAlign w:val="center"/>
                </w:tcPr>
                <w:p>
                  <w:pPr>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cs="Times New Roman"/>
                      <w:u w:val="single" w:color="auto"/>
                      <w:lang w:val="en-US" w:eastAsia="zh-CN"/>
                    </w:rPr>
                    <w:t>500</w:t>
                  </w:r>
                </w:p>
              </w:tc>
              <w:tc>
                <w:tcPr>
                  <w:tcW w:w="1520" w:type="dxa"/>
                  <w:tcBorders>
                    <w:tl2br w:val="nil"/>
                    <w:tr2bl w:val="nil"/>
                  </w:tcBorders>
                  <w:vAlign w:val="center"/>
                </w:tcPr>
                <w:p>
                  <w:pPr>
                    <w:jc w:val="center"/>
                    <w:rPr>
                      <w:rFonts w:hint="default" w:ascii="Times New Roman" w:hAnsi="Times New Roman" w:cs="Times New Roman"/>
                      <w:u w:val="single" w:color="auto"/>
                      <w:lang w:val="en-US" w:eastAsia="zh-CN"/>
                    </w:rPr>
                  </w:pPr>
                  <w:r>
                    <w:rPr>
                      <w:rFonts w:hint="default" w:ascii="Times New Roman" w:hAnsi="Times New Roman" w:cs="Times New Roman"/>
                      <w:color w:val="auto"/>
                      <w:sz w:val="21"/>
                      <w:szCs w:val="21"/>
                      <w:highlight w:val="none"/>
                      <w:u w:val="single" w:color="auto"/>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9"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BOD</w:t>
                  </w:r>
                  <w:r>
                    <w:rPr>
                      <w:rFonts w:hint="default" w:ascii="Times New Roman" w:hAnsi="Times New Roman" w:cs="Times New Roman"/>
                      <w:sz w:val="21"/>
                      <w:szCs w:val="21"/>
                      <w:u w:val="single" w:color="auto"/>
                      <w:vertAlign w:val="subscript"/>
                      <w:lang w:val="en-US" w:eastAsia="zh-CN"/>
                    </w:rPr>
                    <w:t>5</w:t>
                  </w:r>
                </w:p>
              </w:tc>
              <w:tc>
                <w:tcPr>
                  <w:tcW w:w="1408"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4"/>
                      <w:u w:val="single" w:color="auto"/>
                      <w:lang w:val="en-US" w:eastAsia="zh-CN"/>
                    </w:rPr>
                    <w:t>117</w:t>
                  </w:r>
                </w:p>
              </w:tc>
              <w:tc>
                <w:tcPr>
                  <w:tcW w:w="1767" w:type="dxa"/>
                  <w:tcBorders>
                    <w:tl2br w:val="nil"/>
                    <w:tr2bl w:val="nil"/>
                  </w:tcBorders>
                  <w:vAlign w:val="top"/>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150</w:t>
                  </w:r>
                </w:p>
              </w:tc>
              <w:tc>
                <w:tcPr>
                  <w:tcW w:w="1976" w:type="dxa"/>
                  <w:tcBorders>
                    <w:tl2br w:val="nil"/>
                    <w:tr2bl w:val="nil"/>
                  </w:tcBorders>
                  <w:vAlign w:val="center"/>
                </w:tcPr>
                <w:p>
                  <w:pPr>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cs="Times New Roman"/>
                      <w:sz w:val="21"/>
                      <w:szCs w:val="21"/>
                      <w:u w:val="single" w:color="auto"/>
                      <w:lang w:val="en-US" w:eastAsia="zh-CN"/>
                    </w:rPr>
                    <w:t>300</w:t>
                  </w:r>
                </w:p>
              </w:tc>
              <w:tc>
                <w:tcPr>
                  <w:tcW w:w="1520"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color w:val="auto"/>
                      <w:sz w:val="21"/>
                      <w:szCs w:val="21"/>
                      <w:highlight w:val="none"/>
                      <w:u w:val="singl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9"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氨氮</w:t>
                  </w:r>
                </w:p>
              </w:tc>
              <w:tc>
                <w:tcPr>
                  <w:tcW w:w="1408"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4"/>
                      <w:u w:val="single" w:color="auto"/>
                      <w:lang w:val="en-US" w:eastAsia="zh-CN"/>
                    </w:rPr>
                    <w:t>20.6</w:t>
                  </w:r>
                </w:p>
              </w:tc>
              <w:tc>
                <w:tcPr>
                  <w:tcW w:w="1767"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color w:val="auto"/>
                      <w:sz w:val="21"/>
                      <w:szCs w:val="21"/>
                      <w:highlight w:val="none"/>
                      <w:u w:val="single" w:color="auto"/>
                    </w:rPr>
                    <w:t>30</w:t>
                  </w:r>
                </w:p>
              </w:tc>
              <w:tc>
                <w:tcPr>
                  <w:tcW w:w="1976" w:type="dxa"/>
                  <w:tcBorders>
                    <w:tl2br w:val="nil"/>
                    <w:tr2bl w:val="nil"/>
                  </w:tcBorders>
                  <w:vAlign w:val="center"/>
                </w:tcPr>
                <w:p>
                  <w:pPr>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cs="Times New Roman"/>
                      <w:sz w:val="21"/>
                      <w:szCs w:val="21"/>
                      <w:u w:val="single" w:color="auto"/>
                      <w:lang w:val="en-US" w:eastAsia="zh-CN"/>
                    </w:rPr>
                    <w:t>/</w:t>
                  </w:r>
                </w:p>
              </w:tc>
              <w:tc>
                <w:tcPr>
                  <w:tcW w:w="1520"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color w:val="auto"/>
                      <w:sz w:val="21"/>
                      <w:szCs w:val="21"/>
                      <w:highlight w:val="none"/>
                      <w:u w:val="single" w:color="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9"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动植物油</w:t>
                  </w:r>
                </w:p>
              </w:tc>
              <w:tc>
                <w:tcPr>
                  <w:tcW w:w="1408"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4"/>
                      <w:u w:val="single" w:color="auto"/>
                      <w:lang w:val="en-US" w:eastAsia="zh-CN"/>
                    </w:rPr>
                    <w:t>3.34</w:t>
                  </w:r>
                </w:p>
              </w:tc>
              <w:tc>
                <w:tcPr>
                  <w:tcW w:w="1767"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w:t>
                  </w:r>
                </w:p>
              </w:tc>
              <w:tc>
                <w:tcPr>
                  <w:tcW w:w="1976" w:type="dxa"/>
                  <w:tcBorders>
                    <w:tl2br w:val="nil"/>
                    <w:tr2bl w:val="nil"/>
                  </w:tcBorders>
                  <w:vAlign w:val="center"/>
                </w:tcPr>
                <w:p>
                  <w:pPr>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cs="Times New Roman"/>
                      <w:sz w:val="21"/>
                      <w:szCs w:val="21"/>
                      <w:u w:val="single" w:color="auto"/>
                      <w:lang w:val="en-US" w:eastAsia="zh-CN"/>
                    </w:rPr>
                    <w:t>100</w:t>
                  </w:r>
                </w:p>
              </w:tc>
              <w:tc>
                <w:tcPr>
                  <w:tcW w:w="1520"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9"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SS</w:t>
                  </w:r>
                </w:p>
              </w:tc>
              <w:tc>
                <w:tcPr>
                  <w:tcW w:w="1408"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4"/>
                      <w:u w:val="single" w:color="auto"/>
                      <w:lang w:val="en-US" w:eastAsia="zh-CN"/>
                    </w:rPr>
                    <w:t>200</w:t>
                  </w:r>
                </w:p>
              </w:tc>
              <w:tc>
                <w:tcPr>
                  <w:tcW w:w="1767"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color w:val="auto"/>
                      <w:sz w:val="21"/>
                      <w:szCs w:val="21"/>
                      <w:highlight w:val="none"/>
                      <w:u w:val="single" w:color="auto"/>
                    </w:rPr>
                    <w:t>200</w:t>
                  </w:r>
                </w:p>
              </w:tc>
              <w:tc>
                <w:tcPr>
                  <w:tcW w:w="1976" w:type="dxa"/>
                  <w:tcBorders>
                    <w:tl2br w:val="nil"/>
                    <w:tr2bl w:val="nil"/>
                  </w:tcBorders>
                  <w:vAlign w:val="center"/>
                </w:tcPr>
                <w:p>
                  <w:pPr>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cs="Times New Roman"/>
                      <w:sz w:val="21"/>
                      <w:szCs w:val="21"/>
                      <w:u w:val="single" w:color="auto"/>
                      <w:lang w:val="en-US" w:eastAsia="zh-CN"/>
                    </w:rPr>
                    <w:t>400</w:t>
                  </w:r>
                </w:p>
              </w:tc>
              <w:tc>
                <w:tcPr>
                  <w:tcW w:w="1520" w:type="dxa"/>
                  <w:tcBorders>
                    <w:tl2br w:val="nil"/>
                    <w:tr2bl w:val="nil"/>
                  </w:tcBorders>
                  <w:vAlign w:val="center"/>
                </w:tcPr>
                <w:p>
                  <w:pPr>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90" w:type="dxa"/>
                  <w:gridSpan w:val="5"/>
                  <w:tcBorders>
                    <w:tl2br w:val="nil"/>
                    <w:tr2bl w:val="nil"/>
                  </w:tcBorders>
                  <w:vAlign w:val="center"/>
                </w:tcPr>
                <w:p>
                  <w:pPr>
                    <w:jc w:val="left"/>
                    <w:rPr>
                      <w:rFonts w:hint="default" w:ascii="Times New Roman" w:hAnsi="Times New Roman" w:eastAsia="仿宋" w:cs="Times New Roman"/>
                      <w:sz w:val="18"/>
                      <w:szCs w:val="18"/>
                      <w:u w:val="single" w:color="auto"/>
                      <w:lang w:val="en-US" w:eastAsia="zh-CN"/>
                    </w:rPr>
                  </w:pPr>
                  <w:r>
                    <w:rPr>
                      <w:rFonts w:hint="default" w:ascii="Times New Roman" w:hAnsi="Times New Roman" w:eastAsia="仿宋" w:cs="Times New Roman"/>
                      <w:sz w:val="18"/>
                      <w:szCs w:val="18"/>
                      <w:u w:val="single" w:color="auto"/>
                      <w:lang w:val="en-US" w:eastAsia="zh-CN"/>
                    </w:rPr>
                    <w:t>单位：mg/L</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eastAsiaTheme="minorEastAsia"/>
                <w:color w:val="auto"/>
                <w:sz w:val="24"/>
                <w:szCs w:val="24"/>
                <w:highlight w:val="none"/>
                <w:u w:val="single"/>
              </w:rPr>
            </w:pPr>
            <w:r>
              <w:rPr>
                <w:rFonts w:hint="default" w:ascii="Times New Roman" w:hAnsi="Times New Roman" w:eastAsia="宋体" w:cs="Times New Roman"/>
                <w:b w:val="0"/>
                <w:bCs w:val="0"/>
                <w:color w:val="auto"/>
                <w:kern w:val="0"/>
                <w:sz w:val="24"/>
                <w:szCs w:val="24"/>
                <w:u w:val="single"/>
                <w:lang w:val="en-US" w:eastAsia="zh-CN"/>
              </w:rPr>
              <w:t>可见：本项目生活污水排放源强均低于靖州苗族侗族自治县县城污水处理厂设计进水水质；低于《污水综合排放标准》（GB8978-1996）中Ⅲ级排放标准。靖州苗族侗族自治县县城污水处理厂出水</w:t>
            </w:r>
            <w:r>
              <w:rPr>
                <w:rFonts w:hint="eastAsia" w:ascii="Times New Roman" w:hAnsi="Times New Roman" w:cs="Times New Roman"/>
                <w:b w:val="0"/>
                <w:bCs w:val="0"/>
                <w:color w:val="auto"/>
                <w:kern w:val="0"/>
                <w:sz w:val="24"/>
                <w:szCs w:val="24"/>
                <w:u w:val="single"/>
                <w:lang w:val="en-US" w:eastAsia="zh-CN"/>
              </w:rPr>
              <w:t>水质</w:t>
            </w:r>
            <w:r>
              <w:rPr>
                <w:rFonts w:hint="default" w:ascii="Times New Roman" w:hAnsi="Times New Roman" w:eastAsia="宋体" w:cs="Times New Roman"/>
                <w:b w:val="0"/>
                <w:bCs w:val="0"/>
                <w:color w:val="auto"/>
                <w:kern w:val="0"/>
                <w:sz w:val="24"/>
                <w:szCs w:val="24"/>
                <w:u w:val="single"/>
                <w:lang w:val="en-US" w:eastAsia="zh-CN"/>
              </w:rPr>
              <w:t>可满足</w:t>
            </w:r>
            <w:r>
              <w:rPr>
                <w:rFonts w:hint="default" w:ascii="Times New Roman" w:hAnsi="Times New Roman" w:cs="Times New Roman" w:eastAsiaTheme="minorEastAsia"/>
                <w:color w:val="auto"/>
                <w:sz w:val="24"/>
                <w:szCs w:val="24"/>
                <w:highlight w:val="none"/>
                <w:u w:val="single"/>
              </w:rPr>
              <w:t>《城镇污水处理厂污染物排放标准》(GB18918- 2002)中的一级A标准。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b w:val="0"/>
                <w:bCs w:val="0"/>
                <w:color w:val="auto"/>
                <w:kern w:val="0"/>
                <w:sz w:val="24"/>
                <w:szCs w:val="24"/>
                <w:u w:val="single"/>
                <w:lang w:val="en-US" w:eastAsia="zh-CN"/>
              </w:rPr>
            </w:pPr>
            <w:r>
              <w:rPr>
                <w:rFonts w:hint="default" w:ascii="Times New Roman" w:hAnsi="Times New Roman" w:eastAsia="宋体" w:cs="Times New Roman"/>
                <w:b w:val="0"/>
                <w:bCs w:val="0"/>
                <w:color w:val="auto"/>
                <w:kern w:val="0"/>
                <w:sz w:val="24"/>
                <w:szCs w:val="24"/>
                <w:u w:val="single"/>
                <w:lang w:val="en-US" w:eastAsia="zh-CN"/>
              </w:rPr>
              <w:t>综上，本项目在生活废水在操作层面、处理工艺层面及进出水水质层面均具有可行性。</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（2）实验室废水（医疗废水）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改建后，实验室废水产量增加为129.573t/a，经污水处理设备净化后排入文昌溪（排放口DW001）。</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b w:val="0"/>
                <w:bCs/>
                <w:color w:val="auto"/>
                <w:sz w:val="24"/>
                <w:szCs w:val="24"/>
                <w:u w:val="none" w:color="auto"/>
                <w:vertAlign w:val="baseline"/>
                <w:lang w:val="en-US" w:eastAsia="zh-CN"/>
              </w:rPr>
            </w:pPr>
            <w:r>
              <w:rPr>
                <w:rFonts w:hint="default" w:ascii="Times New Roman" w:hAnsi="Times New Roman" w:cs="Times New Roman"/>
                <w:sz w:val="24"/>
                <w:szCs w:val="24"/>
                <w:lang w:val="en-US" w:eastAsia="zh-CN"/>
              </w:rPr>
              <w:t>类比</w:t>
            </w:r>
            <w:r>
              <w:rPr>
                <w:rFonts w:hint="default" w:ascii="Times New Roman" w:hAnsi="Times New Roman" w:cs="Times New Roman"/>
                <w:b w:val="0"/>
                <w:bCs/>
                <w:color w:val="auto"/>
                <w:sz w:val="24"/>
                <w:szCs w:val="24"/>
                <w:u w:val="none" w:color="auto"/>
                <w:lang w:val="en-US" w:eastAsia="zh-CN"/>
              </w:rPr>
              <w:t>《息烽县疾病预防控制中心核酸检测实验室建设项目竣工环境保护验收报告表》得出污染物产生源强：COD</w:t>
            </w:r>
            <w:r>
              <w:rPr>
                <w:rFonts w:hint="default" w:ascii="Times New Roman" w:hAnsi="Times New Roman" w:cs="Times New Roman"/>
                <w:b w:val="0"/>
                <w:bCs/>
                <w:color w:val="auto"/>
                <w:sz w:val="24"/>
                <w:szCs w:val="24"/>
                <w:u w:val="none" w:color="auto"/>
                <w:vertAlign w:val="subscript"/>
                <w:lang w:val="en-US" w:eastAsia="zh-CN"/>
              </w:rPr>
              <w:t>cr</w:t>
            </w:r>
            <w:r>
              <w:rPr>
                <w:rFonts w:hint="default" w:ascii="Times New Roman" w:hAnsi="Times New Roman" w:cs="Times New Roman"/>
                <w:b w:val="0"/>
                <w:bCs/>
                <w:color w:val="auto"/>
                <w:sz w:val="24"/>
                <w:szCs w:val="24"/>
                <w:u w:val="none" w:color="auto"/>
                <w:vertAlign w:val="baseline"/>
                <w:lang w:val="en-US" w:eastAsia="zh-CN"/>
              </w:rPr>
              <w:t>91</w:t>
            </w:r>
            <w:r>
              <w:rPr>
                <w:rFonts w:hint="default" w:ascii="Times New Roman" w:hAnsi="Times New Roman" w:cs="Times New Roman"/>
                <w:b w:val="0"/>
                <w:bCs/>
                <w:color w:val="auto"/>
                <w:sz w:val="24"/>
                <w:szCs w:val="24"/>
                <w:u w:val="none" w:color="auto"/>
                <w:lang w:val="en-US" w:eastAsia="zh-CN"/>
              </w:rPr>
              <w:t>mg/L、BOD</w:t>
            </w:r>
            <w:r>
              <w:rPr>
                <w:rFonts w:hint="default" w:ascii="Times New Roman" w:hAnsi="Times New Roman" w:cs="Times New Roman"/>
                <w:b w:val="0"/>
                <w:bCs/>
                <w:color w:val="auto"/>
                <w:sz w:val="24"/>
                <w:szCs w:val="24"/>
                <w:u w:val="none" w:color="auto"/>
                <w:vertAlign w:val="subscript"/>
                <w:lang w:val="en-US" w:eastAsia="zh-CN"/>
              </w:rPr>
              <w:t>5</w:t>
            </w:r>
            <w:r>
              <w:rPr>
                <w:rFonts w:hint="default" w:ascii="Times New Roman" w:hAnsi="Times New Roman" w:cs="Times New Roman"/>
                <w:b w:val="0"/>
                <w:bCs/>
                <w:color w:val="auto"/>
                <w:sz w:val="24"/>
                <w:szCs w:val="24"/>
                <w:u w:val="none" w:color="auto"/>
                <w:vertAlign w:val="baseline"/>
                <w:lang w:val="en-US" w:eastAsia="zh-CN"/>
              </w:rPr>
              <w:t>34.5</w:t>
            </w:r>
            <w:r>
              <w:rPr>
                <w:rFonts w:hint="default" w:ascii="Times New Roman" w:hAnsi="Times New Roman" w:cs="Times New Roman"/>
                <w:b w:val="0"/>
                <w:bCs/>
                <w:color w:val="auto"/>
                <w:sz w:val="24"/>
                <w:szCs w:val="24"/>
                <w:u w:val="none" w:color="auto"/>
                <w:lang w:val="en-US" w:eastAsia="zh-CN"/>
              </w:rPr>
              <w:t>mg/L、氨氮35.6mg/L、悬浮物41mg/L、粪大肠杆菌</w:t>
            </w:r>
            <w:r>
              <w:rPr>
                <w:rFonts w:hint="default" w:ascii="Times New Roman" w:hAnsi="Times New Roman" w:cs="Times New Roman"/>
                <w:b w:val="0"/>
                <w:bCs/>
                <w:color w:val="auto"/>
                <w:sz w:val="24"/>
                <w:szCs w:val="24"/>
                <w:u w:val="none" w:color="auto"/>
                <w:vertAlign w:val="baseline"/>
                <w:lang w:val="en-US" w:eastAsia="zh-CN"/>
              </w:rPr>
              <w:t>24000</w:t>
            </w:r>
            <w:r>
              <w:rPr>
                <w:rFonts w:hint="default" w:ascii="Times New Roman" w:hAnsi="Times New Roman" w:cs="Times New Roman"/>
                <w:b w:val="0"/>
                <w:bCs/>
                <w:color w:val="auto"/>
                <w:sz w:val="24"/>
                <w:szCs w:val="24"/>
                <w:u w:val="none" w:color="auto"/>
                <w:lang w:val="en-US" w:eastAsia="zh-CN"/>
              </w:rPr>
              <w:t>MPN/L；</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default" w:ascii="Times New Roman" w:hAnsi="Times New Roman" w:cs="Times New Roman"/>
                <w:b w:val="0"/>
                <w:bCs/>
                <w:color w:val="auto"/>
                <w:sz w:val="24"/>
                <w:szCs w:val="24"/>
                <w:u w:val="none" w:color="auto"/>
                <w:lang w:val="en-US" w:eastAsia="zh-CN"/>
              </w:rPr>
            </w:pPr>
            <w:r>
              <w:rPr>
                <w:rFonts w:hint="default" w:ascii="Times New Roman" w:hAnsi="Times New Roman" w:cs="Times New Roman"/>
                <w:b w:val="0"/>
                <w:bCs/>
                <w:color w:val="auto"/>
                <w:sz w:val="24"/>
                <w:szCs w:val="24"/>
                <w:u w:val="none" w:color="auto"/>
                <w:lang w:val="en-US" w:eastAsia="zh-CN"/>
              </w:rPr>
              <w:t>依据怀化市水质检测有限公司出具监测报告（见后文表4-8）得出主要污染物及源强：CODcr24.2mg/L、BOD53.12mg/L、氨氮0.101mg/L、悬浮物0.0009mg/L、粪大肠杆菌470MPN/L。</w:t>
            </w:r>
          </w:p>
          <w:p>
            <w:pPr>
              <w:tabs>
                <w:tab w:val="left" w:pos="1440"/>
                <w:tab w:val="left" w:pos="1800"/>
              </w:tabs>
              <w:spacing w:line="360" w:lineRule="auto"/>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（3）实验室废水处理工艺及污水处理可行性分析</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A、处理水量可行性分析</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改建后，实验室废水产生量129.573t/a（0.518t/d），依据湖南富莱明节能环保科技有限公司编制的《靖州疾控中心污水处理设计方案》，项目污水处理设备处理能力2t/d＞0.518t/d，实验室废水产生量远低于污水处理设备设计处理量（负荷约25.9％），污水处理设备日处理水量可满足实际需求。</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B、进水水质可行性分析</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依据《靖州疾控中心污水处理设计方案》，项目污水处理设备进水水质要求：PH6~9、COD</w:t>
            </w:r>
            <w:r>
              <w:rPr>
                <w:rFonts w:hint="default" w:ascii="Times New Roman" w:hAnsi="Times New Roman" w:cs="Times New Roman"/>
                <w:sz w:val="24"/>
                <w:szCs w:val="24"/>
                <w:u w:val="single"/>
                <w:vertAlign w:val="subscript"/>
                <w:lang w:val="en-US" w:eastAsia="zh-CN"/>
              </w:rPr>
              <w:t>cr</w:t>
            </w:r>
            <w:r>
              <w:rPr>
                <w:rFonts w:hint="default" w:ascii="Times New Roman" w:hAnsi="Times New Roman" w:cs="Times New Roman"/>
                <w:sz w:val="24"/>
                <w:szCs w:val="24"/>
                <w:u w:val="single"/>
                <w:lang w:val="en-US" w:eastAsia="zh-CN"/>
              </w:rPr>
              <w:t>100mg/L、BOD</w:t>
            </w:r>
            <w:r>
              <w:rPr>
                <w:rFonts w:hint="default" w:ascii="Times New Roman" w:hAnsi="Times New Roman" w:cs="Times New Roman"/>
                <w:sz w:val="24"/>
                <w:szCs w:val="24"/>
                <w:u w:val="single"/>
                <w:vertAlign w:val="subscript"/>
                <w:lang w:val="en-US" w:eastAsia="zh-CN"/>
              </w:rPr>
              <w:t>5</w:t>
            </w:r>
            <w:r>
              <w:rPr>
                <w:rFonts w:hint="default" w:ascii="Times New Roman" w:hAnsi="Times New Roman" w:cs="Times New Roman"/>
                <w:sz w:val="24"/>
                <w:szCs w:val="24"/>
                <w:u w:val="single"/>
                <w:lang w:val="en-US" w:eastAsia="zh-CN"/>
              </w:rPr>
              <w:t>100mg/L、SS100mg/L、氨氮45mg/L；</w:t>
            </w:r>
          </w:p>
          <w:p>
            <w:pPr>
              <w:tabs>
                <w:tab w:val="left" w:pos="1440"/>
                <w:tab w:val="left" w:pos="1800"/>
              </w:tabs>
              <w:spacing w:line="360" w:lineRule="auto"/>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项目实验室废水各污染物产生源强：COD</w:t>
            </w:r>
            <w:r>
              <w:rPr>
                <w:rFonts w:hint="default" w:ascii="Times New Roman" w:hAnsi="Times New Roman" w:cs="Times New Roman"/>
                <w:sz w:val="24"/>
                <w:szCs w:val="24"/>
                <w:u w:val="single"/>
                <w:vertAlign w:val="subscript"/>
                <w:lang w:val="en-US" w:eastAsia="zh-CN"/>
              </w:rPr>
              <w:t>cr</w:t>
            </w:r>
            <w:r>
              <w:rPr>
                <w:rFonts w:hint="default" w:ascii="Times New Roman" w:hAnsi="Times New Roman" w:cs="Times New Roman"/>
                <w:sz w:val="24"/>
                <w:szCs w:val="24"/>
                <w:u w:val="single"/>
                <w:lang w:val="en-US" w:eastAsia="zh-CN"/>
              </w:rPr>
              <w:t>91mg/L、BOD534.5mg/L、氨氮35.6mg/L、悬浮物41mg/L（类比同类型项目验收监测报告，见表2-13）。</w:t>
            </w:r>
          </w:p>
          <w:p>
            <w:pPr>
              <w:pStyle w:val="21"/>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表4-7  污水处理设备进水水质参数</w:t>
            </w:r>
          </w:p>
          <w:tbl>
            <w:tblPr>
              <w:tblStyle w:val="17"/>
              <w:tblW w:w="78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4"/>
              <w:gridCol w:w="1063"/>
              <w:gridCol w:w="1063"/>
              <w:gridCol w:w="1063"/>
              <w:gridCol w:w="1063"/>
              <w:gridCol w:w="10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34"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污染物</w:t>
                  </w:r>
                </w:p>
              </w:tc>
              <w:tc>
                <w:tcPr>
                  <w:tcW w:w="1063"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pH</w:t>
                  </w:r>
                </w:p>
              </w:tc>
              <w:tc>
                <w:tcPr>
                  <w:tcW w:w="1063"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COD</w:t>
                  </w:r>
                  <w:r>
                    <w:rPr>
                      <w:rFonts w:hint="default" w:ascii="Times New Roman" w:hAnsi="Times New Roman" w:cs="Times New Roman"/>
                      <w:b/>
                      <w:bCs/>
                      <w:u w:val="single"/>
                      <w:vertAlign w:val="subscript"/>
                      <w:lang w:val="en-US" w:eastAsia="zh-CN"/>
                    </w:rPr>
                    <w:t>cr</w:t>
                  </w:r>
                </w:p>
              </w:tc>
              <w:tc>
                <w:tcPr>
                  <w:tcW w:w="1063"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BOD</w:t>
                  </w:r>
                  <w:r>
                    <w:rPr>
                      <w:rFonts w:hint="default" w:ascii="Times New Roman" w:hAnsi="Times New Roman" w:cs="Times New Roman"/>
                      <w:b/>
                      <w:bCs/>
                      <w:u w:val="single"/>
                      <w:vertAlign w:val="subscript"/>
                      <w:lang w:val="en-US" w:eastAsia="zh-CN"/>
                    </w:rPr>
                    <w:t>5</w:t>
                  </w:r>
                </w:p>
              </w:tc>
              <w:tc>
                <w:tcPr>
                  <w:tcW w:w="1063"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SS</w:t>
                  </w:r>
                </w:p>
              </w:tc>
              <w:tc>
                <w:tcPr>
                  <w:tcW w:w="1065"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34"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同类型项目实验室废水中污染物产生浓度</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7.68</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91</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34.5</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41</w:t>
                  </w:r>
                </w:p>
              </w:tc>
              <w:tc>
                <w:tcPr>
                  <w:tcW w:w="1065"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35.6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34"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本项目污水处理设备进水水质要求</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6~9</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100</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100</w:t>
                  </w:r>
                </w:p>
              </w:tc>
              <w:tc>
                <w:tcPr>
                  <w:tcW w:w="1063"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45</w:t>
                  </w:r>
                </w:p>
              </w:tc>
              <w:tc>
                <w:tcPr>
                  <w:tcW w:w="1065"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100</w:t>
                  </w:r>
                </w:p>
              </w:tc>
            </w:tr>
          </w:tbl>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可见：本项目实验废水进水水质中各污染物浓度（类比法得出）均低于污水处理设备设计进水水质污染物浓度限值，实验废水进水水质可满足污水处理设备要求。</w:t>
            </w:r>
          </w:p>
          <w:p>
            <w:pPr>
              <w:tabs>
                <w:tab w:val="left" w:pos="1440"/>
                <w:tab w:val="left" w:pos="1800"/>
              </w:tabs>
              <w:spacing w:line="360" w:lineRule="auto"/>
              <w:ind w:firstLine="361" w:firstLineChars="150"/>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C、出水水质可行性分析</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依据《靖州疾控中心污水处理设计方案》，项目污水处理设备设计出水水质：PH6~9、COD</w:t>
            </w:r>
            <w:r>
              <w:rPr>
                <w:rFonts w:hint="default" w:ascii="Times New Roman" w:hAnsi="Times New Roman" w:cs="Times New Roman"/>
                <w:sz w:val="24"/>
                <w:szCs w:val="24"/>
                <w:u w:val="single"/>
                <w:vertAlign w:val="subscript"/>
                <w:lang w:val="en-US" w:eastAsia="zh-CN"/>
              </w:rPr>
              <w:t>cr</w:t>
            </w:r>
            <w:r>
              <w:rPr>
                <w:rFonts w:hint="default" w:ascii="Times New Roman" w:hAnsi="Times New Roman" w:cs="Times New Roman"/>
                <w:sz w:val="24"/>
                <w:szCs w:val="24"/>
                <w:u w:val="single"/>
                <w:lang w:val="en-US" w:eastAsia="zh-CN"/>
              </w:rPr>
              <w:t>60mg/L、BOD</w:t>
            </w:r>
            <w:r>
              <w:rPr>
                <w:rFonts w:hint="default" w:ascii="Times New Roman" w:hAnsi="Times New Roman" w:cs="Times New Roman"/>
                <w:sz w:val="24"/>
                <w:szCs w:val="24"/>
                <w:u w:val="single"/>
                <w:vertAlign w:val="subscript"/>
                <w:lang w:val="en-US" w:eastAsia="zh-CN"/>
              </w:rPr>
              <w:t>5</w:t>
            </w:r>
            <w:r>
              <w:rPr>
                <w:rFonts w:hint="default" w:ascii="Times New Roman" w:hAnsi="Times New Roman" w:cs="Times New Roman"/>
                <w:sz w:val="24"/>
                <w:szCs w:val="24"/>
                <w:u w:val="single"/>
                <w:lang w:val="en-US" w:eastAsia="zh-CN"/>
              </w:rPr>
              <w:t>20mg/L、SS20mg/L、NH</w:t>
            </w:r>
            <w:r>
              <w:rPr>
                <w:rFonts w:hint="default" w:ascii="Times New Roman" w:hAnsi="Times New Roman" w:cs="Times New Roman"/>
                <w:sz w:val="24"/>
                <w:szCs w:val="24"/>
                <w:u w:val="single"/>
                <w:vertAlign w:val="subscript"/>
                <w:lang w:val="en-US" w:eastAsia="zh-CN"/>
              </w:rPr>
              <w:t>3</w:t>
            </w:r>
            <w:r>
              <w:rPr>
                <w:rFonts w:hint="default" w:ascii="Times New Roman" w:hAnsi="Times New Roman" w:cs="Times New Roman"/>
                <w:sz w:val="24"/>
                <w:szCs w:val="24"/>
                <w:u w:val="single"/>
                <w:lang w:val="en-US" w:eastAsia="zh-CN"/>
              </w:rPr>
              <w:t>15mg/L。</w:t>
            </w:r>
          </w:p>
          <w:p>
            <w:pPr>
              <w:tabs>
                <w:tab w:val="left" w:pos="1440"/>
                <w:tab w:val="left" w:pos="1800"/>
              </w:tabs>
              <w:spacing w:line="360" w:lineRule="auto"/>
              <w:ind w:firstLine="360" w:firstLineChars="150"/>
              <w:jc w:val="left"/>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依据怀化市水质检测有限公司出具检测报告，项目污水处理设备出水水质情况如下表：</w:t>
            </w:r>
          </w:p>
          <w:p>
            <w:pPr>
              <w:tabs>
                <w:tab w:val="left" w:pos="1440"/>
                <w:tab w:val="left" w:pos="1800"/>
              </w:tabs>
              <w:spacing w:line="360" w:lineRule="auto"/>
              <w:jc w:val="center"/>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表4-8  实验废水（医疗废水）排放口监测数据</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21"/>
              <w:gridCol w:w="1186"/>
              <w:gridCol w:w="1186"/>
              <w:gridCol w:w="1186"/>
              <w:gridCol w:w="13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序号</w:t>
                  </w:r>
                </w:p>
              </w:tc>
              <w:tc>
                <w:tcPr>
                  <w:tcW w:w="1521"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监测项目</w:t>
                  </w:r>
                </w:p>
              </w:tc>
              <w:tc>
                <w:tcPr>
                  <w:tcW w:w="1186"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监测结果</w:t>
                  </w:r>
                </w:p>
              </w:tc>
              <w:tc>
                <w:tcPr>
                  <w:tcW w:w="1186"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设计出水浓度</w:t>
                  </w:r>
                </w:p>
              </w:tc>
              <w:tc>
                <w:tcPr>
                  <w:tcW w:w="1186"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单位</w:t>
                  </w:r>
                </w:p>
              </w:tc>
              <w:tc>
                <w:tcPr>
                  <w:tcW w:w="1331" w:type="dxa"/>
                  <w:tcBorders>
                    <w:tl2br w:val="nil"/>
                    <w:tr2bl w:val="nil"/>
                  </w:tcBorders>
                  <w:vAlign w:val="center"/>
                </w:tcPr>
                <w:p>
                  <w:pPr>
                    <w:jc w:val="center"/>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色度</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18</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度</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粪大肠杆菌</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470</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MPN/L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3</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PH值</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8.04</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6~9</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4</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挥发酚类</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0.029</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5</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化学需氧量</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24.2</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60</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6</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五日生化需氧量</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3.12</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20</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7</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悬浮物</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0.0009</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20</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8</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氨氮</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0.101</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15</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9</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动植物油</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0.06L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10</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石油类</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0.06L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11</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LAS</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0.05L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12</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总余氯</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0.3</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13</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总汞</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0.0001L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14</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总铬</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0.004L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15</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总砷</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0.0007</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16</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总铅</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0.011L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17</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总银</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0.03L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18</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总镉</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0.001L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19</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六价铬</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0.0005L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20</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沙门氏菌</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ND</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MPN/L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≤不得检出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21</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志贺氏菌</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ND</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MPN/L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≤不得检出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22</w:t>
                  </w:r>
                </w:p>
              </w:tc>
              <w:tc>
                <w:tcPr>
                  <w:tcW w:w="152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总氰化物</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0.002L</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c>
                <w:tcPr>
                  <w:tcW w:w="1186"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mg/L</w:t>
                  </w:r>
                </w:p>
              </w:tc>
              <w:tc>
                <w:tcPr>
                  <w:tcW w:w="1331"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1" w:type="dxa"/>
                  <w:gridSpan w:val="6"/>
                  <w:tcBorders>
                    <w:tl2br w:val="nil"/>
                    <w:tr2bl w:val="nil"/>
                  </w:tcBorders>
                  <w:vAlign w:val="top"/>
                </w:tcPr>
                <w:p>
                  <w:pPr>
                    <w:keepNext w:val="0"/>
                    <w:keepLines w:val="0"/>
                    <w:pageBreakBefore w:val="0"/>
                    <w:widowControl w:val="0"/>
                    <w:kinsoku/>
                    <w:wordWrap/>
                    <w:overflowPunct/>
                    <w:topLinePunct w:val="0"/>
                    <w:bidi w:val="0"/>
                    <w:snapToGrid/>
                    <w:jc w:val="left"/>
                    <w:textAlignment w:val="auto"/>
                    <w:rPr>
                      <w:rFonts w:hint="default" w:ascii="Times New Roman" w:hAnsi="Times New Roman" w:eastAsia="仿宋" w:cs="Times New Roman"/>
                      <w:sz w:val="18"/>
                      <w:szCs w:val="18"/>
                      <w:u w:val="single"/>
                      <w:lang w:val="en-US" w:eastAsia="zh-CN"/>
                    </w:rPr>
                  </w:pPr>
                  <w:r>
                    <w:rPr>
                      <w:rFonts w:hint="default" w:ascii="Times New Roman" w:hAnsi="Times New Roman" w:eastAsia="仿宋" w:cs="Times New Roman"/>
                      <w:sz w:val="18"/>
                      <w:szCs w:val="18"/>
                      <w:u w:val="single"/>
                      <w:lang w:val="en-US" w:eastAsia="zh-CN"/>
                    </w:rPr>
                    <w:t>说明：</w:t>
                  </w:r>
                </w:p>
                <w:p>
                  <w:pPr>
                    <w:keepNext w:val="0"/>
                    <w:keepLines w:val="0"/>
                    <w:pageBreakBefore w:val="0"/>
                    <w:widowControl w:val="0"/>
                    <w:kinsoku/>
                    <w:wordWrap/>
                    <w:overflowPunct/>
                    <w:topLinePunct w:val="0"/>
                    <w:bidi w:val="0"/>
                    <w:snapToGrid/>
                    <w:jc w:val="left"/>
                    <w:textAlignment w:val="auto"/>
                    <w:rPr>
                      <w:rFonts w:hint="default" w:ascii="Times New Roman" w:hAnsi="Times New Roman" w:cs="Times New Roman"/>
                      <w:u w:val="single"/>
                      <w:lang w:val="en-US" w:eastAsia="zh-CN"/>
                    </w:rPr>
                  </w:pPr>
                  <w:r>
                    <w:rPr>
                      <w:rFonts w:hint="default" w:ascii="Times New Roman" w:hAnsi="Times New Roman" w:eastAsia="仿宋" w:cs="Times New Roman"/>
                      <w:sz w:val="18"/>
                      <w:szCs w:val="18"/>
                      <w:u w:val="single"/>
                      <w:lang w:val="en-US" w:eastAsia="zh-CN"/>
                    </w:rPr>
                    <w:t>标准来源：《医疗机构水污染物排放标准》（GB18466—2005）中表2之排放浓度限值。</w:t>
                  </w:r>
                </w:p>
              </w:tc>
            </w:tr>
          </w:tbl>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可见，经净化后的实验室废水出水水质均低于设计出水浓度，同时满足《医疗机构水污染物排放标准》（GB18466—2005）中表2所规定的排放浓度限值。</w:t>
            </w:r>
          </w:p>
          <w:p>
            <w:pPr>
              <w:tabs>
                <w:tab w:val="left" w:pos="1440"/>
                <w:tab w:val="left" w:pos="1800"/>
              </w:tabs>
              <w:spacing w:line="360" w:lineRule="auto"/>
              <w:ind w:firstLine="361" w:firstLineChars="150"/>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D、处理技术可行性分析</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依据《排污许可证申请与核发技术规范医疗机构》（HJ1105-2020），表A.2，排入进入海域、江、河、湖库等水体的医疗废水应可采取“二级处理/深度处理+消毒工艺”技术处理。其中：</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二级处理包括：活性污泥法、生物膜法；深度处理包括：絮凝沉淀法、砂滤法、活性炭法、臭氧氧化法、膜分离法、生物脱氮除磷法；</w:t>
            </w:r>
          </w:p>
          <w:p>
            <w:pPr>
              <w:tabs>
                <w:tab w:val="left" w:pos="1440"/>
                <w:tab w:val="left" w:pos="1800"/>
              </w:tabs>
              <w:spacing w:line="360" w:lineRule="auto"/>
              <w:ind w:firstLine="315" w:firstLineChars="150"/>
              <w:rPr>
                <w:rFonts w:hint="default" w:ascii="Times New Roman" w:hAnsi="Times New Roman" w:cs="Times New Roman"/>
                <w:sz w:val="24"/>
                <w:szCs w:val="24"/>
                <w:u w:val="single"/>
                <w:lang w:val="en-US" w:eastAsia="zh-CN"/>
              </w:rPr>
            </w:pPr>
            <w:r>
              <w:rPr>
                <w:rFonts w:hint="default" w:ascii="Times New Roman" w:hAnsi="Times New Roman" w:cs="Times New Roman"/>
                <w:u w:val="single"/>
              </w:rPr>
              <w:drawing>
                <wp:anchor distT="0" distB="0" distL="114935" distR="114935" simplePos="0" relativeHeight="251675648" behindDoc="0" locked="0" layoutInCell="1" allowOverlap="1">
                  <wp:simplePos x="0" y="0"/>
                  <wp:positionH relativeFrom="page">
                    <wp:posOffset>94615</wp:posOffset>
                  </wp:positionH>
                  <wp:positionV relativeFrom="page">
                    <wp:posOffset>5589905</wp:posOffset>
                  </wp:positionV>
                  <wp:extent cx="4949190" cy="1908175"/>
                  <wp:effectExtent l="12700" t="12700" r="29210" b="2222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rcRect t="5740" r="650"/>
                          <a:stretch>
                            <a:fillRect/>
                          </a:stretch>
                        </pic:blipFill>
                        <pic:spPr>
                          <a:xfrm>
                            <a:off x="0" y="0"/>
                            <a:ext cx="4949190" cy="1908175"/>
                          </a:xfrm>
                          <a:prstGeom prst="rect">
                            <a:avLst/>
                          </a:prstGeom>
                          <a:noFill/>
                          <a:ln w="12700" cmpd="sng">
                            <a:solidFill>
                              <a:schemeClr val="tx1"/>
                            </a:solidFill>
                            <a:prstDash val="solid"/>
                          </a:ln>
                        </pic:spPr>
                      </pic:pic>
                    </a:graphicData>
                  </a:graphic>
                </wp:anchor>
              </w:drawing>
            </w:r>
            <w:r>
              <w:rPr>
                <w:rFonts w:hint="default" w:ascii="Times New Roman" w:hAnsi="Times New Roman" w:cs="Times New Roman"/>
                <w:sz w:val="24"/>
                <w:szCs w:val="24"/>
                <w:u w:val="single"/>
                <w:lang w:val="en-US" w:eastAsia="zh-CN"/>
              </w:rPr>
              <w:t>消毒工艺包括：加氯消毒、臭氧法消毒、次氯酸钠法、二氧化氯法消毒、紫外线消毒等。</w:t>
            </w:r>
          </w:p>
          <w:p>
            <w:pPr>
              <w:pStyle w:val="21"/>
              <w:jc w:val="center"/>
              <w:rPr>
                <w:rFonts w:hint="default" w:ascii="Times New Roman" w:hAnsi="Times New Roman" w:cs="Times New Roman"/>
                <w:b/>
                <w:bCs/>
                <w:w w:val="100"/>
                <w:sz w:val="24"/>
                <w:szCs w:val="24"/>
                <w:u w:val="single"/>
                <w:lang w:val="en-US" w:eastAsia="zh-CN"/>
              </w:rPr>
            </w:pPr>
            <w:r>
              <w:rPr>
                <w:rFonts w:hint="default" w:ascii="Times New Roman" w:hAnsi="Times New Roman" w:cs="Times New Roman"/>
                <w:b/>
                <w:bCs/>
                <w:w w:val="100"/>
                <w:sz w:val="24"/>
                <w:szCs w:val="24"/>
                <w:u w:val="single"/>
                <w:lang w:val="en-US" w:eastAsia="zh-CN"/>
              </w:rPr>
              <w:t>图4-2  《排污许可证申请与核发技术规范医疗机构》（HJ1105-2020）摘录</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本项目污水处理设备（工艺具体见P27）采用“絮凝沉淀法”进行初步处理，符合“二级处理”要求；采用“二氧化氯法”进行消毒，符合“消毒工艺”要求。</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因此，项目污水处理工艺符合《排污许可证申请与核发技术规范医疗机构》（HJ1105-2020）中定义的“二级处理+消毒工艺”技术要求，项目污水处理技术可行。</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综上所述，项目采用的污水处理设备在日处理水量、设计进出水水质、技术可行性三方面均可满足实验废水的处理需求，项目实验废水处理方式可行。</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（4）改建后废水产排及处理措施汇总</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表4-9  项目改建后废水污染物排放情况一览表</w:t>
            </w:r>
          </w:p>
          <w:tbl>
            <w:tblPr>
              <w:tblStyle w:val="17"/>
              <w:tblW w:w="7785"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02"/>
              <w:gridCol w:w="836"/>
              <w:gridCol w:w="655"/>
              <w:gridCol w:w="915"/>
              <w:gridCol w:w="686"/>
              <w:gridCol w:w="830"/>
              <w:gridCol w:w="830"/>
              <w:gridCol w:w="830"/>
              <w:gridCol w:w="6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产排污环节</w:t>
                  </w:r>
                </w:p>
              </w:tc>
              <w:tc>
                <w:tcPr>
                  <w:tcW w:w="9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污染物种类</w:t>
                  </w:r>
                </w:p>
              </w:tc>
              <w:tc>
                <w:tcPr>
                  <w:tcW w:w="8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产生浓度</w:t>
                  </w:r>
                </w:p>
              </w:tc>
              <w:tc>
                <w:tcPr>
                  <w:tcW w:w="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废水产生总量</w:t>
                  </w:r>
                </w:p>
              </w:tc>
              <w:tc>
                <w:tcPr>
                  <w:tcW w:w="9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治理设施</w:t>
                  </w:r>
                </w:p>
              </w:tc>
              <w:tc>
                <w:tcPr>
                  <w:tcW w:w="6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排放方式</w:t>
                  </w:r>
                </w:p>
              </w:tc>
              <w:tc>
                <w:tcPr>
                  <w:tcW w:w="8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治理效率</w:t>
                  </w:r>
                </w:p>
              </w:tc>
              <w:tc>
                <w:tcPr>
                  <w:tcW w:w="8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排放浓度</w:t>
                  </w:r>
                </w:p>
              </w:tc>
              <w:tc>
                <w:tcPr>
                  <w:tcW w:w="8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污染物排放总量</w:t>
                  </w:r>
                </w:p>
              </w:tc>
              <w:tc>
                <w:tcPr>
                  <w:tcW w:w="64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6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生活污水</w:t>
                  </w: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260</w:t>
                  </w:r>
                </w:p>
              </w:tc>
              <w:tc>
                <w:tcPr>
                  <w:tcW w:w="655"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355.3</w:t>
                  </w:r>
                </w:p>
              </w:tc>
              <w:tc>
                <w:tcPr>
                  <w:tcW w:w="91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外委清粪车转运至县城污水处理厂</w:t>
                  </w:r>
                </w:p>
              </w:tc>
              <w:tc>
                <w:tcPr>
                  <w:tcW w:w="68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间接排放，排入异溪河</w:t>
                  </w:r>
                </w:p>
              </w:tc>
              <w:tc>
                <w:tcPr>
                  <w:tcW w:w="83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64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117</w:t>
                  </w:r>
                </w:p>
              </w:tc>
              <w:tc>
                <w:tcPr>
                  <w:tcW w:w="655"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20.6</w:t>
                  </w:r>
                </w:p>
              </w:tc>
              <w:tc>
                <w:tcPr>
                  <w:tcW w:w="655"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655"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实验室废水</w:t>
                  </w: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CODcr</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91</w:t>
                  </w:r>
                </w:p>
              </w:tc>
              <w:tc>
                <w:tcPr>
                  <w:tcW w:w="655"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129.573</w:t>
                  </w:r>
                </w:p>
              </w:tc>
              <w:tc>
                <w:tcPr>
                  <w:tcW w:w="91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调节+絮凝+脱氯+活性炭吸附</w:t>
                  </w:r>
                </w:p>
              </w:tc>
              <w:tc>
                <w:tcPr>
                  <w:tcW w:w="68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排入文昌溪</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29.86</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24.2</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3.1357</w:t>
                  </w:r>
                </w:p>
              </w:tc>
              <w:tc>
                <w:tcPr>
                  <w:tcW w:w="641" w:type="dxa"/>
                  <w:vMerge w:val="restart"/>
                  <w:tcBorders>
                    <w:tl2br w:val="nil"/>
                    <w:tr2bl w:val="nil"/>
                  </w:tcBorders>
                  <w:vAlign w:val="center"/>
                </w:tcPr>
                <w:p>
                  <w:pPr>
                    <w:keepNext w:val="0"/>
                    <w:keepLines w:val="0"/>
                    <w:pageBreakBefore w:val="0"/>
                    <w:widowControl/>
                    <w:suppressLineNumbers w:val="0"/>
                    <w:kinsoku w:val="0"/>
                    <w:wordWrap w:val="0"/>
                    <w:overflowPunct/>
                    <w:topLinePunct w:val="0"/>
                    <w:autoSpaceDE/>
                    <w:autoSpaceDN/>
                    <w:bidi w:val="0"/>
                    <w:adjustRightInd/>
                    <w:snapToGrid/>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（GB18466—2005）表2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34.5</w:t>
                  </w:r>
                </w:p>
              </w:tc>
              <w:tc>
                <w:tcPr>
                  <w:tcW w:w="65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90.96</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3.12</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0.4043</w:t>
                  </w: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35.6</w:t>
                  </w:r>
                </w:p>
              </w:tc>
              <w:tc>
                <w:tcPr>
                  <w:tcW w:w="65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99.72</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0.101</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0.0131</w:t>
                  </w: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41</w:t>
                  </w:r>
                </w:p>
              </w:tc>
              <w:tc>
                <w:tcPr>
                  <w:tcW w:w="65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99.99</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0.0009</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0.0001</w:t>
                  </w: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0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粪大肠杆菌</w:t>
                  </w:r>
                </w:p>
              </w:tc>
              <w:tc>
                <w:tcPr>
                  <w:tcW w:w="836"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24000</w:t>
                  </w:r>
                </w:p>
              </w:tc>
              <w:tc>
                <w:tcPr>
                  <w:tcW w:w="65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91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68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98.04</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470</w:t>
                  </w:r>
                </w:p>
              </w:tc>
              <w:tc>
                <w:tcPr>
                  <w:tcW w:w="83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60.899</w:t>
                  </w:r>
                </w:p>
              </w:tc>
              <w:tc>
                <w:tcPr>
                  <w:tcW w:w="64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785" w:type="dxa"/>
                  <w:gridSpan w:val="10"/>
                  <w:tcBorders>
                    <w:tl2br w:val="nil"/>
                    <w:tr2bl w:val="nil"/>
                  </w:tcBorders>
                  <w:vAlign w:val="center"/>
                </w:tcPr>
                <w:p>
                  <w:pP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说明：</w:t>
                  </w:r>
                </w:p>
                <w:p>
                  <w:pP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1、关于单位：PH无量纲、粪大肠杆菌为MPN/L，其余污染物均为mg/L;废水产生总量为t/a，污染物排放总量为kg/a，治理效率为％。</w:t>
                  </w:r>
                </w:p>
                <w:p>
                  <w:pPr>
                    <w:rPr>
                      <w:rFonts w:hint="default" w:ascii="Times New Roman" w:hAnsi="Times New Roman" w:cs="Times New Roman"/>
                      <w:lang w:val="en-US" w:eastAsia="zh-CN"/>
                    </w:rPr>
                  </w:pPr>
                  <w:r>
                    <w:rPr>
                      <w:rFonts w:hint="default" w:ascii="Times New Roman" w:hAnsi="Times New Roman" w:eastAsia="仿宋" w:cs="Times New Roman"/>
                      <w:sz w:val="18"/>
                      <w:szCs w:val="18"/>
                      <w:lang w:val="en-US" w:eastAsia="zh-CN"/>
                    </w:rPr>
                    <w:t>2、由于无医疗污水源强实测数据，因此治理设备处理效率算法为“类比产生浓度/实测排放浓度×100％”，仅作为参考，无法代表实际。</w:t>
                  </w:r>
                </w:p>
              </w:tc>
            </w:tr>
          </w:tbl>
          <w:p>
            <w:pPr>
              <w:tabs>
                <w:tab w:val="left" w:pos="1440"/>
                <w:tab w:val="left" w:pos="1800"/>
              </w:tabs>
              <w:spacing w:line="360" w:lineRule="auto"/>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表4-10  项目废水类别、污染物及污染治理设施信息表</w:t>
            </w:r>
          </w:p>
          <w:tbl>
            <w:tblPr>
              <w:tblStyle w:val="17"/>
              <w:tblW w:w="785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922"/>
              <w:gridCol w:w="26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rPr>
                    <w:t>废水类别</w:t>
                  </w:r>
                </w:p>
              </w:tc>
              <w:tc>
                <w:tcPr>
                  <w:tcW w:w="2922"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实验室废水</w:t>
                  </w:r>
                </w:p>
              </w:tc>
              <w:tc>
                <w:tcPr>
                  <w:tcW w:w="2617"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污染物种类</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、氨氮、SS、粪大肠杆菌</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、氨氮、SS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污染防治设施编号</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TW001</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TW00</w:t>
                  </w:r>
                  <w:r>
                    <w:rPr>
                      <w:rFonts w:hint="default" w:ascii="Times New Roman" w:hAnsi="Times New Roman" w:cs="Times New Roman"/>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污染防治设施名称</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污水处理设备</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化粪池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污染防治设施工艺</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调节+絮凝+脱氯+活性炭过滤</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厌氧发酵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是否为可行技术</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污染防治设施其他信息</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排放去向</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文昌溪</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外委清粪车转运至靖州苗族侗族自治县县城污水处理厂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排放方式</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直接排放</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间接排放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排放规律</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连续排放，有规律</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间接排放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排放口编号</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排放口名称</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实验室废水排放口</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排放口设置是否符合要求</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是</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排放口类型</w:t>
                  </w:r>
                </w:p>
              </w:tc>
              <w:tc>
                <w:tcPr>
                  <w:tcW w:w="292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rPr>
                    <w:t>一般排放口</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12" w:type="dxa"/>
                  <w:tcBorders>
                    <w:tl2br w:val="nil"/>
                    <w:tr2bl w:val="nil"/>
                  </w:tcBorders>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排放口经纬度</w:t>
                  </w:r>
                </w:p>
              </w:tc>
              <w:tc>
                <w:tcPr>
                  <w:tcW w:w="2922"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lang w:val="en-US" w:eastAsia="zh-CN"/>
                    </w:rPr>
                    <w:t>经度</w:t>
                  </w:r>
                  <w:r>
                    <w:rPr>
                      <w:rFonts w:hint="default" w:ascii="Times New Roman" w:hAnsi="Times New Roman" w:cs="Times New Roman"/>
                    </w:rPr>
                    <w:t>109.698978347</w:t>
                  </w:r>
                </w:p>
                <w:p>
                  <w:pPr>
                    <w:pStyle w:val="21"/>
                    <w:jc w:val="center"/>
                    <w:rPr>
                      <w:rFonts w:hint="default" w:ascii="Times New Roman" w:hAnsi="Times New Roman" w:eastAsia="宋体" w:cs="Times New Roman"/>
                      <w:lang w:val="en-US" w:eastAsia="zh-CN"/>
                    </w:rPr>
                  </w:pPr>
                  <w:r>
                    <w:rPr>
                      <w:rFonts w:hint="default" w:ascii="Times New Roman" w:hAnsi="Times New Roman" w:eastAsia="宋体" w:cs="Times New Roman"/>
                      <w:color w:val="auto"/>
                      <w:kern w:val="2"/>
                      <w:sz w:val="21"/>
                      <w:szCs w:val="22"/>
                      <w:lang w:val="en-US" w:eastAsia="zh-CN" w:bidi="ar-SA"/>
                    </w:rPr>
                    <w:t>纬度26.576868943</w:t>
                  </w:r>
                </w:p>
              </w:tc>
              <w:tc>
                <w:tcPr>
                  <w:tcW w:w="261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lang w:val="en-US" w:eastAsia="zh-CN"/>
              </w:rPr>
            </w:pPr>
            <w:r>
              <w:rPr>
                <w:rFonts w:hint="default" w:ascii="Times New Roman" w:hAnsi="Times New Roman" w:cs="Times New Roman"/>
                <w:b/>
                <w:bCs/>
                <w:sz w:val="24"/>
                <w:szCs w:val="24"/>
                <w:lang w:val="en-US" w:eastAsia="zh-CN"/>
              </w:rPr>
              <w:t>（5）改建后，废水影响结论</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a、改建后，主要废水为生活废水、实验室废水（医疗废水）。</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b、生活废水排放方式由原本经化粪池处理后直排，变更为委托相关单位利用清粪车转运至靖州苗族侗族自治县县城污水处理厂。经分析，该处置方式在可操作性、处理工艺、进出水水质三个层面均具有可行性。</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实验室废水经污水处理设备处理后达《医疗机构水污染物排放标准》（GB18466—2005）中表2所规定的排放浓度限值后排入文昌溪，污水处理设备在日处理水量、进出水水质、处理技术三个方面均可满足实验室废水（医疗废水）处理需求。</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d、综上所述，建设单位在采取上述措施后，运营期生活污水及实验室废水均可得到有效处置，对周围环境影响在可接受程度之内。</w:t>
            </w:r>
          </w:p>
          <w:p>
            <w:pPr>
              <w:tabs>
                <w:tab w:val="left" w:pos="1440"/>
                <w:tab w:val="left" w:pos="1800"/>
              </w:tabs>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三、噪声</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（1）噪声源强分析</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改建后，冷库运行时压缩机噪声为主要新增噪声排放源，源强约75dB(A)，经距离衰减、建筑隔声后，对周围环境影响不大。环评建议靖州县疾控中心通过选用低噪声的先进设备、减震、合理布局等措施以减小噪声影响。</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（2）噪声预测</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据本工程设备噪声源的特征和厂址周围环境的特点，本次噪声影响评价选用点源的噪声预测模式，将所有噪声设备合成视为一个点噪声源，预先求得该整体声源的声功率级，然后计算该整体声源辐射的声能在受向点传播过程中由各种因素引起的衰减，最后求得预测受声点的噪声级。噪声预测公式如下。</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噪声点源距离衰减公式</w:t>
            </w:r>
          </w:p>
          <w:p>
            <w:pPr>
              <w:pStyle w:val="21"/>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pict>
                <v:shape id="_x0000_s1026" o:spid="_x0000_s1026" o:spt="75" type="#_x0000_t75" style="position:absolute;left:0pt;margin-left:125.1pt;margin-top:7.3pt;height:19.45pt;width:128.2pt;mso-wrap-distance-bottom:0pt;mso-wrap-distance-top:0pt;z-index:251661312;mso-width-relative:page;mso-height-relative:page;" o:ole="t" filled="f" o:preferrelative="t" stroked="f" coordsize="21600,21600">
                  <v:path/>
                  <v:fill on="f" focussize="0,0"/>
                  <v:stroke on="f"/>
                  <v:imagedata r:id="rId25" o:title=""/>
                  <o:lock v:ext="edit" aspectratio="t"/>
                  <w10:wrap type="topAndBottom"/>
                </v:shape>
                <o:OLEObject Type="Embed" ProgID="Equation.3" ShapeID="_x0000_s1026" DrawAspect="Content" ObjectID="_1468075725" r:id="rId24">
                  <o:LockedField>false</o:LockedField>
                </o:OLEObject>
              </w:pict>
            </w:r>
            <w:r>
              <w:rPr>
                <w:rFonts w:hint="default" w:ascii="Times New Roman" w:hAnsi="Times New Roman" w:cs="Times New Roman"/>
                <w:lang w:val="en-US" w:eastAsia="zh-CN"/>
              </w:rPr>
              <w:t>式中：</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Lr—预测点声压级，dB（A）；</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L0—噪声源强，dB（A）；</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r—预测点离噪声源的距离，m；</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ΔL—各种因素引起的衰减量（包括路面吸收等引起的衰减量），dB（A）。</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噪声源叠加公式</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pict>
                <v:shape id="_x0000_s1027" o:spid="_x0000_s1027" o:spt="75" type="#_x0000_t75" style="position:absolute;left:0pt;margin-left:152.2pt;margin-top:2.8pt;height:38.75pt;width:97.9pt;mso-wrap-distance-bottom:0pt;mso-wrap-distance-top:0pt;z-index:251662336;mso-width-relative:page;mso-height-relative:page;" o:ole="t" filled="f" o:preferrelative="t" stroked="f" coordsize="21600,21600">
                  <v:path/>
                  <v:fill on="f" focussize="0,0"/>
                  <v:stroke on="f"/>
                  <v:imagedata r:id="rId27" o:title=""/>
                  <o:lock v:ext="edit" aspectratio="t"/>
                  <w10:wrap type="topAndBottom"/>
                </v:shape>
                <o:OLEObject Type="Embed" ProgID="Equation.3" ShapeID="_x0000_s1027" DrawAspect="Content" ObjectID="_1468075726" r:id="rId26">
                  <o:LockedField>false</o:LockedField>
                </o:OLEObject>
              </w:pict>
            </w:r>
            <w:r>
              <w:rPr>
                <w:rFonts w:hint="default" w:ascii="Times New Roman" w:hAnsi="Times New Roman" w:cs="Times New Roman"/>
                <w:sz w:val="24"/>
                <w:szCs w:val="24"/>
                <w:lang w:val="en-US" w:eastAsia="zh-CN"/>
              </w:rPr>
              <w:t>式中：L—总声压级，dB（A）；</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Li—第i个噪声源的声压级，dB（A）；</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n—噪声源数。</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表4-12  各噪声源各点处贡献值计算参数及结果</w:t>
            </w:r>
          </w:p>
          <w:tbl>
            <w:tblPr>
              <w:tblStyle w:val="16"/>
              <w:tblW w:w="65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4"/>
              <w:gridCol w:w="1304"/>
              <w:gridCol w:w="1304"/>
              <w:gridCol w:w="1304"/>
              <w:gridCol w:w="1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6523" w:type="dxa"/>
                  <w:gridSpan w:val="5"/>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b/>
                      <w:bCs/>
                      <w:lang w:val="en-US" w:eastAsia="zh-CN"/>
                    </w:rPr>
                    <w:t>冷库贡献值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方位</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Lr</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L0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r</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ΔL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东</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26.0206</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75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50</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南</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25.6799</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75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52</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西</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42.4988</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75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7.5</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北</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33.9794</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75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20</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6523" w:type="dxa"/>
                  <w:gridSpan w:val="5"/>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b/>
                      <w:bCs/>
                      <w:lang w:val="en-US" w:eastAsia="zh-CN"/>
                    </w:rPr>
                    <w:t>风机贡献值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方位</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LR</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L0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r</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ΔL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东</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18.9794</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20</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南</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31.0206</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西</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11.5580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47</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北</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11.7448</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46</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23" w:type="dxa"/>
                  <w:gridSpan w:val="5"/>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b/>
                      <w:bCs/>
                      <w:lang w:val="en-US" w:eastAsia="zh-CN"/>
                    </w:rPr>
                    <w:t>仪器贡献值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方位</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Lr</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L0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r</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ΔL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东</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22.7654</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23</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南</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31.9382</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8</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西</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16.0206</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50</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北</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18.6360</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65</w:t>
                  </w:r>
                </w:p>
              </w:tc>
              <w:tc>
                <w:tcPr>
                  <w:tcW w:w="13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37</w:t>
                  </w:r>
                </w:p>
              </w:tc>
              <w:tc>
                <w:tcPr>
                  <w:tcW w:w="1307"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23" w:type="dxa"/>
                  <w:gridSpan w:val="5"/>
                  <w:tcBorders>
                    <w:tl2br w:val="nil"/>
                    <w:tr2bl w:val="nil"/>
                  </w:tcBorders>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eastAsia="仿宋" w:cs="Times New Roman"/>
                      <w:sz w:val="18"/>
                      <w:szCs w:val="18"/>
                      <w:lang w:val="en-US" w:eastAsia="zh-CN"/>
                    </w:rPr>
                    <w:t>说明：单位均为dB（A）</w:t>
                  </w:r>
                </w:p>
              </w:tc>
            </w:tr>
          </w:tbl>
          <w:p>
            <w:pPr>
              <w:pStyle w:val="21"/>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表4-13  各噪声源叠加值计算参数及结果</w:t>
            </w:r>
          </w:p>
          <w:tbl>
            <w:tblPr>
              <w:tblStyle w:val="16"/>
              <w:tblW w:w="78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64"/>
              <w:gridCol w:w="760"/>
              <w:gridCol w:w="1165"/>
              <w:gridCol w:w="1165"/>
              <w:gridCol w:w="1165"/>
              <w:gridCol w:w="1373"/>
              <w:gridCol w:w="904"/>
              <w:gridCol w:w="7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atLeast"/>
                <w:jc w:val="center"/>
              </w:trPr>
              <w:tc>
                <w:tcPr>
                  <w:tcW w:w="56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方位</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本底值</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冷库贡献值</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风机贡献值</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仪器贡献值</w:t>
                  </w:r>
                </w:p>
              </w:tc>
              <w:tc>
                <w:tcPr>
                  <w:tcW w:w="1373"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叠加后声压级</w:t>
                  </w:r>
                </w:p>
              </w:tc>
              <w:tc>
                <w:tcPr>
                  <w:tcW w:w="9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增加量</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3" w:hRule="atLeast"/>
                <w:jc w:val="center"/>
              </w:trPr>
              <w:tc>
                <w:tcPr>
                  <w:tcW w:w="56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东</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54</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26.0206</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18.9794</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22.7654</w:t>
                  </w:r>
                </w:p>
              </w:tc>
              <w:tc>
                <w:tcPr>
                  <w:tcW w:w="1373"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54.0115</w:t>
                  </w:r>
                </w:p>
              </w:tc>
              <w:tc>
                <w:tcPr>
                  <w:tcW w:w="9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0.0115</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3" w:hRule="atLeast"/>
                <w:jc w:val="center"/>
              </w:trPr>
              <w:tc>
                <w:tcPr>
                  <w:tcW w:w="56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南</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52</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25.6799</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31.0206</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31.9382</w:t>
                  </w:r>
                </w:p>
              </w:tc>
              <w:tc>
                <w:tcPr>
                  <w:tcW w:w="1373"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52.0867</w:t>
                  </w:r>
                </w:p>
              </w:tc>
              <w:tc>
                <w:tcPr>
                  <w:tcW w:w="9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0.0867</w:t>
                  </w:r>
                </w:p>
              </w:tc>
              <w:tc>
                <w:tcPr>
                  <w:tcW w:w="760" w:type="dxa"/>
                  <w:tcBorders>
                    <w:tl2br w:val="nil"/>
                    <w:tr2bl w:val="nil"/>
                  </w:tcBorders>
                  <w:shd w:val="clear" w:color="auto" w:fill="auto"/>
                  <w:noWrap/>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3" w:hRule="atLeast"/>
                <w:jc w:val="center"/>
              </w:trPr>
              <w:tc>
                <w:tcPr>
                  <w:tcW w:w="56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西</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53</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42.4988</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11.5580</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16.0206</w:t>
                  </w:r>
                </w:p>
              </w:tc>
              <w:tc>
                <w:tcPr>
                  <w:tcW w:w="1373"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53.3718</w:t>
                  </w:r>
                </w:p>
              </w:tc>
              <w:tc>
                <w:tcPr>
                  <w:tcW w:w="9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0.3718</w:t>
                  </w:r>
                </w:p>
              </w:tc>
              <w:tc>
                <w:tcPr>
                  <w:tcW w:w="760" w:type="dxa"/>
                  <w:tcBorders>
                    <w:tl2br w:val="nil"/>
                    <w:tr2bl w:val="nil"/>
                  </w:tcBorders>
                  <w:shd w:val="clear" w:color="auto" w:fill="auto"/>
                  <w:noWrap/>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56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北</w:t>
                  </w:r>
                </w:p>
              </w:tc>
              <w:tc>
                <w:tcPr>
                  <w:tcW w:w="760"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53</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33.9794</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11.7448</w:t>
                  </w:r>
                </w:p>
              </w:tc>
              <w:tc>
                <w:tcPr>
                  <w:tcW w:w="1165"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18.6360</w:t>
                  </w:r>
                </w:p>
              </w:tc>
              <w:tc>
                <w:tcPr>
                  <w:tcW w:w="1373"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53.0560</w:t>
                  </w:r>
                </w:p>
              </w:tc>
              <w:tc>
                <w:tcPr>
                  <w:tcW w:w="904" w:type="dxa"/>
                  <w:tcBorders>
                    <w:tl2br w:val="nil"/>
                    <w:tr2bl w:val="nil"/>
                  </w:tcBorders>
                  <w:shd w:val="clear" w:color="auto" w:fill="auto"/>
                  <w:noWrap/>
                  <w:vAlign w:val="center"/>
                </w:tcPr>
                <w:p>
                  <w:pPr>
                    <w:jc w:val="center"/>
                    <w:rPr>
                      <w:rFonts w:hint="default" w:ascii="Times New Roman" w:hAnsi="Times New Roman" w:cs="Times New Roman"/>
                    </w:rPr>
                  </w:pPr>
                  <w:r>
                    <w:rPr>
                      <w:rFonts w:hint="default" w:ascii="Times New Roman" w:hAnsi="Times New Roman" w:cs="Times New Roman"/>
                      <w:lang w:val="en-US" w:eastAsia="zh-CN"/>
                    </w:rPr>
                    <w:t>0.0560</w:t>
                  </w:r>
                </w:p>
              </w:tc>
              <w:tc>
                <w:tcPr>
                  <w:tcW w:w="760" w:type="dxa"/>
                  <w:tcBorders>
                    <w:tl2br w:val="nil"/>
                    <w:tr2bl w:val="nil"/>
                  </w:tcBorders>
                  <w:shd w:val="clear" w:color="auto" w:fill="auto"/>
                  <w:noWrap/>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7856" w:type="dxa"/>
                  <w:gridSpan w:val="8"/>
                  <w:tcBorders>
                    <w:tl2br w:val="nil"/>
                    <w:tr2bl w:val="nil"/>
                  </w:tcBorders>
                  <w:shd w:val="clear" w:color="auto" w:fill="auto"/>
                  <w:noWrap/>
                  <w:vAlign w:val="center"/>
                </w:tcPr>
                <w:p>
                  <w:pPr>
                    <w:jc w:val="both"/>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说明：</w:t>
                  </w:r>
                </w:p>
                <w:p>
                  <w:pPr>
                    <w:ind w:firstLine="360" w:firstLineChars="200"/>
                    <w:jc w:val="both"/>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1、本底值数据来源于实测，见附件2。</w:t>
                  </w:r>
                </w:p>
                <w:p>
                  <w:pPr>
                    <w:ind w:firstLine="360" w:firstLineChars="200"/>
                    <w:jc w:val="both"/>
                    <w:rPr>
                      <w:rFonts w:hint="default" w:ascii="Times New Roman" w:hAnsi="Times New Roman" w:cs="Times New Roman"/>
                      <w:lang w:val="en-US" w:eastAsia="zh-CN"/>
                    </w:rPr>
                  </w:pPr>
                  <w:r>
                    <w:rPr>
                      <w:rFonts w:hint="default" w:ascii="Times New Roman" w:hAnsi="Times New Roman" w:eastAsia="仿宋" w:cs="Times New Roman"/>
                      <w:sz w:val="18"/>
                      <w:szCs w:val="18"/>
                      <w:lang w:val="en-US" w:eastAsia="zh-CN"/>
                    </w:rPr>
                    <w:t>2、单位均为dB（A）</w:t>
                  </w:r>
                </w:p>
              </w:tc>
            </w:tr>
          </w:tbl>
          <w:p>
            <w:pPr>
              <w:tabs>
                <w:tab w:val="left" w:pos="1440"/>
                <w:tab w:val="left" w:pos="1800"/>
              </w:tabs>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lang w:val="en-US" w:eastAsia="zh-CN"/>
              </w:rPr>
              <w:t>可见，项目改建后噪声贡献值甚小，对环境基本无影响。</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（3）改建后，噪声影响总结</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a、本项目改建后，主要噪声源为冷库运行时压缩机噪声、仪器运行时产生的噪声、风机产生的噪声，噪声源强分别为：75dB（A）、60dB（A）、65dB（A），不涉及高声源设备。</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b、经预测，各设备在厂界外1m处贡献值甚小，基本可忽略；叠加后的噪声值可满足《工业企业厂界环境噪声排放标准》（GB12348-2008）中的2类标准。</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c、环评建议建设单位通过选用低噪声的先进设备、减震、合理布局等措施减小噪声对环境造成的影响。</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d、综上所述，项目运营期产生的噪声不大，在落实好环评提出的措施后，噪声对环境造成的影响在可接受程度之内。</w:t>
            </w:r>
          </w:p>
          <w:p>
            <w:pPr>
              <w:tabs>
                <w:tab w:val="left" w:pos="1440"/>
                <w:tab w:val="left" w:pos="1800"/>
              </w:tabs>
              <w:spacing w:line="360" w:lineRule="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四、固体废物</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（1）生活垃圾</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项目改建后在职员工仍为44人，生活垃圾产生量为5kg/人·d，则年产生55t，较改建前无变化，生活垃圾集中收集后交由当地环卫部门集中处置。</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（2）医疗废物（危险废物）：</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cs="Times New Roman"/>
                <w:sz w:val="24"/>
                <w:u w:val="single"/>
                <w:lang w:val="en-US" w:eastAsia="zh-CN"/>
              </w:rPr>
              <w:t>包括废弃生物样品（</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）、废弃培养基（</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）、废一次性医疗用品（注射器、口罩、棉签，编号</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）、过期药物（</w:t>
            </w:r>
            <w:r>
              <w:rPr>
                <w:rFonts w:hint="default" w:ascii="Times New Roman" w:hAnsi="Times New Roman" w:eastAsia="宋体" w:cs="Times New Roman"/>
                <w:sz w:val="24"/>
                <w:szCs w:val="24"/>
                <w:u w:val="single"/>
              </w:rPr>
              <w:t>841-005-01</w:t>
            </w:r>
            <w:r>
              <w:rPr>
                <w:rFonts w:hint="default" w:ascii="Times New Roman" w:hAnsi="Times New Roman" w:cs="Times New Roman"/>
                <w:sz w:val="24"/>
                <w:u w:val="single"/>
                <w:lang w:val="en-US" w:eastAsia="zh-CN"/>
              </w:rPr>
              <w:t>）、废弃生物安全柜HEPA滤网（</w:t>
            </w:r>
            <w:r>
              <w:rPr>
                <w:rFonts w:hint="default" w:ascii="Times New Roman" w:hAnsi="Times New Roman" w:eastAsia="宋体" w:cs="Times New Roman"/>
                <w:sz w:val="24"/>
                <w:szCs w:val="24"/>
                <w:u w:val="single"/>
              </w:rPr>
              <w:t>841-001-01</w:t>
            </w:r>
            <w:r>
              <w:rPr>
                <w:rFonts w:hint="default" w:ascii="Times New Roman" w:hAnsi="Times New Roman" w:cs="Times New Roman"/>
                <w:sz w:val="24"/>
                <w:u w:val="single"/>
                <w:lang w:val="en-US" w:eastAsia="zh-CN"/>
              </w:rPr>
              <w:t>）。</w:t>
            </w:r>
            <w:r>
              <w:rPr>
                <w:rFonts w:hint="default" w:ascii="Times New Roman" w:hAnsi="Times New Roman" w:cs="Times New Roman"/>
                <w:sz w:val="24"/>
                <w:szCs w:val="24"/>
                <w:u w:val="single"/>
                <w:lang w:val="en-US" w:eastAsia="zh-CN"/>
              </w:rPr>
              <w:t>由于项目规模不变，因此改建后无新增产生量，依据靖州县疾病预防控制中心2021年危废转运联单，统计出医疗废物年产生量2.2t，目前交由怀化市天源环保科技有限责任公司处置。</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（3）废试剂</w:t>
            </w:r>
          </w:p>
          <w:p>
            <w:pPr>
              <w:tabs>
                <w:tab w:val="left" w:pos="1440"/>
                <w:tab w:val="left" w:pos="1800"/>
              </w:tabs>
              <w:spacing w:line="360" w:lineRule="auto"/>
              <w:ind w:firstLine="360" w:firstLineChars="15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包括废酸、废碱、废三氯甲烷、废甲醇，由于改建前后实验规模、频次不变，因此产生量变，年产生共计0.05t。目前均集中收集于危废间，定期交由“湖南瀚邦环境科技有限公司”处置。</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（4）废试剂瓶</w:t>
            </w:r>
          </w:p>
          <w:p>
            <w:pPr>
              <w:tabs>
                <w:tab w:val="left" w:pos="1440"/>
                <w:tab w:val="left" w:pos="1800"/>
              </w:tabs>
              <w:spacing w:line="360" w:lineRule="auto"/>
              <w:ind w:firstLine="360" w:firstLineChars="15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主要为沾染有上述危险废物的容器，</w:t>
            </w:r>
            <w:r>
              <w:rPr>
                <w:rFonts w:hint="default" w:ascii="Times New Roman" w:hAnsi="Times New Roman" w:cs="Times New Roman"/>
                <w:b w:val="0"/>
                <w:bCs w:val="0"/>
                <w:sz w:val="24"/>
                <w:u w:val="single"/>
                <w:lang w:val="en-US" w:eastAsia="zh-CN"/>
              </w:rPr>
              <w:t>年产生量同改建前一致，共计</w:t>
            </w:r>
            <w:r>
              <w:rPr>
                <w:rFonts w:hint="default" w:ascii="Times New Roman" w:hAnsi="Times New Roman" w:eastAsia="宋体" w:cs="Times New Roman"/>
                <w:sz w:val="24"/>
                <w:szCs w:val="24"/>
                <w:u w:val="single"/>
                <w:lang w:val="en-US" w:eastAsia="zh-CN"/>
              </w:rPr>
              <w:t>0.01t。目前均集中收集于危废间，定期交由“湖南瀚邦环境科技有限公司”处置。</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szCs w:val="24"/>
                <w:lang w:val="en-US" w:eastAsia="zh-CN"/>
              </w:rPr>
              <w:t>（5）</w:t>
            </w:r>
            <w:r>
              <w:rPr>
                <w:rFonts w:hint="default" w:ascii="Times New Roman" w:hAnsi="Times New Roman" w:cs="Times New Roman"/>
                <w:b/>
                <w:bCs/>
                <w:sz w:val="24"/>
                <w:lang w:val="en-US" w:eastAsia="zh-CN"/>
              </w:rPr>
              <w:t>废美沙酮桶</w:t>
            </w:r>
          </w:p>
          <w:p>
            <w:pPr>
              <w:tabs>
                <w:tab w:val="left" w:pos="1440"/>
                <w:tab w:val="left" w:pos="1800"/>
              </w:tabs>
              <w:spacing w:line="360" w:lineRule="auto"/>
              <w:ind w:firstLine="360" w:firstLineChars="150"/>
              <w:rPr>
                <w:rFonts w:hint="default" w:ascii="Times New Roman" w:hAnsi="Times New Roman"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来源于戒毒门诊使用的美沙酮替代疗法，</w:t>
            </w:r>
            <w:r>
              <w:rPr>
                <w:rFonts w:hint="default" w:ascii="Times New Roman" w:hAnsi="Times New Roman" w:cs="Times New Roman"/>
                <w:b w:val="0"/>
                <w:bCs w:val="0"/>
                <w:sz w:val="24"/>
                <w:u w:val="single"/>
                <w:lang w:val="en-US" w:eastAsia="zh-CN"/>
              </w:rPr>
              <w:t>年产生量同改建前一致，共计0.5t，</w:t>
            </w:r>
            <w:r>
              <w:rPr>
                <w:rFonts w:hint="default" w:ascii="Times New Roman" w:hAnsi="Times New Roman" w:cs="Times New Roman"/>
                <w:sz w:val="24"/>
                <w:u w:val="single"/>
                <w:lang w:val="en-US" w:eastAsia="zh-CN"/>
              </w:rPr>
              <w:t>定期交</w:t>
            </w:r>
            <w:r>
              <w:rPr>
                <w:rFonts w:hint="default" w:ascii="Times New Roman" w:hAnsi="Times New Roman" w:cs="Times New Roman"/>
                <w:sz w:val="24"/>
                <w:szCs w:val="24"/>
                <w:u w:val="single"/>
                <w:lang w:val="en-US" w:eastAsia="zh-CN"/>
              </w:rPr>
              <w:t>由“湖南瀚邦环境科技有限公司”处置。</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（6）污水处理站污泥</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改建后污水处理设备处理水量增加至129.573t/a，依据“与项目有关的原有环境污染问题”章节的计算方法，污泥增加至27.28kg/a较改建前增加3.78kg/a，目前交由湖南瀚邦环境科技有限公司处置。</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项目改建后各固体废物产生量及去向见下表。</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表4-15  改建后，各固体废物产生量及去向</w:t>
            </w:r>
          </w:p>
          <w:tbl>
            <w:tblPr>
              <w:tblStyle w:val="17"/>
              <w:tblW w:w="75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9"/>
              <w:gridCol w:w="543"/>
              <w:gridCol w:w="1467"/>
              <w:gridCol w:w="837"/>
              <w:gridCol w:w="587"/>
              <w:gridCol w:w="1316"/>
              <w:gridCol w:w="888"/>
              <w:gridCol w:w="13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2010" w:type="dxa"/>
                  <w:gridSpan w:val="2"/>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危废类型</w:t>
                  </w:r>
                </w:p>
              </w:tc>
              <w:tc>
                <w:tcPr>
                  <w:tcW w:w="837"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固废属性</w:t>
                  </w:r>
                </w:p>
              </w:tc>
              <w:tc>
                <w:tcPr>
                  <w:tcW w:w="1903" w:type="dxa"/>
                  <w:gridSpan w:val="2"/>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危废编号</w:t>
                  </w:r>
                </w:p>
              </w:tc>
              <w:tc>
                <w:tcPr>
                  <w:tcW w:w="888"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产生量t/a</w:t>
                  </w:r>
                </w:p>
              </w:tc>
              <w:tc>
                <w:tcPr>
                  <w:tcW w:w="1374" w:type="dxa"/>
                  <w:tcBorders>
                    <w:tl2br w:val="nil"/>
                    <w:tr2bl w:val="nil"/>
                  </w:tcBorders>
                  <w:vAlign w:val="center"/>
                </w:tcPr>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2010"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83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9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1374"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当地环卫部门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543" w:type="dxa"/>
                  <w:vMerge w:val="restart"/>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医疗废物</w:t>
                  </w:r>
                </w:p>
              </w:tc>
              <w:tc>
                <w:tcPr>
                  <w:tcW w:w="1467"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废培养基</w:t>
                  </w:r>
                </w:p>
              </w:tc>
              <w:tc>
                <w:tcPr>
                  <w:tcW w:w="837"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w:t>
                  </w:r>
                </w:p>
              </w:tc>
              <w:tc>
                <w:tcPr>
                  <w:tcW w:w="587"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HW01</w:t>
                  </w:r>
                </w:p>
              </w:tc>
              <w:tc>
                <w:tcPr>
                  <w:tcW w:w="1316"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eastAsia="宋体" w:cs="Times New Roman"/>
                      <w:sz w:val="21"/>
                      <w:szCs w:val="21"/>
                      <w:u w:val="single"/>
                    </w:rPr>
                    <w:t>841-001-018</w:t>
                  </w:r>
                </w:p>
              </w:tc>
              <w:tc>
                <w:tcPr>
                  <w:tcW w:w="888"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2.2</w:t>
                  </w:r>
                </w:p>
              </w:tc>
              <w:tc>
                <w:tcPr>
                  <w:tcW w:w="1374"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靖州县卫生健康局集中收集后转运至“怀化市天源环保科技有限责任公司”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continue"/>
                  <w:tcBorders>
                    <w:tl2br w:val="nil"/>
                    <w:tr2bl w:val="nil"/>
                  </w:tcBorders>
                  <w:vAlign w:val="center"/>
                </w:tcPr>
                <w:p>
                  <w:pPr>
                    <w:jc w:val="center"/>
                    <w:rPr>
                      <w:rFonts w:hint="default" w:ascii="Times New Roman" w:hAnsi="Times New Roman" w:cs="Times New Roman"/>
                    </w:rPr>
                  </w:pPr>
                </w:p>
              </w:tc>
              <w:tc>
                <w:tcPr>
                  <w:tcW w:w="543" w:type="dxa"/>
                  <w:vMerge w:val="continue"/>
                  <w:tcBorders>
                    <w:tl2br w:val="nil"/>
                    <w:tr2bl w:val="nil"/>
                  </w:tcBorders>
                  <w:vAlign w:val="center"/>
                </w:tcPr>
                <w:p>
                  <w:pPr>
                    <w:jc w:val="center"/>
                    <w:rPr>
                      <w:rFonts w:hint="default" w:ascii="Times New Roman" w:hAnsi="Times New Roman" w:cs="Times New Roman"/>
                      <w:u w:val="single"/>
                    </w:rPr>
                  </w:pPr>
                </w:p>
              </w:tc>
              <w:tc>
                <w:tcPr>
                  <w:tcW w:w="1467"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废生物样品</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43" w:type="dxa"/>
                  <w:vMerge w:val="continue"/>
                  <w:tcBorders>
                    <w:tl2br w:val="nil"/>
                    <w:tr2bl w:val="nil"/>
                  </w:tcBorders>
                  <w:vAlign w:val="center"/>
                </w:tcPr>
                <w:p>
                  <w:pPr>
                    <w:jc w:val="center"/>
                    <w:rPr>
                      <w:rFonts w:hint="default" w:ascii="Times New Roman" w:hAnsi="Times New Roman" w:cs="Times New Roman"/>
                      <w:u w:val="single"/>
                      <w:lang w:val="en-US" w:eastAsia="zh-CN"/>
                    </w:rPr>
                  </w:pPr>
                </w:p>
              </w:tc>
              <w:tc>
                <w:tcPr>
                  <w:tcW w:w="1467"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废一次性医疗用品</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43" w:type="dxa"/>
                  <w:vMerge w:val="continue"/>
                  <w:tcBorders>
                    <w:tl2br w:val="nil"/>
                    <w:tr2bl w:val="nil"/>
                  </w:tcBorders>
                  <w:vAlign w:val="center"/>
                </w:tcPr>
                <w:p>
                  <w:pPr>
                    <w:jc w:val="center"/>
                    <w:rPr>
                      <w:rFonts w:hint="default" w:ascii="Times New Roman" w:hAnsi="Times New Roman" w:cs="Times New Roman"/>
                      <w:u w:val="single"/>
                      <w:lang w:val="en-US" w:eastAsia="zh-CN"/>
                    </w:rPr>
                  </w:pPr>
                </w:p>
              </w:tc>
              <w:tc>
                <w:tcPr>
                  <w:tcW w:w="1467" w:type="dxa"/>
                  <w:tcBorders>
                    <w:tl2br w:val="nil"/>
                    <w:tr2bl w:val="nil"/>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sz w:val="21"/>
                      <w:szCs w:val="21"/>
                      <w:u w:val="single"/>
                      <w:lang w:val="en-US" w:eastAsia="zh-CN"/>
                    </w:rPr>
                    <w:t>废HEPA滤网</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43" w:type="dxa"/>
                  <w:vMerge w:val="continue"/>
                  <w:tcBorders>
                    <w:tl2br w:val="nil"/>
                    <w:tr2bl w:val="nil"/>
                  </w:tcBorders>
                  <w:vAlign w:val="center"/>
                </w:tcPr>
                <w:p>
                  <w:pPr>
                    <w:jc w:val="center"/>
                    <w:rPr>
                      <w:rFonts w:hint="default" w:ascii="Times New Roman" w:hAnsi="Times New Roman" w:cs="Times New Roman"/>
                      <w:u w:val="single"/>
                      <w:lang w:val="en-US" w:eastAsia="zh-CN"/>
                    </w:rPr>
                  </w:pPr>
                </w:p>
              </w:tc>
              <w:tc>
                <w:tcPr>
                  <w:tcW w:w="1467" w:type="dxa"/>
                  <w:tcBorders>
                    <w:tl2br w:val="nil"/>
                    <w:tr2bl w:val="nil"/>
                  </w:tcBorders>
                  <w:vAlign w:val="center"/>
                </w:tcPr>
                <w:p>
                  <w:pPr>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废过期药物</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tcBorders>
                    <w:tl2br w:val="nil"/>
                    <w:tr2bl w:val="nil"/>
                  </w:tcBorders>
                  <w:vAlign w:val="center"/>
                </w:tcPr>
                <w:p>
                  <w:pPr>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841-005-01</w:t>
                  </w: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restart"/>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4</w:t>
                  </w:r>
                </w:p>
              </w:tc>
              <w:tc>
                <w:tcPr>
                  <w:tcW w:w="543" w:type="dxa"/>
                  <w:vMerge w:val="restart"/>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废试剂</w:t>
                  </w:r>
                </w:p>
              </w:tc>
              <w:tc>
                <w:tcPr>
                  <w:tcW w:w="146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废酸液</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HW49</w:t>
                  </w:r>
                </w:p>
              </w:tc>
              <w:tc>
                <w:tcPr>
                  <w:tcW w:w="1316" w:type="dxa"/>
                  <w:vMerge w:val="restart"/>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900-047-49</w:t>
                  </w:r>
                </w:p>
              </w:tc>
              <w:tc>
                <w:tcPr>
                  <w:tcW w:w="888"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0.05</w:t>
                  </w:r>
                </w:p>
              </w:tc>
              <w:tc>
                <w:tcPr>
                  <w:tcW w:w="1374"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收集后定期交由“湖南瀚邦环境科技有限公司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continue"/>
                  <w:tcBorders>
                    <w:tl2br w:val="nil"/>
                    <w:tr2bl w:val="nil"/>
                  </w:tcBorders>
                  <w:vAlign w:val="center"/>
                </w:tcPr>
                <w:p>
                  <w:pPr>
                    <w:jc w:val="center"/>
                    <w:rPr>
                      <w:rFonts w:hint="default" w:ascii="Times New Roman" w:hAnsi="Times New Roman" w:cs="Times New Roman"/>
                    </w:rPr>
                  </w:pPr>
                </w:p>
              </w:tc>
              <w:tc>
                <w:tcPr>
                  <w:tcW w:w="543" w:type="dxa"/>
                  <w:vMerge w:val="continue"/>
                  <w:tcBorders>
                    <w:tl2br w:val="nil"/>
                    <w:tr2bl w:val="nil"/>
                  </w:tcBorders>
                  <w:vAlign w:val="center"/>
                </w:tcPr>
                <w:p>
                  <w:pPr>
                    <w:jc w:val="center"/>
                    <w:rPr>
                      <w:rFonts w:hint="default" w:ascii="Times New Roman" w:hAnsi="Times New Roman" w:cs="Times New Roman"/>
                    </w:rPr>
                  </w:pPr>
                </w:p>
              </w:tc>
              <w:tc>
                <w:tcPr>
                  <w:tcW w:w="146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废碱液</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4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6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废三氯甲烷</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vMerge w:val="continue"/>
                  <w:tcBorders>
                    <w:tl2br w:val="nil"/>
                    <w:tr2bl w:val="nil"/>
                  </w:tcBorders>
                  <w:vAlign w:val="center"/>
                </w:tcPr>
                <w:p>
                  <w:pPr>
                    <w:jc w:val="center"/>
                    <w:rPr>
                      <w:rFonts w:hint="default" w:ascii="Times New Roman" w:hAnsi="Times New Roman" w:cs="Times New Roman"/>
                    </w:rPr>
                  </w:pPr>
                </w:p>
              </w:tc>
              <w:tc>
                <w:tcPr>
                  <w:tcW w:w="543" w:type="dxa"/>
                  <w:vMerge w:val="continue"/>
                  <w:tcBorders>
                    <w:tl2br w:val="nil"/>
                    <w:tr2bl w:val="nil"/>
                  </w:tcBorders>
                  <w:vAlign w:val="center"/>
                </w:tcPr>
                <w:p>
                  <w:pPr>
                    <w:jc w:val="center"/>
                    <w:rPr>
                      <w:rFonts w:hint="default" w:ascii="Times New Roman" w:hAnsi="Times New Roman" w:cs="Times New Roman"/>
                    </w:rPr>
                  </w:pPr>
                </w:p>
              </w:tc>
              <w:tc>
                <w:tcPr>
                  <w:tcW w:w="1467"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废甲醇</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p>
              </w:tc>
              <w:tc>
                <w:tcPr>
                  <w:tcW w:w="888"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5</w:t>
                  </w:r>
                </w:p>
              </w:tc>
              <w:tc>
                <w:tcPr>
                  <w:tcW w:w="2010" w:type="dxa"/>
                  <w:gridSpan w:val="2"/>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废试剂瓶</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vMerge w:val="continue"/>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p>
              </w:tc>
              <w:tc>
                <w:tcPr>
                  <w:tcW w:w="88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0.01</w:t>
                  </w: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6</w:t>
                  </w:r>
                </w:p>
              </w:tc>
              <w:tc>
                <w:tcPr>
                  <w:tcW w:w="2010" w:type="dxa"/>
                  <w:gridSpan w:val="2"/>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废美沙酮桶</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tcBorders>
                    <w:tl2br w:val="nil"/>
                    <w:tr2bl w:val="nil"/>
                  </w:tcBorders>
                  <w:vAlign w:val="center"/>
                </w:tcPr>
                <w:p>
                  <w:pPr>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900-04</w:t>
                  </w:r>
                  <w:r>
                    <w:rPr>
                      <w:rFonts w:hint="default" w:ascii="Times New Roman" w:hAnsi="Times New Roman" w:eastAsia="宋体" w:cs="Times New Roman"/>
                      <w:sz w:val="21"/>
                      <w:szCs w:val="21"/>
                      <w:u w:val="single"/>
                      <w:lang w:val="en-US" w:eastAsia="zh-CN"/>
                    </w:rPr>
                    <w:t>1</w:t>
                  </w:r>
                  <w:r>
                    <w:rPr>
                      <w:rFonts w:hint="default" w:ascii="Times New Roman" w:hAnsi="Times New Roman" w:eastAsia="宋体" w:cs="Times New Roman"/>
                      <w:sz w:val="21"/>
                      <w:szCs w:val="21"/>
                      <w:u w:val="single"/>
                    </w:rPr>
                    <w:t>-49</w:t>
                  </w:r>
                </w:p>
              </w:tc>
              <w:tc>
                <w:tcPr>
                  <w:tcW w:w="888"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0.5</w:t>
                  </w: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9"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kern w:val="2"/>
                      <w:sz w:val="21"/>
                      <w:szCs w:val="22"/>
                      <w:highlight w:val="none"/>
                      <w:lang w:val="en-US" w:eastAsia="zh-CN" w:bidi="ar-SA"/>
                    </w:rPr>
                    <w:t>3</w:t>
                  </w:r>
                </w:p>
              </w:tc>
              <w:tc>
                <w:tcPr>
                  <w:tcW w:w="2010" w:type="dxa"/>
                  <w:gridSpan w:val="2"/>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污水处理站污泥</w:t>
                  </w:r>
                </w:p>
              </w:tc>
              <w:tc>
                <w:tcPr>
                  <w:tcW w:w="83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587"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316"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 w:val="21"/>
                      <w:szCs w:val="21"/>
                      <w:u w:val="single"/>
                    </w:rPr>
                    <w:t>900-04</w:t>
                  </w:r>
                  <w:r>
                    <w:rPr>
                      <w:rFonts w:hint="default" w:ascii="Times New Roman" w:hAnsi="Times New Roman" w:eastAsia="宋体" w:cs="Times New Roman"/>
                      <w:sz w:val="21"/>
                      <w:szCs w:val="21"/>
                      <w:u w:val="single"/>
                      <w:lang w:val="en-US" w:eastAsia="zh-CN"/>
                    </w:rPr>
                    <w:t>1</w:t>
                  </w:r>
                  <w:r>
                    <w:rPr>
                      <w:rFonts w:hint="default" w:ascii="Times New Roman" w:hAnsi="Times New Roman" w:eastAsia="宋体" w:cs="Times New Roman"/>
                      <w:sz w:val="21"/>
                      <w:szCs w:val="21"/>
                      <w:u w:val="single"/>
                    </w:rPr>
                    <w:t>-49</w:t>
                  </w:r>
                </w:p>
              </w:tc>
              <w:tc>
                <w:tcPr>
                  <w:tcW w:w="888" w:type="dxa"/>
                  <w:tcBorders>
                    <w:tl2br w:val="nil"/>
                    <w:tr2bl w:val="nil"/>
                  </w:tcBorders>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0.0273</w:t>
                  </w:r>
                </w:p>
              </w:tc>
              <w:tc>
                <w:tcPr>
                  <w:tcW w:w="1374" w:type="dxa"/>
                  <w:vMerge w:val="continue"/>
                  <w:tcBorders>
                    <w:tl2br w:val="nil"/>
                    <w:tr2bl w:val="nil"/>
                  </w:tcBorders>
                  <w:vAlign w:val="center"/>
                </w:tcPr>
                <w:p>
                  <w:pPr>
                    <w:jc w:val="center"/>
                    <w:rPr>
                      <w:rFonts w:hint="default" w:ascii="Times New Roman" w:hAnsi="Times New Roman" w:cs="Times New Roman"/>
                      <w:lang w:val="en-US" w:eastAsia="zh-CN"/>
                    </w:rPr>
                  </w:pPr>
                </w:p>
              </w:tc>
            </w:tr>
          </w:tbl>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另外，报告依据《医疗废物集中处置技术规范》（试行）（环发[2003]206 号）及《危险废物贮存污染控制标准》（GB18597-2001）及修改单对建设单位危险废物管理提出如下要求：</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危废暂存区要医疗区、人员活动密集区分开，且须有防渗、防雨淋、防雨水冲击、防鼠、防蟑螂措施。</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危废暂存区的位置要设在方便废物运输车的出入的地方。</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危废暂存区地面和1.0m高的墙裙须进行防渗处理，地面有良好的排水性能，易于清洁和消毒，产生的废水应采用管道直接排入污水处理站消毒处理，禁止将产生的废水直接排入外环境。</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危废暂存区周围应设置围墙或防护栅栏，并配备通讯设备、照明设施、安全防护服装及工具、应急防护措施等。</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在常温下易燃易爆或排出有毒气体的废物必须进行预处理，使之稳定后贮存，否则按易燃易爆危险品贮存。</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液体废物可注入开孔直径不超过70mm并有放气孔的桶中；装载液体、半固体废物的容器内须留足够空间，容器顶部与液体表面之间保留 100mm以上的空间。</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感染性废物要用符合标准的完好无损的容器贮存，容器及其材质要满足相应的强度要求。</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禁止不相容（相互反应）的感染性废物在同一容器内混装，容器材质 和衬里要与感染性废物相容（相互反应），不得将不相容的废物混合或合并存放。</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感染性废物必须当日装入容器，常温下贮存期不能超过1天，5℃以下冷藏的不得超过7天。</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感染性废物暂存区不得对公众开放。感染性废物转交出去后，应当对暂时贮存地点、设施及时进行清洁和消毒处理。对于医疗固体废物，禁止将其在非收集、非暂时贮存地点倾倒、堆放；禁止将感染性废物混入其它废物和生活垃圾中；禁止在内部运送过程中丢弃感染性废物。</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做好危险废物情况的记录，包括感染性废物的名称、来源、数量、特 性和包装容器的类别、入库日期、存放库位、出库日期及接收单位名称。危险废物的记录和货单在其回取后应继续保留3年。</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必须定期对所贮存的感染性废物包装容器及贮存设施进行检查，发现破损，应及时采取措施清理更换。建设单位应加强管理，做好感染性危废等危险废物的建档工作，确保感染性废物送往有资质单位进行处理，不在单位内存储。</w:t>
            </w:r>
          </w:p>
          <w:p>
            <w:pPr>
              <w:keepNext w:val="0"/>
              <w:keepLines w:val="0"/>
              <w:pageBreakBefore w:val="0"/>
              <w:widowControl w:val="0"/>
              <w:numPr>
                <w:ilvl w:val="0"/>
                <w:numId w:val="4"/>
              </w:numPr>
              <w:tabs>
                <w:tab w:val="left" w:pos="1440"/>
                <w:tab w:val="left" w:pos="18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在废物暂存区的明显处设置感染性废物警示标识，标识应符合《医疗废物专用包装袋、容器和警示标志标准》（HJ 421-2008）、《环境保护图形标志-固体废物贮存(处置)场》（</w:t>
            </w:r>
            <w:r>
              <w:rPr>
                <w:rFonts w:hint="default" w:ascii="Times New Roman" w:hAnsi="Times New Roman" w:cs="Times New Roman"/>
                <w:sz w:val="24"/>
                <w:szCs w:val="24"/>
              </w:rPr>
              <w:t>GB15562.2-1995</w:t>
            </w:r>
            <w:r>
              <w:rPr>
                <w:rFonts w:hint="default" w:ascii="Times New Roman" w:hAnsi="Times New Roman" w:cs="Times New Roman"/>
                <w:sz w:val="24"/>
                <w:szCs w:val="24"/>
                <w:lang w:val="en-US" w:eastAsia="zh-CN"/>
              </w:rPr>
              <w:t>）之规定，见下图。</w:t>
            </w:r>
          </w:p>
          <w:p>
            <w:pPr>
              <w:keepNext w:val="0"/>
              <w:keepLines w:val="0"/>
              <w:pageBreakBefore w:val="0"/>
              <w:widowControl w:val="0"/>
              <w:numPr>
                <w:ilvl w:val="0"/>
                <w:numId w:val="0"/>
              </w:numPr>
              <w:tabs>
                <w:tab w:val="left" w:pos="1440"/>
                <w:tab w:val="left" w:pos="1800"/>
              </w:tabs>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803775" cy="3232785"/>
                  <wp:effectExtent l="0" t="0" r="15875" b="5715"/>
                  <wp:docPr id="10" name="图片 10" descr="c5a6597db8c52666f0b0e2b65258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5a6597db8c52666f0b0e2b65258d57"/>
                          <pic:cNvPicPr>
                            <a:picLocks noChangeAspect="1"/>
                          </pic:cNvPicPr>
                        </pic:nvPicPr>
                        <pic:blipFill>
                          <a:blip r:embed="rId28"/>
                          <a:srcRect t="12500" r="3606" b="15303"/>
                          <a:stretch>
                            <a:fillRect/>
                          </a:stretch>
                        </pic:blipFill>
                        <pic:spPr>
                          <a:xfrm>
                            <a:off x="0" y="0"/>
                            <a:ext cx="4803775" cy="3232785"/>
                          </a:xfrm>
                          <a:prstGeom prst="rect">
                            <a:avLst/>
                          </a:prstGeom>
                        </pic:spPr>
                      </pic:pic>
                    </a:graphicData>
                  </a:graphic>
                </wp:inline>
              </w:drawing>
            </w:r>
          </w:p>
          <w:p>
            <w:pPr>
              <w:pStyle w:val="21"/>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094480" cy="2634615"/>
                  <wp:effectExtent l="0" t="0" r="1270" b="133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9"/>
                          <a:stretch>
                            <a:fillRect/>
                          </a:stretch>
                        </pic:blipFill>
                        <pic:spPr>
                          <a:xfrm>
                            <a:off x="0" y="0"/>
                            <a:ext cx="4094480" cy="2634615"/>
                          </a:xfrm>
                          <a:prstGeom prst="rect">
                            <a:avLst/>
                          </a:prstGeom>
                          <a:noFill/>
                          <a:ln>
                            <a:noFill/>
                          </a:ln>
                        </pic:spPr>
                      </pic:pic>
                    </a:graphicData>
                  </a:graphic>
                </wp:inline>
              </w:drawing>
            </w:r>
          </w:p>
          <w:p>
            <w:pPr>
              <w:keepNext w:val="0"/>
              <w:keepLines w:val="0"/>
              <w:pageBreakBefore w:val="0"/>
              <w:widowControl w:val="0"/>
              <w:numPr>
                <w:ilvl w:val="0"/>
                <w:numId w:val="0"/>
              </w:numPr>
              <w:tabs>
                <w:tab w:val="left" w:pos="1440"/>
                <w:tab w:val="left" w:pos="1800"/>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图4-3  医疗废物标识</w:t>
            </w:r>
          </w:p>
          <w:p>
            <w:pPr>
              <w:jc w:val="cente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4602480" cy="3823335"/>
                  <wp:effectExtent l="0" t="0" r="7620" b="57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a:stretch>
                            <a:fillRect/>
                          </a:stretch>
                        </pic:blipFill>
                        <pic:spPr>
                          <a:xfrm>
                            <a:off x="0" y="0"/>
                            <a:ext cx="4602480" cy="3823335"/>
                          </a:xfrm>
                          <a:prstGeom prst="rect">
                            <a:avLst/>
                          </a:prstGeom>
                          <a:noFill/>
                          <a:ln>
                            <a:noFill/>
                          </a:ln>
                        </pic:spPr>
                      </pic:pic>
                    </a:graphicData>
                  </a:graphic>
                </wp:inline>
              </w:drawing>
            </w:r>
          </w:p>
          <w:p>
            <w:pPr>
              <w:keepNext w:val="0"/>
              <w:keepLines w:val="0"/>
              <w:pageBreakBefore w:val="0"/>
              <w:widowControl w:val="0"/>
              <w:numPr>
                <w:ilvl w:val="0"/>
                <w:numId w:val="0"/>
              </w:numPr>
              <w:tabs>
                <w:tab w:val="left" w:pos="1440"/>
                <w:tab w:val="left" w:pos="1800"/>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图4-4  其他类型危险废物标识</w:t>
            </w:r>
          </w:p>
          <w:p>
            <w:pPr>
              <w:tabs>
                <w:tab w:val="left" w:pos="1440"/>
                <w:tab w:val="left" w:pos="1800"/>
              </w:tabs>
              <w:spacing w:line="360" w:lineRule="auto"/>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综上所述，建设单位在落实好环评报告提出的固体废物处置措施后，可将其对环境的影响降至可接受范围内。</w:t>
            </w:r>
          </w:p>
          <w:p>
            <w:pPr>
              <w:tabs>
                <w:tab w:val="left" w:pos="1440"/>
                <w:tab w:val="left" w:pos="1800"/>
              </w:tabs>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表4-16  项目改建后三废污染物治理及排放方式</w:t>
            </w:r>
          </w:p>
          <w:tbl>
            <w:tblPr>
              <w:tblStyle w:val="17"/>
              <w:tblW w:w="788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55"/>
              <w:gridCol w:w="291"/>
              <w:gridCol w:w="374"/>
              <w:gridCol w:w="453"/>
              <w:gridCol w:w="377"/>
              <w:gridCol w:w="94"/>
              <w:gridCol w:w="419"/>
              <w:gridCol w:w="236"/>
              <w:gridCol w:w="473"/>
              <w:gridCol w:w="174"/>
              <w:gridCol w:w="708"/>
              <w:gridCol w:w="245"/>
              <w:gridCol w:w="447"/>
              <w:gridCol w:w="434"/>
              <w:gridCol w:w="185"/>
              <w:gridCol w:w="640"/>
              <w:gridCol w:w="812"/>
              <w:gridCol w:w="115"/>
              <w:gridCol w:w="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880" w:type="dxa"/>
                  <w:gridSpan w:val="20"/>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产生源</w:t>
                  </w:r>
                </w:p>
              </w:tc>
              <w:tc>
                <w:tcPr>
                  <w:tcW w:w="827"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排放方式</w:t>
                  </w: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污染物名称</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产生浓度</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产生速率</w:t>
                  </w:r>
                </w:p>
              </w:tc>
              <w:tc>
                <w:tcPr>
                  <w:tcW w:w="1311" w:type="dxa"/>
                  <w:gridSpan w:val="4"/>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治理措施</w:t>
                  </w: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排放浓度</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排放总量</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实验室废气</w:t>
                  </w:r>
                </w:p>
              </w:tc>
              <w:tc>
                <w:tcPr>
                  <w:tcW w:w="646"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消解废气</w:t>
                  </w:r>
                </w:p>
              </w:tc>
              <w:tc>
                <w:tcPr>
                  <w:tcW w:w="827"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有组织</w:t>
                  </w: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x</w:t>
                  </w:r>
                </w:p>
              </w:tc>
              <w:tc>
                <w:tcPr>
                  <w:tcW w:w="709" w:type="dxa"/>
                  <w:gridSpan w:val="2"/>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vertAlign w:val="baseline"/>
                      <w:lang w:val="en-US" w:eastAsia="zh-CN"/>
                    </w:rPr>
                    <w:t>0.0218</w:t>
                  </w:r>
                </w:p>
              </w:tc>
              <w:tc>
                <w:tcPr>
                  <w:tcW w:w="1311" w:type="dxa"/>
                  <w:gridSpan w:val="4"/>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风机抽至楼顶由15m排气口排放（DA001）</w:t>
                  </w:r>
                </w:p>
              </w:tc>
              <w:tc>
                <w:tcPr>
                  <w:tcW w:w="640"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vertAlign w:val="baseline"/>
                      <w:lang w:val="en-US" w:eastAsia="zh-CN"/>
                    </w:rPr>
                    <w:t>10.92</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sz w:val="21"/>
                      <w:szCs w:val="21"/>
                      <w:u w:val="single"/>
                      <w:vertAlign w:val="baseline"/>
                      <w:lang w:val="en-US" w:eastAsia="zh-CN"/>
                    </w:rPr>
                    <w:t>0.655</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continue"/>
                  <w:tcBorders>
                    <w:tl2br w:val="nil"/>
                    <w:tr2bl w:val="nil"/>
                  </w:tcBorders>
                  <w:vAlign w:val="center"/>
                </w:tcPr>
                <w:p>
                  <w:pPr>
                    <w:jc w:val="center"/>
                    <w:rPr>
                      <w:rFonts w:hint="default" w:ascii="Times New Roman" w:hAnsi="Times New Roman" w:cs="Times New Roman"/>
                    </w:rPr>
                  </w:pPr>
                </w:p>
              </w:tc>
              <w:tc>
                <w:tcPr>
                  <w:tcW w:w="646" w:type="dxa"/>
                  <w:gridSpan w:val="2"/>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试剂挥发废气</w:t>
                  </w:r>
                </w:p>
              </w:tc>
              <w:tc>
                <w:tcPr>
                  <w:tcW w:w="827" w:type="dxa"/>
                  <w:gridSpan w:val="2"/>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硫酸雾</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1.41×10</w:t>
                  </w:r>
                  <w:r>
                    <w:rPr>
                      <w:rFonts w:hint="default" w:ascii="Times New Roman" w:hAnsi="Times New Roman" w:cs="Times New Roman"/>
                      <w:vertAlign w:val="superscript"/>
                      <w:lang w:val="en-US" w:eastAsia="zh-CN"/>
                    </w:rPr>
                    <w:t>-7</w:t>
                  </w:r>
                </w:p>
              </w:tc>
              <w:tc>
                <w:tcPr>
                  <w:tcW w:w="1311" w:type="dxa"/>
                  <w:gridSpan w:val="4"/>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加强通风</w:t>
                  </w: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1.765×10</w:t>
                  </w:r>
                  <w:r>
                    <w:rPr>
                      <w:rFonts w:hint="default" w:ascii="Times New Roman" w:hAnsi="Times New Roman" w:cs="Times New Roman"/>
                      <w:vertAlign w:val="superscript"/>
                      <w:lang w:val="en-US" w:eastAsia="zh-CN"/>
                    </w:rPr>
                    <w:t>-5</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continue"/>
                  <w:tcBorders>
                    <w:tl2br w:val="nil"/>
                    <w:tr2bl w:val="nil"/>
                  </w:tcBorders>
                  <w:vAlign w:val="center"/>
                </w:tcPr>
                <w:p>
                  <w:pPr>
                    <w:jc w:val="center"/>
                    <w:rPr>
                      <w:rFonts w:hint="default" w:ascii="Times New Roman" w:hAnsi="Times New Roman" w:cs="Times New Roman"/>
                    </w:rPr>
                  </w:pPr>
                </w:p>
              </w:tc>
              <w:tc>
                <w:tcPr>
                  <w:tcW w:w="646" w:type="dxa"/>
                  <w:gridSpan w:val="2"/>
                  <w:vMerge w:val="continue"/>
                  <w:tcBorders>
                    <w:tl2br w:val="nil"/>
                    <w:tr2bl w:val="nil"/>
                  </w:tcBorders>
                  <w:vAlign w:val="center"/>
                </w:tcPr>
                <w:p>
                  <w:pPr>
                    <w:jc w:val="center"/>
                    <w:rPr>
                      <w:rFonts w:hint="default" w:ascii="Times New Roman" w:hAnsi="Times New Roman" w:cs="Times New Roman"/>
                    </w:rPr>
                  </w:pPr>
                </w:p>
              </w:tc>
              <w:tc>
                <w:tcPr>
                  <w:tcW w:w="827" w:type="dxa"/>
                  <w:gridSpan w:val="2"/>
                  <w:vMerge w:val="continue"/>
                  <w:tcBorders>
                    <w:tl2br w:val="nil"/>
                    <w:tr2bl w:val="nil"/>
                  </w:tcBorders>
                  <w:vAlign w:val="center"/>
                </w:tcPr>
                <w:p>
                  <w:pPr>
                    <w:jc w:val="center"/>
                    <w:rPr>
                      <w:rFonts w:hint="default" w:ascii="Times New Roman" w:hAnsi="Times New Roman" w:cs="Times New Roma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磷酸雾</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2.14×10</w:t>
                  </w:r>
                  <w:r>
                    <w:rPr>
                      <w:rFonts w:hint="default" w:ascii="Times New Roman" w:hAnsi="Times New Roman" w:cs="Times New Roman"/>
                      <w:vertAlign w:val="superscript"/>
                      <w:lang w:val="en-US" w:eastAsia="zh-CN"/>
                    </w:rPr>
                    <w:t>-3</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0.2675</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646"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27"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硝酸雾(NO</w:t>
                  </w:r>
                  <w:r>
                    <w:rPr>
                      <w:rFonts w:hint="default" w:ascii="Times New Roman" w:hAnsi="Times New Roman" w:cs="Times New Roman"/>
                      <w:vertAlign w:val="subscript"/>
                      <w:lang w:val="en-US" w:eastAsia="zh-CN"/>
                    </w:rPr>
                    <w:t>x</w:t>
                  </w:r>
                  <w:r>
                    <w:rPr>
                      <w:rFonts w:hint="default" w:ascii="Times New Roman" w:hAnsi="Times New Roman" w:cs="Times New Roman"/>
                      <w:lang w:val="en-US" w:eastAsia="zh-CN"/>
                    </w:rPr>
                    <w:t>)</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8.510×10</w:t>
                  </w:r>
                  <w:r>
                    <w:rPr>
                      <w:rFonts w:hint="default" w:ascii="Times New Roman" w:hAnsi="Times New Roman" w:cs="Times New Roman"/>
                      <w:vertAlign w:val="superscript"/>
                      <w:lang w:val="en-US" w:eastAsia="zh-CN"/>
                    </w:rPr>
                    <w:t>-4</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0.1064</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646"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27"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盐酸雾（Hcl）</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9.372×10</w:t>
                  </w:r>
                  <w:r>
                    <w:rPr>
                      <w:rFonts w:hint="default" w:ascii="Times New Roman" w:hAnsi="Times New Roman" w:cs="Times New Roman"/>
                      <w:vertAlign w:val="superscript"/>
                      <w:lang w:val="en-US" w:eastAsia="zh-CN"/>
                    </w:rPr>
                    <w:t>-4</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0.1171</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continue"/>
                  <w:tcBorders>
                    <w:tl2br w:val="nil"/>
                    <w:tr2bl w:val="nil"/>
                  </w:tcBorders>
                  <w:vAlign w:val="center"/>
                </w:tcPr>
                <w:p>
                  <w:pPr>
                    <w:jc w:val="center"/>
                    <w:rPr>
                      <w:rFonts w:hint="default" w:ascii="Times New Roman" w:hAnsi="Times New Roman" w:cs="Times New Roman"/>
                    </w:rPr>
                  </w:pPr>
                </w:p>
              </w:tc>
              <w:tc>
                <w:tcPr>
                  <w:tcW w:w="646" w:type="dxa"/>
                  <w:gridSpan w:val="2"/>
                  <w:vMerge w:val="continue"/>
                  <w:tcBorders>
                    <w:tl2br w:val="nil"/>
                    <w:tr2bl w:val="nil"/>
                  </w:tcBorders>
                  <w:vAlign w:val="center"/>
                </w:tcPr>
                <w:p>
                  <w:pPr>
                    <w:jc w:val="center"/>
                    <w:rPr>
                      <w:rFonts w:hint="default" w:ascii="Times New Roman" w:hAnsi="Times New Roman" w:cs="Times New Roman"/>
                    </w:rPr>
                  </w:pPr>
                </w:p>
              </w:tc>
              <w:tc>
                <w:tcPr>
                  <w:tcW w:w="827" w:type="dxa"/>
                  <w:gridSpan w:val="2"/>
                  <w:vMerge w:val="continue"/>
                  <w:tcBorders>
                    <w:tl2br w:val="nil"/>
                    <w:tr2bl w:val="nil"/>
                  </w:tcBorders>
                  <w:vAlign w:val="center"/>
                </w:tcPr>
                <w:p>
                  <w:pPr>
                    <w:jc w:val="center"/>
                    <w:rPr>
                      <w:rFonts w:hint="default" w:ascii="Times New Roman" w:hAnsi="Times New Roman" w:cs="Times New Roma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三氯甲烷</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9.072×10</w:t>
                  </w:r>
                  <w:r>
                    <w:rPr>
                      <w:rFonts w:hint="default" w:ascii="Times New Roman" w:hAnsi="Times New Roman" w:cs="Times New Roman"/>
                      <w:vertAlign w:val="superscript"/>
                      <w:lang w:val="en-US" w:eastAsia="zh-CN"/>
                    </w:rPr>
                    <w:t>-4</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0.1134</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60" w:type="dxa"/>
                  <w:vMerge w:val="continue"/>
                  <w:tcBorders>
                    <w:tl2br w:val="nil"/>
                    <w:tr2bl w:val="nil"/>
                  </w:tcBorders>
                  <w:vAlign w:val="center"/>
                </w:tcPr>
                <w:p>
                  <w:pPr>
                    <w:jc w:val="center"/>
                    <w:rPr>
                      <w:rFonts w:hint="default" w:ascii="Times New Roman" w:hAnsi="Times New Roman" w:cs="Times New Roman"/>
                    </w:rPr>
                  </w:pPr>
                </w:p>
              </w:tc>
              <w:tc>
                <w:tcPr>
                  <w:tcW w:w="646"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微生物废气</w:t>
                  </w:r>
                </w:p>
              </w:tc>
              <w:tc>
                <w:tcPr>
                  <w:tcW w:w="827"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有机废气</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1311" w:type="dxa"/>
                  <w:gridSpan w:val="4"/>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设置7台生物安全柜，使用HEPA滤网，对0.3μm颗粒的过滤效率≥99.99%</w:t>
                  </w: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812"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污水处理站恶臭气体</w:t>
                  </w:r>
                </w:p>
              </w:tc>
              <w:tc>
                <w:tcPr>
                  <w:tcW w:w="827" w:type="dxa"/>
                  <w:gridSpan w:val="2"/>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1.031×10</w:t>
                  </w:r>
                  <w:r>
                    <w:rPr>
                      <w:rFonts w:hint="default" w:ascii="Times New Roman" w:hAnsi="Times New Roman" w:cs="Times New Roman"/>
                      <w:vertAlign w:val="superscript"/>
                      <w:lang w:val="en-US" w:eastAsia="zh-CN"/>
                    </w:rPr>
                    <w:t>-5</w:t>
                  </w:r>
                </w:p>
              </w:tc>
              <w:tc>
                <w:tcPr>
                  <w:tcW w:w="1311" w:type="dxa"/>
                  <w:gridSpan w:val="4"/>
                  <w:vMerge w:val="restart"/>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加强密封、绿化</w:t>
                  </w: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0.01261</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vMerge w:val="continue"/>
                  <w:tcBorders>
                    <w:tl2br w:val="nil"/>
                    <w:tr2bl w:val="nil"/>
                  </w:tcBorders>
                  <w:vAlign w:val="center"/>
                </w:tcPr>
                <w:p>
                  <w:pPr>
                    <w:jc w:val="center"/>
                    <w:rPr>
                      <w:rFonts w:hint="default" w:ascii="Times New Roman" w:hAnsi="Times New Roman" w:cs="Times New Roman"/>
                    </w:rPr>
                  </w:pPr>
                </w:p>
              </w:tc>
              <w:tc>
                <w:tcPr>
                  <w:tcW w:w="827"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硫化氢</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3.1×</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0.0004883</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vMerge w:val="continue"/>
                  <w:tcBorders>
                    <w:tl2br w:val="nil"/>
                    <w:tr2bl w:val="nil"/>
                  </w:tcBorders>
                  <w:vAlign w:val="center"/>
                </w:tcPr>
                <w:p>
                  <w:pPr>
                    <w:jc w:val="center"/>
                    <w:rPr>
                      <w:rFonts w:hint="default" w:ascii="Times New Roman" w:hAnsi="Times New Roman" w:cs="Times New Roman"/>
                    </w:rPr>
                  </w:pPr>
                </w:p>
              </w:tc>
              <w:tc>
                <w:tcPr>
                  <w:tcW w:w="827"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臭气浓度</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vMerge w:val="continue"/>
                  <w:tcBorders>
                    <w:tl2br w:val="nil"/>
                    <w:tr2bl w:val="nil"/>
                  </w:tcBorders>
                  <w:vAlign w:val="center"/>
                </w:tcPr>
                <w:p>
                  <w:pPr>
                    <w:jc w:val="center"/>
                    <w:rPr>
                      <w:rFonts w:hint="default" w:ascii="Times New Roman" w:hAnsi="Times New Roman" w:cs="Times New Roman"/>
                    </w:rPr>
                  </w:pPr>
                </w:p>
              </w:tc>
              <w:tc>
                <w:tcPr>
                  <w:tcW w:w="827"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氯气</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vMerge w:val="continue"/>
                  <w:tcBorders>
                    <w:tl2br w:val="nil"/>
                    <w:tr2bl w:val="nil"/>
                  </w:tcBorders>
                  <w:vAlign w:val="center"/>
                </w:tcPr>
                <w:p>
                  <w:pPr>
                    <w:jc w:val="center"/>
                    <w:rPr>
                      <w:rFonts w:hint="default" w:ascii="Times New Roman" w:hAnsi="Times New Roman" w:cs="Times New Roman"/>
                    </w:rPr>
                  </w:pPr>
                </w:p>
              </w:tc>
              <w:tc>
                <w:tcPr>
                  <w:tcW w:w="827" w:type="dxa"/>
                  <w:gridSpan w:val="2"/>
                  <w:vMerge w:val="continue"/>
                  <w:tcBorders>
                    <w:tl2br w:val="nil"/>
                    <w:tr2bl w:val="nil"/>
                  </w:tcBorders>
                  <w:vAlign w:val="center"/>
                </w:tcPr>
                <w:p>
                  <w:pPr>
                    <w:jc w:val="center"/>
                    <w:rPr>
                      <w:rFonts w:hint="default" w:ascii="Times New Roman" w:hAnsi="Times New Roman" w:cs="Times New Roman"/>
                      <w:lang w:val="en-US" w:eastAsia="zh-CN"/>
                    </w:rPr>
                  </w:pPr>
                </w:p>
              </w:tc>
              <w:tc>
                <w:tcPr>
                  <w:tcW w:w="890" w:type="dxa"/>
                  <w:gridSpan w:val="3"/>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甲烷</w:t>
                  </w:r>
                </w:p>
              </w:tc>
              <w:tc>
                <w:tcPr>
                  <w:tcW w:w="709"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1311" w:type="dxa"/>
                  <w:gridSpan w:val="4"/>
                  <w:vMerge w:val="continue"/>
                  <w:tcBorders>
                    <w:tl2br w:val="nil"/>
                    <w:tr2bl w:val="nil"/>
                  </w:tcBorders>
                  <w:vAlign w:val="center"/>
                </w:tcPr>
                <w:p>
                  <w:pPr>
                    <w:jc w:val="center"/>
                    <w:rPr>
                      <w:rFonts w:hint="default" w:ascii="Times New Roman" w:hAnsi="Times New Roman" w:cs="Times New Roman"/>
                      <w:lang w:val="en-US" w:eastAsia="zh-CN"/>
                    </w:rPr>
                  </w:pPr>
                </w:p>
              </w:tc>
              <w:tc>
                <w:tcPr>
                  <w:tcW w:w="640" w:type="dxa"/>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微量</w:t>
                  </w:r>
                </w:p>
              </w:tc>
              <w:tc>
                <w:tcPr>
                  <w:tcW w:w="803" w:type="dxa"/>
                  <w:gridSpan w:val="2"/>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06" w:type="dxa"/>
                  <w:gridSpan w:val="3"/>
                  <w:tcBorders>
                    <w:bottom w:val="single" w:color="auto" w:sz="12"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食堂油烟</w:t>
                  </w:r>
                </w:p>
              </w:tc>
              <w:tc>
                <w:tcPr>
                  <w:tcW w:w="827" w:type="dxa"/>
                  <w:gridSpan w:val="2"/>
                  <w:tcBorders>
                    <w:bottom w:val="single" w:color="auto" w:sz="12" w:space="0"/>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890" w:type="dxa"/>
                  <w:gridSpan w:val="3"/>
                  <w:tcBorders>
                    <w:bottom w:val="single" w:color="auto" w:sz="12" w:space="0"/>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油烟</w:t>
                  </w:r>
                </w:p>
              </w:tc>
              <w:tc>
                <w:tcPr>
                  <w:tcW w:w="709" w:type="dxa"/>
                  <w:gridSpan w:val="2"/>
                  <w:tcBorders>
                    <w:bottom w:val="single" w:color="auto" w:sz="12" w:space="0"/>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2" w:type="dxa"/>
                  <w:gridSpan w:val="2"/>
                  <w:tcBorders>
                    <w:bottom w:val="single" w:color="auto" w:sz="12" w:space="0"/>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0.0027</w:t>
                  </w:r>
                </w:p>
              </w:tc>
              <w:tc>
                <w:tcPr>
                  <w:tcW w:w="1311" w:type="dxa"/>
                  <w:gridSpan w:val="4"/>
                  <w:tcBorders>
                    <w:bottom w:val="single" w:color="auto" w:sz="12" w:space="0"/>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抽油烟机引至室外排放</w:t>
                  </w:r>
                </w:p>
              </w:tc>
              <w:tc>
                <w:tcPr>
                  <w:tcW w:w="640" w:type="dxa"/>
                  <w:tcBorders>
                    <w:bottom w:val="single" w:color="auto" w:sz="12"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1.8</w:t>
                  </w:r>
                </w:p>
              </w:tc>
              <w:tc>
                <w:tcPr>
                  <w:tcW w:w="812" w:type="dxa"/>
                  <w:tcBorders>
                    <w:bottom w:val="single" w:color="auto" w:sz="12"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67.5</w:t>
                  </w:r>
                </w:p>
              </w:tc>
              <w:tc>
                <w:tcPr>
                  <w:tcW w:w="803" w:type="dxa"/>
                  <w:gridSpan w:val="2"/>
                  <w:tcBorders>
                    <w:bottom w:val="single" w:color="auto" w:sz="12" w:space="0"/>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880" w:type="dxa"/>
                  <w:gridSpan w:val="20"/>
                  <w:tcBorders>
                    <w:top w:val="single" w:color="auto" w:sz="12"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废水种类</w:t>
                  </w:r>
                </w:p>
              </w:tc>
              <w:tc>
                <w:tcPr>
                  <w:tcW w:w="66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产生量</w:t>
                  </w: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污染物</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产生浓度</w:t>
                  </w:r>
                </w:p>
              </w:tc>
              <w:tc>
                <w:tcPr>
                  <w:tcW w:w="64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治理设备</w:t>
                  </w:r>
                </w:p>
              </w:tc>
              <w:tc>
                <w:tcPr>
                  <w:tcW w:w="953"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治理效率</w:t>
                  </w:r>
                </w:p>
              </w:tc>
              <w:tc>
                <w:tcPr>
                  <w:tcW w:w="881"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排放方式</w:t>
                  </w: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排放浓度</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排放总量</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restart"/>
                  <w:tcBorders>
                    <w:top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生活废水</w:t>
                  </w:r>
                </w:p>
              </w:tc>
              <w:tc>
                <w:tcPr>
                  <w:tcW w:w="665" w:type="dxa"/>
                  <w:gridSpan w:val="2"/>
                  <w:vMerge w:val="restart"/>
                  <w:tcBorders>
                    <w:top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355.3</w:t>
                  </w: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260</w:t>
                  </w:r>
                </w:p>
              </w:tc>
              <w:tc>
                <w:tcPr>
                  <w:tcW w:w="647" w:type="dxa"/>
                  <w:gridSpan w:val="2"/>
                  <w:vMerge w:val="restart"/>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化粪池</w:t>
                  </w:r>
                </w:p>
              </w:tc>
              <w:tc>
                <w:tcPr>
                  <w:tcW w:w="953"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1" w:type="dxa"/>
                  <w:gridSpan w:val="2"/>
                  <w:vMerge w:val="restart"/>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u w:val="single"/>
                      <w:lang w:val="en-US" w:eastAsia="zh-CN"/>
                    </w:rPr>
                    <w:t>由清粪车转运至县城污水处理厂</w:t>
                  </w: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260</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92.378</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vAlign w:val="center"/>
                </w:tcPr>
                <w:p>
                  <w:pPr>
                    <w:jc w:val="center"/>
                    <w:rPr>
                      <w:rFonts w:hint="default" w:ascii="Times New Roman" w:hAnsi="Times New Roman" w:cs="Times New Roman"/>
                      <w:lang w:val="en-US" w:eastAsia="zh-CN"/>
                    </w:rPr>
                  </w:pPr>
                </w:p>
              </w:tc>
              <w:tc>
                <w:tcPr>
                  <w:tcW w:w="665" w:type="dxa"/>
                  <w:gridSpan w:val="2"/>
                  <w:vMerge w:val="continue"/>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117</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117</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41.5701</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vAlign w:val="center"/>
                </w:tcPr>
                <w:p>
                  <w:pPr>
                    <w:jc w:val="center"/>
                    <w:rPr>
                      <w:rFonts w:hint="default" w:ascii="Times New Roman" w:hAnsi="Times New Roman" w:cs="Times New Roman"/>
                      <w:lang w:val="en-US" w:eastAsia="zh-CN"/>
                    </w:rPr>
                  </w:pPr>
                </w:p>
              </w:tc>
              <w:tc>
                <w:tcPr>
                  <w:tcW w:w="665" w:type="dxa"/>
                  <w:gridSpan w:val="2"/>
                  <w:vMerge w:val="continue"/>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20.6</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20.6</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7.31918</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vAlign w:val="center"/>
                </w:tcPr>
                <w:p>
                  <w:pPr>
                    <w:jc w:val="center"/>
                    <w:rPr>
                      <w:rFonts w:hint="default" w:ascii="Times New Roman" w:hAnsi="Times New Roman" w:cs="Times New Roman"/>
                      <w:lang w:val="en-US" w:eastAsia="zh-CN"/>
                    </w:rPr>
                  </w:pPr>
                </w:p>
              </w:tc>
              <w:tc>
                <w:tcPr>
                  <w:tcW w:w="665" w:type="dxa"/>
                  <w:gridSpan w:val="2"/>
                  <w:vMerge w:val="continue"/>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动植物油</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3.34</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3.34</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1.18670</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tcBorders>
                    <w:bottom w:val="single" w:color="auto" w:sz="4" w:space="0"/>
                  </w:tcBorders>
                  <w:vAlign w:val="center"/>
                </w:tcPr>
                <w:p>
                  <w:pPr>
                    <w:jc w:val="center"/>
                    <w:rPr>
                      <w:rFonts w:hint="default" w:ascii="Times New Roman" w:hAnsi="Times New Roman" w:cs="Times New Roman"/>
                      <w:lang w:val="en-US" w:eastAsia="zh-CN"/>
                    </w:rPr>
                  </w:pPr>
                </w:p>
              </w:tc>
              <w:tc>
                <w:tcPr>
                  <w:tcW w:w="665" w:type="dxa"/>
                  <w:gridSpan w:val="2"/>
                  <w:vMerge w:val="continue"/>
                  <w:tcBorders>
                    <w:bottom w:val="single" w:color="auto" w:sz="4" w:space="0"/>
                  </w:tcBorders>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71.06</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restart"/>
                  <w:tcBorders>
                    <w:top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实验室废水</w:t>
                  </w:r>
                </w:p>
              </w:tc>
              <w:tc>
                <w:tcPr>
                  <w:tcW w:w="665" w:type="dxa"/>
                  <w:gridSpan w:val="2"/>
                  <w:vMerge w:val="restart"/>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129.573</w:t>
                  </w: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34.5</w:t>
                  </w:r>
                </w:p>
              </w:tc>
              <w:tc>
                <w:tcPr>
                  <w:tcW w:w="647" w:type="dxa"/>
                  <w:gridSpan w:val="2"/>
                  <w:vMerge w:val="restart"/>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污水处理设备</w:t>
                  </w:r>
                </w:p>
              </w:tc>
              <w:tc>
                <w:tcPr>
                  <w:tcW w:w="953" w:type="dxa"/>
                  <w:gridSpan w:val="2"/>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29.86%</w:t>
                  </w:r>
                </w:p>
              </w:tc>
              <w:tc>
                <w:tcPr>
                  <w:tcW w:w="881" w:type="dxa"/>
                  <w:gridSpan w:val="2"/>
                  <w:vMerge w:val="restart"/>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排入文昌溪（DW001）</w:t>
                  </w: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24.2</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3.1357</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vAlign w:val="center"/>
                </w:tcPr>
                <w:p>
                  <w:pPr>
                    <w:jc w:val="center"/>
                    <w:rPr>
                      <w:rFonts w:hint="default" w:ascii="Times New Roman" w:hAnsi="Times New Roman" w:cs="Times New Roman"/>
                      <w:lang w:val="en-US" w:eastAsia="zh-CN"/>
                    </w:rPr>
                  </w:pPr>
                </w:p>
              </w:tc>
              <w:tc>
                <w:tcPr>
                  <w:tcW w:w="665"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34.5</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90.96%</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3.12</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0.4043</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vAlign w:val="center"/>
                </w:tcPr>
                <w:p>
                  <w:pPr>
                    <w:jc w:val="center"/>
                    <w:rPr>
                      <w:rFonts w:hint="default" w:ascii="Times New Roman" w:hAnsi="Times New Roman" w:cs="Times New Roman"/>
                      <w:lang w:val="en-US" w:eastAsia="zh-CN"/>
                    </w:rPr>
                  </w:pPr>
                </w:p>
              </w:tc>
              <w:tc>
                <w:tcPr>
                  <w:tcW w:w="665"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35.6</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99.72%</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0.101</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0.0131</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vAlign w:val="center"/>
                </w:tcPr>
                <w:p>
                  <w:pPr>
                    <w:jc w:val="center"/>
                    <w:rPr>
                      <w:rFonts w:hint="default" w:ascii="Times New Roman" w:hAnsi="Times New Roman" w:cs="Times New Roman"/>
                      <w:lang w:val="en-US" w:eastAsia="zh-CN"/>
                    </w:rPr>
                  </w:pPr>
                </w:p>
              </w:tc>
              <w:tc>
                <w:tcPr>
                  <w:tcW w:w="665"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65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41</w:t>
                  </w:r>
                </w:p>
              </w:tc>
              <w:tc>
                <w:tcPr>
                  <w:tcW w:w="647"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99.99%</w:t>
                  </w:r>
                </w:p>
              </w:tc>
              <w:tc>
                <w:tcPr>
                  <w:tcW w:w="881" w:type="dxa"/>
                  <w:gridSpan w:val="2"/>
                  <w:vMerge w:val="continue"/>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0.0009</w:t>
                  </w:r>
                </w:p>
              </w:tc>
              <w:tc>
                <w:tcPr>
                  <w:tcW w:w="927" w:type="dxa"/>
                  <w:gridSpan w:val="2"/>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0.0001</w:t>
                  </w:r>
                </w:p>
              </w:tc>
              <w:tc>
                <w:tcPr>
                  <w:tcW w:w="688" w:type="dxa"/>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5" w:type="dxa"/>
                  <w:gridSpan w:val="2"/>
                  <w:vMerge w:val="continue"/>
                  <w:tcBorders>
                    <w:bottom w:val="single" w:color="auto" w:sz="12" w:space="0"/>
                  </w:tcBorders>
                  <w:vAlign w:val="center"/>
                </w:tcPr>
                <w:p>
                  <w:pPr>
                    <w:jc w:val="center"/>
                    <w:rPr>
                      <w:rFonts w:hint="default" w:ascii="Times New Roman" w:hAnsi="Times New Roman" w:cs="Times New Roman"/>
                      <w:lang w:val="en-US" w:eastAsia="zh-CN"/>
                    </w:rPr>
                  </w:pPr>
                </w:p>
              </w:tc>
              <w:tc>
                <w:tcPr>
                  <w:tcW w:w="665" w:type="dxa"/>
                  <w:gridSpan w:val="2"/>
                  <w:vMerge w:val="continue"/>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p>
              </w:tc>
              <w:tc>
                <w:tcPr>
                  <w:tcW w:w="924" w:type="dxa"/>
                  <w:gridSpan w:val="3"/>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粪大肠杆菌</w:t>
                  </w:r>
                </w:p>
              </w:tc>
              <w:tc>
                <w:tcPr>
                  <w:tcW w:w="655" w:type="dxa"/>
                  <w:gridSpan w:val="2"/>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24000</w:t>
                  </w:r>
                </w:p>
              </w:tc>
              <w:tc>
                <w:tcPr>
                  <w:tcW w:w="647" w:type="dxa"/>
                  <w:gridSpan w:val="2"/>
                  <w:vMerge w:val="continue"/>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p>
              </w:tc>
              <w:tc>
                <w:tcPr>
                  <w:tcW w:w="953" w:type="dxa"/>
                  <w:gridSpan w:val="2"/>
                  <w:tcBorders>
                    <w:top w:val="single" w:color="auto" w:sz="4" w:space="0"/>
                    <w:bottom w:val="single" w:color="auto" w:sz="12"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98.04%</w:t>
                  </w:r>
                </w:p>
              </w:tc>
              <w:tc>
                <w:tcPr>
                  <w:tcW w:w="881" w:type="dxa"/>
                  <w:gridSpan w:val="2"/>
                  <w:vMerge w:val="continue"/>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p>
              </w:tc>
              <w:tc>
                <w:tcPr>
                  <w:tcW w:w="825" w:type="dxa"/>
                  <w:gridSpan w:val="2"/>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470</w:t>
                  </w:r>
                </w:p>
              </w:tc>
              <w:tc>
                <w:tcPr>
                  <w:tcW w:w="927" w:type="dxa"/>
                  <w:gridSpan w:val="2"/>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60.8993</w:t>
                  </w:r>
                </w:p>
              </w:tc>
              <w:tc>
                <w:tcPr>
                  <w:tcW w:w="688" w:type="dxa"/>
                  <w:tcBorders>
                    <w:top w:val="single" w:color="auto" w:sz="4" w:space="0"/>
                    <w:bottom w:val="single" w:color="auto" w:sz="12"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880" w:type="dxa"/>
                  <w:gridSpan w:val="20"/>
                  <w:tcBorders>
                    <w:top w:val="single" w:color="auto" w:sz="12" w:space="0"/>
                    <w:bottom w:val="single" w:color="auto" w:sz="12" w:space="0"/>
                  </w:tcBorders>
                  <w:vAlign w:val="top"/>
                </w:tcPr>
                <w:p>
                  <w:pPr>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880" w:type="dxa"/>
                  <w:gridSpan w:val="20"/>
                  <w:tcBorders>
                    <w:top w:val="single" w:color="auto" w:sz="12" w:space="0"/>
                    <w:bottom w:val="single" w:color="auto" w:sz="12" w:space="0"/>
                  </w:tcBorders>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本项目主要噪声为冷库运行噪声、仪器运行噪声、风机噪声，源强约60~75dB(A)，基本无高声源，依据预测结果，本疾控中心噪声排放可满足《工业企业厂界环境噪声排放标准》（GB12348—2008）2类标准。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880" w:type="dxa"/>
                  <w:gridSpan w:val="20"/>
                  <w:tcBorders>
                    <w:top w:val="single" w:color="auto" w:sz="12"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固废类型</w:t>
                  </w:r>
                </w:p>
              </w:tc>
              <w:tc>
                <w:tcPr>
                  <w:tcW w:w="1396" w:type="dxa"/>
                  <w:gridSpan w:val="5"/>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危废属性</w:t>
                  </w:r>
                </w:p>
              </w:tc>
              <w:tc>
                <w:tcPr>
                  <w:tcW w:w="1400"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危废编号</w:t>
                  </w:r>
                </w:p>
              </w:tc>
              <w:tc>
                <w:tcPr>
                  <w:tcW w:w="1259"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产生量t/a</w:t>
                  </w:r>
                </w:p>
              </w:tc>
              <w:tc>
                <w:tcPr>
                  <w:tcW w:w="1615"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1396" w:type="dxa"/>
                  <w:gridSpan w:val="5"/>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00"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259"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1615" w:type="dxa"/>
                  <w:gridSpan w:val="3"/>
                  <w:tcBorders>
                    <w:top w:val="single" w:color="auto" w:sz="4" w:space="0"/>
                    <w:bottom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当地环卫部门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医疗废物</w:t>
                  </w:r>
                </w:p>
              </w:tc>
              <w:tc>
                <w:tcPr>
                  <w:tcW w:w="1396" w:type="dxa"/>
                  <w:gridSpan w:val="5"/>
                  <w:vMerge w:val="restart"/>
                  <w:tcBorders>
                    <w:top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w:t>
                  </w:r>
                </w:p>
              </w:tc>
              <w:tc>
                <w:tcPr>
                  <w:tcW w:w="1400"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HW01</w:t>
                  </w:r>
                </w:p>
              </w:tc>
              <w:tc>
                <w:tcPr>
                  <w:tcW w:w="1259"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2.2</w:t>
                  </w:r>
                </w:p>
              </w:tc>
              <w:tc>
                <w:tcPr>
                  <w:tcW w:w="1615"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怀化市天源环保科技有限责任公司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污水处理站污泥</w:t>
                  </w:r>
                </w:p>
              </w:tc>
              <w:tc>
                <w:tcPr>
                  <w:tcW w:w="1396" w:type="dxa"/>
                  <w:gridSpan w:val="5"/>
                  <w:vMerge w:val="continue"/>
                  <w:vAlign w:val="center"/>
                </w:tcPr>
                <w:p>
                  <w:pPr>
                    <w:jc w:val="center"/>
                    <w:rPr>
                      <w:rFonts w:hint="default" w:ascii="Times New Roman" w:hAnsi="Times New Roman" w:cs="Times New Roman"/>
                      <w:lang w:val="en-US" w:eastAsia="zh-CN"/>
                    </w:rPr>
                  </w:pPr>
                </w:p>
              </w:tc>
              <w:tc>
                <w:tcPr>
                  <w:tcW w:w="1400" w:type="dxa"/>
                  <w:gridSpan w:val="3"/>
                  <w:vMerge w:val="restart"/>
                  <w:tcBorders>
                    <w:top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HW49</w:t>
                  </w:r>
                </w:p>
              </w:tc>
              <w:tc>
                <w:tcPr>
                  <w:tcW w:w="1259"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0.0273</w:t>
                  </w:r>
                </w:p>
              </w:tc>
              <w:tc>
                <w:tcPr>
                  <w:tcW w:w="1615" w:type="dxa"/>
                  <w:gridSpan w:val="3"/>
                  <w:vMerge w:val="restart"/>
                  <w:tcBorders>
                    <w:top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湖南瀚邦环境科技有限公司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污水处理站废活性炭</w:t>
                  </w:r>
                </w:p>
              </w:tc>
              <w:tc>
                <w:tcPr>
                  <w:tcW w:w="1396" w:type="dxa"/>
                  <w:gridSpan w:val="5"/>
                  <w:vMerge w:val="continue"/>
                  <w:vAlign w:val="center"/>
                </w:tcPr>
                <w:p>
                  <w:pPr>
                    <w:jc w:val="center"/>
                    <w:rPr>
                      <w:rFonts w:hint="default" w:ascii="Times New Roman" w:hAnsi="Times New Roman" w:cs="Times New Roman"/>
                      <w:lang w:val="en-US" w:eastAsia="zh-CN"/>
                    </w:rPr>
                  </w:pPr>
                </w:p>
              </w:tc>
              <w:tc>
                <w:tcPr>
                  <w:tcW w:w="1400" w:type="dxa"/>
                  <w:gridSpan w:val="3"/>
                  <w:vMerge w:val="continue"/>
                  <w:vAlign w:val="center"/>
                </w:tcPr>
                <w:p>
                  <w:pPr>
                    <w:jc w:val="center"/>
                    <w:rPr>
                      <w:rFonts w:hint="default" w:ascii="Times New Roman" w:hAnsi="Times New Roman" w:cs="Times New Roman"/>
                      <w:lang w:val="en-US" w:eastAsia="zh-CN"/>
                    </w:rPr>
                  </w:pPr>
                </w:p>
              </w:tc>
              <w:tc>
                <w:tcPr>
                  <w:tcW w:w="1259" w:type="dxa"/>
                  <w:gridSpan w:val="3"/>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0.0907</w:t>
                  </w:r>
                </w:p>
              </w:tc>
              <w:tc>
                <w:tcPr>
                  <w:tcW w:w="1615" w:type="dxa"/>
                  <w:gridSpan w:val="3"/>
                  <w:vMerge w:val="continue"/>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废试剂瓶</w:t>
                  </w:r>
                </w:p>
              </w:tc>
              <w:tc>
                <w:tcPr>
                  <w:tcW w:w="1396" w:type="dxa"/>
                  <w:gridSpan w:val="5"/>
                  <w:vMerge w:val="continue"/>
                  <w:vAlign w:val="center"/>
                </w:tcPr>
                <w:p>
                  <w:pPr>
                    <w:jc w:val="center"/>
                    <w:rPr>
                      <w:rFonts w:hint="default" w:ascii="Times New Roman" w:hAnsi="Times New Roman" w:cs="Times New Roman"/>
                      <w:lang w:val="en-US" w:eastAsia="zh-CN"/>
                    </w:rPr>
                  </w:pPr>
                </w:p>
              </w:tc>
              <w:tc>
                <w:tcPr>
                  <w:tcW w:w="1400" w:type="dxa"/>
                  <w:gridSpan w:val="3"/>
                  <w:vMerge w:val="continue"/>
                  <w:vAlign w:val="center"/>
                </w:tcPr>
                <w:p>
                  <w:pPr>
                    <w:jc w:val="center"/>
                    <w:rPr>
                      <w:rFonts w:hint="default" w:ascii="Times New Roman" w:hAnsi="Times New Roman" w:cs="Times New Roman"/>
                      <w:lang w:val="en-US" w:eastAsia="zh-CN"/>
                    </w:rPr>
                  </w:pPr>
                </w:p>
              </w:tc>
              <w:tc>
                <w:tcPr>
                  <w:tcW w:w="1259" w:type="dxa"/>
                  <w:gridSpan w:val="3"/>
                  <w:vMerge w:val="restart"/>
                  <w:tcBorders>
                    <w:top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615" w:type="dxa"/>
                  <w:gridSpan w:val="3"/>
                  <w:vMerge w:val="continue"/>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废试剂</w:t>
                  </w:r>
                </w:p>
              </w:tc>
              <w:tc>
                <w:tcPr>
                  <w:tcW w:w="1396" w:type="dxa"/>
                  <w:gridSpan w:val="5"/>
                  <w:vMerge w:val="continue"/>
                  <w:vAlign w:val="center"/>
                </w:tcPr>
                <w:p>
                  <w:pPr>
                    <w:jc w:val="center"/>
                    <w:rPr>
                      <w:rFonts w:hint="default" w:ascii="Times New Roman" w:hAnsi="Times New Roman" w:cs="Times New Roman"/>
                      <w:lang w:val="en-US" w:eastAsia="zh-CN"/>
                    </w:rPr>
                  </w:pPr>
                </w:p>
              </w:tc>
              <w:tc>
                <w:tcPr>
                  <w:tcW w:w="1400" w:type="dxa"/>
                  <w:gridSpan w:val="3"/>
                  <w:vMerge w:val="continue"/>
                  <w:vAlign w:val="center"/>
                </w:tcPr>
                <w:p>
                  <w:pPr>
                    <w:jc w:val="center"/>
                    <w:rPr>
                      <w:rFonts w:hint="default" w:ascii="Times New Roman" w:hAnsi="Times New Roman" w:cs="Times New Roman"/>
                      <w:lang w:val="en-US" w:eastAsia="zh-CN"/>
                    </w:rPr>
                  </w:pPr>
                </w:p>
              </w:tc>
              <w:tc>
                <w:tcPr>
                  <w:tcW w:w="1259" w:type="dxa"/>
                  <w:gridSpan w:val="3"/>
                  <w:vMerge w:val="continue"/>
                  <w:vAlign w:val="center"/>
                </w:tcPr>
                <w:p>
                  <w:pPr>
                    <w:jc w:val="center"/>
                    <w:rPr>
                      <w:rFonts w:hint="default" w:ascii="Times New Roman" w:hAnsi="Times New Roman" w:cs="Times New Roman"/>
                      <w:lang w:val="en-US" w:eastAsia="zh-CN"/>
                    </w:rPr>
                  </w:pPr>
                </w:p>
              </w:tc>
              <w:tc>
                <w:tcPr>
                  <w:tcW w:w="1615" w:type="dxa"/>
                  <w:gridSpan w:val="3"/>
                  <w:vMerge w:val="continue"/>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10" w:type="dxa"/>
                  <w:gridSpan w:val="6"/>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废美沙酮桶</w:t>
                  </w:r>
                </w:p>
              </w:tc>
              <w:tc>
                <w:tcPr>
                  <w:tcW w:w="1396" w:type="dxa"/>
                  <w:gridSpan w:val="5"/>
                  <w:vMerge w:val="continue"/>
                  <w:vAlign w:val="center"/>
                </w:tcPr>
                <w:p>
                  <w:pPr>
                    <w:jc w:val="center"/>
                    <w:rPr>
                      <w:rFonts w:hint="default" w:ascii="Times New Roman" w:hAnsi="Times New Roman" w:cs="Times New Roman"/>
                      <w:lang w:val="en-US" w:eastAsia="zh-CN"/>
                    </w:rPr>
                  </w:pPr>
                </w:p>
              </w:tc>
              <w:tc>
                <w:tcPr>
                  <w:tcW w:w="1400" w:type="dxa"/>
                  <w:gridSpan w:val="3"/>
                  <w:vMerge w:val="continue"/>
                  <w:vAlign w:val="center"/>
                </w:tcPr>
                <w:p>
                  <w:pPr>
                    <w:jc w:val="center"/>
                    <w:rPr>
                      <w:rFonts w:hint="default" w:ascii="Times New Roman" w:hAnsi="Times New Roman" w:cs="Times New Roman"/>
                      <w:lang w:val="en-US" w:eastAsia="zh-CN"/>
                    </w:rPr>
                  </w:pPr>
                </w:p>
              </w:tc>
              <w:tc>
                <w:tcPr>
                  <w:tcW w:w="1259" w:type="dxa"/>
                  <w:gridSpan w:val="3"/>
                  <w:vMerge w:val="continue"/>
                  <w:vAlign w:val="center"/>
                </w:tcPr>
                <w:p>
                  <w:pPr>
                    <w:jc w:val="center"/>
                    <w:rPr>
                      <w:rFonts w:hint="default" w:ascii="Times New Roman" w:hAnsi="Times New Roman" w:cs="Times New Roman"/>
                      <w:lang w:val="en-US" w:eastAsia="zh-CN"/>
                    </w:rPr>
                  </w:pPr>
                </w:p>
              </w:tc>
              <w:tc>
                <w:tcPr>
                  <w:tcW w:w="1615" w:type="dxa"/>
                  <w:gridSpan w:val="3"/>
                  <w:vMerge w:val="continue"/>
                  <w:vAlign w:val="center"/>
                </w:tcPr>
                <w:p>
                  <w:pPr>
                    <w:jc w:val="center"/>
                    <w:rPr>
                      <w:rFonts w:hint="default" w:ascii="Times New Roman" w:hAnsi="Times New Roman"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880" w:type="dxa"/>
                  <w:gridSpan w:val="20"/>
                  <w:tcBorders>
                    <w:top w:val="single" w:color="auto" w:sz="4" w:space="0"/>
                    <w:bottom w:val="single" w:color="auto" w:sz="4" w:space="0"/>
                  </w:tcBorders>
                  <w:vAlign w:val="center"/>
                </w:tcPr>
                <w:p>
                  <w:pPr>
                    <w:jc w:val="both"/>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说明：</w:t>
                  </w:r>
                </w:p>
                <w:p>
                  <w:pPr>
                    <w:jc w:val="both"/>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标准来源：实验室废气执行《气污染物综合排放标准》（GB16297-1996）；污水处理站恶臭气体、实验室废水执行《医疗机构水污染物排放标准》（GB18466-2005）；生活污水执行《污水综合排放标准》（GB8978-1996）中Ⅲ级排放标准；食堂油烟参照《饮食业油烟排放标准（试行）》（GB18483-2001）。</w:t>
                  </w:r>
                </w:p>
                <w:p>
                  <w:pPr>
                    <w:rPr>
                      <w:rFonts w:hint="default" w:ascii="Times New Roman" w:hAnsi="Times New Roman" w:cs="Times New Roman"/>
                      <w:lang w:val="en-US" w:eastAsia="zh-CN"/>
                    </w:rPr>
                  </w:pPr>
                  <w:r>
                    <w:rPr>
                      <w:rFonts w:hint="default" w:ascii="Times New Roman" w:hAnsi="Times New Roman" w:eastAsia="仿宋" w:cs="Times New Roman"/>
                      <w:sz w:val="18"/>
                      <w:szCs w:val="18"/>
                      <w:lang w:val="en-US" w:eastAsia="zh-CN"/>
                    </w:rPr>
                    <w:t>2、废气源强均基于物料衡算，因此不便于计算产生浓度。</w:t>
                  </w:r>
                </w:p>
              </w:tc>
            </w:tr>
          </w:tbl>
          <w:p>
            <w:pPr>
              <w:spacing w:line="360" w:lineRule="auto"/>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anchor distT="0" distB="0" distL="114935" distR="114935" simplePos="0" relativeHeight="251665408" behindDoc="0" locked="0" layoutInCell="1" allowOverlap="1">
                  <wp:simplePos x="0" y="0"/>
                  <wp:positionH relativeFrom="page">
                    <wp:posOffset>80645</wp:posOffset>
                  </wp:positionH>
                  <wp:positionV relativeFrom="page">
                    <wp:posOffset>185420</wp:posOffset>
                  </wp:positionV>
                  <wp:extent cx="4996815" cy="8322310"/>
                  <wp:effectExtent l="0" t="0" r="0" b="0"/>
                  <wp:wrapTopAndBottom/>
                  <wp:docPr id="5" name="ECB019B1-382A-4266-B25C-5B523AA43C14-11" descr="C:/Users/Administrator/AppData/Local/Temp/wps.AACmW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1" descr="C:/Users/Administrator/AppData/Local/Temp/wps.AACmWRwps"/>
                          <pic:cNvPicPr>
                            <a:picLocks noChangeAspect="1"/>
                          </pic:cNvPicPr>
                        </pic:nvPicPr>
                        <pic:blipFill>
                          <a:blip r:embed="rId31"/>
                          <a:srcRect l="5472" t="3268" r="309" b="1648"/>
                          <a:stretch>
                            <a:fillRect/>
                          </a:stretch>
                        </pic:blipFill>
                        <pic:spPr>
                          <a:xfrm>
                            <a:off x="0" y="0"/>
                            <a:ext cx="4996815" cy="8322310"/>
                          </a:xfrm>
                          <a:prstGeom prst="rect">
                            <a:avLst/>
                          </a:prstGeom>
                        </pic:spPr>
                      </pic:pic>
                    </a:graphicData>
                  </a:graphic>
                </wp:anchor>
              </w:drawing>
            </w:r>
            <w:r>
              <w:rPr>
                <w:rFonts w:hint="default" w:ascii="Times New Roman" w:hAnsi="Times New Roman" w:cs="Times New Roman"/>
                <w:b/>
                <w:bCs/>
                <w:sz w:val="24"/>
                <w:szCs w:val="24"/>
                <w:lang w:val="en-US" w:eastAsia="zh-CN"/>
              </w:rPr>
              <w:t>图4-5  项目三废排放及治理措施情况图</w:t>
            </w:r>
          </w:p>
          <w:p>
            <w:pPr>
              <w:spacing w:line="36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五</w:t>
            </w:r>
            <w:r>
              <w:rPr>
                <w:rFonts w:hint="default" w:ascii="Times New Roman" w:hAnsi="Times New Roman" w:cs="Times New Roman"/>
                <w:b/>
                <w:bCs/>
                <w:sz w:val="24"/>
                <w:szCs w:val="24"/>
              </w:rPr>
              <w:t>、地下水</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（1）地下水影响途径</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正常工况下，项目实验室废水经污水处理设备处理后达标排入文昌溪，生活污水外委处置，不会影响地下水；因此，地下水污染途径主要考虑为非正常工况下，污水外溢导渗漏致地下水污染事故。</w:t>
            </w:r>
          </w:p>
          <w:p>
            <w:pPr>
              <w:keepNext w:val="0"/>
              <w:keepLines w:val="0"/>
              <w:pageBreakBefore w:val="0"/>
              <w:widowControl w:val="0"/>
              <w:tabs>
                <w:tab w:val="left" w:pos="1440"/>
                <w:tab w:val="left" w:pos="180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（2）地下水污染防治措施</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地下水污染防治措施按照“源头控制、分区防控、污染监控、应急响应”相结合的原则，从污染物的产生、入渗、扩散、应急响应全方位进行控制。</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为防止项目涉及的有毒、有害</w:t>
            </w:r>
            <w:r>
              <w:rPr>
                <w:rFonts w:hint="default" w:ascii="Times New Roman" w:hAnsi="Times New Roman" w:cs="Times New Roman"/>
                <w:lang w:val="en-US" w:eastAsia="zh-CN"/>
              </w:rPr>
              <w:t>物质</w:t>
            </w:r>
            <w:r>
              <w:rPr>
                <w:rFonts w:hint="default" w:ascii="Times New Roman" w:hAnsi="Times New Roman" w:cs="Times New Roman"/>
              </w:rPr>
              <w:t>及含有污染物的介质泄</w:t>
            </w:r>
            <w:r>
              <w:rPr>
                <w:rFonts w:hint="default" w:ascii="Times New Roman" w:hAnsi="Times New Roman" w:cs="Times New Roman"/>
                <w:lang w:eastAsia="zh-CN"/>
              </w:rPr>
              <w:t>、</w:t>
            </w:r>
            <w:r>
              <w:rPr>
                <w:rFonts w:hint="default" w:ascii="Times New Roman" w:hAnsi="Times New Roman" w:cs="Times New Roman"/>
              </w:rPr>
              <w:t>渗漏对地下水造成污染，应从原料产品储存、运输</w:t>
            </w:r>
            <w:r>
              <w:rPr>
                <w:rFonts w:hint="default" w:ascii="Times New Roman" w:hAnsi="Times New Roman" w:cs="Times New Roman"/>
                <w:lang w:eastAsia="zh-CN"/>
              </w:rPr>
              <w:t>、</w:t>
            </w:r>
            <w:r>
              <w:rPr>
                <w:rFonts w:hint="default" w:ascii="Times New Roman" w:hAnsi="Times New Roman" w:cs="Times New Roman"/>
                <w:lang w:val="en-US" w:eastAsia="zh-CN"/>
              </w:rPr>
              <w:t>操作</w:t>
            </w:r>
            <w:r>
              <w:rPr>
                <w:rFonts w:hint="default" w:ascii="Times New Roman" w:hAnsi="Times New Roman" w:cs="Times New Roman"/>
              </w:rPr>
              <w:t>等全过程进行控制，同时对有害物质可能泄漏到地面的区域采取防渗措施，阻止其渗入地下水，即从源头到末端全方位采取控制措施。</w:t>
            </w:r>
          </w:p>
          <w:p>
            <w:pPr>
              <w:pStyle w:val="15"/>
              <w:widowControl w:val="0"/>
              <w:spacing w:before="0" w:beforeAutospacing="0" w:after="0" w:afterAutospacing="0" w:line="360" w:lineRule="auto"/>
              <w:ind w:firstLine="482" w:firstLineChars="200"/>
              <w:jc w:val="both"/>
              <w:rPr>
                <w:rFonts w:hint="default" w:ascii="Times New Roman" w:hAnsi="Times New Roman" w:cs="Times New Roman"/>
                <w:b/>
                <w:bCs/>
              </w:rPr>
            </w:pPr>
            <w:r>
              <w:rPr>
                <w:rFonts w:hint="default" w:ascii="Times New Roman" w:hAnsi="Times New Roman" w:cs="Times New Roman"/>
                <w:b/>
                <w:bCs/>
                <w:lang w:val="en-US" w:eastAsia="zh-CN"/>
              </w:rPr>
              <w:t>A、</w:t>
            </w:r>
            <w:r>
              <w:rPr>
                <w:rFonts w:hint="default" w:ascii="Times New Roman" w:hAnsi="Times New Roman" w:cs="Times New Roman"/>
                <w:b/>
                <w:bCs/>
              </w:rPr>
              <w:t>防止地下水污染</w:t>
            </w:r>
            <w:r>
              <w:rPr>
                <w:rFonts w:hint="default" w:ascii="Times New Roman" w:hAnsi="Times New Roman" w:cs="Times New Roman"/>
                <w:b/>
                <w:bCs/>
                <w:lang w:val="en-US" w:eastAsia="zh-CN"/>
              </w:rPr>
              <w:t>防治</w:t>
            </w:r>
            <w:r>
              <w:rPr>
                <w:rFonts w:hint="default" w:ascii="Times New Roman" w:hAnsi="Times New Roman" w:cs="Times New Roman"/>
                <w:b/>
                <w:bCs/>
              </w:rPr>
              <w:t>原则：</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a</w:t>
            </w:r>
            <w:r>
              <w:rPr>
                <w:rFonts w:hint="default" w:ascii="Times New Roman" w:hAnsi="Times New Roman" w:cs="Times New Roman"/>
                <w:lang w:eastAsia="zh-CN"/>
              </w:rPr>
              <w:t>、</w:t>
            </w:r>
            <w:r>
              <w:rPr>
                <w:rFonts w:hint="default" w:ascii="Times New Roman" w:hAnsi="Times New Roman" w:cs="Times New Roman"/>
              </w:rPr>
              <w:t>源头控制、防止渗漏、污染监测及事故应急处理的主动及被动防渗相结合；</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b</w:t>
            </w:r>
            <w:r>
              <w:rPr>
                <w:rFonts w:hint="default" w:ascii="Times New Roman" w:hAnsi="Times New Roman" w:cs="Times New Roman"/>
                <w:lang w:eastAsia="zh-CN"/>
              </w:rPr>
              <w:t>、</w:t>
            </w:r>
            <w:r>
              <w:rPr>
                <w:rFonts w:hint="default" w:ascii="Times New Roman" w:hAnsi="Times New Roman" w:cs="Times New Roman"/>
              </w:rPr>
              <w:t>地上污染地上治理，地下污染地下治理；</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c</w:t>
            </w:r>
            <w:r>
              <w:rPr>
                <w:rFonts w:hint="default" w:ascii="Times New Roman" w:hAnsi="Times New Roman" w:cs="Times New Roman"/>
                <w:lang w:eastAsia="zh-CN"/>
              </w:rPr>
              <w:t>、</w:t>
            </w:r>
            <w:r>
              <w:rPr>
                <w:rFonts w:hint="default" w:ascii="Times New Roman" w:hAnsi="Times New Roman" w:cs="Times New Roman"/>
              </w:rPr>
              <w:t>按污染物渗漏的可能性严格划分为污染区和非污染区；</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d</w:t>
            </w:r>
            <w:r>
              <w:rPr>
                <w:rFonts w:hint="default" w:ascii="Times New Roman" w:hAnsi="Times New Roman" w:cs="Times New Roman"/>
                <w:lang w:eastAsia="zh-CN"/>
              </w:rPr>
              <w:t>、</w:t>
            </w:r>
            <w:r>
              <w:rPr>
                <w:rFonts w:hint="default" w:ascii="Times New Roman" w:hAnsi="Times New Roman" w:cs="Times New Roman"/>
              </w:rPr>
              <w:t>污染区应根据可能泄露污染物的性质划分为非污染区、一般污染防治区和重点污染防治区；</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e</w:t>
            </w:r>
            <w:r>
              <w:rPr>
                <w:rFonts w:hint="default" w:ascii="Times New Roman" w:hAnsi="Times New Roman" w:cs="Times New Roman"/>
                <w:lang w:eastAsia="zh-CN"/>
              </w:rPr>
              <w:t>、</w:t>
            </w:r>
            <w:r>
              <w:rPr>
                <w:rFonts w:hint="default" w:ascii="Times New Roman" w:hAnsi="Times New Roman" w:cs="Times New Roman"/>
              </w:rPr>
              <w:t>不同的污染防治区应结合包气带天然防渗性能采取相应的防渗措施；</w:t>
            </w:r>
          </w:p>
          <w:p>
            <w:pPr>
              <w:pStyle w:val="15"/>
              <w:widowControl w:val="0"/>
              <w:spacing w:before="0" w:beforeAutospacing="0" w:after="0" w:afterAutospacing="0" w:line="360" w:lineRule="auto"/>
              <w:ind w:firstLine="480" w:firstLineChars="200"/>
              <w:jc w:val="both"/>
              <w:rPr>
                <w:rFonts w:hint="default" w:ascii="Times New Roman" w:hAnsi="Times New Roman" w:eastAsia="宋体" w:cs="Times New Roman"/>
                <w:lang w:eastAsia="zh-CN"/>
              </w:rPr>
            </w:pPr>
            <w:r>
              <w:rPr>
                <w:rFonts w:hint="default" w:ascii="Times New Roman" w:hAnsi="Times New Roman" w:cs="Times New Roman"/>
                <w:lang w:val="en-US" w:eastAsia="zh-CN"/>
              </w:rPr>
              <w:t>f</w:t>
            </w:r>
            <w:r>
              <w:rPr>
                <w:rFonts w:hint="default" w:ascii="Times New Roman" w:hAnsi="Times New Roman" w:cs="Times New Roman"/>
                <w:lang w:eastAsia="zh-CN"/>
              </w:rPr>
              <w:t>、</w:t>
            </w:r>
            <w:r>
              <w:rPr>
                <w:rFonts w:hint="default" w:ascii="Times New Roman" w:hAnsi="Times New Roman" w:cs="Times New Roman"/>
              </w:rPr>
              <w:t>污染区内应根据可能泄露污染物的性质、数量及场所的不同，设置相应的污染物收集及排放系统</w:t>
            </w:r>
            <w:r>
              <w:rPr>
                <w:rFonts w:hint="default" w:ascii="Times New Roman" w:hAnsi="Times New Roman" w:cs="Times New Roman"/>
                <w:lang w:eastAsia="zh-CN"/>
              </w:rPr>
              <w:t>。</w:t>
            </w:r>
          </w:p>
          <w:p>
            <w:pPr>
              <w:pStyle w:val="15"/>
              <w:widowControl w:val="0"/>
              <w:spacing w:before="0" w:beforeAutospacing="0" w:after="0" w:afterAutospacing="0" w:line="360" w:lineRule="auto"/>
              <w:ind w:firstLine="482" w:firstLineChars="200"/>
              <w:jc w:val="both"/>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分区防控措施</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场地以水平防渗为主，防控措施应满足《危险废物贮存污染控制标准》（GB18597-2001）的要求。项目污染控制难易程度按“难”考虑、天然包气带防污性能按“弱”，站区划为重点防渗区和一般防渗区。</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a、</w:t>
            </w:r>
            <w:r>
              <w:rPr>
                <w:rFonts w:hint="default" w:ascii="Times New Roman" w:hAnsi="Times New Roman" w:cs="Times New Roman"/>
              </w:rPr>
              <w:t>重点防渗区</w:t>
            </w:r>
          </w:p>
          <w:p>
            <w:pPr>
              <w:pStyle w:val="15"/>
              <w:widowControl w:val="0"/>
              <w:spacing w:before="0" w:beforeAutospacing="0" w:after="0" w:afterAutospacing="0"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cs="Times New Roman"/>
              </w:rPr>
              <w:t>重点防渗区指位于地下或者半地下的生产功能单元，污染地下水环境的污染物泄漏后不容易被及时发现和处理的区域或部位</w:t>
            </w:r>
            <w:r>
              <w:rPr>
                <w:rFonts w:hint="default" w:ascii="Times New Roman" w:hAnsi="Times New Roman" w:cs="Times New Roman"/>
                <w:lang w:eastAsia="zh-CN"/>
              </w:rPr>
              <w:t>；</w:t>
            </w:r>
            <w:r>
              <w:rPr>
                <w:rFonts w:hint="default" w:ascii="Times New Roman" w:hAnsi="Times New Roman" w:cs="Times New Roman"/>
                <w:lang w:val="en-US" w:eastAsia="zh-CN"/>
              </w:rPr>
              <w:t>由于项目不涉及</w:t>
            </w:r>
            <w:r>
              <w:rPr>
                <w:rFonts w:hint="default" w:ascii="Times New Roman" w:hAnsi="Times New Roman" w:cs="Times New Roman"/>
              </w:rPr>
              <w:t>位于地下或者半地下的生产功能单元</w:t>
            </w:r>
            <w:r>
              <w:rPr>
                <w:rFonts w:hint="default" w:ascii="Times New Roman" w:hAnsi="Times New Roman" w:cs="Times New Roman"/>
                <w:lang w:eastAsia="zh-CN"/>
              </w:rPr>
              <w:t>，</w:t>
            </w:r>
            <w:r>
              <w:rPr>
                <w:rFonts w:hint="default" w:ascii="Times New Roman" w:hAnsi="Times New Roman" w:cs="Times New Roman"/>
                <w:lang w:val="en-US" w:eastAsia="zh-CN"/>
              </w:rPr>
              <w:t>因此无需设置重点防渗区。</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b、</w:t>
            </w:r>
            <w:r>
              <w:rPr>
                <w:rFonts w:hint="default" w:ascii="Times New Roman" w:hAnsi="Times New Roman" w:cs="Times New Roman"/>
              </w:rPr>
              <w:t>一般防渗区</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项目</w:t>
            </w:r>
            <w:r>
              <w:rPr>
                <w:rFonts w:hint="default" w:ascii="Times New Roman" w:hAnsi="Times New Roman" w:cs="Times New Roman"/>
                <w:lang w:val="en-US" w:eastAsia="zh-CN"/>
              </w:rPr>
              <w:t>应将危废间、化粪池、</w:t>
            </w:r>
            <w:r>
              <w:rPr>
                <w:rFonts w:hint="default" w:ascii="Times New Roman" w:hAnsi="Times New Roman" w:cs="Times New Roman"/>
                <w:sz w:val="24"/>
                <w:szCs w:val="20"/>
                <w:lang w:val="en-US" w:eastAsia="zh-CN"/>
              </w:rPr>
              <w:t>化学试剂储存间、</w:t>
            </w:r>
            <w:r>
              <w:rPr>
                <w:rFonts w:hint="default" w:ascii="Times New Roman" w:hAnsi="Times New Roman" w:cs="Times New Roman"/>
                <w:lang w:val="en-US" w:eastAsia="zh-CN"/>
              </w:rPr>
              <w:t>污水处理设备可能发生泄漏的单元，需将其设置为一般防渗区，要求达</w:t>
            </w:r>
            <w:r>
              <w:rPr>
                <w:rFonts w:hint="default" w:ascii="Times New Roman" w:hAnsi="Times New Roman" w:cs="Times New Roman"/>
              </w:rPr>
              <w:t>到如下防渗技术要求：等效黏土防渗层Mb≥1.5m，渗透系数K≤1.0×10-7cm/s，或参照《生活垃圾填埋场污染控制标准》（GB16889-2008）。</w:t>
            </w:r>
          </w:p>
          <w:p>
            <w:pPr>
              <w:pStyle w:val="15"/>
              <w:widowControl w:val="0"/>
              <w:spacing w:before="0" w:beforeAutospacing="0" w:after="0" w:afterAutospacing="0"/>
              <w:ind w:firstLine="482" w:firstLineChars="200"/>
              <w:jc w:val="center"/>
              <w:rPr>
                <w:rFonts w:hint="default" w:ascii="Times New Roman" w:hAnsi="Times New Roman" w:cs="Times New Roman"/>
                <w:b/>
                <w:bCs/>
              </w:rPr>
            </w:pPr>
            <w:r>
              <w:rPr>
                <w:rFonts w:hint="default" w:ascii="Times New Roman" w:hAnsi="Times New Roman" w:cs="Times New Roman"/>
                <w:b/>
                <w:bCs/>
              </w:rPr>
              <w:t>表4-1</w:t>
            </w:r>
            <w:r>
              <w:rPr>
                <w:rFonts w:hint="default" w:ascii="Times New Roman" w:hAnsi="Times New Roman" w:cs="Times New Roman"/>
                <w:b/>
                <w:bCs/>
                <w:lang w:val="en-US" w:eastAsia="zh-CN"/>
              </w:rPr>
              <w:t>2</w:t>
            </w:r>
            <w:r>
              <w:rPr>
                <w:rFonts w:hint="default" w:ascii="Times New Roman" w:hAnsi="Times New Roman" w:cs="Times New Roman"/>
                <w:b/>
                <w:bCs/>
              </w:rPr>
              <w:t xml:space="preserve">  分区防渗措施内容一览表</w:t>
            </w:r>
          </w:p>
          <w:tbl>
            <w:tblPr>
              <w:tblStyle w:val="16"/>
              <w:tblW w:w="67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2250"/>
              <w:gridCol w:w="2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111" w:type="pct"/>
                  <w:tcBorders>
                    <w:tl2br w:val="nil"/>
                    <w:tr2bl w:val="nil"/>
                  </w:tcBorders>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分区</w:t>
                  </w:r>
                </w:p>
              </w:tc>
              <w:tc>
                <w:tcPr>
                  <w:tcW w:w="1674" w:type="pct"/>
                  <w:tcBorders>
                    <w:tl2br w:val="nil"/>
                    <w:tr2bl w:val="nil"/>
                  </w:tcBorders>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内容</w:t>
                  </w:r>
                </w:p>
              </w:tc>
              <w:tc>
                <w:tcPr>
                  <w:tcW w:w="2214" w:type="pct"/>
                  <w:tcBorders>
                    <w:tl2br w:val="nil"/>
                    <w:tr2bl w:val="nil"/>
                  </w:tcBorders>
                  <w:noWrap w:val="0"/>
                  <w:vAlign w:val="center"/>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建设要求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111" w:type="pct"/>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重点防渗区</w:t>
                  </w:r>
                </w:p>
              </w:tc>
              <w:tc>
                <w:tcPr>
                  <w:tcW w:w="1674" w:type="pct"/>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w:t>
                  </w:r>
                </w:p>
              </w:tc>
              <w:tc>
                <w:tcPr>
                  <w:tcW w:w="2214" w:type="pct"/>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111" w:type="pct"/>
                  <w:vMerge w:val="restart"/>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一般防渗区</w:t>
                  </w:r>
                </w:p>
              </w:tc>
              <w:tc>
                <w:tcPr>
                  <w:tcW w:w="1674" w:type="pct"/>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危废间</w:t>
                  </w:r>
                </w:p>
              </w:tc>
              <w:tc>
                <w:tcPr>
                  <w:tcW w:w="2214" w:type="pct"/>
                  <w:vMerge w:val="restart"/>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等效黏土防渗层Mb≥1.5m，渗透系数K≤1.0×10-7cm/s，或参照《生活垃圾填埋场污染控制标准》（GB16889-2008）。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111" w:type="pct"/>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674" w:type="pct"/>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化粪池</w:t>
                  </w:r>
                </w:p>
              </w:tc>
              <w:tc>
                <w:tcPr>
                  <w:tcW w:w="2214" w:type="pct"/>
                  <w:vMerge w:val="continue"/>
                  <w:tcBorders>
                    <w:tl2br w:val="nil"/>
                    <w:tr2bl w:val="nil"/>
                  </w:tcBorders>
                  <w:noWrap w:val="0"/>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111" w:type="pct"/>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674" w:type="pct"/>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污水处理设备</w:t>
                  </w:r>
                </w:p>
              </w:tc>
              <w:tc>
                <w:tcPr>
                  <w:tcW w:w="2214" w:type="pct"/>
                  <w:vMerge w:val="continue"/>
                  <w:tcBorders>
                    <w:tl2br w:val="nil"/>
                    <w:tr2bl w:val="nil"/>
                  </w:tcBorders>
                  <w:noWrap w:val="0"/>
                  <w:vAlign w:val="center"/>
                </w:tcPr>
                <w:p>
                  <w:pPr>
                    <w:jc w:val="center"/>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11" w:type="pct"/>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674" w:type="pct"/>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化学试剂储存间</w:t>
                  </w:r>
                </w:p>
              </w:tc>
              <w:tc>
                <w:tcPr>
                  <w:tcW w:w="2214" w:type="pct"/>
                  <w:vMerge w:val="continue"/>
                  <w:tcBorders>
                    <w:tl2br w:val="nil"/>
                    <w:tr2bl w:val="nil"/>
                  </w:tcBorders>
                  <w:noWrap w:val="0"/>
                  <w:vAlign w:val="center"/>
                </w:tcPr>
                <w:p>
                  <w:pPr>
                    <w:jc w:val="center"/>
                    <w:rPr>
                      <w:rFonts w:hint="default" w:ascii="Times New Roman" w:hAnsi="Times New Roman" w:cs="Times New Roman"/>
                      <w:sz w:val="21"/>
                      <w:szCs w:val="21"/>
                      <w:lang w:val="en-US" w:eastAsia="zh-CN"/>
                    </w:rPr>
                  </w:pPr>
                </w:p>
              </w:tc>
            </w:tr>
          </w:tbl>
          <w:p>
            <w:pPr>
              <w:pStyle w:val="15"/>
              <w:widowControl w:val="0"/>
              <w:spacing w:before="0" w:beforeAutospacing="0" w:after="0" w:afterAutospacing="0"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rPr>
              <w:t>本项目在采取以上防渗措施的前提下，可有效</w:t>
            </w:r>
            <w:r>
              <w:rPr>
                <w:rFonts w:hint="default" w:ascii="Times New Roman" w:hAnsi="Times New Roman" w:cs="Times New Roman"/>
                <w:lang w:val="en-US" w:eastAsia="zh-CN"/>
              </w:rPr>
              <w:t>减小</w:t>
            </w:r>
            <w:r>
              <w:rPr>
                <w:rFonts w:hint="default" w:ascii="Times New Roman" w:hAnsi="Times New Roman" w:cs="Times New Roman"/>
              </w:rPr>
              <w:t>地下水渗漏</w:t>
            </w:r>
            <w:r>
              <w:rPr>
                <w:rFonts w:hint="default" w:ascii="Times New Roman" w:hAnsi="Times New Roman" w:cs="Times New Roman"/>
                <w:lang w:val="en-US" w:eastAsia="zh-CN"/>
              </w:rPr>
              <w:t>造成的影响</w:t>
            </w:r>
            <w:r>
              <w:rPr>
                <w:rFonts w:hint="default" w:ascii="Times New Roman" w:hAnsi="Times New Roman" w:cs="Times New Roman"/>
              </w:rPr>
              <w:t>。</w:t>
            </w:r>
          </w:p>
          <w:p>
            <w:pPr>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六、土壤</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依据《环境影响评价技术导则土壤环境》（HJ 964—2018），土壤影响途径可分为大气沉降、地面漫流及垂直入渗。</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正常工况下，项目主要废气污染物为NO</w:t>
            </w:r>
            <w:r>
              <w:rPr>
                <w:rFonts w:hint="default" w:ascii="Times New Roman" w:hAnsi="Times New Roman" w:cs="Times New Roman"/>
                <w:vertAlign w:val="subscript"/>
                <w:lang w:val="en-US" w:eastAsia="zh-CN"/>
              </w:rPr>
              <w:t>x</w:t>
            </w:r>
            <w:r>
              <w:rPr>
                <w:rFonts w:hint="default" w:ascii="Times New Roman" w:hAnsi="Times New Roman" w:cs="Times New Roman"/>
                <w:lang w:val="en-US" w:eastAsia="zh-CN"/>
              </w:rPr>
              <w:t>、HCl、硫酸雾、食堂油烟、恶臭气体，不涉及颗粒态污染物，因此无需考虑污染物通过降尘作用影响土壤，项目实验室废水直接排入渠水，也无需考虑地面漫流及垂直入渗。</w:t>
            </w:r>
          </w:p>
          <w:p>
            <w:pPr>
              <w:pStyle w:val="15"/>
              <w:widowControl w:val="0"/>
              <w:spacing w:before="0" w:beforeAutospacing="0" w:after="0" w:afterAutospacing="0"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正常工况下，实验室废水泄漏后会通过垂直入渗扩散进入周围土壤，对土壤环境造成一定影响。环评要求建设单位落实好应急预案的编制工作，制定相应程序，严格控制好环境事故发生的风险。</w:t>
            </w:r>
          </w:p>
          <w:p>
            <w:pPr>
              <w:spacing w:line="360" w:lineRule="auto"/>
              <w:ind w:firstLine="482" w:firstLineChars="200"/>
              <w:rPr>
                <w:rFonts w:hint="default" w:ascii="Times New Roman" w:hAnsi="Times New Roman" w:cs="Times New Roman"/>
              </w:rPr>
            </w:pPr>
            <w:r>
              <w:rPr>
                <w:rFonts w:hint="default" w:ascii="Times New Roman" w:hAnsi="Times New Roman" w:cs="Times New Roman"/>
                <w:b/>
                <w:bCs/>
                <w:sz w:val="24"/>
                <w:szCs w:val="24"/>
                <w:lang w:val="en-US" w:eastAsia="zh-CN"/>
              </w:rPr>
              <w:t>7</w:t>
            </w:r>
            <w:r>
              <w:rPr>
                <w:rFonts w:hint="default" w:ascii="Times New Roman" w:hAnsi="Times New Roman" w:cs="Times New Roman"/>
                <w:b/>
                <w:bCs/>
                <w:sz w:val="24"/>
                <w:szCs w:val="24"/>
              </w:rPr>
              <w:t>、环境风险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spacing w:line="360" w:lineRule="auto"/>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Q值的确定</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按照《建设项目环境风险评价技术导则》（HJ 169-2018），结合</w:t>
            </w:r>
            <w:r>
              <w:rPr>
                <w:rFonts w:hint="default" w:ascii="Times New Roman" w:hAnsi="Times New Roman" w:cs="Times New Roman"/>
                <w:sz w:val="24"/>
                <w:szCs w:val="24"/>
                <w:lang w:val="en-US" w:eastAsia="zh-CN"/>
              </w:rPr>
              <w:t>建设单位实际情况，计算得Q=0.05388&lt;1；因此，</w:t>
            </w:r>
            <w:r>
              <w:rPr>
                <w:rFonts w:hint="default" w:ascii="Times New Roman" w:hAnsi="Times New Roman" w:cs="Times New Roman"/>
                <w:sz w:val="24"/>
                <w:szCs w:val="24"/>
              </w:rPr>
              <w:t>项目</w:t>
            </w:r>
            <w:r>
              <w:rPr>
                <w:rFonts w:hint="default" w:ascii="Times New Roman" w:hAnsi="Times New Roman" w:cs="Times New Roman"/>
                <w:sz w:val="24"/>
                <w:szCs w:val="24"/>
                <w:lang w:val="en-US" w:eastAsia="zh-CN"/>
              </w:rPr>
              <w:t>的</w:t>
            </w:r>
            <w:r>
              <w:rPr>
                <w:rFonts w:hint="default" w:ascii="Times New Roman" w:hAnsi="Times New Roman" w:cs="Times New Roman"/>
                <w:sz w:val="24"/>
                <w:szCs w:val="24"/>
              </w:rPr>
              <w:t>环境风险潜势为I级。故</w:t>
            </w:r>
            <w:r>
              <w:rPr>
                <w:rFonts w:hint="default" w:ascii="Times New Roman" w:hAnsi="Times New Roman" w:cs="Times New Roman"/>
                <w:sz w:val="24"/>
                <w:szCs w:val="24"/>
                <w:lang w:val="en-US" w:eastAsia="zh-CN"/>
              </w:rPr>
              <w:t>仅需</w:t>
            </w:r>
            <w:r>
              <w:rPr>
                <w:rFonts w:hint="default" w:ascii="Times New Roman" w:hAnsi="Times New Roman" w:cs="Times New Roman"/>
                <w:sz w:val="24"/>
                <w:szCs w:val="24"/>
              </w:rPr>
              <w:t>开展简单分析。</w:t>
            </w:r>
          </w:p>
          <w:p>
            <w:pPr>
              <w:pStyle w:val="15"/>
              <w:widowControl w:val="0"/>
              <w:spacing w:before="0" w:beforeAutospacing="0" w:after="0" w:afterAutospacing="0"/>
              <w:ind w:firstLine="482" w:firstLineChars="2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表4-13  项目Q值计算</w:t>
            </w:r>
          </w:p>
          <w:tbl>
            <w:tblPr>
              <w:tblStyle w:val="16"/>
              <w:tblW w:w="65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35"/>
              <w:gridCol w:w="1650"/>
              <w:gridCol w:w="1374"/>
              <w:gridCol w:w="1320"/>
              <w:gridCol w:w="13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640"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序号</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名称</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最大储存量qi（t）</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最大临界值Q（t）</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rPr>
                  </w:pPr>
                  <w:r>
                    <w:rPr>
                      <w:rFonts w:hint="default" w:ascii="Times New Roman" w:hAnsi="Times New Roman" w:cs="Times New Roman"/>
                      <w:b/>
                      <w:bCs/>
                      <w:lang w:val="en-US" w:eastAsia="zh-CN"/>
                    </w:rPr>
                    <w:t>q/Q</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1</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rPr>
                  </w:pPr>
                  <w:r>
                    <w:rPr>
                      <w:rFonts w:hint="default" w:ascii="Times New Roman" w:hAnsi="Times New Roman" w:cs="Times New Roman"/>
                      <w:lang w:val="en-US" w:eastAsia="zh-CN"/>
                    </w:rPr>
                    <w:t>盐酸（≧37％）</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2</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硫酸</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3</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硝酸</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7.5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4</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乙酸</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5</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rPr>
                  </w:pPr>
                  <w:r>
                    <w:rPr>
                      <w:rFonts w:hint="default" w:ascii="Times New Roman" w:hAnsi="Times New Roman" w:cs="Times New Roman"/>
                      <w:lang w:val="en-US" w:eastAsia="zh-CN"/>
                    </w:rPr>
                    <w:t>磷酸</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650"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甲醇</w:t>
                  </w:r>
                </w:p>
              </w:tc>
              <w:tc>
                <w:tcPr>
                  <w:tcW w:w="1374"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1650"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三氯甲烷</w:t>
                  </w:r>
                </w:p>
              </w:tc>
              <w:tc>
                <w:tcPr>
                  <w:tcW w:w="1374"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9</w:t>
                  </w:r>
                </w:p>
              </w:tc>
              <w:tc>
                <w:tcPr>
                  <w:tcW w:w="1650"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氨水</w:t>
                  </w:r>
                  <w:r>
                    <w:rPr>
                      <w:rFonts w:hint="default" w:ascii="Times New Roman" w:hAnsi="Times New Roman" w:cs="Times New Roman"/>
                      <w:lang w:val="en-US" w:eastAsia="zh-CN"/>
                    </w:rPr>
                    <w:t>（≧20％）</w:t>
                  </w:r>
                </w:p>
              </w:tc>
              <w:tc>
                <w:tcPr>
                  <w:tcW w:w="1374"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650"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lang w:val="en-US" w:eastAsia="zh-CN"/>
                    </w:rPr>
                    <w:t>铬酸钾</w:t>
                  </w:r>
                </w:p>
              </w:tc>
              <w:tc>
                <w:tcPr>
                  <w:tcW w:w="1374" w:type="dxa"/>
                  <w:tcBorders>
                    <w:tl2br w:val="nil"/>
                    <w:tr2bl w:val="nil"/>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lang w:val="en-US" w:eastAsia="zh-CN"/>
                    </w:rPr>
                    <w:t>0.0005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0.25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0.00200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1650"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二氧化氯</w:t>
                  </w:r>
                </w:p>
              </w:tc>
              <w:tc>
                <w:tcPr>
                  <w:tcW w:w="1374"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0.025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0.5</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935"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650"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乙炔</w:t>
                  </w:r>
                </w:p>
              </w:tc>
              <w:tc>
                <w:tcPr>
                  <w:tcW w:w="1374" w:type="dxa"/>
                  <w:tcBorders>
                    <w:tl2br w:val="nil"/>
                    <w:tr2bl w:val="nil"/>
                  </w:tcBorders>
                  <w:shd w:val="clear" w:color="auto" w:fill="auto"/>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0.01</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0.00100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5" w:hRule="atLeast"/>
                <w:jc w:val="center"/>
              </w:trPr>
              <w:tc>
                <w:tcPr>
                  <w:tcW w:w="9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1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∑qi/Q</w:t>
                  </w:r>
                </w:p>
              </w:tc>
              <w:tc>
                <w:tcPr>
                  <w:tcW w:w="13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0.05388</w:t>
                  </w:r>
                </w:p>
              </w:tc>
            </w:tr>
          </w:tbl>
          <w:p>
            <w:pPr>
              <w:spacing w:line="360" w:lineRule="auto"/>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（2）项目存在的环境风险分析</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经识别，项目运营期存在火灾、生物实验室致病微生物传播、化学试剂泄漏、污水处理设备故障等环境风险事故，环评对其可能发生的原因、事故影响程度、应急处置方式以及风险防范措施进行简要分析。</w:t>
            </w:r>
          </w:p>
          <w:p>
            <w:pPr>
              <w:spacing w:line="360" w:lineRule="auto"/>
              <w:ind w:firstLine="482" w:firstLineChars="20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A、火灾事件环境风险分析</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运行时使用各类仪器设备，可能由于电路短路、过载以及人员违规操作的因素引发火灾，项目涉及的主要风险源为原子吸收仪（使用乙炔作为燃烧剂，储存量10kg）、大功率用电仪器（易引发电火）。事件发生时，火情况时基本可及时控制。一般而言，火灾产生的烟尘包括CO、NO</w:t>
            </w:r>
            <w:r>
              <w:rPr>
                <w:rFonts w:hint="default" w:ascii="Times New Roman" w:hAnsi="Times New Roman" w:cs="Times New Roman"/>
                <w:sz w:val="24"/>
                <w:szCs w:val="24"/>
                <w:vertAlign w:val="subscript"/>
                <w:lang w:val="en-US" w:eastAsia="zh-CN"/>
              </w:rPr>
              <w:t>x</w:t>
            </w:r>
            <w:r>
              <w:rPr>
                <w:rFonts w:hint="default" w:ascii="Times New Roman" w:hAnsi="Times New Roman" w:cs="Times New Roman"/>
                <w:sz w:val="24"/>
                <w:szCs w:val="24"/>
                <w:lang w:val="en-US" w:eastAsia="zh-CN"/>
              </w:rPr>
              <w:t>等污染物，由于项目位于城区，因此下风向居民将受到一定影响。另外，项目未设置应急事故水池，灭火时产生的消防废水也将流入周边土壤，可能经漫流进入渠水及文昌溪、经渗透作用进入地下水，影响水环境及土壤。对此，事故发生时单位内职工应及时向领导汇报，必要时请求外部消防力量支援，尽可能及时控制火势，避免环境污染及人员伤亡事件的发生。</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环评建议项目运营期定期组织人员对实验室进行巡检，并做到人走断电，以减小事故发生的概率。</w:t>
            </w:r>
          </w:p>
          <w:p>
            <w:pPr>
              <w:bidi w:val="0"/>
              <w:rPr>
                <w:rFonts w:hint="default"/>
                <w:lang w:val="en-US" w:eastAsia="zh-CN"/>
              </w:rPr>
            </w:pP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表4-14  火灾事件环境风险分析卡</w:t>
            </w:r>
          </w:p>
          <w:tbl>
            <w:tblPr>
              <w:tblStyle w:val="16"/>
              <w:tblW w:w="7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1"/>
              <w:gridCol w:w="5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12" w:space="0"/>
                    <w:left w:val="single" w:color="000000" w:sz="12" w:space="0"/>
                    <w:bottom w:val="single" w:color="000000" w:sz="8" w:space="0"/>
                    <w:right w:val="single" w:color="000000" w:sz="4"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lang w:val="en-US" w:eastAsia="zh-CN"/>
                    </w:rPr>
                  </w:pPr>
                  <w:r>
                    <w:rPr>
                      <w:rFonts w:hint="default" w:ascii="Times New Roman" w:hAnsi="Times New Roman" w:cs="Times New Roman"/>
                      <w:b/>
                      <w:bCs/>
                      <w:lang w:val="en-US" w:eastAsia="zh-CN"/>
                    </w:rPr>
                    <w:t>事件类型</w:t>
                  </w:r>
                </w:p>
              </w:tc>
              <w:tc>
                <w:tcPr>
                  <w:tcW w:w="5449" w:type="dxa"/>
                  <w:tcBorders>
                    <w:top w:val="single" w:color="000000" w:sz="12" w:space="0"/>
                    <w:left w:val="single" w:color="000000" w:sz="4"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火灾事件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可能发生的原因</w:t>
                  </w:r>
                </w:p>
              </w:tc>
              <w:tc>
                <w:tcPr>
                  <w:tcW w:w="5449" w:type="dxa"/>
                  <w:tcBorders>
                    <w:top w:val="single" w:color="000000" w:sz="8" w:space="0"/>
                    <w:left w:val="single" w:color="000000" w:sz="8"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rPr>
                  </w:pPr>
                  <w:r>
                    <w:rPr>
                      <w:rFonts w:hint="default" w:ascii="Times New Roman" w:hAnsi="Times New Roman" w:cs="Times New Roman"/>
                      <w:lang w:val="en-US" w:eastAsia="zh-CN"/>
                    </w:rPr>
                    <w:t>设备短路、过载、接触不良、人员违规操作等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风险单元</w:t>
                  </w:r>
                </w:p>
              </w:tc>
              <w:tc>
                <w:tcPr>
                  <w:tcW w:w="5449" w:type="dxa"/>
                  <w:tcBorders>
                    <w:top w:val="single" w:color="000000" w:sz="8" w:space="0"/>
                    <w:left w:val="single" w:color="000000" w:sz="8"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rPr>
                  </w:pPr>
                  <w:r>
                    <w:rPr>
                      <w:rFonts w:hint="default" w:ascii="Times New Roman" w:hAnsi="Times New Roman" w:cs="Times New Roman"/>
                      <w:lang w:val="en-US" w:eastAsia="zh-CN"/>
                    </w:rPr>
                    <w:t>实验室内大功率用电仪器、原子吸收仪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lang w:val="en-US" w:eastAsia="zh-CN"/>
                    </w:rPr>
                  </w:pPr>
                  <w:r>
                    <w:rPr>
                      <w:rFonts w:hint="default" w:ascii="Times New Roman" w:hAnsi="Times New Roman" w:cs="Times New Roman"/>
                      <w:b/>
                      <w:bCs/>
                      <w:lang w:val="en-US" w:eastAsia="zh-CN"/>
                    </w:rPr>
                    <w:t>风险物质</w:t>
                  </w:r>
                </w:p>
              </w:tc>
              <w:tc>
                <w:tcPr>
                  <w:tcW w:w="5449" w:type="dxa"/>
                  <w:tcBorders>
                    <w:top w:val="single" w:color="000000" w:sz="8" w:space="0"/>
                    <w:left w:val="single" w:color="000000" w:sz="8"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乙炔等易燃化学品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主要污染物</w:t>
                  </w:r>
                </w:p>
              </w:tc>
              <w:tc>
                <w:tcPr>
                  <w:tcW w:w="5449" w:type="dxa"/>
                  <w:tcBorders>
                    <w:top w:val="single" w:color="000000" w:sz="8" w:space="0"/>
                    <w:left w:val="single" w:color="000000" w:sz="8"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rPr>
                  </w:pPr>
                  <w:r>
                    <w:rPr>
                      <w:rFonts w:hint="default" w:ascii="Times New Roman" w:hAnsi="Times New Roman" w:cs="Times New Roman"/>
                      <w:lang w:val="en-US" w:eastAsia="zh-CN"/>
                    </w:rPr>
                    <w:t>燃烧产生的CO、NO</w:t>
                  </w:r>
                  <w:r>
                    <w:rPr>
                      <w:rFonts w:hint="default" w:ascii="Times New Roman" w:hAnsi="Times New Roman" w:cs="Times New Roman"/>
                      <w:vertAlign w:val="subscript"/>
                      <w:lang w:val="en-US" w:eastAsia="zh-CN"/>
                    </w:rPr>
                    <w:t>x</w:t>
                  </w:r>
                  <w:r>
                    <w:rPr>
                      <w:rFonts w:hint="default" w:ascii="Times New Roman" w:hAnsi="Times New Roman" w:cs="Times New Roman"/>
                      <w:lang w:val="en-US" w:eastAsia="zh-CN"/>
                    </w:rPr>
                    <w:t>、二氧化硫、灭火产生的消防废水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事故影响程度</w:t>
                  </w:r>
                </w:p>
              </w:tc>
              <w:tc>
                <w:tcPr>
                  <w:tcW w:w="5449" w:type="dxa"/>
                  <w:tcBorders>
                    <w:top w:val="single" w:color="000000" w:sz="8" w:space="0"/>
                    <w:left w:val="single" w:color="000000" w:sz="8"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rPr>
                  </w:pPr>
                  <w:r>
                    <w:rPr>
                      <w:rFonts w:hint="default" w:ascii="Times New Roman" w:hAnsi="Times New Roman" w:cs="Times New Roman"/>
                      <w:lang w:val="en-US" w:eastAsia="zh-CN"/>
                    </w:rPr>
                    <w:t>污染物通过大气稀释扩散，影响下风向环境空气质量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应急处置措施</w:t>
                  </w:r>
                </w:p>
              </w:tc>
              <w:tc>
                <w:tcPr>
                  <w:tcW w:w="5449" w:type="dxa"/>
                  <w:tcBorders>
                    <w:top w:val="single" w:color="000000" w:sz="8" w:space="0"/>
                    <w:left w:val="single" w:color="000000" w:sz="8"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rPr>
                  </w:pPr>
                  <w:r>
                    <w:rPr>
                      <w:rFonts w:hint="default" w:ascii="Times New Roman" w:hAnsi="Times New Roman" w:cs="Times New Roman"/>
                      <w:lang w:val="en-US" w:eastAsia="zh-CN"/>
                    </w:rPr>
                    <w:t>及时灭火，必要时请求外部消防力量援助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71" w:type="dxa"/>
                  <w:tcBorders>
                    <w:top w:val="single" w:color="000000" w:sz="8" w:space="0"/>
                    <w:left w:val="single" w:color="000000" w:sz="12" w:space="0"/>
                    <w:bottom w:val="single" w:color="000000" w:sz="12"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风险防范措施</w:t>
                  </w:r>
                </w:p>
              </w:tc>
              <w:tc>
                <w:tcPr>
                  <w:tcW w:w="5449" w:type="dxa"/>
                  <w:tcBorders>
                    <w:top w:val="single" w:color="000000" w:sz="8" w:space="0"/>
                    <w:left w:val="single" w:color="000000" w:sz="8" w:space="0"/>
                    <w:bottom w:val="single" w:color="000000" w:sz="12"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rPr>
                  </w:pPr>
                  <w:r>
                    <w:rPr>
                      <w:rFonts w:hint="default" w:ascii="Times New Roman" w:hAnsi="Times New Roman" w:cs="Times New Roman"/>
                      <w:lang w:val="en-US" w:eastAsia="zh-CN"/>
                    </w:rPr>
                    <w:t>配齐各类消防物资，并定期对各电器进行巡检，制定相关的防控措施</w:t>
                  </w:r>
                </w:p>
              </w:tc>
            </w:tr>
          </w:tbl>
          <w:p>
            <w:pPr>
              <w:spacing w:line="360" w:lineRule="auto"/>
              <w:ind w:firstLine="482" w:firstLineChars="20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B、生物实验室致病微生物传播事件</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a、安全措施不完善导致的微生物泄漏事件</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属于疾控中心，运营期涉及致病微生物的检测工作，当人员操作不规范、防护设备受损，可导致致病微生物泄漏，从而引发公共卫生事件。当正在进行涉及危险致病微生物的实验操作人员发现防护设备破损，或实验结束后感到身体不适时，应及时上报，事件经确认后应将本单位设为封锁区，对各科室进行整体消毒处理，必要时应启动突发公共卫生事件应急预案。环评要求建设单位在建设期应严格落实好实验室相关微生物防护制度，定期对相关安全设备（如防护服、防护面罩、生物安全柜）进行检查，对存在过期或质量缺陷设备定期更换，严格控此类事件发生的概率。</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b、污水处理设备故障导致的微生物泄漏事件</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实验室废水含多种致病微生物，因此，废水需经污水处理设备消毒处理后外排；在此当中，可能由于未及时添加消毒剂，设备零部件老化等因素导致污水处理设备失效，引起大量致病微生物排入地表水，从而诱发公共卫生事件。环评依据《排污许可证申请与核发技术规范 医疗机构》（HJ1105-2020）要求建设单位每季对排放废水中结核杆菌、肠道致病菌（沙门氏菌）进行一次监测，每半年对肠道致病菌（志贺氏菌）、肠道病毒进行一次监测（见表4-11），当检出细菌时，应立即停用污水处理设备并停止实验工作，并对当地病情进行调查，当可能引发卫生事件时，应及时向上级部门汇报，并启动相应应急预案。</w:t>
            </w:r>
          </w:p>
          <w:p>
            <w:pPr>
              <w:bidi w:val="0"/>
              <w:rPr>
                <w:rFonts w:hint="default"/>
                <w:lang w:val="en-US" w:eastAsia="zh-CN"/>
              </w:rPr>
            </w:pPr>
          </w:p>
          <w:p>
            <w:pPr>
              <w:rPr>
                <w:rFonts w:hint="default"/>
                <w:lang w:val="en-US" w:eastAsia="zh-CN"/>
              </w:rPr>
            </w:pPr>
          </w:p>
          <w:p>
            <w:pPr>
              <w:bidi w:val="0"/>
              <w:rPr>
                <w:rFonts w:hint="default"/>
                <w:lang w:val="en-US" w:eastAsia="zh-CN"/>
              </w:rPr>
            </w:pPr>
          </w:p>
          <w:p>
            <w:pPr>
              <w:bidi w:val="0"/>
              <w:rPr>
                <w:rFonts w:hint="default"/>
                <w:lang w:val="en-US" w:eastAsia="zh-CN"/>
              </w:rPr>
            </w:pP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表4-15  微生物传播事件分析卡</w:t>
            </w:r>
          </w:p>
          <w:tbl>
            <w:tblPr>
              <w:tblStyle w:val="16"/>
              <w:tblW w:w="7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56"/>
              <w:gridCol w:w="5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jc w:val="center"/>
              </w:trPr>
              <w:tc>
                <w:tcPr>
                  <w:tcW w:w="1656" w:type="dxa"/>
                  <w:tcBorders>
                    <w:top w:val="single" w:color="000000" w:sz="12" w:space="0"/>
                    <w:left w:val="single" w:color="000000" w:sz="12"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lang w:val="en-US" w:eastAsia="zh-CN"/>
                    </w:rPr>
                  </w:pPr>
                  <w:r>
                    <w:rPr>
                      <w:rFonts w:hint="default" w:ascii="Times New Roman" w:hAnsi="Times New Roman" w:cs="Times New Roman"/>
                      <w:b/>
                      <w:bCs/>
                      <w:lang w:val="en-US" w:eastAsia="zh-CN"/>
                    </w:rPr>
                    <w:t>事件类型</w:t>
                  </w:r>
                </w:p>
              </w:tc>
              <w:tc>
                <w:tcPr>
                  <w:tcW w:w="5664" w:type="dxa"/>
                  <w:tcBorders>
                    <w:top w:val="single" w:color="000000" w:sz="12" w:space="0"/>
                    <w:left w:val="single" w:color="000000" w:sz="4" w:space="0"/>
                    <w:bottom w:val="single" w:color="000000" w:sz="4"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生物实验室致病微生物传播事件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jc w:val="center"/>
              </w:trPr>
              <w:tc>
                <w:tcPr>
                  <w:tcW w:w="1656" w:type="dxa"/>
                  <w:tcBorders>
                    <w:top w:val="single" w:color="000000" w:sz="4"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可能发生的原因</w:t>
                  </w:r>
                </w:p>
              </w:tc>
              <w:tc>
                <w:tcPr>
                  <w:tcW w:w="5664" w:type="dxa"/>
                  <w:tcBorders>
                    <w:top w:val="single" w:color="000000" w:sz="4" w:space="0"/>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1.人员操作不规范、防护设备受损</w:t>
                  </w:r>
                </w:p>
                <w:p>
                  <w:pPr>
                    <w:keepNext w:val="0"/>
                    <w:keepLines w:val="0"/>
                    <w:widowControl/>
                    <w:suppressLineNumbers w:val="0"/>
                    <w:jc w:val="both"/>
                    <w:textAlignment w:val="top"/>
                    <w:rPr>
                      <w:rFonts w:hint="default" w:ascii="Times New Roman" w:hAnsi="Times New Roman" w:cs="Times New Roman"/>
                      <w:lang w:val="en-US"/>
                    </w:rPr>
                  </w:pPr>
                  <w:r>
                    <w:rPr>
                      <w:rFonts w:hint="default" w:ascii="Times New Roman" w:hAnsi="Times New Roman" w:cs="Times New Roman"/>
                      <w:lang w:val="en-US" w:eastAsia="zh-CN"/>
                    </w:rPr>
                    <w:t>2.污水处理设备故障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jc w:val="center"/>
              </w:trPr>
              <w:tc>
                <w:tcPr>
                  <w:tcW w:w="165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风险单元</w:t>
                  </w:r>
                </w:p>
              </w:tc>
              <w:tc>
                <w:tcPr>
                  <w:tcW w:w="5664"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1.各微生物实验室</w:t>
                  </w:r>
                </w:p>
                <w:p>
                  <w:pPr>
                    <w:keepNext w:val="0"/>
                    <w:keepLines w:val="0"/>
                    <w:widowControl/>
                    <w:suppressLineNumbers w:val="0"/>
                    <w:jc w:val="both"/>
                    <w:textAlignment w:val="top"/>
                    <w:rPr>
                      <w:rFonts w:hint="default" w:ascii="Times New Roman" w:hAnsi="Times New Roman" w:cs="Times New Roman"/>
                    </w:rPr>
                  </w:pPr>
                  <w:r>
                    <w:rPr>
                      <w:rFonts w:hint="default" w:ascii="Times New Roman" w:hAnsi="Times New Roman" w:cs="Times New Roman"/>
                      <w:lang w:val="en-US" w:eastAsia="zh-CN"/>
                    </w:rPr>
                    <w:t>2.污水处理设备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jc w:val="center"/>
              </w:trPr>
              <w:tc>
                <w:tcPr>
                  <w:tcW w:w="165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主要污染物</w:t>
                  </w:r>
                </w:p>
              </w:tc>
              <w:tc>
                <w:tcPr>
                  <w:tcW w:w="5664"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eastAsia" w:ascii="Times New Roman" w:hAnsi="Times New Roman" w:cs="Times New Roman"/>
                      <w:lang w:val="en-US" w:eastAsia="zh-CN"/>
                    </w:rPr>
                    <w:t>致病</w:t>
                  </w:r>
                  <w:r>
                    <w:rPr>
                      <w:rFonts w:hint="default" w:ascii="Times New Roman" w:hAnsi="Times New Roman" w:cs="Times New Roman"/>
                      <w:lang w:val="en-US" w:eastAsia="zh-CN"/>
                    </w:rPr>
                    <w:t>微生物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jc w:val="center"/>
              </w:trPr>
              <w:tc>
                <w:tcPr>
                  <w:tcW w:w="165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事故影响程度</w:t>
                  </w:r>
                </w:p>
              </w:tc>
              <w:tc>
                <w:tcPr>
                  <w:tcW w:w="5664"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致病微生物泄漏后，可引发突发公共卫生事件，严重时可能引发大规模疫情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165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应急处置措施</w:t>
                  </w:r>
                </w:p>
              </w:tc>
              <w:tc>
                <w:tcPr>
                  <w:tcW w:w="5664"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1.对本单位进行封闭，进行大规模消毒</w:t>
                  </w:r>
                </w:p>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2.及时上报上级单位，必要时启动相应应急预案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1656" w:type="dxa"/>
                  <w:tcBorders>
                    <w:top w:val="nil"/>
                    <w:left w:val="single" w:color="000000" w:sz="12" w:space="0"/>
                    <w:bottom w:val="single" w:color="000000" w:sz="12"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风险防范措施</w:t>
                  </w:r>
                </w:p>
              </w:tc>
              <w:tc>
                <w:tcPr>
                  <w:tcW w:w="5664" w:type="dxa"/>
                  <w:tcBorders>
                    <w:top w:val="nil"/>
                    <w:left w:val="nil"/>
                    <w:bottom w:val="single" w:color="000000" w:sz="12"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1.对生物安全设备定期检查，定期进行更换，并制定相应的管制度</w:t>
                  </w:r>
                </w:p>
                <w:p>
                  <w:pPr>
                    <w:pStyle w:val="21"/>
                    <w:rPr>
                      <w:rFonts w:hint="default" w:ascii="Times New Roman" w:hAnsi="Times New Roman" w:cs="Times New Roman"/>
                      <w:lang w:val="en-US" w:eastAsia="zh-CN"/>
                    </w:rPr>
                  </w:pPr>
                  <w:r>
                    <w:rPr>
                      <w:rFonts w:hint="default" w:ascii="Times New Roman" w:hAnsi="Times New Roman" w:eastAsia="宋体" w:cs="Times New Roman"/>
                      <w:color w:val="auto"/>
                      <w:kern w:val="2"/>
                      <w:sz w:val="21"/>
                      <w:szCs w:val="22"/>
                      <w:lang w:val="en-US" w:eastAsia="zh-CN" w:bidi="ar-SA"/>
                    </w:rPr>
                    <w:t>2.定期对排出废水水质进行监测</w:t>
                  </w:r>
                </w:p>
              </w:tc>
            </w:tr>
          </w:tbl>
          <w:p>
            <w:pPr>
              <w:spacing w:line="360" w:lineRule="auto"/>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C、化学试剂泄漏事件</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包含各类实验室，涉及的危险化学试剂种类繁多，可能由于罐体破损、人为操作失误等因素导致泄漏。但由于化学试剂总储存量不大，且储存区地面已进行了硬化处理，因此事件发生后化学品基本只会在地面漫流，不进入外环境。但仍需注意，硫酸、硝酸等危险化学品可腐蚀皮肤，处置不当可能会对人员造成伤害，需在处置时做好如穿戴防护服、手套等必要的防护措施。</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另外，环评要求建设单位在化学品存放区修筑5cm高围堰，控制危险化学品泄漏后扩散范围。</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表4-16  化学试剂泄漏事件分析卡</w:t>
            </w:r>
          </w:p>
          <w:tbl>
            <w:tblPr>
              <w:tblStyle w:val="16"/>
              <w:tblW w:w="7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5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08" w:type="dxa"/>
                  <w:tcBorders>
                    <w:top w:val="single" w:color="000000" w:sz="12" w:space="0"/>
                    <w:left w:val="single" w:color="000000" w:sz="12" w:space="0"/>
                    <w:bottom w:val="single" w:color="000000" w:sz="8"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事故类型</w:t>
                  </w:r>
                </w:p>
              </w:tc>
              <w:tc>
                <w:tcPr>
                  <w:tcW w:w="5572" w:type="dxa"/>
                  <w:tcBorders>
                    <w:top w:val="single" w:color="000000" w:sz="12" w:space="0"/>
                    <w:left w:val="single" w:color="000000" w:sz="4" w:space="0"/>
                    <w:bottom w:val="single" w:color="000000" w:sz="8" w:space="0"/>
                    <w:right w:val="single" w:color="000000" w:sz="12"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化学试剂泄漏事件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08" w:type="dxa"/>
                  <w:tcBorders>
                    <w:top w:val="nil"/>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可能发生的原因</w:t>
                  </w:r>
                </w:p>
              </w:tc>
              <w:tc>
                <w:tcPr>
                  <w:tcW w:w="5572" w:type="dxa"/>
                  <w:tcBorders>
                    <w:top w:val="single" w:color="000000" w:sz="8" w:space="0"/>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rPr>
                  </w:pPr>
                  <w:r>
                    <w:rPr>
                      <w:rFonts w:hint="default" w:ascii="Times New Roman" w:hAnsi="Times New Roman" w:cs="Times New Roman"/>
                      <w:lang w:val="en-US" w:eastAsia="zh-CN"/>
                    </w:rPr>
                    <w:t>罐体破损、人为操作失误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08" w:type="dxa"/>
                  <w:tcBorders>
                    <w:top w:val="nil"/>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风险单元</w:t>
                  </w:r>
                </w:p>
              </w:tc>
              <w:tc>
                <w:tcPr>
                  <w:tcW w:w="5572"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化学试剂储存区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08" w:type="dxa"/>
                  <w:tcBorders>
                    <w:top w:val="nil"/>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主要污染物</w:t>
                  </w:r>
                </w:p>
              </w:tc>
              <w:tc>
                <w:tcPr>
                  <w:tcW w:w="5572"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硫酸、盐酸、硝酸、三氯甲烷等化学试剂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08" w:type="dxa"/>
                  <w:tcBorders>
                    <w:top w:val="nil"/>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事故影响程度</w:t>
                  </w:r>
                </w:p>
              </w:tc>
              <w:tc>
                <w:tcPr>
                  <w:tcW w:w="5572"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由于地面进行了硬化处理，且试剂储存量不大，因此泄漏后试剂仅在实验室内漫流，不进入外环境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08" w:type="dxa"/>
                  <w:tcBorders>
                    <w:top w:val="nil"/>
                    <w:left w:val="single" w:color="000000" w:sz="12"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应急处置措施</w:t>
                  </w:r>
                </w:p>
              </w:tc>
              <w:tc>
                <w:tcPr>
                  <w:tcW w:w="5572" w:type="dxa"/>
                  <w:tcBorders>
                    <w:top w:val="nil"/>
                    <w:left w:val="nil"/>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穿戴好防护设备后及时清理现场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08" w:type="dxa"/>
                  <w:tcBorders>
                    <w:top w:val="nil"/>
                    <w:left w:val="single" w:color="000000" w:sz="12" w:space="0"/>
                    <w:bottom w:val="single" w:color="000000" w:sz="12" w:space="0"/>
                    <w:right w:val="single" w:color="000000" w:sz="8"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风险防范措施</w:t>
                  </w:r>
                </w:p>
              </w:tc>
              <w:tc>
                <w:tcPr>
                  <w:tcW w:w="5572" w:type="dxa"/>
                  <w:tcBorders>
                    <w:top w:val="nil"/>
                    <w:left w:val="nil"/>
                    <w:bottom w:val="single" w:color="000000" w:sz="12"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在储存区修筑5cm高围堰，并配备相应的防护器具</w:t>
                  </w:r>
                </w:p>
              </w:tc>
            </w:tr>
          </w:tbl>
          <w:p>
            <w:pPr>
              <w:spacing w:line="360" w:lineRule="auto"/>
              <w:ind w:firstLine="482" w:firstLineChars="20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D、污水处理设备故障</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a、污水处理设备故障导致废水事故排放</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由于项目实验废水污染物源强及产生量不大，其中COD</w:t>
            </w:r>
            <w:r>
              <w:rPr>
                <w:rFonts w:hint="default" w:ascii="Times New Roman" w:hAnsi="Times New Roman" w:cs="Times New Roman"/>
                <w:sz w:val="24"/>
                <w:szCs w:val="24"/>
                <w:vertAlign w:val="subscript"/>
                <w:lang w:val="en-US" w:eastAsia="zh-CN"/>
              </w:rPr>
              <w:t>cr</w:t>
            </w:r>
            <w:r>
              <w:rPr>
                <w:rFonts w:hint="default" w:ascii="Times New Roman" w:hAnsi="Times New Roman" w:cs="Times New Roman"/>
                <w:sz w:val="24"/>
                <w:szCs w:val="24"/>
                <w:lang w:val="en-US" w:eastAsia="zh-CN"/>
              </w:rPr>
              <w:t>91mg/L、BOD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34.5mg/L、氨氮35.6mg/L、悬浮物41mg/L、粪大肠杆菌24000MPN/L，每年约产生废水129.573t，因此超标排放的废水在短期内可能会对当地文昌溪、渠水水质造成一定的影响，但不会造成过大冲击。环评对项目废水提出了监测计划（见表4-11），建设单位在项目改建后应认真落实，当出现污染物超标排放时，应停用设备并及时联系生产厂家维修人员对设备进行检修，避免对水环境造成影响。</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b、污水处理设备泄漏</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污水处理设备位于本单位西南角，其地面已进行了硬化处理，发生泄漏后废水基本不会渗入外环境，但泄漏事故一般比较隐蔽且不易被察觉，发生后可能导致废水长时间泄漏，未经处理的废水经土壤入渗，进入项目周边地下水。环评要求建设单位安排人员定期对污水处理设备进行巡检，观察设备周边是否存在水渍，并定期联系生产厂家人员对设备进行维护，以控制泄漏风险。</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w:t>
            </w:r>
            <w:r>
              <w:rPr>
                <w:rFonts w:hint="default" w:ascii="Times New Roman" w:hAnsi="Times New Roman" w:cs="Times New Roman"/>
                <w:b/>
                <w:bCs/>
                <w:sz w:val="24"/>
                <w:szCs w:val="24"/>
                <w:lang w:val="en-US" w:eastAsia="zh-CN"/>
              </w:rPr>
              <w:t>4-17</w:t>
            </w:r>
            <w:r>
              <w:rPr>
                <w:rFonts w:hint="default" w:ascii="Times New Roman" w:hAnsi="Times New Roman" w:cs="Times New Roman"/>
                <w:b/>
                <w:bCs/>
                <w:lang w:val="en-US" w:eastAsia="zh-CN"/>
              </w:rPr>
              <w:t xml:space="preserve">  污水处理设备故障事件分析卡</w:t>
            </w:r>
          </w:p>
          <w:tbl>
            <w:tblPr>
              <w:tblStyle w:val="16"/>
              <w:tblW w:w="7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86"/>
              <w:gridCol w:w="5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586" w:type="dxa"/>
                  <w:tcBorders>
                    <w:top w:val="single" w:color="000000" w:sz="12" w:space="0"/>
                    <w:left w:val="single" w:color="000000" w:sz="12" w:space="0"/>
                    <w:bottom w:val="single" w:color="000000" w:sz="8" w:space="0"/>
                    <w:right w:val="single" w:color="000000" w:sz="4"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b/>
                      <w:bCs/>
                      <w:lang w:val="en-US" w:eastAsia="zh-CN"/>
                    </w:rPr>
                  </w:pPr>
                  <w:r>
                    <w:rPr>
                      <w:rFonts w:hint="default" w:ascii="Times New Roman" w:hAnsi="Times New Roman" w:cs="Times New Roman"/>
                      <w:b/>
                      <w:bCs/>
                      <w:lang w:val="en-US" w:eastAsia="zh-CN"/>
                    </w:rPr>
                    <w:t>事故类型</w:t>
                  </w:r>
                </w:p>
              </w:tc>
              <w:tc>
                <w:tcPr>
                  <w:tcW w:w="5914" w:type="dxa"/>
                  <w:tcBorders>
                    <w:top w:val="single" w:color="000000" w:sz="12" w:space="0"/>
                    <w:left w:val="single" w:color="000000" w:sz="4" w:space="0"/>
                    <w:bottom w:val="single" w:color="000000" w:sz="8" w:space="0"/>
                    <w:right w:val="single" w:color="000000" w:sz="12" w:space="0"/>
                  </w:tcBorders>
                  <w:shd w:val="clear" w:color="auto" w:fill="auto"/>
                  <w:vAlign w:val="top"/>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污水处理设备故障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8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可能发生的原因</w:t>
                  </w:r>
                </w:p>
              </w:tc>
              <w:tc>
                <w:tcPr>
                  <w:tcW w:w="5914" w:type="dxa"/>
                  <w:tcBorders>
                    <w:top w:val="single" w:color="000000" w:sz="8" w:space="0"/>
                    <w:left w:val="nil"/>
                    <w:bottom w:val="single" w:color="000000" w:sz="8" w:space="0"/>
                    <w:right w:val="single" w:color="000000" w:sz="12"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设备老化、操作不规范、未及时检修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58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风险单元</w:t>
                  </w:r>
                </w:p>
              </w:tc>
              <w:tc>
                <w:tcPr>
                  <w:tcW w:w="5914"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lang w:val="en-US"/>
                    </w:rPr>
                  </w:pPr>
                  <w:r>
                    <w:rPr>
                      <w:rFonts w:hint="default" w:ascii="Times New Roman" w:hAnsi="Times New Roman" w:cs="Times New Roman"/>
                      <w:lang w:val="en-US" w:eastAsia="zh-CN"/>
                    </w:rPr>
                    <w:t>污水处理设备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8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主要污染物</w:t>
                  </w:r>
                </w:p>
              </w:tc>
              <w:tc>
                <w:tcPr>
                  <w:tcW w:w="5914"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、氨氮、SS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58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lang w:val="en-US" w:eastAsia="zh-CN"/>
                    </w:rPr>
                  </w:pPr>
                  <w:r>
                    <w:rPr>
                      <w:rFonts w:hint="default" w:ascii="Times New Roman" w:hAnsi="Times New Roman" w:cs="Times New Roman"/>
                      <w:b/>
                      <w:bCs/>
                      <w:lang w:val="en-US" w:eastAsia="zh-CN"/>
                    </w:rPr>
                    <w:t>事故影响程度</w:t>
                  </w:r>
                </w:p>
              </w:tc>
              <w:tc>
                <w:tcPr>
                  <w:tcW w:w="5914"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1.事故排放导致超标排放的污水导致文昌溪、渠水水质受到影响</w:t>
                  </w:r>
                </w:p>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2.废水泄漏导致土壤、地下水环境受到影响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586"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应急处置措施</w:t>
                  </w:r>
                </w:p>
              </w:tc>
              <w:tc>
                <w:tcPr>
                  <w:tcW w:w="5914"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停用污水处理设备，联系生产厂家进行维修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586" w:type="dxa"/>
                  <w:tcBorders>
                    <w:top w:val="nil"/>
                    <w:left w:val="single" w:color="000000" w:sz="12" w:space="0"/>
                    <w:bottom w:val="single" w:color="000000" w:sz="12" w:space="0"/>
                    <w:right w:val="single" w:color="000000" w:sz="8"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b/>
                      <w:bCs/>
                    </w:rPr>
                  </w:pPr>
                  <w:r>
                    <w:rPr>
                      <w:rFonts w:hint="default" w:ascii="Times New Roman" w:hAnsi="Times New Roman" w:cs="Times New Roman"/>
                      <w:b/>
                      <w:bCs/>
                      <w:lang w:val="en-US" w:eastAsia="zh-CN"/>
                    </w:rPr>
                    <w:t>风险防范措施</w:t>
                  </w:r>
                </w:p>
              </w:tc>
              <w:tc>
                <w:tcPr>
                  <w:tcW w:w="5914" w:type="dxa"/>
                  <w:tcBorders>
                    <w:top w:val="nil"/>
                    <w:left w:val="nil"/>
                    <w:bottom w:val="single" w:color="000000" w:sz="12" w:space="0"/>
                    <w:right w:val="single" w:color="000000" w:sz="12" w:space="0"/>
                  </w:tcBorders>
                  <w:shd w:val="clear" w:color="auto" w:fill="auto"/>
                  <w:vAlign w:val="center"/>
                </w:tcPr>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1.定期监测出水水质</w:t>
                  </w:r>
                </w:p>
                <w:p>
                  <w:pPr>
                    <w:keepNext w:val="0"/>
                    <w:keepLines w:val="0"/>
                    <w:widowControl/>
                    <w:suppressLineNumbers w:val="0"/>
                    <w:jc w:val="both"/>
                    <w:textAlignment w:val="top"/>
                    <w:rPr>
                      <w:rFonts w:hint="default" w:ascii="Times New Roman" w:hAnsi="Times New Roman" w:cs="Times New Roman"/>
                      <w:lang w:val="en-US" w:eastAsia="zh-CN"/>
                    </w:rPr>
                  </w:pPr>
                  <w:r>
                    <w:rPr>
                      <w:rFonts w:hint="default" w:ascii="Times New Roman" w:hAnsi="Times New Roman" w:cs="Times New Roman"/>
                      <w:lang w:val="en-US" w:eastAsia="zh-CN"/>
                    </w:rPr>
                    <w:t>2.安排专人进行巡检，观察处理设备周围是否存在水渍</w:t>
                  </w:r>
                </w:p>
              </w:tc>
            </w:tr>
          </w:tbl>
          <w:p>
            <w:p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（3）应急预案</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依据</w:t>
            </w:r>
            <w:r>
              <w:rPr>
                <w:rFonts w:hint="default" w:ascii="Times New Roman" w:hAnsi="Times New Roman" w:cs="Times New Roman"/>
                <w:sz w:val="24"/>
                <w:szCs w:val="24"/>
              </w:rPr>
              <w:t>《湖南省突发环境事件应急预案管理办法》（湘环发[2013]20号）</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本单位应编制突发环境应急预案，建立各应急小组，以及响应程序，并针对可能发生的突发环境事件进行演练，以确保突发环境事件发生时，本单位可及时、有效的处置。</w:t>
            </w:r>
          </w:p>
          <w:p>
            <w:p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（4）总结</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1、项目Q=0.05388&lt;1环境风险潜势为I级仅需开展简单分析</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环评简要对火灾、生物实验室致病微生物传播、化学试剂泄漏、污水处理设备故障等环境风险事故展开了分析，阐明了可能发生的原因、风险单元、事故影响程度，为建设单位提出了相应的应急处置措施与风险防控措施。</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3、本项目自身环境风险不大，环评要求建设单位及时编制应急预案，为防治、处置突发环境事件提供科学的指导依据。</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七</w:t>
            </w:r>
            <w:r>
              <w:rPr>
                <w:rFonts w:hint="default" w:ascii="Times New Roman" w:hAnsi="Times New Roman" w:cs="Times New Roman"/>
                <w:b/>
                <w:bCs/>
                <w:sz w:val="24"/>
                <w:szCs w:val="24"/>
              </w:rPr>
              <w:t>、环保投资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环保投资是实现各项环保措施的重要保证。为了使该项目的发展与环境保护相协调，企业应该在废气处理、废水处理、噪声防治、固废收集等环境保护工作上投入一定资金，以确保环境污染防治工程措施到位。本项目属于改建项目，部分环保设备可依托原有工程。企业环保投资11.8万元，占总投资1198万元的0.98％，详见下表。</w:t>
            </w:r>
          </w:p>
          <w:p>
            <w:pPr>
              <w:pStyle w:val="2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表4-18  建设项目环保投资内容表</w:t>
            </w:r>
          </w:p>
          <w:tbl>
            <w:tblPr>
              <w:tblStyle w:val="16"/>
              <w:tblW w:w="79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783"/>
              <w:gridCol w:w="3402"/>
              <w:gridCol w:w="1158"/>
              <w:gridCol w:w="11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9" w:type="dxa"/>
                  <w:gridSpan w:val="2"/>
                  <w:tcBorders>
                    <w:tl2br w:val="nil"/>
                    <w:tr2bl w:val="nil"/>
                  </w:tcBorders>
                  <w:noWrap w:val="0"/>
                  <w:vAlign w:val="center"/>
                </w:tcPr>
                <w:p>
                  <w:pPr>
                    <w:topLinePunct/>
                    <w:jc w:val="center"/>
                    <w:rPr>
                      <w:rFonts w:hint="default" w:ascii="Times New Roman" w:hAnsi="Times New Roman" w:cs="Times New Roman"/>
                      <w:b/>
                      <w:bCs/>
                    </w:rPr>
                  </w:pPr>
                  <w:r>
                    <w:rPr>
                      <w:rFonts w:hint="default" w:ascii="Times New Roman" w:hAnsi="Times New Roman" w:cs="Times New Roman"/>
                      <w:b/>
                      <w:bCs/>
                    </w:rPr>
                    <w:t>类别</w:t>
                  </w:r>
                </w:p>
              </w:tc>
              <w:tc>
                <w:tcPr>
                  <w:tcW w:w="3402" w:type="dxa"/>
                  <w:tcBorders>
                    <w:tl2br w:val="nil"/>
                    <w:tr2bl w:val="nil"/>
                  </w:tcBorders>
                  <w:noWrap w:val="0"/>
                  <w:vAlign w:val="center"/>
                </w:tcPr>
                <w:p>
                  <w:pPr>
                    <w:topLinePunct/>
                    <w:jc w:val="center"/>
                    <w:rPr>
                      <w:rFonts w:hint="default" w:ascii="Times New Roman" w:hAnsi="Times New Roman" w:cs="Times New Roman"/>
                      <w:b/>
                      <w:bCs/>
                    </w:rPr>
                  </w:pPr>
                  <w:r>
                    <w:rPr>
                      <w:rFonts w:hint="default" w:ascii="Times New Roman" w:hAnsi="Times New Roman" w:cs="Times New Roman"/>
                      <w:b/>
                      <w:bCs/>
                    </w:rPr>
                    <w:t>环保设施(措施)</w:t>
                  </w:r>
                </w:p>
              </w:tc>
              <w:tc>
                <w:tcPr>
                  <w:tcW w:w="1158" w:type="dxa"/>
                  <w:tcBorders>
                    <w:tl2br w:val="nil"/>
                    <w:tr2bl w:val="nil"/>
                  </w:tcBorders>
                  <w:noWrap w:val="0"/>
                  <w:vAlign w:val="center"/>
                </w:tcPr>
                <w:p>
                  <w:pPr>
                    <w:topLinePunct/>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备注</w:t>
                  </w:r>
                </w:p>
              </w:tc>
              <w:tc>
                <w:tcPr>
                  <w:tcW w:w="1158" w:type="dxa"/>
                  <w:tcBorders>
                    <w:tl2br w:val="nil"/>
                    <w:tr2bl w:val="nil"/>
                  </w:tcBorders>
                  <w:noWrap w:val="0"/>
                  <w:vAlign w:val="center"/>
                </w:tcPr>
                <w:p>
                  <w:pPr>
                    <w:topLinePunct/>
                    <w:jc w:val="center"/>
                    <w:rPr>
                      <w:rFonts w:hint="default" w:ascii="Times New Roman" w:hAnsi="Times New Roman" w:cs="Times New Roman"/>
                      <w:b/>
                      <w:bCs/>
                      <w:lang w:val="en-US" w:eastAsia="zh-CN"/>
                    </w:rPr>
                  </w:pPr>
                  <w:r>
                    <w:rPr>
                      <w:rFonts w:hint="default" w:ascii="Times New Roman" w:hAnsi="Times New Roman" w:cs="Times New Roman"/>
                      <w:b/>
                      <w:bCs/>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restart"/>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废气</w:t>
                  </w:r>
                </w:p>
              </w:tc>
              <w:tc>
                <w:tcPr>
                  <w:tcW w:w="1783"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消解废气</w:t>
                  </w:r>
                </w:p>
              </w:tc>
              <w:tc>
                <w:tcPr>
                  <w:tcW w:w="3402"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风机抽至屋顶，由15m排气口排放</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依托已有设备，无需投资</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试剂挥发废气</w:t>
                  </w:r>
                </w:p>
              </w:tc>
              <w:tc>
                <w:tcPr>
                  <w:tcW w:w="3402"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加强通风、厂区绿化</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lang w:val="en-US" w:eastAsia="zh-CN"/>
                    </w:rPr>
                  </w:pPr>
                </w:p>
              </w:tc>
              <w:tc>
                <w:tcPr>
                  <w:tcW w:w="1783"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微生物实验废气</w:t>
                  </w:r>
                </w:p>
              </w:tc>
              <w:tc>
                <w:tcPr>
                  <w:tcW w:w="3402"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由生物安全柜处理</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依托已有设备，无需投资</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污水处理站恶臭气体</w:t>
                  </w:r>
                </w:p>
              </w:tc>
              <w:tc>
                <w:tcPr>
                  <w:tcW w:w="3402"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加强密封、厂区绿化</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厨房油烟</w:t>
                  </w:r>
                </w:p>
              </w:tc>
              <w:tc>
                <w:tcPr>
                  <w:tcW w:w="3402"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加强通风、厂区绿化</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restart"/>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废水</w:t>
                  </w:r>
                </w:p>
              </w:tc>
              <w:tc>
                <w:tcPr>
                  <w:tcW w:w="1783"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生活废水</w:t>
                  </w:r>
                </w:p>
              </w:tc>
              <w:tc>
                <w:tcPr>
                  <w:tcW w:w="3402"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与相应单位签订处置协议，外委处置</w:t>
                  </w:r>
                </w:p>
              </w:tc>
              <w:tc>
                <w:tcPr>
                  <w:tcW w:w="1158"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实验室</w:t>
                  </w:r>
                  <w:r>
                    <w:rPr>
                      <w:rFonts w:hint="default" w:ascii="Times New Roman" w:hAnsi="Times New Roman" w:cs="Times New Roman"/>
                    </w:rPr>
                    <w:t>废水</w:t>
                  </w:r>
                </w:p>
              </w:tc>
              <w:tc>
                <w:tcPr>
                  <w:tcW w:w="3402"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污水处理设备</w:t>
                  </w:r>
                </w:p>
              </w:tc>
              <w:tc>
                <w:tcPr>
                  <w:tcW w:w="1158"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依托已有设备，无需投资</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9" w:type="dxa"/>
                  <w:gridSpan w:val="2"/>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噪声</w:t>
                  </w:r>
                </w:p>
              </w:tc>
              <w:tc>
                <w:tcPr>
                  <w:tcW w:w="3402"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优选低噪声设备、基础减震、隔声等降噪措施</w:t>
                  </w:r>
                </w:p>
              </w:tc>
              <w:tc>
                <w:tcPr>
                  <w:tcW w:w="1158"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restart"/>
                  <w:tcBorders>
                    <w:tl2br w:val="nil"/>
                    <w:tr2bl w:val="nil"/>
                  </w:tcBorders>
                  <w:noWrap w:val="0"/>
                  <w:vAlign w:val="center"/>
                </w:tcPr>
                <w:p>
                  <w:pPr>
                    <w:topLinePunct/>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危险废物</w:t>
                  </w: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医疗废物</w:t>
                  </w:r>
                </w:p>
              </w:tc>
              <w:tc>
                <w:tcPr>
                  <w:tcW w:w="3402" w:type="dxa"/>
                  <w:vMerge w:val="restart"/>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与有资质单位签订处置协议</w:t>
                  </w:r>
                </w:p>
              </w:tc>
              <w:tc>
                <w:tcPr>
                  <w:tcW w:w="1158" w:type="dxa"/>
                  <w:vMerge w:val="restart"/>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w:t>
                  </w:r>
                </w:p>
              </w:tc>
              <w:tc>
                <w:tcPr>
                  <w:tcW w:w="1158" w:type="dxa"/>
                  <w:vMerge w:val="restart"/>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污水处理站污泥</w:t>
                  </w:r>
                </w:p>
              </w:tc>
              <w:tc>
                <w:tcPr>
                  <w:tcW w:w="3402"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废试剂瓶</w:t>
                  </w:r>
                </w:p>
              </w:tc>
              <w:tc>
                <w:tcPr>
                  <w:tcW w:w="3402"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废试剂</w:t>
                  </w:r>
                </w:p>
              </w:tc>
              <w:tc>
                <w:tcPr>
                  <w:tcW w:w="3402"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6"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lang w:val="en-US" w:eastAsia="zh-CN"/>
                    </w:rPr>
                    <w:t>废美沙酮桶</w:t>
                  </w:r>
                </w:p>
              </w:tc>
              <w:tc>
                <w:tcPr>
                  <w:tcW w:w="3402"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c>
                <w:tcPr>
                  <w:tcW w:w="1158" w:type="dxa"/>
                  <w:vMerge w:val="continue"/>
                  <w:tcBorders>
                    <w:tl2br w:val="nil"/>
                    <w:tr2bl w:val="nil"/>
                  </w:tcBorders>
                  <w:noWrap w:val="0"/>
                  <w:vAlign w:val="center"/>
                </w:tcPr>
                <w:p>
                  <w:pPr>
                    <w:topLinePunct/>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9" w:type="dxa"/>
                  <w:gridSpan w:val="2"/>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合计</w:t>
                  </w:r>
                </w:p>
              </w:tc>
              <w:tc>
                <w:tcPr>
                  <w:tcW w:w="3402"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rPr>
                    <w:t>/</w:t>
                  </w:r>
                </w:p>
              </w:tc>
              <w:tc>
                <w:tcPr>
                  <w:tcW w:w="1158" w:type="dxa"/>
                  <w:tcBorders>
                    <w:tl2br w:val="nil"/>
                    <w:tr2bl w:val="nil"/>
                  </w:tcBorders>
                  <w:noWrap w:val="0"/>
                  <w:vAlign w:val="center"/>
                </w:tcPr>
                <w:p>
                  <w:pPr>
                    <w:topLinePunct/>
                    <w:jc w:val="center"/>
                    <w:rPr>
                      <w:rFonts w:hint="default" w:ascii="Times New Roman" w:hAnsi="Times New Roman" w:cs="Times New Roman"/>
                    </w:rPr>
                  </w:pPr>
                  <w:r>
                    <w:rPr>
                      <w:rFonts w:hint="default" w:ascii="Times New Roman" w:hAnsi="Times New Roman" w:cs="Times New Roman"/>
                      <w:lang w:val="en-US" w:eastAsia="zh-CN"/>
                    </w:rPr>
                    <w:t>\</w:t>
                  </w:r>
                </w:p>
              </w:tc>
              <w:tc>
                <w:tcPr>
                  <w:tcW w:w="1158" w:type="dxa"/>
                  <w:tcBorders>
                    <w:tl2br w:val="nil"/>
                    <w:tr2bl w:val="nil"/>
                  </w:tcBorders>
                  <w:noWrap w:val="0"/>
                  <w:vAlign w:val="center"/>
                </w:tcPr>
                <w:p>
                  <w:pPr>
                    <w:topLinePunct/>
                    <w:jc w:val="center"/>
                    <w:rPr>
                      <w:rFonts w:hint="default" w:ascii="Times New Roman" w:hAnsi="Times New Roman" w:cs="Times New Roman"/>
                      <w:lang w:val="en-US" w:eastAsia="zh-CN"/>
                    </w:rPr>
                  </w:pPr>
                  <w:r>
                    <w:rPr>
                      <w:rFonts w:hint="default" w:ascii="Times New Roman" w:hAnsi="Times New Roman" w:cs="Times New Roman"/>
                      <w:lang w:val="en-US" w:eastAsia="zh-CN"/>
                    </w:rPr>
                    <w:t>11.8</w:t>
                  </w:r>
                </w:p>
              </w:tc>
            </w:tr>
          </w:tbl>
          <w:p>
            <w:pPr>
              <w:rPr>
                <w:rFonts w:hint="default" w:ascii="Times New Roman" w:hAnsi="Times New Roman" w:cs="Times New Roman"/>
                <w:lang w:val="en-US" w:eastAsia="zh-CN"/>
              </w:rPr>
            </w:pPr>
          </w:p>
        </w:tc>
      </w:tr>
    </w:tbl>
    <w:p>
      <w:pPr>
        <w:pStyle w:val="3"/>
        <w:bidi w:val="0"/>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6" w:name="_Toc84686388"/>
      <w:bookmarkStart w:id="17" w:name="_Toc25188"/>
    </w:p>
    <w:p>
      <w:pPr>
        <w:pStyle w:val="3"/>
        <w:bidi w:val="0"/>
      </w:pPr>
      <w:r>
        <w:rPr>
          <w:rFonts w:hint="eastAsia"/>
        </w:rPr>
        <w:t>五、</w:t>
      </w:r>
      <w:bookmarkStart w:id="18" w:name="_Hlk54167917"/>
      <w:r>
        <w:rPr>
          <w:rFonts w:hint="eastAsia"/>
        </w:rPr>
        <w:t>环境保护措施监督检查清单</w:t>
      </w:r>
      <w:bookmarkEnd w:id="16"/>
      <w:bookmarkEnd w:id="17"/>
      <w:bookmarkEnd w:id="18"/>
    </w:p>
    <w:tbl>
      <w:tblPr>
        <w:tblStyle w:val="16"/>
        <w:tblW w:w="88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082"/>
        <w:gridCol w:w="673"/>
        <w:gridCol w:w="1531"/>
        <w:gridCol w:w="1738"/>
        <w:gridCol w:w="2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nil"/>
              <w:tr2bl w:val="nil"/>
            </w:tcBorders>
            <w:noWrap w:val="0"/>
            <w:vAlign w:val="center"/>
          </w:tcPr>
          <w:p>
            <w:pPr>
              <w:adjustRightInd w:val="0"/>
              <w:snapToGrid w:val="0"/>
              <w:ind w:firstLine="840"/>
              <w:jc w:val="center"/>
              <w:rPr>
                <w:szCs w:val="21"/>
              </w:rPr>
            </w:pPr>
            <w:r>
              <w:rPr>
                <w:szCs w:val="21"/>
              </w:rPr>
              <w:t>内容</w:t>
            </w:r>
          </w:p>
          <w:p>
            <w:pPr>
              <w:adjustRightInd w:val="0"/>
              <w:snapToGrid w:val="0"/>
              <w:jc w:val="center"/>
              <w:rPr>
                <w:szCs w:val="21"/>
              </w:rPr>
            </w:pPr>
            <w:r>
              <w:rPr>
                <w:szCs w:val="21"/>
              </w:rPr>
              <w:t>要素</w:t>
            </w:r>
          </w:p>
        </w:tc>
        <w:tc>
          <w:tcPr>
            <w:tcW w:w="1755" w:type="dxa"/>
            <w:gridSpan w:val="2"/>
            <w:tcBorders>
              <w:tl2br w:val="nil"/>
              <w:tr2bl w:val="nil"/>
            </w:tcBorders>
            <w:noWrap w:val="0"/>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531" w:type="dxa"/>
            <w:tcBorders>
              <w:tl2br w:val="nil"/>
              <w:tr2bl w:val="nil"/>
            </w:tcBorders>
            <w:noWrap w:val="0"/>
            <w:vAlign w:val="center"/>
          </w:tcPr>
          <w:p>
            <w:pPr>
              <w:adjustRightInd w:val="0"/>
              <w:snapToGrid w:val="0"/>
              <w:jc w:val="center"/>
              <w:rPr>
                <w:szCs w:val="21"/>
              </w:rPr>
            </w:pPr>
            <w:r>
              <w:rPr>
                <w:szCs w:val="21"/>
              </w:rPr>
              <w:t>污染物项目</w:t>
            </w:r>
          </w:p>
        </w:tc>
        <w:tc>
          <w:tcPr>
            <w:tcW w:w="1738" w:type="dxa"/>
            <w:tcBorders>
              <w:tl2br w:val="nil"/>
              <w:tr2bl w:val="nil"/>
            </w:tcBorders>
            <w:noWrap w:val="0"/>
            <w:vAlign w:val="center"/>
          </w:tcPr>
          <w:p>
            <w:pPr>
              <w:adjustRightInd w:val="0"/>
              <w:snapToGrid w:val="0"/>
              <w:jc w:val="center"/>
              <w:rPr>
                <w:szCs w:val="21"/>
              </w:rPr>
            </w:pPr>
            <w:r>
              <w:rPr>
                <w:szCs w:val="21"/>
              </w:rPr>
              <w:t>环境保护措施</w:t>
            </w:r>
          </w:p>
        </w:tc>
        <w:tc>
          <w:tcPr>
            <w:tcW w:w="2082" w:type="dxa"/>
            <w:tcBorders>
              <w:tl2br w:val="nil"/>
              <w:tr2bl w:val="nil"/>
            </w:tcBorders>
            <w:noWrap w:val="0"/>
            <w:vAlign w:val="center"/>
          </w:tcPr>
          <w:p>
            <w:pPr>
              <w:adjustRightInd w:val="0"/>
              <w:snapToGrid w:val="0"/>
              <w:jc w:val="center"/>
              <w:rPr>
                <w:szCs w:val="21"/>
              </w:rPr>
            </w:pPr>
            <w:r>
              <w:rPr>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tcBorders>
              <w:tl2br w:val="nil"/>
              <w:tr2bl w:val="nil"/>
            </w:tcBorders>
            <w:noWrap w:val="0"/>
            <w:vAlign w:val="center"/>
          </w:tcPr>
          <w:p>
            <w:pPr>
              <w:adjustRightInd w:val="0"/>
              <w:snapToGrid w:val="0"/>
              <w:jc w:val="center"/>
              <w:rPr>
                <w:szCs w:val="21"/>
              </w:rPr>
            </w:pPr>
            <w:r>
              <w:rPr>
                <w:szCs w:val="21"/>
              </w:rPr>
              <w:t>大气环境</w:t>
            </w:r>
          </w:p>
        </w:tc>
        <w:tc>
          <w:tcPr>
            <w:tcW w:w="1755" w:type="dxa"/>
            <w:gridSpan w:val="2"/>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lang w:val="en-US" w:eastAsia="zh-CN"/>
              </w:rPr>
              <w:t>实验室废气排气口（DA001）</w:t>
            </w:r>
          </w:p>
        </w:tc>
        <w:tc>
          <w:tcPr>
            <w:tcW w:w="1531" w:type="dxa"/>
            <w:tcBorders>
              <w:tl2br w:val="nil"/>
              <w:tr2bl w:val="nil"/>
            </w:tcBorders>
            <w:noWrap w:val="0"/>
            <w:vAlign w:val="center"/>
          </w:tcPr>
          <w:p>
            <w:pPr>
              <w:adjustRightInd w:val="0"/>
              <w:snapToGrid w:val="0"/>
              <w:jc w:val="center"/>
              <w:rPr>
                <w:rFonts w:hint="default" w:eastAsia="宋体"/>
                <w:szCs w:val="21"/>
                <w:vertAlign w:val="baseline"/>
                <w:lang w:val="en-US" w:eastAsia="zh-CN"/>
              </w:rPr>
            </w:pPr>
            <w:r>
              <w:rPr>
                <w:rFonts w:hint="eastAsia"/>
                <w:szCs w:val="21"/>
                <w:lang w:val="en-US" w:eastAsia="zh-CN"/>
              </w:rPr>
              <w:t>NO</w:t>
            </w:r>
            <w:r>
              <w:rPr>
                <w:rFonts w:hint="eastAsia"/>
                <w:szCs w:val="21"/>
                <w:vertAlign w:val="subscript"/>
                <w:lang w:val="en-US" w:eastAsia="zh-CN"/>
              </w:rPr>
              <w:t>x</w:t>
            </w:r>
          </w:p>
        </w:tc>
        <w:tc>
          <w:tcPr>
            <w:tcW w:w="1738" w:type="dxa"/>
            <w:tcBorders>
              <w:tl2br w:val="nil"/>
              <w:tr2bl w:val="nil"/>
            </w:tcBorders>
            <w:noWrap w:val="0"/>
            <w:vAlign w:val="center"/>
          </w:tcPr>
          <w:p>
            <w:pPr>
              <w:adjustRightInd w:val="0"/>
              <w:snapToGrid w:val="0"/>
              <w:jc w:val="center"/>
              <w:rPr>
                <w:rFonts w:hint="default" w:eastAsia="宋体"/>
                <w:szCs w:val="21"/>
                <w:highlight w:val="yellow"/>
                <w:lang w:val="en-US" w:eastAsia="zh-CN"/>
              </w:rPr>
            </w:pPr>
            <w:r>
              <w:rPr>
                <w:rFonts w:hint="eastAsia"/>
                <w:szCs w:val="21"/>
                <w:highlight w:val="none"/>
                <w:lang w:val="en-US" w:eastAsia="zh-CN"/>
              </w:rPr>
              <w:t>由风机抽至屋顶由15m排气口排放</w:t>
            </w:r>
          </w:p>
        </w:tc>
        <w:tc>
          <w:tcPr>
            <w:tcW w:w="2082" w:type="dxa"/>
            <w:vMerge w:val="restart"/>
            <w:tcBorders>
              <w:tl2br w:val="nil"/>
              <w:tr2bl w:val="nil"/>
            </w:tcBorders>
            <w:noWrap w:val="0"/>
            <w:vAlign w:val="center"/>
          </w:tcPr>
          <w:p>
            <w:pPr>
              <w:adjustRightInd w:val="0"/>
              <w:snapToGrid w:val="0"/>
              <w:jc w:val="center"/>
              <w:rPr>
                <w:rFonts w:hint="eastAsia"/>
                <w:szCs w:val="21"/>
                <w:highlight w:val="yellow"/>
              </w:rPr>
            </w:pPr>
            <w:r>
              <w:rPr>
                <w:rFonts w:hint="eastAsia"/>
                <w:kern w:val="0"/>
                <w:sz w:val="24"/>
                <w:u w:val="none"/>
                <w:lang w:val="en-US" w:eastAsia="zh-CN"/>
              </w:rPr>
              <w:t>《</w:t>
            </w:r>
            <w:r>
              <w:rPr>
                <w:rFonts w:hint="eastAsia"/>
                <w:szCs w:val="21"/>
                <w:highlight w:val="none"/>
                <w:lang w:val="en-US" w:eastAsia="zh-CN"/>
              </w:rPr>
              <w:t>大气污染物综合排放标准》（</w:t>
            </w:r>
            <w:r>
              <w:rPr>
                <w:rFonts w:hint="default"/>
                <w:szCs w:val="21"/>
                <w:highlight w:val="none"/>
                <w:lang w:val="en-US" w:eastAsia="zh-CN"/>
              </w:rPr>
              <w:t>GB16297-1996</w:t>
            </w:r>
            <w:r>
              <w:rPr>
                <w:rFonts w:hint="eastAsia"/>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tcBorders>
              <w:tl2br w:val="nil"/>
              <w:tr2bl w:val="nil"/>
            </w:tcBorders>
            <w:noWrap w:val="0"/>
            <w:vAlign w:val="center"/>
          </w:tcPr>
          <w:p>
            <w:pPr>
              <w:adjustRightInd w:val="0"/>
              <w:snapToGrid w:val="0"/>
              <w:jc w:val="center"/>
              <w:rPr>
                <w:szCs w:val="21"/>
              </w:rPr>
            </w:pPr>
          </w:p>
        </w:tc>
        <w:tc>
          <w:tcPr>
            <w:tcW w:w="1755" w:type="dxa"/>
            <w:gridSpan w:val="2"/>
            <w:tcBorders>
              <w:tl2br w:val="nil"/>
              <w:tr2bl w:val="nil"/>
            </w:tcBorders>
            <w:noWrap w:val="0"/>
            <w:vAlign w:val="center"/>
          </w:tcPr>
          <w:p>
            <w:pPr>
              <w:adjustRightInd w:val="0"/>
              <w:snapToGrid w:val="0"/>
              <w:jc w:val="center"/>
              <w:rPr>
                <w:rFonts w:hint="default"/>
                <w:szCs w:val="21"/>
                <w:lang w:val="en-US" w:eastAsia="zh-CN"/>
              </w:rPr>
            </w:pPr>
            <w:r>
              <w:rPr>
                <w:rFonts w:hint="eastAsia"/>
                <w:szCs w:val="21"/>
                <w:lang w:val="en-US" w:eastAsia="zh-CN"/>
              </w:rPr>
              <w:t>实验室无组织废气</w:t>
            </w:r>
          </w:p>
        </w:tc>
        <w:tc>
          <w:tcPr>
            <w:tcW w:w="1531" w:type="dxa"/>
            <w:tcBorders>
              <w:tl2br w:val="nil"/>
              <w:tr2bl w:val="nil"/>
            </w:tcBorders>
            <w:noWrap w:val="0"/>
            <w:vAlign w:val="center"/>
          </w:tcPr>
          <w:p>
            <w:pPr>
              <w:jc w:val="center"/>
              <w:rPr>
                <w:rFonts w:hint="eastAsia"/>
                <w:lang w:val="en-US" w:eastAsia="zh-CN"/>
              </w:rPr>
            </w:pPr>
            <w:r>
              <w:rPr>
                <w:rFonts w:hint="eastAsia"/>
                <w:lang w:val="en-US" w:eastAsia="zh-CN"/>
              </w:rPr>
              <w:t>硫酸雾、磷酸雾、硝酸雾(NO</w:t>
            </w:r>
            <w:r>
              <w:rPr>
                <w:rFonts w:hint="eastAsia"/>
                <w:vertAlign w:val="subscript"/>
                <w:lang w:val="en-US" w:eastAsia="zh-CN"/>
              </w:rPr>
              <w:t>x)</w:t>
            </w:r>
            <w:r>
              <w:rPr>
                <w:rFonts w:hint="eastAsia"/>
                <w:lang w:val="en-US" w:eastAsia="zh-CN"/>
              </w:rPr>
              <w:t>、盐酸雾（HCl）、三氯甲烷</w:t>
            </w:r>
          </w:p>
        </w:tc>
        <w:tc>
          <w:tcPr>
            <w:tcW w:w="1738" w:type="dxa"/>
            <w:tcBorders>
              <w:tl2br w:val="nil"/>
              <w:tr2bl w:val="nil"/>
            </w:tcBorders>
            <w:noWrap w:val="0"/>
            <w:vAlign w:val="center"/>
          </w:tcPr>
          <w:p>
            <w:pPr>
              <w:adjustRightInd w:val="0"/>
              <w:snapToGrid w:val="0"/>
              <w:jc w:val="center"/>
              <w:rPr>
                <w:rFonts w:hint="default"/>
                <w:szCs w:val="21"/>
                <w:highlight w:val="none"/>
                <w:lang w:val="en-US" w:eastAsia="zh-CN"/>
              </w:rPr>
            </w:pPr>
            <w:r>
              <w:rPr>
                <w:rFonts w:hint="eastAsia"/>
                <w:szCs w:val="21"/>
                <w:highlight w:val="none"/>
                <w:lang w:val="en-US" w:eastAsia="zh-CN"/>
              </w:rPr>
              <w:t>加强通风</w:t>
            </w:r>
          </w:p>
        </w:tc>
        <w:tc>
          <w:tcPr>
            <w:tcW w:w="2082" w:type="dxa"/>
            <w:vMerge w:val="continue"/>
            <w:tcBorders>
              <w:tl2br w:val="nil"/>
              <w:tr2bl w:val="nil"/>
            </w:tcBorders>
            <w:noWrap w:val="0"/>
            <w:vAlign w:val="center"/>
          </w:tcPr>
          <w:p>
            <w:pPr>
              <w:adjustRightInd w:val="0"/>
              <w:snapToGrid w:val="0"/>
              <w:jc w:val="center"/>
              <w:rPr>
                <w:rFonts w:hint="eastAsia"/>
                <w:kern w:val="0"/>
                <w:sz w:val="24"/>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tcBorders>
              <w:tl2br w:val="nil"/>
              <w:tr2bl w:val="nil"/>
            </w:tcBorders>
            <w:noWrap w:val="0"/>
            <w:vAlign w:val="center"/>
          </w:tcPr>
          <w:p>
            <w:pPr>
              <w:adjustRightInd w:val="0"/>
              <w:snapToGrid w:val="0"/>
              <w:jc w:val="center"/>
              <w:rPr>
                <w:szCs w:val="21"/>
              </w:rPr>
            </w:pPr>
          </w:p>
        </w:tc>
        <w:tc>
          <w:tcPr>
            <w:tcW w:w="1755" w:type="dxa"/>
            <w:gridSpan w:val="2"/>
            <w:tcBorders>
              <w:tl2br w:val="nil"/>
              <w:tr2bl w:val="nil"/>
            </w:tcBorders>
            <w:noWrap w:val="0"/>
            <w:vAlign w:val="center"/>
          </w:tcPr>
          <w:p>
            <w:pPr>
              <w:adjustRightInd w:val="0"/>
              <w:snapToGrid w:val="0"/>
              <w:jc w:val="center"/>
              <w:rPr>
                <w:rFonts w:hint="default"/>
                <w:szCs w:val="21"/>
                <w:lang w:val="en-US" w:eastAsia="zh-CN"/>
              </w:rPr>
            </w:pPr>
            <w:r>
              <w:rPr>
                <w:rFonts w:hint="eastAsia"/>
                <w:szCs w:val="21"/>
                <w:lang w:val="en-US" w:eastAsia="zh-CN"/>
              </w:rPr>
              <w:t>微生物实验废气</w:t>
            </w:r>
          </w:p>
        </w:tc>
        <w:tc>
          <w:tcPr>
            <w:tcW w:w="1531" w:type="dxa"/>
            <w:tcBorders>
              <w:tl2br w:val="nil"/>
              <w:tr2bl w:val="nil"/>
            </w:tcBorders>
            <w:noWrap w:val="0"/>
            <w:vAlign w:val="center"/>
          </w:tcPr>
          <w:p>
            <w:pPr>
              <w:adjustRightInd w:val="0"/>
              <w:snapToGrid w:val="0"/>
              <w:jc w:val="center"/>
              <w:rPr>
                <w:rFonts w:hint="default"/>
                <w:szCs w:val="21"/>
                <w:lang w:val="en-US" w:eastAsia="zh-CN"/>
              </w:rPr>
            </w:pPr>
            <w:r>
              <w:rPr>
                <w:rFonts w:hint="eastAsia"/>
                <w:szCs w:val="21"/>
                <w:lang w:val="en-US" w:eastAsia="zh-CN"/>
              </w:rPr>
              <w:t>含致病微生物废气</w:t>
            </w:r>
          </w:p>
        </w:tc>
        <w:tc>
          <w:tcPr>
            <w:tcW w:w="1738" w:type="dxa"/>
            <w:tcBorders>
              <w:tl2br w:val="nil"/>
              <w:tr2bl w:val="nil"/>
            </w:tcBorders>
            <w:noWrap w:val="0"/>
            <w:vAlign w:val="center"/>
          </w:tcPr>
          <w:p>
            <w:pPr>
              <w:adjustRightInd w:val="0"/>
              <w:snapToGrid w:val="0"/>
              <w:jc w:val="center"/>
              <w:rPr>
                <w:rFonts w:hint="default"/>
                <w:szCs w:val="21"/>
                <w:highlight w:val="none"/>
                <w:lang w:val="en-US" w:eastAsia="zh-CN"/>
              </w:rPr>
            </w:pPr>
            <w:r>
              <w:rPr>
                <w:rFonts w:hint="eastAsia"/>
                <w:szCs w:val="21"/>
                <w:highlight w:val="none"/>
                <w:lang w:val="en-US" w:eastAsia="zh-CN"/>
              </w:rPr>
              <w:t>生物安全柜</w:t>
            </w:r>
          </w:p>
        </w:tc>
        <w:tc>
          <w:tcPr>
            <w:tcW w:w="2082" w:type="dxa"/>
            <w:tcBorders>
              <w:tl2br w:val="nil"/>
              <w:tr2bl w:val="nil"/>
            </w:tcBorders>
            <w:noWrap w:val="0"/>
            <w:vAlign w:val="center"/>
          </w:tcPr>
          <w:p>
            <w:pPr>
              <w:adjustRightInd w:val="0"/>
              <w:snapToGrid w:val="0"/>
              <w:jc w:val="center"/>
              <w:rPr>
                <w:rFonts w:hint="default"/>
                <w:kern w:val="0"/>
                <w:sz w:val="24"/>
                <w:u w:val="none"/>
                <w:lang w:val="en-US" w:eastAsia="zh-CN"/>
              </w:rPr>
            </w:pPr>
            <w:r>
              <w:rPr>
                <w:rFonts w:hint="eastAsia"/>
                <w:kern w:val="0"/>
                <w:sz w:val="24"/>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tcBorders>
              <w:tl2br w:val="nil"/>
              <w:tr2bl w:val="nil"/>
            </w:tcBorders>
            <w:noWrap w:val="0"/>
            <w:vAlign w:val="center"/>
          </w:tcPr>
          <w:p>
            <w:pPr>
              <w:adjustRightInd w:val="0"/>
              <w:snapToGrid w:val="0"/>
              <w:jc w:val="center"/>
              <w:rPr>
                <w:szCs w:val="21"/>
              </w:rPr>
            </w:pPr>
          </w:p>
        </w:tc>
        <w:tc>
          <w:tcPr>
            <w:tcW w:w="1755" w:type="dxa"/>
            <w:gridSpan w:val="2"/>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lang w:val="en-US" w:eastAsia="zh-CN"/>
              </w:rPr>
              <w:t>污水处理站恶臭气体</w:t>
            </w:r>
          </w:p>
        </w:tc>
        <w:tc>
          <w:tcPr>
            <w:tcW w:w="1531" w:type="dxa"/>
            <w:tcBorders>
              <w:tl2br w:val="nil"/>
              <w:tr2bl w:val="nil"/>
            </w:tcBorders>
            <w:noWrap w:val="0"/>
            <w:vAlign w:val="center"/>
          </w:tcPr>
          <w:p>
            <w:pPr>
              <w:adjustRightInd w:val="0"/>
              <w:snapToGrid w:val="0"/>
              <w:jc w:val="center"/>
              <w:rPr>
                <w:rFonts w:hint="default"/>
                <w:kern w:val="21"/>
                <w:szCs w:val="21"/>
                <w:lang w:val="en-US" w:bidi="ar"/>
              </w:rPr>
            </w:pPr>
            <w:r>
              <w:rPr>
                <w:rFonts w:hint="eastAsia"/>
                <w:szCs w:val="21"/>
                <w:lang w:val="en-US" w:eastAsia="zh-CN"/>
              </w:rPr>
              <w:t>氨、硫化氢、臭气浓度、氯气、甲烷</w:t>
            </w:r>
          </w:p>
        </w:tc>
        <w:tc>
          <w:tcPr>
            <w:tcW w:w="1738" w:type="dxa"/>
            <w:tcBorders>
              <w:tl2br w:val="nil"/>
              <w:tr2bl w:val="nil"/>
            </w:tcBorders>
            <w:noWrap w:val="0"/>
            <w:vAlign w:val="center"/>
          </w:tcPr>
          <w:p>
            <w:pPr>
              <w:adjustRightInd w:val="0"/>
              <w:snapToGrid w:val="0"/>
              <w:jc w:val="center"/>
              <w:rPr>
                <w:rFonts w:hint="default" w:eastAsia="宋体"/>
                <w:szCs w:val="21"/>
                <w:lang w:val="en-US" w:eastAsia="zh-CN" w:bidi="ar"/>
              </w:rPr>
            </w:pPr>
            <w:r>
              <w:rPr>
                <w:rFonts w:hint="eastAsia"/>
                <w:szCs w:val="21"/>
                <w:lang w:val="en-US" w:eastAsia="zh-CN" w:bidi="ar"/>
              </w:rPr>
              <w:t>加强密封、厂区绿化</w:t>
            </w:r>
          </w:p>
        </w:tc>
        <w:tc>
          <w:tcPr>
            <w:tcW w:w="2082" w:type="dxa"/>
            <w:tcBorders>
              <w:tl2br w:val="nil"/>
              <w:tr2bl w:val="nil"/>
            </w:tcBorders>
            <w:noWrap w:val="0"/>
            <w:vAlign w:val="center"/>
          </w:tcPr>
          <w:p>
            <w:pPr>
              <w:adjustRightInd w:val="0"/>
              <w:snapToGrid w:val="0"/>
              <w:jc w:val="center"/>
              <w:rPr>
                <w:rFonts w:hint="eastAsia"/>
                <w:szCs w:val="21"/>
                <w:lang w:bidi="ar"/>
              </w:rPr>
            </w:pPr>
            <w:r>
              <w:rPr>
                <w:rFonts w:hint="eastAsia"/>
                <w:szCs w:val="21"/>
                <w:lang w:val="en-US" w:eastAsia="zh-CN" w:bidi="ar"/>
              </w:rPr>
              <w:t>《医疗机构水污染物排放标准》（GB18466—2005）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tcBorders>
              <w:tl2br w:val="nil"/>
              <w:tr2bl w:val="nil"/>
            </w:tcBorders>
            <w:noWrap w:val="0"/>
            <w:vAlign w:val="center"/>
          </w:tcPr>
          <w:p>
            <w:pPr>
              <w:adjustRightInd w:val="0"/>
              <w:snapToGrid w:val="0"/>
              <w:jc w:val="center"/>
              <w:rPr>
                <w:szCs w:val="21"/>
              </w:rPr>
            </w:pPr>
          </w:p>
        </w:tc>
        <w:tc>
          <w:tcPr>
            <w:tcW w:w="1755" w:type="dxa"/>
            <w:gridSpan w:val="2"/>
            <w:tcBorders>
              <w:tl2br w:val="nil"/>
              <w:tr2bl w:val="nil"/>
            </w:tcBorders>
            <w:noWrap w:val="0"/>
            <w:vAlign w:val="center"/>
          </w:tcPr>
          <w:p>
            <w:pPr>
              <w:suppressAutoHyphens/>
              <w:topLinePunct/>
              <w:jc w:val="center"/>
              <w:rPr>
                <w:rFonts w:hint="default" w:eastAsia="宋体"/>
                <w:szCs w:val="21"/>
                <w:lang w:val="en-US" w:eastAsia="zh-CN"/>
              </w:rPr>
            </w:pPr>
            <w:r>
              <w:rPr>
                <w:rFonts w:hint="eastAsia"/>
                <w:szCs w:val="21"/>
                <w:lang w:val="en-US" w:eastAsia="zh-CN"/>
              </w:rPr>
              <w:t>厨房油烟</w:t>
            </w:r>
          </w:p>
        </w:tc>
        <w:tc>
          <w:tcPr>
            <w:tcW w:w="1531" w:type="dxa"/>
            <w:tcBorders>
              <w:tl2br w:val="nil"/>
              <w:tr2bl w:val="nil"/>
            </w:tcBorders>
            <w:noWrap w:val="0"/>
            <w:vAlign w:val="center"/>
          </w:tcPr>
          <w:p>
            <w:pPr>
              <w:suppressAutoHyphens/>
              <w:topLinePunct/>
              <w:jc w:val="center"/>
              <w:rPr>
                <w:rFonts w:hint="eastAsia" w:eastAsia="宋体"/>
                <w:szCs w:val="21"/>
                <w:lang w:val="en-US" w:eastAsia="zh-CN"/>
              </w:rPr>
            </w:pPr>
            <w:r>
              <w:rPr>
                <w:rFonts w:hint="eastAsia"/>
                <w:szCs w:val="21"/>
                <w:lang w:val="en-US" w:eastAsia="zh-CN"/>
              </w:rPr>
              <w:t>油烟</w:t>
            </w:r>
          </w:p>
        </w:tc>
        <w:tc>
          <w:tcPr>
            <w:tcW w:w="1738" w:type="dxa"/>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lang w:val="en-US" w:eastAsia="zh-CN"/>
              </w:rPr>
              <w:t>加强通风、厂区绿化</w:t>
            </w:r>
          </w:p>
        </w:tc>
        <w:tc>
          <w:tcPr>
            <w:tcW w:w="2082" w:type="dxa"/>
            <w:tcBorders>
              <w:tl2br w:val="nil"/>
              <w:tr2bl w:val="nil"/>
            </w:tcBorders>
            <w:noWrap w:val="0"/>
            <w:vAlign w:val="center"/>
          </w:tcPr>
          <w:p>
            <w:pPr>
              <w:adjustRightInd w:val="0"/>
              <w:snapToGrid w:val="0"/>
              <w:jc w:val="center"/>
              <w:rPr>
                <w:rFonts w:hint="eastAsia" w:eastAsia="宋体"/>
                <w:szCs w:val="21"/>
                <w:lang w:val="en-US" w:eastAsia="zh-CN"/>
              </w:rPr>
            </w:pPr>
            <w:r>
              <w:rPr>
                <w:rFonts w:hint="eastAsia"/>
                <w:szCs w:val="21"/>
                <w:lang w:val="en-US" w:eastAsia="zh-CN"/>
              </w:rPr>
              <w:t>参</w:t>
            </w:r>
            <w:r>
              <w:rPr>
                <w:rFonts w:hint="eastAsia"/>
                <w:szCs w:val="21"/>
                <w:lang w:val="en-US" w:eastAsia="zh-CN" w:bidi="ar"/>
              </w:rPr>
              <w:t>照执行《饮食业油烟排放标准（试行）》（GB18483-2001）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tcBorders>
              <w:tl2br w:val="nil"/>
              <w:tr2bl w:val="nil"/>
            </w:tcBorders>
            <w:noWrap w:val="0"/>
            <w:vAlign w:val="center"/>
          </w:tcPr>
          <w:p>
            <w:pPr>
              <w:adjustRightInd w:val="0"/>
              <w:snapToGrid w:val="0"/>
              <w:jc w:val="center"/>
              <w:rPr>
                <w:szCs w:val="21"/>
              </w:rPr>
            </w:pPr>
            <w:r>
              <w:rPr>
                <w:szCs w:val="21"/>
              </w:rPr>
              <w:t>地表水环境</w:t>
            </w:r>
          </w:p>
        </w:tc>
        <w:tc>
          <w:tcPr>
            <w:tcW w:w="1755" w:type="dxa"/>
            <w:gridSpan w:val="2"/>
            <w:tcBorders>
              <w:tl2br w:val="nil"/>
              <w:tr2bl w:val="nil"/>
            </w:tcBorders>
            <w:noWrap w:val="0"/>
            <w:vAlign w:val="center"/>
          </w:tcPr>
          <w:p>
            <w:pPr>
              <w:suppressAutoHyphens/>
              <w:topLinePunct/>
              <w:jc w:val="center"/>
              <w:rPr>
                <w:rFonts w:hint="eastAsia"/>
                <w:szCs w:val="21"/>
              </w:rPr>
            </w:pPr>
            <w:r>
              <w:rPr>
                <w:szCs w:val="21"/>
                <w:lang w:bidi="ar"/>
              </w:rPr>
              <w:t>员工生活污水</w:t>
            </w:r>
          </w:p>
        </w:tc>
        <w:tc>
          <w:tcPr>
            <w:tcW w:w="1531" w:type="dxa"/>
            <w:tcBorders>
              <w:tl2br w:val="nil"/>
              <w:tr2bl w:val="nil"/>
            </w:tcBorders>
            <w:noWrap w:val="0"/>
            <w:vAlign w:val="center"/>
          </w:tcPr>
          <w:p>
            <w:pPr>
              <w:suppressAutoHyphens/>
              <w:topLinePunct/>
              <w:jc w:val="center"/>
              <w:rPr>
                <w:szCs w:val="21"/>
              </w:rPr>
            </w:pPr>
            <w:r>
              <w:rPr>
                <w:rFonts w:hint="eastAsia"/>
                <w:kern w:val="0"/>
                <w:szCs w:val="21"/>
                <w:lang w:bidi="ar"/>
              </w:rPr>
              <w:t>pH、</w:t>
            </w:r>
            <w:r>
              <w:rPr>
                <w:kern w:val="0"/>
                <w:szCs w:val="21"/>
                <w:lang w:bidi="ar"/>
              </w:rPr>
              <w:t>COD、BOD</w:t>
            </w:r>
            <w:r>
              <w:rPr>
                <w:kern w:val="0"/>
                <w:szCs w:val="21"/>
                <w:vertAlign w:val="subscript"/>
                <w:lang w:bidi="ar"/>
              </w:rPr>
              <w:t>5</w:t>
            </w:r>
            <w:r>
              <w:rPr>
                <w:kern w:val="0"/>
                <w:szCs w:val="21"/>
                <w:lang w:bidi="ar"/>
              </w:rPr>
              <w:t>、SS、氨氮等</w:t>
            </w:r>
          </w:p>
        </w:tc>
        <w:tc>
          <w:tcPr>
            <w:tcW w:w="1738" w:type="dxa"/>
            <w:tcBorders>
              <w:tl2br w:val="nil"/>
              <w:tr2bl w:val="nil"/>
            </w:tcBorders>
            <w:noWrap w:val="0"/>
            <w:vAlign w:val="center"/>
          </w:tcPr>
          <w:p>
            <w:pPr>
              <w:suppressAutoHyphens/>
              <w:topLinePunct/>
              <w:jc w:val="center"/>
              <w:rPr>
                <w:rFonts w:hint="default" w:eastAsia="宋体"/>
                <w:szCs w:val="21"/>
                <w:lang w:val="en-US" w:eastAsia="zh-CN"/>
              </w:rPr>
            </w:pPr>
            <w:r>
              <w:rPr>
                <w:rFonts w:hint="eastAsia"/>
                <w:szCs w:val="21"/>
                <w:lang w:val="en-US" w:eastAsia="zh-CN"/>
              </w:rPr>
              <w:t>经化粪池预处理后由清粪车转运至县城污水处理厂</w:t>
            </w:r>
          </w:p>
        </w:tc>
        <w:tc>
          <w:tcPr>
            <w:tcW w:w="2082" w:type="dxa"/>
            <w:tcBorders>
              <w:tl2br w:val="nil"/>
              <w:tr2bl w:val="nil"/>
            </w:tcBorders>
            <w:noWrap w:val="0"/>
            <w:vAlign w:val="center"/>
          </w:tcPr>
          <w:p>
            <w:pPr>
              <w:suppressAutoHyphens/>
              <w:topLinePunct/>
              <w:jc w:val="center"/>
              <w:rPr>
                <w:rFonts w:hint="eastAsia" w:eastAsia="宋体"/>
                <w:szCs w:val="21"/>
                <w:lang w:val="en-US" w:eastAsia="zh-CN"/>
              </w:rPr>
            </w:pPr>
            <w:r>
              <w:rPr>
                <w:rFonts w:hint="eastAsia"/>
                <w:szCs w:val="21"/>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1778" w:type="dxa"/>
            <w:vMerge w:val="continue"/>
            <w:tcBorders>
              <w:tl2br w:val="nil"/>
              <w:tr2bl w:val="nil"/>
            </w:tcBorders>
            <w:noWrap w:val="0"/>
            <w:vAlign w:val="center"/>
          </w:tcPr>
          <w:p>
            <w:pPr>
              <w:adjustRightInd w:val="0"/>
              <w:snapToGrid w:val="0"/>
              <w:jc w:val="center"/>
              <w:rPr>
                <w:szCs w:val="21"/>
              </w:rPr>
            </w:pPr>
          </w:p>
        </w:tc>
        <w:tc>
          <w:tcPr>
            <w:tcW w:w="1755" w:type="dxa"/>
            <w:gridSpan w:val="2"/>
            <w:tcBorders>
              <w:tl2br w:val="nil"/>
              <w:tr2bl w:val="nil"/>
            </w:tcBorders>
            <w:noWrap w:val="0"/>
            <w:vAlign w:val="center"/>
          </w:tcPr>
          <w:p>
            <w:pPr>
              <w:suppressAutoHyphens/>
              <w:topLinePunct/>
              <w:jc w:val="center"/>
              <w:rPr>
                <w:rFonts w:hint="default" w:eastAsia="宋体"/>
                <w:szCs w:val="21"/>
                <w:lang w:val="en-US" w:eastAsia="zh-CN" w:bidi="ar"/>
              </w:rPr>
            </w:pPr>
            <w:r>
              <w:rPr>
                <w:rFonts w:hint="eastAsia"/>
                <w:szCs w:val="21"/>
                <w:lang w:val="en-US" w:eastAsia="zh-CN" w:bidi="ar"/>
              </w:rPr>
              <w:t>实验室废水</w:t>
            </w:r>
          </w:p>
        </w:tc>
        <w:tc>
          <w:tcPr>
            <w:tcW w:w="1531" w:type="dxa"/>
            <w:tcBorders>
              <w:tl2br w:val="nil"/>
              <w:tr2bl w:val="nil"/>
            </w:tcBorders>
            <w:noWrap w:val="0"/>
            <w:vAlign w:val="center"/>
          </w:tcPr>
          <w:p>
            <w:pPr>
              <w:suppressAutoHyphens/>
              <w:topLinePunct/>
              <w:jc w:val="center"/>
              <w:rPr>
                <w:rFonts w:hint="default" w:eastAsia="宋体"/>
                <w:kern w:val="0"/>
                <w:szCs w:val="21"/>
                <w:lang w:val="en-US" w:eastAsia="zh-CN" w:bidi="ar"/>
              </w:rPr>
            </w:pPr>
            <w:r>
              <w:rPr>
                <w:rFonts w:hint="eastAsia"/>
                <w:kern w:val="0"/>
                <w:szCs w:val="21"/>
                <w:lang w:bidi="ar"/>
              </w:rPr>
              <w:t>pH、</w:t>
            </w:r>
            <w:r>
              <w:rPr>
                <w:kern w:val="0"/>
                <w:szCs w:val="21"/>
                <w:lang w:bidi="ar"/>
              </w:rPr>
              <w:t>COD、BOD</w:t>
            </w:r>
            <w:r>
              <w:rPr>
                <w:kern w:val="0"/>
                <w:szCs w:val="21"/>
                <w:vertAlign w:val="subscript"/>
                <w:lang w:bidi="ar"/>
              </w:rPr>
              <w:t>5</w:t>
            </w:r>
            <w:r>
              <w:rPr>
                <w:kern w:val="0"/>
                <w:szCs w:val="21"/>
                <w:lang w:bidi="ar"/>
              </w:rPr>
              <w:t>、SS、氨氮</w:t>
            </w:r>
            <w:r>
              <w:rPr>
                <w:rFonts w:hint="eastAsia"/>
                <w:kern w:val="0"/>
                <w:szCs w:val="21"/>
                <w:lang w:eastAsia="zh-CN" w:bidi="ar"/>
              </w:rPr>
              <w:t>、</w:t>
            </w:r>
            <w:r>
              <w:rPr>
                <w:rFonts w:hint="eastAsia"/>
                <w:kern w:val="0"/>
                <w:szCs w:val="21"/>
                <w:lang w:val="en-US" w:eastAsia="zh-CN" w:bidi="ar"/>
              </w:rPr>
              <w:t>粪大肠杆菌等</w:t>
            </w:r>
          </w:p>
        </w:tc>
        <w:tc>
          <w:tcPr>
            <w:tcW w:w="1738" w:type="dxa"/>
            <w:tcBorders>
              <w:tl2br w:val="nil"/>
              <w:tr2bl w:val="nil"/>
            </w:tcBorders>
            <w:noWrap w:val="0"/>
            <w:vAlign w:val="center"/>
          </w:tcPr>
          <w:p>
            <w:pPr>
              <w:suppressAutoHyphens/>
              <w:topLinePunct/>
              <w:jc w:val="center"/>
              <w:rPr>
                <w:rFonts w:hint="default" w:eastAsia="宋体"/>
                <w:kern w:val="0"/>
                <w:szCs w:val="21"/>
                <w:lang w:val="en-US" w:eastAsia="zh-CN" w:bidi="ar"/>
              </w:rPr>
            </w:pPr>
            <w:r>
              <w:rPr>
                <w:rFonts w:hint="eastAsia"/>
                <w:kern w:val="0"/>
                <w:szCs w:val="21"/>
                <w:lang w:val="en-US" w:eastAsia="zh-CN" w:bidi="ar"/>
              </w:rPr>
              <w:t>经污水处理设备处理后排入文昌溪</w:t>
            </w:r>
          </w:p>
        </w:tc>
        <w:tc>
          <w:tcPr>
            <w:tcW w:w="2082" w:type="dxa"/>
            <w:tcBorders>
              <w:tl2br w:val="nil"/>
              <w:tr2bl w:val="nil"/>
            </w:tcBorders>
            <w:noWrap w:val="0"/>
            <w:vAlign w:val="center"/>
          </w:tcPr>
          <w:p>
            <w:pPr>
              <w:adjustRightInd w:val="0"/>
              <w:snapToGrid w:val="0"/>
              <w:jc w:val="center"/>
              <w:rPr>
                <w:rFonts w:hint="eastAsia"/>
                <w:szCs w:val="21"/>
                <w:lang w:val="en-US" w:eastAsia="zh-CN" w:bidi="ar"/>
              </w:rPr>
            </w:pPr>
            <w:r>
              <w:rPr>
                <w:rFonts w:hint="eastAsia"/>
                <w:szCs w:val="21"/>
                <w:lang w:val="en-US" w:eastAsia="zh-CN" w:bidi="ar"/>
              </w:rPr>
              <w:t>《医疗机构水污染物排放标准》（GB18466—2005）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nil"/>
              <w:tr2bl w:val="nil"/>
            </w:tcBorders>
            <w:noWrap w:val="0"/>
            <w:vAlign w:val="center"/>
          </w:tcPr>
          <w:p>
            <w:pPr>
              <w:adjustRightInd w:val="0"/>
              <w:snapToGrid w:val="0"/>
              <w:jc w:val="center"/>
              <w:rPr>
                <w:szCs w:val="21"/>
              </w:rPr>
            </w:pPr>
            <w:r>
              <w:rPr>
                <w:szCs w:val="21"/>
              </w:rPr>
              <w:t>声环境</w:t>
            </w:r>
          </w:p>
        </w:tc>
        <w:tc>
          <w:tcPr>
            <w:tcW w:w="1755" w:type="dxa"/>
            <w:gridSpan w:val="2"/>
            <w:tcBorders>
              <w:tl2br w:val="nil"/>
              <w:tr2bl w:val="nil"/>
            </w:tcBorders>
            <w:noWrap w:val="0"/>
            <w:vAlign w:val="center"/>
          </w:tcPr>
          <w:p>
            <w:pPr>
              <w:adjustRightInd w:val="0"/>
              <w:snapToGrid w:val="0"/>
              <w:jc w:val="center"/>
              <w:rPr>
                <w:szCs w:val="21"/>
              </w:rPr>
            </w:pPr>
            <w:r>
              <w:rPr>
                <w:szCs w:val="21"/>
                <w:lang w:bidi="ar"/>
              </w:rPr>
              <w:t>设备</w:t>
            </w:r>
            <w:r>
              <w:rPr>
                <w:rFonts w:hint="eastAsia"/>
                <w:szCs w:val="21"/>
                <w:lang w:bidi="ar"/>
              </w:rPr>
              <w:t>噪声</w:t>
            </w:r>
            <w:r>
              <w:rPr>
                <w:szCs w:val="21"/>
              </w:rPr>
              <w:t>等</w:t>
            </w:r>
          </w:p>
        </w:tc>
        <w:tc>
          <w:tcPr>
            <w:tcW w:w="1531" w:type="dxa"/>
            <w:tcBorders>
              <w:tl2br w:val="nil"/>
              <w:tr2bl w:val="nil"/>
            </w:tcBorders>
            <w:noWrap w:val="0"/>
            <w:vAlign w:val="center"/>
          </w:tcPr>
          <w:p>
            <w:pPr>
              <w:adjustRightInd w:val="0"/>
              <w:snapToGrid w:val="0"/>
              <w:jc w:val="center"/>
              <w:rPr>
                <w:szCs w:val="21"/>
              </w:rPr>
            </w:pPr>
            <w:r>
              <w:rPr>
                <w:szCs w:val="21"/>
              </w:rPr>
              <w:t>等效 A 声级</w:t>
            </w:r>
          </w:p>
        </w:tc>
        <w:tc>
          <w:tcPr>
            <w:tcW w:w="1738" w:type="dxa"/>
            <w:tcBorders>
              <w:tl2br w:val="nil"/>
              <w:tr2bl w:val="nil"/>
            </w:tcBorders>
            <w:noWrap w:val="0"/>
            <w:vAlign w:val="center"/>
          </w:tcPr>
          <w:p>
            <w:pPr>
              <w:adjustRightInd w:val="0"/>
              <w:snapToGrid w:val="0"/>
              <w:jc w:val="center"/>
              <w:rPr>
                <w:szCs w:val="21"/>
              </w:rPr>
            </w:pPr>
            <w:r>
              <w:rPr>
                <w:szCs w:val="21"/>
                <w:lang w:bidi="ar"/>
              </w:rPr>
              <w:t>隔声、减震，选用低噪声设备；</w:t>
            </w:r>
          </w:p>
        </w:tc>
        <w:tc>
          <w:tcPr>
            <w:tcW w:w="2082" w:type="dxa"/>
            <w:tcBorders>
              <w:tl2br w:val="nil"/>
              <w:tr2bl w:val="nil"/>
            </w:tcBorders>
            <w:noWrap w:val="0"/>
            <w:vAlign w:val="center"/>
          </w:tcPr>
          <w:p>
            <w:pPr>
              <w:adjustRightInd w:val="0"/>
              <w:snapToGrid w:val="0"/>
              <w:jc w:val="center"/>
              <w:rPr>
                <w:szCs w:val="21"/>
              </w:rPr>
            </w:pPr>
            <w:r>
              <w:rPr>
                <w:bCs/>
                <w:szCs w:val="21"/>
              </w:rPr>
              <w:t>《工业企业厂界环境噪声排放标准》（GB12348-2008）</w:t>
            </w:r>
            <w:r>
              <w:rPr>
                <w:rFonts w:hint="eastAsia"/>
                <w:bCs/>
                <w:szCs w:val="21"/>
              </w:rPr>
              <w:t>2</w:t>
            </w:r>
            <w:r>
              <w:rPr>
                <w:bCs/>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nil"/>
              <w:tr2bl w:val="nil"/>
            </w:tcBorders>
            <w:noWrap w:val="0"/>
            <w:vAlign w:val="center"/>
          </w:tcPr>
          <w:p>
            <w:pPr>
              <w:adjustRightInd w:val="0"/>
              <w:snapToGrid w:val="0"/>
              <w:jc w:val="center"/>
              <w:rPr>
                <w:szCs w:val="21"/>
              </w:rPr>
            </w:pPr>
            <w:r>
              <w:rPr>
                <w:szCs w:val="21"/>
              </w:rPr>
              <w:t>电磁辐射</w:t>
            </w:r>
          </w:p>
        </w:tc>
        <w:tc>
          <w:tcPr>
            <w:tcW w:w="7106" w:type="dxa"/>
            <w:gridSpan w:val="5"/>
            <w:tcBorders>
              <w:tl2br w:val="nil"/>
              <w:tr2bl w:val="nil"/>
            </w:tcBorders>
            <w:noWrap w:val="0"/>
            <w:vAlign w:val="center"/>
          </w:tcPr>
          <w:p>
            <w:pPr>
              <w:adjustRightInd w:val="0"/>
              <w:snapToGrid w:val="0"/>
              <w:jc w:val="left"/>
              <w:rPr>
                <w:rFonts w:hint="default" w:eastAsia="宋体"/>
                <w:szCs w:val="21"/>
                <w:lang w:val="en-US" w:eastAsia="zh-CN"/>
              </w:rPr>
            </w:pPr>
            <w:r>
              <w:rPr>
                <w:rFonts w:hint="eastAsia"/>
                <w:szCs w:val="21"/>
                <w:lang w:val="en-US" w:eastAsia="zh-CN"/>
              </w:rPr>
              <w:t>历史上层使用过X光机，2015年后移除相关仪器，现不涉及辐射设备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tcBorders>
              <w:tl2br w:val="nil"/>
              <w:tr2bl w:val="nil"/>
            </w:tcBorders>
            <w:noWrap w:val="0"/>
            <w:vAlign w:val="center"/>
          </w:tcPr>
          <w:p>
            <w:pPr>
              <w:adjustRightInd w:val="0"/>
              <w:snapToGrid w:val="0"/>
              <w:jc w:val="center"/>
              <w:rPr>
                <w:szCs w:val="21"/>
              </w:rPr>
            </w:pPr>
            <w:r>
              <w:rPr>
                <w:szCs w:val="21"/>
              </w:rPr>
              <w:t>固体废物</w:t>
            </w:r>
          </w:p>
        </w:tc>
        <w:tc>
          <w:tcPr>
            <w:tcW w:w="1082" w:type="dxa"/>
            <w:tcBorders>
              <w:tl2br w:val="nil"/>
              <w:tr2bl w:val="nil"/>
            </w:tcBorders>
            <w:noWrap w:val="0"/>
            <w:vAlign w:val="center"/>
          </w:tcPr>
          <w:p>
            <w:pPr>
              <w:adjustRightInd w:val="0"/>
              <w:snapToGrid w:val="0"/>
              <w:jc w:val="left"/>
              <w:rPr>
                <w:szCs w:val="21"/>
              </w:rPr>
            </w:pPr>
            <w:r>
              <w:rPr>
                <w:szCs w:val="21"/>
                <w:lang w:bidi="ar"/>
              </w:rPr>
              <w:t>生活垃圾</w:t>
            </w:r>
          </w:p>
        </w:tc>
        <w:tc>
          <w:tcPr>
            <w:tcW w:w="6024" w:type="dxa"/>
            <w:gridSpan w:val="4"/>
            <w:tcBorders>
              <w:tl2br w:val="nil"/>
              <w:tr2bl w:val="nil"/>
            </w:tcBorders>
            <w:noWrap w:val="0"/>
            <w:vAlign w:val="center"/>
          </w:tcPr>
          <w:p>
            <w:pPr>
              <w:adjustRightInd w:val="0"/>
              <w:snapToGrid w:val="0"/>
              <w:jc w:val="left"/>
              <w:rPr>
                <w:szCs w:val="21"/>
                <w:lang w:bidi="ar"/>
              </w:rPr>
            </w:pPr>
            <w:r>
              <w:rPr>
                <w:szCs w:val="21"/>
                <w:lang w:bidi="ar"/>
              </w:rPr>
              <w:t>经集中收集后</w:t>
            </w:r>
            <w:r>
              <w:rPr>
                <w:rFonts w:hint="eastAsia"/>
                <w:szCs w:val="21"/>
                <w:lang w:bidi="ar"/>
              </w:rPr>
              <w:t>交</w:t>
            </w:r>
            <w:r>
              <w:rPr>
                <w:szCs w:val="21"/>
              </w:rPr>
              <w:t>由环卫部门定期清运处理</w:t>
            </w:r>
            <w:r>
              <w:rPr>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tcBorders>
              <w:tl2br w:val="nil"/>
              <w:tr2bl w:val="nil"/>
            </w:tcBorders>
            <w:noWrap w:val="0"/>
            <w:vAlign w:val="center"/>
          </w:tcPr>
          <w:p>
            <w:pPr>
              <w:adjustRightInd w:val="0"/>
              <w:snapToGrid w:val="0"/>
              <w:jc w:val="left"/>
            </w:pPr>
          </w:p>
        </w:tc>
        <w:tc>
          <w:tcPr>
            <w:tcW w:w="1082" w:type="dxa"/>
            <w:tcBorders>
              <w:tl2br w:val="nil"/>
              <w:tr2bl w:val="nil"/>
            </w:tcBorders>
            <w:noWrap w:val="0"/>
            <w:vAlign w:val="center"/>
          </w:tcPr>
          <w:p>
            <w:pPr>
              <w:rPr>
                <w:szCs w:val="21"/>
                <w:lang w:bidi="ar"/>
              </w:rPr>
            </w:pPr>
            <w:r>
              <w:rPr>
                <w:szCs w:val="21"/>
                <w:lang w:bidi="ar"/>
              </w:rPr>
              <w:t>危险废物</w:t>
            </w:r>
          </w:p>
        </w:tc>
        <w:tc>
          <w:tcPr>
            <w:tcW w:w="6024" w:type="dxa"/>
            <w:gridSpan w:val="4"/>
            <w:tcBorders>
              <w:tl2br w:val="nil"/>
              <w:tr2bl w:val="nil"/>
            </w:tcBorders>
            <w:noWrap w:val="0"/>
            <w:vAlign w:val="center"/>
          </w:tcPr>
          <w:p>
            <w:pPr>
              <w:rPr>
                <w:szCs w:val="21"/>
                <w:lang w:bidi="ar"/>
              </w:rPr>
            </w:pPr>
            <w:r>
              <w:rPr>
                <w:rFonts w:hint="eastAsia"/>
                <w:lang w:val="en-US" w:eastAsia="zh-CN"/>
              </w:rPr>
              <w:t>医疗废物、污水处理站污泥、废试剂瓶、废试剂、废美沙酮桶</w:t>
            </w:r>
            <w:r>
              <w:rPr>
                <w:rFonts w:hint="eastAsia"/>
                <w:szCs w:val="21"/>
                <w:lang w:bidi="ar"/>
              </w:rPr>
              <w:t>集中收集于危废暂存间，委托有资质单位转运</w:t>
            </w:r>
            <w:r>
              <w:rPr>
                <w:rFonts w:hint="eastAsia"/>
                <w:szCs w:val="21"/>
                <w:lang w:val="en-US" w:eastAsia="zh-CN" w:bidi="ar"/>
              </w:rPr>
              <w:t>后无害化处置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tcBorders>
              <w:tl2br w:val="nil"/>
              <w:tr2bl w:val="nil"/>
            </w:tcBorders>
            <w:noWrap w:val="0"/>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106" w:type="dxa"/>
            <w:gridSpan w:val="5"/>
            <w:tcBorders>
              <w:tl2br w:val="nil"/>
              <w:tr2bl w:val="nil"/>
            </w:tcBorders>
            <w:noWrap w:val="0"/>
            <w:vAlign w:val="center"/>
          </w:tcPr>
          <w:p>
            <w:pPr>
              <w:adjustRightInd w:val="0"/>
              <w:snapToGrid w:val="0"/>
              <w:jc w:val="center"/>
              <w:rPr>
                <w:szCs w:val="21"/>
              </w:rPr>
            </w:pPr>
            <w:r>
              <w:rPr>
                <w:rFonts w:hint="eastAsia"/>
                <w:szCs w:val="21"/>
              </w:rPr>
              <w:t>地面硬化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nil"/>
              <w:tr2bl w:val="nil"/>
            </w:tcBorders>
            <w:noWrap w:val="0"/>
            <w:vAlign w:val="center"/>
          </w:tcPr>
          <w:p>
            <w:pPr>
              <w:adjustRightInd w:val="0"/>
              <w:snapToGrid w:val="0"/>
              <w:jc w:val="center"/>
              <w:rPr>
                <w:szCs w:val="21"/>
              </w:rPr>
            </w:pPr>
            <w:r>
              <w:rPr>
                <w:szCs w:val="21"/>
              </w:rPr>
              <w:t>生态保护措施</w:t>
            </w:r>
          </w:p>
        </w:tc>
        <w:tc>
          <w:tcPr>
            <w:tcW w:w="7106" w:type="dxa"/>
            <w:gridSpan w:val="5"/>
            <w:tcBorders>
              <w:tl2br w:val="nil"/>
              <w:tr2bl w:val="nil"/>
            </w:tcBorders>
            <w:noWrap w:val="0"/>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nil"/>
              <w:tr2bl w:val="nil"/>
            </w:tcBorders>
            <w:noWrap w:val="0"/>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106" w:type="dxa"/>
            <w:gridSpan w:val="5"/>
            <w:tcBorders>
              <w:tl2br w:val="nil"/>
              <w:tr2bl w:val="nil"/>
            </w:tcBorders>
            <w:noWrap w:val="0"/>
            <w:vAlign w:val="center"/>
          </w:tcPr>
          <w:p>
            <w:pPr>
              <w:adjustRightInd w:val="0"/>
              <w:snapToGrid w:val="0"/>
              <w:jc w:val="left"/>
            </w:pPr>
            <w:r>
              <w:rPr>
                <w:rFonts w:hint="eastAsia"/>
                <w:lang w:val="en-US" w:eastAsia="zh-CN"/>
              </w:rPr>
              <w:t>妥善储存化学试剂；</w:t>
            </w:r>
          </w:p>
          <w:p>
            <w:pPr>
              <w:adjustRightInd w:val="0"/>
              <w:snapToGrid w:val="0"/>
              <w:jc w:val="left"/>
              <w:rPr>
                <w:rFonts w:hint="eastAsia"/>
                <w:lang w:eastAsia="zh-CN"/>
              </w:rPr>
            </w:pPr>
            <w:r>
              <w:t>化学品暂存区地面进行硬化、防渗处理，并配备通风系统</w:t>
            </w:r>
            <w:r>
              <w:rPr>
                <w:rFonts w:hint="eastAsia"/>
                <w:lang w:eastAsia="zh-CN"/>
              </w:rPr>
              <w:t>；</w:t>
            </w:r>
          </w:p>
          <w:p>
            <w:pPr>
              <w:adjustRightInd w:val="0"/>
              <w:snapToGrid w:val="0"/>
              <w:jc w:val="left"/>
              <w:rPr>
                <w:rFonts w:hint="eastAsia"/>
                <w:lang w:eastAsia="zh-CN"/>
              </w:rPr>
            </w:pPr>
            <w:r>
              <w:t>危险化学品安排专人管理；设立明显警示标示、警示说明</w:t>
            </w:r>
            <w:r>
              <w:rPr>
                <w:rFonts w:hint="eastAsia"/>
                <w:lang w:eastAsia="zh-CN"/>
              </w:rPr>
              <w:t>；</w:t>
            </w:r>
          </w:p>
          <w:p>
            <w:pPr>
              <w:adjustRightInd w:val="0"/>
              <w:snapToGrid w:val="0"/>
              <w:jc w:val="left"/>
              <w:rPr>
                <w:rFonts w:hint="default" w:eastAsia="宋体"/>
                <w:lang w:val="en-US" w:eastAsia="zh-CN"/>
              </w:rPr>
            </w:pPr>
            <w:r>
              <w:rPr>
                <w:rFonts w:hint="eastAsia"/>
                <w:lang w:val="en-US" w:eastAsia="zh-CN"/>
              </w:rPr>
              <w:t>建立巡检制度，定期检查环保设施工况，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nil"/>
              <w:tr2bl w:val="nil"/>
            </w:tcBorders>
            <w:noWrap w:val="0"/>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106" w:type="dxa"/>
            <w:gridSpan w:val="5"/>
            <w:tcBorders>
              <w:tl2br w:val="nil"/>
              <w:tr2bl w:val="nil"/>
            </w:tcBorders>
            <w:noWrap w:val="0"/>
            <w:vAlign w:val="center"/>
          </w:tcPr>
          <w:p>
            <w:pPr>
              <w:adjustRightInd w:val="0"/>
              <w:snapToGrid w:val="0"/>
              <w:jc w:val="left"/>
              <w:rPr>
                <w:rFonts w:hint="eastAsia" w:eastAsia="宋体"/>
                <w:szCs w:val="21"/>
                <w:lang w:eastAsia="zh-CN"/>
              </w:rPr>
            </w:pPr>
            <w:r>
              <w:rPr>
                <w:rFonts w:hint="eastAsia"/>
                <w:szCs w:val="21"/>
              </w:rPr>
              <w:t>项目运营前，按照登记</w:t>
            </w:r>
            <w:r>
              <w:rPr>
                <w:szCs w:val="21"/>
              </w:rPr>
              <w:t>管理要求</w:t>
            </w:r>
            <w:r>
              <w:rPr>
                <w:rFonts w:hint="eastAsia"/>
                <w:szCs w:val="21"/>
              </w:rPr>
              <w:t>办理完成排污</w:t>
            </w:r>
            <w:r>
              <w:rPr>
                <w:rFonts w:hint="eastAsia"/>
                <w:szCs w:val="21"/>
                <w:lang w:val="en-US" w:eastAsia="zh-CN"/>
              </w:rPr>
              <w:t>登记</w:t>
            </w:r>
            <w:r>
              <w:rPr>
                <w:rFonts w:hint="eastAsia"/>
                <w:szCs w:val="21"/>
              </w:rPr>
              <w:t>手续</w:t>
            </w:r>
            <w:r>
              <w:rPr>
                <w:rFonts w:hint="eastAsia"/>
                <w:szCs w:val="21"/>
                <w:lang w:eastAsia="zh-CN"/>
              </w:rPr>
              <w:t>、</w:t>
            </w:r>
            <w:r>
              <w:rPr>
                <w:rFonts w:hint="eastAsia"/>
                <w:szCs w:val="21"/>
                <w:lang w:val="en-US" w:eastAsia="zh-CN"/>
              </w:rPr>
              <w:t>编制应急预案</w:t>
            </w:r>
            <w:r>
              <w:rPr>
                <w:rFonts w:hint="eastAsia"/>
                <w:szCs w:val="21"/>
                <w:lang w:eastAsia="zh-CN"/>
              </w:rPr>
              <w:t>。</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pPr>
      <w:bookmarkStart w:id="19" w:name="_Toc8756"/>
      <w:bookmarkStart w:id="20" w:name="_Toc84686389"/>
      <w:r>
        <w:rPr>
          <w:rFonts w:hint="eastAsia"/>
        </w:rPr>
        <w:t>六、结论</w:t>
      </w:r>
      <w:bookmarkEnd w:id="19"/>
      <w:bookmarkEnd w:id="20"/>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2" w:firstLineChars="200"/>
              <w:rPr>
                <w:rFonts w:hint="eastAsia"/>
                <w:b/>
                <w:bCs/>
                <w:sz w:val="24"/>
                <w:lang w:bidi="ar"/>
              </w:rPr>
            </w:pPr>
            <w:r>
              <w:rPr>
                <w:rFonts w:hint="eastAsia"/>
                <w:b/>
                <w:bCs/>
                <w:sz w:val="24"/>
                <w:lang w:bidi="ar"/>
              </w:rPr>
              <w:t>1、结论</w:t>
            </w:r>
          </w:p>
          <w:p>
            <w:pPr>
              <w:spacing w:line="360" w:lineRule="auto"/>
              <w:ind w:firstLine="480" w:firstLineChars="200"/>
              <w:rPr>
                <w:rFonts w:hint="eastAsia"/>
                <w:sz w:val="24"/>
                <w:lang w:bidi="ar"/>
              </w:rPr>
            </w:pPr>
            <w:r>
              <w:rPr>
                <w:sz w:val="24"/>
                <w:lang w:bidi="ar"/>
              </w:rPr>
              <w:t>综上所述，</w:t>
            </w:r>
            <w:r>
              <w:rPr>
                <w:rFonts w:hint="eastAsia"/>
                <w:sz w:val="24"/>
                <w:lang w:bidi="ar"/>
              </w:rPr>
              <w:t>“靖州县疾病预防控制中心检验检测及应急医疗物资储备楼改造工程项目”</w:t>
            </w:r>
            <w:r>
              <w:rPr>
                <w:sz w:val="24"/>
                <w:lang w:bidi="ar"/>
              </w:rPr>
              <w:t>符合国家产业政策，项目选址合理。本项目在落实本环评提出的各项污染防治措施的前提下，废气、废水、噪声可实现达标排放，固体废物能有效、安全</w:t>
            </w:r>
            <w:r>
              <w:rPr>
                <w:rFonts w:hint="eastAsia"/>
                <w:sz w:val="24"/>
                <w:lang w:val="en-US" w:eastAsia="zh-CN" w:bidi="ar"/>
              </w:rPr>
              <w:t>地</w:t>
            </w:r>
            <w:r>
              <w:rPr>
                <w:sz w:val="24"/>
                <w:lang w:bidi="ar"/>
              </w:rPr>
              <w:t>处置，项目产生的污染物对周围环境产生的影响在可接受的范围内。因此，本评价认为，从环境保护角度，建设项目环境影响是可行的</w:t>
            </w:r>
            <w:r>
              <w:rPr>
                <w:rFonts w:hint="eastAsia"/>
                <w:sz w:val="24"/>
                <w:lang w:bidi="ar"/>
              </w:rPr>
              <w:t>。</w:t>
            </w:r>
          </w:p>
          <w:p>
            <w:pPr>
              <w:spacing w:line="360" w:lineRule="auto"/>
              <w:ind w:firstLine="482" w:firstLineChars="200"/>
              <w:rPr>
                <w:rFonts w:hint="eastAsia"/>
                <w:b/>
                <w:bCs/>
                <w:sz w:val="24"/>
                <w:lang w:bidi="ar"/>
              </w:rPr>
            </w:pPr>
            <w:r>
              <w:rPr>
                <w:rFonts w:hint="eastAsia"/>
                <w:b/>
                <w:bCs/>
                <w:sz w:val="24"/>
                <w:lang w:bidi="ar"/>
              </w:rPr>
              <w:t>2、建议</w:t>
            </w:r>
          </w:p>
          <w:p>
            <w:pPr>
              <w:spacing w:line="360" w:lineRule="auto"/>
              <w:ind w:firstLine="480" w:firstLineChars="200"/>
              <w:rPr>
                <w:sz w:val="24"/>
                <w:lang w:bidi="ar"/>
              </w:rPr>
            </w:pPr>
            <w:r>
              <w:rPr>
                <w:rFonts w:hint="eastAsia"/>
                <w:sz w:val="24"/>
                <w:lang w:bidi="ar"/>
              </w:rPr>
              <w:t>（1）在项目建设过程中，严格落实环保“三同时”管理规定，把设计方案中的环保措施落实到位。</w:t>
            </w:r>
          </w:p>
          <w:p>
            <w:pPr>
              <w:spacing w:line="360" w:lineRule="auto"/>
              <w:ind w:firstLine="480" w:firstLineChars="200"/>
              <w:rPr>
                <w:sz w:val="24"/>
                <w:lang w:bidi="ar"/>
              </w:rPr>
            </w:pPr>
            <w:r>
              <w:rPr>
                <w:rFonts w:hint="eastAsia"/>
                <w:sz w:val="24"/>
                <w:lang w:bidi="ar"/>
              </w:rPr>
              <w:t>（2）加强职工环保教育，提高环保意识，设置专门的环保管理人员，制定各项环保规章制度，将环境管理纳入到生产过程中，最大限度地减少资源浪费和环境污染。</w:t>
            </w:r>
          </w:p>
          <w:p>
            <w:pPr>
              <w:spacing w:line="360" w:lineRule="auto"/>
              <w:ind w:firstLine="480" w:firstLineChars="200"/>
              <w:rPr>
                <w:sz w:val="24"/>
                <w:lang w:bidi="ar"/>
              </w:rPr>
            </w:pPr>
            <w:r>
              <w:rPr>
                <w:rFonts w:hint="eastAsia"/>
                <w:sz w:val="24"/>
                <w:lang w:bidi="ar"/>
              </w:rPr>
              <w:t>（3）提高职工安全意识，建议完善安全生产规章制度，严格执行安全找错规程。</w:t>
            </w:r>
          </w:p>
          <w:p>
            <w:pPr>
              <w:spacing w:line="360" w:lineRule="auto"/>
              <w:ind w:firstLine="420" w:firstLineChars="200"/>
              <w:rPr>
                <w:rFonts w:hint="eastAsia"/>
                <w:highlight w:val="yellow"/>
              </w:rPr>
            </w:pPr>
          </w:p>
        </w:tc>
      </w:tr>
    </w:tbl>
    <w:p>
      <w:pPr>
        <w:pStyle w:val="21"/>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sz w:val="38"/>
          <w:szCs w:val="38"/>
          <w:lang w:eastAsia="zh-CN"/>
        </w:rPr>
      </w:pPr>
      <w:r>
        <w:rPr>
          <w:rFonts w:hint="eastAsia" w:ascii="方正小标宋_GBK" w:hAnsi="黑体" w:eastAsia="方正小标宋_GBK"/>
          <w:snapToGrid w:val="0"/>
          <w:sz w:val="38"/>
          <w:szCs w:val="38"/>
        </w:rPr>
        <w:t>建设项目污染物排放量汇总表</w:t>
      </w:r>
      <w:r>
        <w:rPr>
          <w:rFonts w:hint="eastAsia" w:ascii="方正小标宋_GBK" w:hAnsi="黑体" w:eastAsia="方正小标宋_GBK"/>
          <w:snapToGrid w:val="0"/>
          <w:sz w:val="38"/>
          <w:szCs w:val="38"/>
          <w:lang w:eastAsia="zh-CN"/>
        </w:rPr>
        <w:t>（</w:t>
      </w:r>
      <w:r>
        <w:rPr>
          <w:rFonts w:hint="eastAsia" w:ascii="方正小标宋_GBK" w:hAnsi="黑体" w:eastAsia="方正小标宋_GBK"/>
          <w:snapToGrid w:val="0"/>
          <w:sz w:val="38"/>
          <w:szCs w:val="38"/>
          <w:lang w:val="en-US" w:eastAsia="zh-CN"/>
        </w:rPr>
        <w:t>kg/a</w:t>
      </w:r>
      <w:r>
        <w:rPr>
          <w:rFonts w:hint="eastAsia" w:ascii="方正小标宋_GBK" w:hAnsi="黑体" w:eastAsia="方正小标宋_GBK"/>
          <w:snapToGrid w:val="0"/>
          <w:sz w:val="38"/>
          <w:szCs w:val="38"/>
          <w:lang w:eastAsia="zh-CN"/>
        </w:rPr>
        <w:t>）</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2119"/>
        <w:gridCol w:w="1492"/>
        <w:gridCol w:w="1382"/>
        <w:gridCol w:w="1842"/>
        <w:gridCol w:w="1688"/>
        <w:gridCol w:w="1907"/>
        <w:gridCol w:w="1826"/>
        <w:gridCol w:w="14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6" w:type="dxa"/>
            <w:tcBorders>
              <w:tl2br w:val="nil"/>
              <w:tr2bl w:val="nil"/>
            </w:tcBorders>
            <w:noWrap w:val="0"/>
            <w:tcMar>
              <w:left w:w="28" w:type="dxa"/>
              <w:right w:w="28" w:type="dxa"/>
            </w:tcMar>
            <w:vAlign w:val="center"/>
          </w:tcPr>
          <w:p>
            <w:pPr>
              <w:pStyle w:val="42"/>
              <w:spacing w:beforeLines="0" w:afterLines="0" w:line="240" w:lineRule="auto"/>
              <w:jc w:val="center"/>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项目分类</w:t>
            </w:r>
          </w:p>
        </w:tc>
        <w:tc>
          <w:tcPr>
            <w:tcW w:w="2119" w:type="dxa"/>
            <w:tcBorders>
              <w:tl2br w:val="nil"/>
              <w:tr2bl w:val="nil"/>
            </w:tcBorders>
            <w:noWrap w:val="0"/>
            <w:tcMar>
              <w:left w:w="28" w:type="dxa"/>
              <w:right w:w="28" w:type="dxa"/>
            </w:tcMar>
            <w:vAlign w:val="center"/>
          </w:tcPr>
          <w:p>
            <w:pPr>
              <w:pStyle w:val="42"/>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492" w:type="dxa"/>
            <w:tcBorders>
              <w:tl2br w:val="nil"/>
              <w:tr2bl w:val="nil"/>
            </w:tcBorders>
            <w:noWrap w:val="0"/>
            <w:tcMar>
              <w:left w:w="28" w:type="dxa"/>
              <w:right w:w="28" w:type="dxa"/>
            </w:tcMar>
            <w:vAlign w:val="center"/>
          </w:tcPr>
          <w:p>
            <w:pPr>
              <w:pStyle w:val="42"/>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382" w:type="dxa"/>
            <w:tcBorders>
              <w:tl2br w:val="nil"/>
              <w:tr2bl w:val="nil"/>
            </w:tcBorders>
            <w:noWrap w:val="0"/>
            <w:tcMar>
              <w:left w:w="28" w:type="dxa"/>
              <w:right w:w="28" w:type="dxa"/>
            </w:tcMar>
            <w:vAlign w:val="center"/>
          </w:tcPr>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42"/>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842" w:type="dxa"/>
            <w:tcBorders>
              <w:tl2br w:val="nil"/>
              <w:tr2bl w:val="nil"/>
            </w:tcBorders>
            <w:noWrap w:val="0"/>
            <w:tcMar>
              <w:left w:w="28" w:type="dxa"/>
              <w:right w:w="28" w:type="dxa"/>
            </w:tcMar>
            <w:vAlign w:val="center"/>
          </w:tcPr>
          <w:p>
            <w:pPr>
              <w:pStyle w:val="42"/>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688" w:type="dxa"/>
            <w:tcBorders>
              <w:tl2br w:val="nil"/>
              <w:tr2bl w:val="nil"/>
            </w:tcBorders>
            <w:noWrap w:val="0"/>
            <w:tcMar>
              <w:left w:w="28" w:type="dxa"/>
              <w:right w:w="28" w:type="dxa"/>
            </w:tcMar>
            <w:vAlign w:val="center"/>
          </w:tcPr>
          <w:p>
            <w:pPr>
              <w:pStyle w:val="42"/>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907" w:type="dxa"/>
            <w:tcBorders>
              <w:tl2br w:val="nil"/>
              <w:tr2bl w:val="nil"/>
            </w:tcBorders>
            <w:noWrap w:val="0"/>
            <w:tcMar>
              <w:left w:w="28" w:type="dxa"/>
              <w:right w:w="28" w:type="dxa"/>
            </w:tcMar>
            <w:vAlign w:val="center"/>
          </w:tcPr>
          <w:p>
            <w:pPr>
              <w:pStyle w:val="42"/>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42"/>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826" w:type="dxa"/>
            <w:tcBorders>
              <w:tl2br w:val="nil"/>
              <w:tr2bl w:val="nil"/>
            </w:tcBorders>
            <w:noWrap w:val="0"/>
            <w:tcMar>
              <w:left w:w="28" w:type="dxa"/>
              <w:right w:w="28" w:type="dxa"/>
            </w:tcMar>
            <w:vAlign w:val="center"/>
          </w:tcPr>
          <w:p>
            <w:pPr>
              <w:pStyle w:val="42"/>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42"/>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413" w:type="dxa"/>
            <w:tcBorders>
              <w:tl2br w:val="nil"/>
              <w:tr2bl w:val="nil"/>
            </w:tcBorders>
            <w:noWrap w:val="0"/>
            <w:tcMar>
              <w:left w:w="28" w:type="dxa"/>
              <w:right w:w="28" w:type="dxa"/>
            </w:tcMar>
            <w:vAlign w:val="center"/>
          </w:tcPr>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42"/>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restart"/>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NO</w:t>
            </w:r>
            <w:r>
              <w:rPr>
                <w:rFonts w:hint="default" w:ascii="Times New Roman" w:hAnsi="Times New Roman" w:cs="Times New Roman"/>
                <w:snapToGrid w:val="0"/>
                <w:color w:val="000000"/>
                <w:kern w:val="21"/>
                <w:szCs w:val="21"/>
                <w:vertAlign w:val="subscript"/>
                <w:lang w:val="en-US" w:eastAsia="zh-CN"/>
              </w:rPr>
              <w:t>x</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z w:val="21"/>
                <w:szCs w:val="21"/>
                <w:u w:val="single"/>
                <w:lang w:val="en-US" w:eastAsia="zh-CN"/>
              </w:rPr>
              <w:t>0.7614</w:t>
            </w:r>
          </w:p>
        </w:tc>
        <w:tc>
          <w:tcPr>
            <w:tcW w:w="138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z w:val="21"/>
                <w:szCs w:val="21"/>
                <w:vertAlign w:val="baseline"/>
                <w:lang w:val="en-US" w:eastAsia="zh-CN"/>
              </w:rPr>
              <w:t>0</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z w:val="21"/>
                <w:szCs w:val="21"/>
                <w:u w:val="single"/>
                <w:lang w:val="en-US" w:eastAsia="zh-CN"/>
              </w:rPr>
              <w:t>0.7614</w:t>
            </w:r>
          </w:p>
        </w:tc>
        <w:tc>
          <w:tcPr>
            <w:tcW w:w="1413"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硫酸雾</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1.765×10</w:t>
            </w:r>
            <w:r>
              <w:rPr>
                <w:rFonts w:hint="default" w:ascii="Times New Roman" w:hAnsi="Times New Roman" w:cs="Times New Roman"/>
                <w:vertAlign w:val="superscript"/>
                <w:lang w:val="en-US" w:eastAsia="zh-CN"/>
              </w:rPr>
              <w:t>-5</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1.765×10</w:t>
            </w:r>
            <w:r>
              <w:rPr>
                <w:rFonts w:hint="default" w:ascii="Times New Roman" w:hAnsi="Times New Roman" w:cs="Times New Roman"/>
                <w:vertAlign w:val="superscript"/>
                <w:lang w:val="en-US" w:eastAsia="zh-CN"/>
              </w:rPr>
              <w:t>-5</w:t>
            </w:r>
          </w:p>
        </w:tc>
        <w:tc>
          <w:tcPr>
            <w:tcW w:w="1413" w:type="dxa"/>
            <w:tcBorders>
              <w:tl2br w:val="nil"/>
              <w:tr2bl w:val="nil"/>
            </w:tcBorders>
            <w:noWrap w:val="0"/>
            <w:vAlign w:val="center"/>
          </w:tcPr>
          <w:p>
            <w:pPr>
              <w:pStyle w:val="42"/>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HCl</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0.1171</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0.1171</w:t>
            </w:r>
          </w:p>
        </w:tc>
        <w:tc>
          <w:tcPr>
            <w:tcW w:w="1413" w:type="dxa"/>
            <w:tcBorders>
              <w:tl2br w:val="nil"/>
              <w:tr2bl w:val="nil"/>
            </w:tcBorders>
            <w:noWrap w:val="0"/>
            <w:vAlign w:val="center"/>
          </w:tcPr>
          <w:p>
            <w:pPr>
              <w:pStyle w:val="42"/>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磷酸雾</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0.2675</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0.2675</w:t>
            </w:r>
          </w:p>
        </w:tc>
        <w:tc>
          <w:tcPr>
            <w:tcW w:w="1413" w:type="dxa"/>
            <w:tcBorders>
              <w:tl2br w:val="nil"/>
              <w:tr2bl w:val="nil"/>
            </w:tcBorders>
            <w:noWrap w:val="0"/>
            <w:vAlign w:val="center"/>
          </w:tcPr>
          <w:p>
            <w:pPr>
              <w:pStyle w:val="42"/>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三氯甲烷</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0.1134</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lang w:val="en-US" w:eastAsia="zh-CN"/>
              </w:rPr>
              <w:t>0.1134</w:t>
            </w:r>
          </w:p>
        </w:tc>
        <w:tc>
          <w:tcPr>
            <w:tcW w:w="1413" w:type="dxa"/>
            <w:tcBorders>
              <w:tl2br w:val="nil"/>
              <w:tr2bl w:val="nil"/>
            </w:tcBorders>
            <w:noWrap w:val="0"/>
            <w:vAlign w:val="center"/>
          </w:tcPr>
          <w:p>
            <w:pPr>
              <w:pStyle w:val="42"/>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H</w:t>
            </w:r>
            <w:r>
              <w:rPr>
                <w:rFonts w:hint="default" w:ascii="Times New Roman" w:hAnsi="Times New Roman" w:cs="Times New Roman"/>
                <w:snapToGrid w:val="0"/>
                <w:color w:val="000000"/>
                <w:kern w:val="21"/>
                <w:szCs w:val="21"/>
                <w:vertAlign w:val="subscript"/>
                <w:lang w:val="en-US" w:eastAsia="zh-CN"/>
              </w:rPr>
              <w:t>2</w:t>
            </w:r>
            <w:r>
              <w:rPr>
                <w:rFonts w:hint="default" w:ascii="Times New Roman" w:hAnsi="Times New Roman" w:cs="Times New Roman"/>
                <w:snapToGrid w:val="0"/>
                <w:color w:val="000000"/>
                <w:kern w:val="21"/>
                <w:szCs w:val="21"/>
                <w:lang w:val="en-US" w:eastAsia="zh-CN"/>
              </w:rPr>
              <w:t>S</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lang w:val="en-US" w:eastAsia="zh-CN"/>
              </w:rPr>
              <w:t>0.01085</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val="en-US" w:eastAsia="zh-CN"/>
              </w:rPr>
              <w:t>/</w:t>
            </w:r>
          </w:p>
        </w:tc>
        <w:tc>
          <w:tcPr>
            <w:tcW w:w="1688" w:type="dxa"/>
            <w:tcBorders>
              <w:tl2br w:val="nil"/>
              <w:tr2bl w:val="nil"/>
            </w:tcBorders>
            <w:noWrap w:val="0"/>
            <w:vAlign w:val="center"/>
          </w:tcPr>
          <w:p>
            <w:pPr>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lang w:val="en-US" w:eastAsia="zh-CN"/>
              </w:rPr>
              <w:t>0.001760</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rPr>
            </w:pPr>
            <w:r>
              <w:rPr>
                <w:rFonts w:hint="eastAsia" w:cs="Times New Roman"/>
                <w:snapToGrid w:val="0"/>
                <w:color w:val="000000"/>
                <w:kern w:val="21"/>
                <w:sz w:val="21"/>
                <w:szCs w:val="21"/>
                <w:lang w:val="en-US" w:eastAsia="zh-CN"/>
              </w:rPr>
              <w:t>-</w:t>
            </w:r>
            <w:r>
              <w:rPr>
                <w:rFonts w:hint="default" w:ascii="Times New Roman" w:hAnsi="Times New Roman" w:cs="Times New Roman"/>
                <w:sz w:val="21"/>
                <w:szCs w:val="21"/>
                <w:lang w:val="en-US" w:eastAsia="zh-CN"/>
              </w:rPr>
              <w:t>0.001760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lang w:val="en-US" w:eastAsia="zh-CN"/>
              </w:rPr>
              <w:t>0.0004883</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NH</w:t>
            </w:r>
            <w:r>
              <w:rPr>
                <w:rFonts w:hint="default" w:ascii="Times New Roman" w:hAnsi="Times New Roman" w:cs="Times New Roman"/>
                <w:snapToGrid w:val="0"/>
                <w:color w:val="000000"/>
                <w:kern w:val="21"/>
                <w:szCs w:val="21"/>
                <w:vertAlign w:val="subscript"/>
                <w:lang w:val="en-US" w:eastAsia="zh-CN"/>
              </w:rPr>
              <w:t>3</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lang w:val="en-US" w:eastAsia="zh-CN"/>
              </w:rPr>
              <w:t>0.0004201</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val="en-US" w:eastAsia="zh-CN"/>
              </w:rPr>
              <w:t>/</w:t>
            </w:r>
          </w:p>
        </w:tc>
        <w:tc>
          <w:tcPr>
            <w:tcW w:w="1688" w:type="dxa"/>
            <w:tcBorders>
              <w:tl2br w:val="nil"/>
              <w:tr2bl w:val="nil"/>
            </w:tcBorders>
            <w:noWrap w:val="0"/>
            <w:vAlign w:val="center"/>
          </w:tcPr>
          <w:p>
            <w:pPr>
              <w:jc w:val="center"/>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lang w:val="en-US" w:eastAsia="zh-CN"/>
              </w:rPr>
              <w:t>0.00006816</w:t>
            </w:r>
          </w:p>
        </w:tc>
        <w:tc>
          <w:tcPr>
            <w:tcW w:w="1907"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 w:val="21"/>
                <w:szCs w:val="21"/>
              </w:rPr>
            </w:pPr>
            <w:r>
              <w:rPr>
                <w:rFonts w:hint="eastAsia" w:cs="Times New Roman"/>
                <w:snapToGrid w:val="0"/>
                <w:color w:val="000000"/>
                <w:kern w:val="21"/>
                <w:sz w:val="21"/>
                <w:szCs w:val="21"/>
                <w:lang w:val="en-US" w:eastAsia="zh-CN"/>
              </w:rPr>
              <w:t>-</w:t>
            </w:r>
            <w:r>
              <w:rPr>
                <w:rFonts w:hint="default" w:ascii="Times New Roman" w:hAnsi="Times New Roman" w:cs="Times New Roman"/>
                <w:sz w:val="21"/>
                <w:szCs w:val="21"/>
                <w:lang w:val="en-US" w:eastAsia="zh-CN"/>
              </w:rPr>
              <w:t>0.001760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 w:val="21"/>
                <w:szCs w:val="21"/>
              </w:rPr>
            </w:pPr>
            <w:r>
              <w:rPr>
                <w:rFonts w:hint="default" w:ascii="Times New Roman" w:hAnsi="Times New Roman" w:cs="Times New Roman"/>
                <w:sz w:val="21"/>
                <w:szCs w:val="21"/>
                <w:lang w:val="en-US" w:eastAsia="zh-CN"/>
              </w:rPr>
              <w:t>0.01261</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+0.00006816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油烟</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67.5</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pStyle w:val="42"/>
              <w:spacing w:beforeLines="0" w:afterLines="0"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67.5</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restart"/>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COD</w:t>
            </w:r>
            <w:r>
              <w:rPr>
                <w:rFonts w:hint="default" w:ascii="Times New Roman" w:hAnsi="Times New Roman" w:cs="Times New Roman"/>
                <w:snapToGrid w:val="0"/>
                <w:color w:val="000000"/>
                <w:kern w:val="21"/>
                <w:szCs w:val="21"/>
                <w:vertAlign w:val="subscript"/>
                <w:lang w:val="en-US" w:eastAsia="zh-CN"/>
              </w:rPr>
              <w:t>cr</w:t>
            </w:r>
          </w:p>
        </w:tc>
        <w:tc>
          <w:tcPr>
            <w:tcW w:w="1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95.09</w:t>
            </w:r>
          </w:p>
        </w:tc>
        <w:tc>
          <w:tcPr>
            <w:tcW w:w="13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0.4356</w:t>
            </w:r>
          </w:p>
        </w:tc>
        <w:tc>
          <w:tcPr>
            <w:tcW w:w="1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92.39</w:t>
            </w:r>
          </w:p>
        </w:tc>
        <w:tc>
          <w:tcPr>
            <w:tcW w:w="18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3.1357</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000000"/>
                <w:kern w:val="21"/>
                <w:szCs w:val="21"/>
              </w:rPr>
            </w:pPr>
            <w:r>
              <w:rPr>
                <w:rFonts w:hint="default"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91.9544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BOD</w:t>
            </w:r>
            <w:r>
              <w:rPr>
                <w:rFonts w:hint="default" w:ascii="Times New Roman" w:hAnsi="Times New Roman" w:cs="Times New Roman"/>
                <w:snapToGrid w:val="0"/>
                <w:color w:val="000000"/>
                <w:kern w:val="21"/>
                <w:szCs w:val="21"/>
                <w:vertAlign w:val="subscript"/>
                <w:lang w:val="en-US" w:eastAsia="zh-CN"/>
              </w:rPr>
              <w:t>5</w:t>
            </w:r>
          </w:p>
        </w:tc>
        <w:tc>
          <w:tcPr>
            <w:tcW w:w="1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41.91</w:t>
            </w:r>
          </w:p>
        </w:tc>
        <w:tc>
          <w:tcPr>
            <w:tcW w:w="13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0.05616</w:t>
            </w:r>
          </w:p>
        </w:tc>
        <w:tc>
          <w:tcPr>
            <w:tcW w:w="1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41.57</w:t>
            </w:r>
          </w:p>
        </w:tc>
        <w:tc>
          <w:tcPr>
            <w:tcW w:w="18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0.4043</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41.51384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氨氮</w:t>
            </w:r>
          </w:p>
        </w:tc>
        <w:tc>
          <w:tcPr>
            <w:tcW w:w="1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7.33</w:t>
            </w:r>
          </w:p>
        </w:tc>
        <w:tc>
          <w:tcPr>
            <w:tcW w:w="13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0.001818</w:t>
            </w:r>
          </w:p>
        </w:tc>
        <w:tc>
          <w:tcPr>
            <w:tcW w:w="1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7.32</w:t>
            </w:r>
          </w:p>
        </w:tc>
        <w:tc>
          <w:tcPr>
            <w:tcW w:w="18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0.0131</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7.318182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p>
        </w:tc>
        <w:tc>
          <w:tcPr>
            <w:tcW w:w="2119"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SS</w:t>
            </w:r>
          </w:p>
        </w:tc>
        <w:tc>
          <w:tcPr>
            <w:tcW w:w="1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71.06</w:t>
            </w:r>
          </w:p>
        </w:tc>
        <w:tc>
          <w:tcPr>
            <w:tcW w:w="13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0.0000162</w:t>
            </w:r>
          </w:p>
        </w:tc>
        <w:tc>
          <w:tcPr>
            <w:tcW w:w="1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71.06</w:t>
            </w:r>
          </w:p>
        </w:tc>
        <w:tc>
          <w:tcPr>
            <w:tcW w:w="18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71.05998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tcBorders>
              <w:tl2br w:val="nil"/>
              <w:tr2bl w:val="nil"/>
            </w:tcBorders>
            <w:noWrap w:val="0"/>
            <w:vAlign w:val="center"/>
          </w:tcPr>
          <w:p>
            <w:pPr>
              <w:pStyle w:val="42"/>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42"/>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2119"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49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38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84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688"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907"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jc w:val="center"/>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w:t>
            </w:r>
          </w:p>
        </w:tc>
        <w:tc>
          <w:tcPr>
            <w:tcW w:w="1413"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tcBorders>
              <w:tl2br w:val="nil"/>
              <w:tr2bl w:val="nil"/>
            </w:tcBorders>
            <w:noWrap w:val="0"/>
            <w:vAlign w:val="center"/>
          </w:tcPr>
          <w:p>
            <w:pPr>
              <w:pStyle w:val="42"/>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生活垃圾</w:t>
            </w:r>
          </w:p>
        </w:tc>
        <w:tc>
          <w:tcPr>
            <w:tcW w:w="2119"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eastAsia" w:hAnsi="宋体" w:cs="宋体"/>
                <w:snapToGrid w:val="0"/>
                <w:color w:val="000000"/>
                <w:kern w:val="21"/>
                <w:szCs w:val="21"/>
                <w:lang w:val="en-US" w:eastAsia="zh-CN"/>
              </w:rPr>
              <w:t>生活垃圾</w:t>
            </w:r>
          </w:p>
        </w:tc>
        <w:tc>
          <w:tcPr>
            <w:tcW w:w="149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55</w:t>
            </w:r>
          </w:p>
        </w:tc>
        <w:tc>
          <w:tcPr>
            <w:tcW w:w="138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c>
          <w:tcPr>
            <w:tcW w:w="1842"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c>
          <w:tcPr>
            <w:tcW w:w="1688"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jc w:val="center"/>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55</w:t>
            </w:r>
          </w:p>
        </w:tc>
        <w:tc>
          <w:tcPr>
            <w:tcW w:w="1413" w:type="dxa"/>
            <w:tcBorders>
              <w:tl2br w:val="nil"/>
              <w:tr2bl w:val="nil"/>
            </w:tcBorders>
            <w:noWrap w:val="0"/>
            <w:vAlign w:val="center"/>
          </w:tcPr>
          <w:p>
            <w:pPr>
              <w:spacing w:beforeLines="0" w:afterLines="0" w:line="240" w:lineRule="auto"/>
              <w:jc w:val="center"/>
              <w:rPr>
                <w:rFonts w:hint="eastAsia"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restart"/>
            <w:tcBorders>
              <w:tl2br w:val="nil"/>
              <w:tr2bl w:val="nil"/>
            </w:tcBorders>
            <w:noWrap w:val="0"/>
            <w:vAlign w:val="center"/>
          </w:tcPr>
          <w:p>
            <w:pPr>
              <w:pStyle w:val="42"/>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2119" w:type="dxa"/>
            <w:tcBorders>
              <w:tl2br w:val="nil"/>
              <w:tr2bl w:val="nil"/>
            </w:tcBorders>
            <w:noWrap w:val="0"/>
            <w:vAlign w:val="center"/>
          </w:tcPr>
          <w:p>
            <w:pPr>
              <w:jc w:val="center"/>
              <w:rPr>
                <w:rFonts w:hint="eastAsia" w:hAnsi="宋体" w:cs="宋体"/>
                <w:snapToGrid w:val="0"/>
                <w:color w:val="000000"/>
                <w:kern w:val="21"/>
                <w:szCs w:val="21"/>
              </w:rPr>
            </w:pPr>
            <w:r>
              <w:rPr>
                <w:rFonts w:hint="eastAsia"/>
                <w:lang w:val="en-US" w:eastAsia="zh-CN"/>
              </w:rPr>
              <w:t>医疗废物</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2.2</w:t>
            </w:r>
          </w:p>
        </w:tc>
        <w:tc>
          <w:tcPr>
            <w:tcW w:w="1382" w:type="dxa"/>
            <w:tcBorders>
              <w:tl2br w:val="nil"/>
              <w:tr2bl w:val="nil"/>
            </w:tcBorders>
            <w:noWrap w:val="0"/>
            <w:vAlign w:val="center"/>
          </w:tcPr>
          <w:p>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pStyle w:val="42"/>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2.2</w:t>
            </w:r>
          </w:p>
        </w:tc>
        <w:tc>
          <w:tcPr>
            <w:tcW w:w="1413" w:type="dxa"/>
            <w:tcBorders>
              <w:tl2br w:val="nil"/>
              <w:tr2bl w:val="nil"/>
            </w:tcBorders>
            <w:noWrap w:val="0"/>
            <w:vAlign w:val="center"/>
          </w:tcPr>
          <w:p>
            <w:pPr>
              <w:spacing w:beforeLines="0" w:afterLines="0" w:line="240" w:lineRule="auto"/>
              <w:jc w:val="center"/>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Ansi="宋体" w:cs="宋体"/>
                <w:snapToGrid w:val="0"/>
                <w:color w:val="000000"/>
                <w:kern w:val="21"/>
                <w:szCs w:val="21"/>
              </w:rPr>
            </w:pPr>
          </w:p>
        </w:tc>
        <w:tc>
          <w:tcPr>
            <w:tcW w:w="2119" w:type="dxa"/>
            <w:tcBorders>
              <w:tl2br w:val="nil"/>
              <w:tr2bl w:val="nil"/>
            </w:tcBorders>
            <w:noWrap w:val="0"/>
            <w:vAlign w:val="center"/>
          </w:tcPr>
          <w:p>
            <w:pPr>
              <w:jc w:val="center"/>
              <w:rPr>
                <w:rFonts w:hint="eastAsia" w:hAnsi="宋体" w:cs="宋体"/>
                <w:snapToGrid w:val="0"/>
                <w:color w:val="000000"/>
                <w:kern w:val="21"/>
                <w:szCs w:val="21"/>
              </w:rPr>
            </w:pPr>
            <w:r>
              <w:rPr>
                <w:rFonts w:hint="eastAsia"/>
                <w:lang w:val="en-US" w:eastAsia="zh-CN"/>
              </w:rPr>
              <w:t>废试剂瓶</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0.01</w:t>
            </w:r>
          </w:p>
        </w:tc>
        <w:tc>
          <w:tcPr>
            <w:tcW w:w="138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pStyle w:val="42"/>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w:t>
            </w:r>
          </w:p>
        </w:tc>
        <w:tc>
          <w:tcPr>
            <w:tcW w:w="1907" w:type="dxa"/>
            <w:tcBorders>
              <w:tl2br w:val="nil"/>
              <w:tr2bl w:val="nil"/>
            </w:tcBorders>
            <w:noWrap w:val="0"/>
            <w:vAlign w:val="center"/>
          </w:tcPr>
          <w:p>
            <w:pPr>
              <w:spacing w:beforeLines="0" w:afterLines="0" w:line="240" w:lineRule="auto"/>
              <w:jc w:val="center"/>
              <w:rPr>
                <w:rFonts w:ascii="Times New Roman" w:hAnsi="宋体" w:eastAsia="宋体" w:cs="宋体"/>
                <w:snapToGrid w:val="0"/>
                <w:color w:val="000000"/>
                <w:kern w:val="21"/>
                <w:sz w:val="21"/>
                <w:szCs w:val="21"/>
                <w:lang w:val="en-US" w:eastAsia="zh-CN" w:bidi="ar-SA"/>
              </w:rPr>
            </w:pPr>
            <w:r>
              <w:rPr>
                <w:rFonts w:hint="eastAsia" w:cs="Times New Roman"/>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eastAsia" w:hAnsi="宋体" w:cs="宋体"/>
                <w:snapToGrid w:val="0"/>
                <w:color w:val="000000"/>
                <w:kern w:val="21"/>
                <w:szCs w:val="21"/>
                <w:lang w:val="en-US" w:eastAsia="zh-CN"/>
              </w:rPr>
              <w:t>0.01</w:t>
            </w:r>
          </w:p>
        </w:tc>
        <w:tc>
          <w:tcPr>
            <w:tcW w:w="1413" w:type="dxa"/>
            <w:tcBorders>
              <w:tl2br w:val="nil"/>
              <w:tr2bl w:val="nil"/>
            </w:tcBorders>
            <w:noWrap w:val="0"/>
            <w:vAlign w:val="center"/>
          </w:tcPr>
          <w:p>
            <w:pPr>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Ansi="宋体" w:cs="宋体"/>
                <w:snapToGrid w:val="0"/>
                <w:color w:val="000000"/>
                <w:kern w:val="21"/>
                <w:szCs w:val="21"/>
              </w:rPr>
            </w:pPr>
          </w:p>
        </w:tc>
        <w:tc>
          <w:tcPr>
            <w:tcW w:w="2119" w:type="dxa"/>
            <w:tcBorders>
              <w:tl2br w:val="nil"/>
              <w:tr2bl w:val="nil"/>
            </w:tcBorders>
            <w:noWrap w:val="0"/>
            <w:vAlign w:val="center"/>
          </w:tcPr>
          <w:p>
            <w:pPr>
              <w:jc w:val="center"/>
              <w:rPr>
                <w:rFonts w:hint="eastAsia" w:hAnsi="宋体" w:cs="宋体"/>
                <w:snapToGrid w:val="0"/>
                <w:color w:val="000000"/>
                <w:kern w:val="21"/>
                <w:szCs w:val="21"/>
              </w:rPr>
            </w:pPr>
            <w:r>
              <w:rPr>
                <w:rFonts w:hint="eastAsia"/>
                <w:lang w:val="en-US" w:eastAsia="zh-CN"/>
              </w:rPr>
              <w:t>废试剂</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0.05</w:t>
            </w:r>
          </w:p>
        </w:tc>
        <w:tc>
          <w:tcPr>
            <w:tcW w:w="1382" w:type="dxa"/>
            <w:tcBorders>
              <w:tl2br w:val="nil"/>
              <w:tr2bl w:val="nil"/>
            </w:tcBorders>
            <w:noWrap w:val="0"/>
            <w:vAlign w:val="center"/>
          </w:tcPr>
          <w:p>
            <w:pPr>
              <w:spacing w:beforeLines="0" w:afterLines="0" w:line="240" w:lineRule="auto"/>
              <w:jc w:val="center"/>
              <w:rPr>
                <w:rFonts w:ascii="Times New Roman" w:hAnsi="宋体" w:eastAsia="宋体" w:cs="宋体"/>
                <w:snapToGrid w:val="0"/>
                <w:color w:val="00000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spacing w:beforeLines="0" w:afterLines="0" w:line="240" w:lineRule="auto"/>
              <w:jc w:val="center"/>
              <w:rPr>
                <w:rFonts w:ascii="Times New Roman" w:hAnsi="宋体" w:eastAsia="宋体" w:cs="宋体"/>
                <w:snapToGrid w:val="0"/>
                <w:color w:val="00000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pStyle w:val="42"/>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907" w:type="dxa"/>
            <w:tcBorders>
              <w:tl2br w:val="nil"/>
              <w:tr2bl w:val="nil"/>
            </w:tcBorders>
            <w:noWrap w:val="0"/>
            <w:vAlign w:val="center"/>
          </w:tcPr>
          <w:p>
            <w:pPr>
              <w:pStyle w:val="42"/>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eastAsia" w:hAnsi="宋体" w:cs="宋体"/>
                <w:snapToGrid w:val="0"/>
                <w:color w:val="000000"/>
                <w:kern w:val="21"/>
                <w:szCs w:val="21"/>
                <w:lang w:val="en-US" w:eastAsia="zh-CN"/>
              </w:rPr>
              <w:t>0.05</w:t>
            </w:r>
          </w:p>
        </w:tc>
        <w:tc>
          <w:tcPr>
            <w:tcW w:w="1413" w:type="dxa"/>
            <w:tcBorders>
              <w:tl2br w:val="nil"/>
              <w:tr2bl w:val="nil"/>
            </w:tcBorders>
            <w:noWrap w:val="0"/>
            <w:vAlign w:val="center"/>
          </w:tcPr>
          <w:p>
            <w:pPr>
              <w:pStyle w:val="42"/>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6" w:type="dxa"/>
            <w:vMerge w:val="continue"/>
            <w:tcBorders>
              <w:tl2br w:val="nil"/>
              <w:tr2bl w:val="nil"/>
            </w:tcBorders>
            <w:noWrap w:val="0"/>
            <w:vAlign w:val="center"/>
          </w:tcPr>
          <w:p>
            <w:pPr>
              <w:pStyle w:val="42"/>
              <w:spacing w:beforeLines="0" w:afterLines="0" w:line="240" w:lineRule="auto"/>
              <w:rPr>
                <w:rFonts w:hAnsi="宋体" w:cs="宋体"/>
                <w:snapToGrid w:val="0"/>
                <w:color w:val="000000"/>
                <w:kern w:val="21"/>
                <w:szCs w:val="21"/>
              </w:rPr>
            </w:pPr>
          </w:p>
        </w:tc>
        <w:tc>
          <w:tcPr>
            <w:tcW w:w="2119" w:type="dxa"/>
            <w:tcBorders>
              <w:tl2br w:val="nil"/>
              <w:tr2bl w:val="nil"/>
            </w:tcBorders>
            <w:noWrap w:val="0"/>
            <w:vAlign w:val="center"/>
          </w:tcPr>
          <w:p>
            <w:pPr>
              <w:jc w:val="center"/>
              <w:rPr>
                <w:rFonts w:hint="eastAsia" w:hAnsi="宋体" w:cs="宋体"/>
                <w:snapToGrid w:val="0"/>
                <w:color w:val="000000"/>
                <w:kern w:val="21"/>
                <w:szCs w:val="21"/>
              </w:rPr>
            </w:pPr>
            <w:r>
              <w:rPr>
                <w:rFonts w:hint="eastAsia"/>
                <w:lang w:val="en-US" w:eastAsia="zh-CN"/>
              </w:rPr>
              <w:t>废美沙酮桶</w:t>
            </w:r>
          </w:p>
        </w:tc>
        <w:tc>
          <w:tcPr>
            <w:tcW w:w="1492" w:type="dxa"/>
            <w:tcBorders>
              <w:tl2br w:val="nil"/>
              <w:tr2bl w:val="nil"/>
            </w:tcBorders>
            <w:noWrap w:val="0"/>
            <w:vAlign w:val="center"/>
          </w:tcPr>
          <w:p>
            <w:pPr>
              <w:pStyle w:val="42"/>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0.5</w:t>
            </w:r>
          </w:p>
        </w:tc>
        <w:tc>
          <w:tcPr>
            <w:tcW w:w="1382" w:type="dxa"/>
            <w:tcBorders>
              <w:tl2br w:val="nil"/>
              <w:tr2bl w:val="nil"/>
            </w:tcBorders>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842" w:type="dxa"/>
            <w:tcBorders>
              <w:tl2br w:val="nil"/>
              <w:tr2bl w:val="nil"/>
            </w:tcBorders>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688" w:type="dxa"/>
            <w:tcBorders>
              <w:tl2br w:val="nil"/>
              <w:tr2bl w:val="nil"/>
            </w:tcBorders>
            <w:noWrap w:val="0"/>
            <w:vAlign w:val="center"/>
          </w:tcPr>
          <w:p>
            <w:pPr>
              <w:pStyle w:val="42"/>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907" w:type="dxa"/>
            <w:tcBorders>
              <w:tl2br w:val="nil"/>
              <w:tr2bl w:val="nil"/>
            </w:tcBorders>
            <w:noWrap w:val="0"/>
            <w:vAlign w:val="center"/>
          </w:tcPr>
          <w:p>
            <w:pPr>
              <w:pStyle w:val="42"/>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1826" w:type="dxa"/>
            <w:tcBorders>
              <w:tl2br w:val="nil"/>
              <w:tr2bl w:val="nil"/>
            </w:tcBorders>
            <w:noWrap w:val="0"/>
            <w:vAlign w:val="center"/>
          </w:tcPr>
          <w:p>
            <w:pPr>
              <w:pStyle w:val="42"/>
              <w:spacing w:beforeLines="0" w:afterLines="0" w:line="240" w:lineRule="auto"/>
              <w:rPr>
                <w:rFonts w:hint="default" w:ascii="Times New Roman" w:hAnsi="Times New Roman" w:cs="Times New Roman"/>
                <w:snapToGrid w:val="0"/>
                <w:color w:val="000000"/>
                <w:kern w:val="21"/>
                <w:szCs w:val="21"/>
              </w:rPr>
            </w:pPr>
            <w:r>
              <w:rPr>
                <w:rFonts w:hint="eastAsia" w:hAnsi="宋体" w:cs="宋体"/>
                <w:snapToGrid w:val="0"/>
                <w:color w:val="000000"/>
                <w:kern w:val="21"/>
                <w:szCs w:val="21"/>
                <w:lang w:val="en-US" w:eastAsia="zh-CN"/>
              </w:rPr>
              <w:t>0.5</w:t>
            </w:r>
          </w:p>
        </w:tc>
        <w:tc>
          <w:tcPr>
            <w:tcW w:w="1413" w:type="dxa"/>
            <w:tcBorders>
              <w:tl2br w:val="nil"/>
              <w:tr2bl w:val="nil"/>
            </w:tcBorders>
            <w:noWrap w:val="0"/>
            <w:vAlign w:val="center"/>
          </w:tcPr>
          <w:p>
            <w:pPr>
              <w:pStyle w:val="42"/>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6" w:type="dxa"/>
            <w:vMerge w:val="continue"/>
            <w:tcBorders>
              <w:tl2br w:val="nil"/>
              <w:tr2bl w:val="nil"/>
            </w:tcBorders>
            <w:noWrap w:val="0"/>
            <w:vAlign w:val="center"/>
          </w:tcPr>
          <w:p>
            <w:pPr>
              <w:pStyle w:val="42"/>
              <w:spacing w:beforeLines="0" w:afterLines="0" w:line="240" w:lineRule="auto"/>
              <w:rPr>
                <w:rFonts w:hAnsi="宋体" w:cs="宋体"/>
                <w:snapToGrid w:val="0"/>
                <w:color w:val="000000"/>
                <w:kern w:val="21"/>
                <w:szCs w:val="21"/>
              </w:rPr>
            </w:pPr>
          </w:p>
        </w:tc>
        <w:tc>
          <w:tcPr>
            <w:tcW w:w="2119" w:type="dxa"/>
            <w:tcBorders>
              <w:tl2br w:val="nil"/>
              <w:tr2bl w:val="nil"/>
            </w:tcBorders>
            <w:noWrap w:val="0"/>
            <w:vAlign w:val="center"/>
          </w:tcPr>
          <w:p>
            <w:pPr>
              <w:jc w:val="center"/>
              <w:rPr>
                <w:rFonts w:hint="eastAsia" w:hAnsi="宋体" w:cs="宋体"/>
                <w:snapToGrid w:val="0"/>
                <w:color w:val="000000"/>
                <w:kern w:val="21"/>
                <w:szCs w:val="21"/>
              </w:rPr>
            </w:pPr>
            <w:r>
              <w:rPr>
                <w:rFonts w:hint="eastAsia"/>
                <w:lang w:val="en-US" w:eastAsia="zh-CN"/>
              </w:rPr>
              <w:t>污水处理站污泥</w:t>
            </w:r>
          </w:p>
        </w:tc>
        <w:tc>
          <w:tcPr>
            <w:tcW w:w="1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0.0235</w:t>
            </w:r>
          </w:p>
        </w:tc>
        <w:tc>
          <w:tcPr>
            <w:tcW w:w="138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842"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8</w:t>
            </w:r>
          </w:p>
        </w:tc>
        <w:tc>
          <w:tcPr>
            <w:tcW w:w="1907" w:type="dxa"/>
            <w:tcBorders>
              <w:tl2br w:val="nil"/>
              <w:tr2bl w:val="nil"/>
            </w:tcBorders>
            <w:noWrap w:val="0"/>
            <w:vAlign w:val="center"/>
          </w:tcPr>
          <w:p>
            <w:pPr>
              <w:spacing w:beforeLines="0" w:afterLines="0" w:line="240" w:lineRule="auto"/>
              <w:jc w:val="center"/>
              <w:rPr>
                <w:rFonts w:hAnsi="宋体" w:cs="宋体"/>
                <w:snapToGrid w:val="0"/>
                <w:color w:val="000000"/>
                <w:kern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8</w:t>
            </w:r>
          </w:p>
        </w:tc>
        <w:tc>
          <w:tcPr>
            <w:tcW w:w="18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000000"/>
                <w:kern w:val="21"/>
                <w:szCs w:val="21"/>
              </w:rPr>
            </w:pPr>
            <w:r>
              <w:rPr>
                <w:rFonts w:hint="eastAsia"/>
                <w:lang w:val="en-US" w:eastAsia="zh-CN"/>
              </w:rPr>
              <w:t>0.0273</w:t>
            </w:r>
          </w:p>
        </w:tc>
        <w:tc>
          <w:tcPr>
            <w:tcW w:w="141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000000"/>
                <w:kern w:val="21"/>
                <w:szCs w:val="21"/>
              </w:rPr>
            </w:pPr>
            <w:r>
              <w:rPr>
                <w:rFonts w:hint="default"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8</w:t>
            </w:r>
          </w:p>
        </w:tc>
      </w:tr>
    </w:tbl>
    <w:p>
      <w:pPr>
        <w:pStyle w:val="42"/>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00" w:usb3="00000000" w:csb0="00040000" w:csb1="00000000"/>
  </w:font>
  <w:font w:name="__">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7E057A"/>
    <w:multiLevelType w:val="singleLevel"/>
    <w:tmpl w:val="B37E057A"/>
    <w:lvl w:ilvl="0" w:tentative="0">
      <w:start w:val="2"/>
      <w:numFmt w:val="decimal"/>
      <w:suff w:val="nothing"/>
      <w:lvlText w:val="（%1）"/>
      <w:lvlJc w:val="left"/>
    </w:lvl>
  </w:abstractNum>
  <w:abstractNum w:abstractNumId="1">
    <w:nsid w:val="D4509530"/>
    <w:multiLevelType w:val="singleLevel"/>
    <w:tmpl w:val="D4509530"/>
    <w:lvl w:ilvl="0" w:tentative="0">
      <w:start w:val="1"/>
      <w:numFmt w:val="lowerLetter"/>
      <w:suff w:val="space"/>
      <w:lvlText w:val="%1."/>
      <w:lvlJc w:val="left"/>
    </w:lvl>
  </w:abstractNum>
  <w:abstractNum w:abstractNumId="2">
    <w:nsid w:val="20078C6F"/>
    <w:multiLevelType w:val="singleLevel"/>
    <w:tmpl w:val="20078C6F"/>
    <w:lvl w:ilvl="0" w:tentative="0">
      <w:start w:val="1"/>
      <w:numFmt w:val="lowerLetter"/>
      <w:suff w:val="space"/>
      <w:lvlText w:val="%1."/>
      <w:lvlJc w:val="left"/>
    </w:lvl>
  </w:abstractNum>
  <w:abstractNum w:abstractNumId="3">
    <w:nsid w:val="6819D9DD"/>
    <w:multiLevelType w:val="singleLevel"/>
    <w:tmpl w:val="6819D9DD"/>
    <w:lvl w:ilvl="0" w:tentative="0">
      <w:start w:val="1"/>
      <w:numFmt w:val="decimal"/>
      <w:suff w:val="nothing"/>
      <w:lvlText w:val="(%1)"/>
      <w:lvlJc w:val="left"/>
      <w:pPr>
        <w:ind w:left="454" w:leftChars="0" w:hanging="454" w:firstLineChars="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5ZDVlZjM3MmE2ZmM2ZmE5ODcwYjA2YjFjZDgyYmEifQ=="/>
  </w:docVars>
  <w:rsids>
    <w:rsidRoot w:val="00000000"/>
    <w:rsid w:val="02FF1DEF"/>
    <w:rsid w:val="034F23D8"/>
    <w:rsid w:val="036D2001"/>
    <w:rsid w:val="04706FFA"/>
    <w:rsid w:val="07A9526D"/>
    <w:rsid w:val="080501D8"/>
    <w:rsid w:val="08C16A82"/>
    <w:rsid w:val="0B3D29EF"/>
    <w:rsid w:val="11D04B90"/>
    <w:rsid w:val="11D73917"/>
    <w:rsid w:val="12411FD6"/>
    <w:rsid w:val="138F09C8"/>
    <w:rsid w:val="156404B5"/>
    <w:rsid w:val="16164614"/>
    <w:rsid w:val="1B953576"/>
    <w:rsid w:val="1BEA4DD8"/>
    <w:rsid w:val="1EAD0B35"/>
    <w:rsid w:val="1F220271"/>
    <w:rsid w:val="1F52455B"/>
    <w:rsid w:val="1F9B678F"/>
    <w:rsid w:val="23394632"/>
    <w:rsid w:val="23557940"/>
    <w:rsid w:val="285E6FB0"/>
    <w:rsid w:val="29E8742C"/>
    <w:rsid w:val="29FF0562"/>
    <w:rsid w:val="2DDC2423"/>
    <w:rsid w:val="2E4A5C13"/>
    <w:rsid w:val="2F6E3A87"/>
    <w:rsid w:val="3295218D"/>
    <w:rsid w:val="32D71B71"/>
    <w:rsid w:val="32ED5507"/>
    <w:rsid w:val="35E45606"/>
    <w:rsid w:val="35F25212"/>
    <w:rsid w:val="366F1A7F"/>
    <w:rsid w:val="37A2365F"/>
    <w:rsid w:val="38063E5B"/>
    <w:rsid w:val="38A95DB8"/>
    <w:rsid w:val="38B13162"/>
    <w:rsid w:val="3AB40CFA"/>
    <w:rsid w:val="3C6654C1"/>
    <w:rsid w:val="3CC27C15"/>
    <w:rsid w:val="3D0D7800"/>
    <w:rsid w:val="3D707C8D"/>
    <w:rsid w:val="3F6A7F7E"/>
    <w:rsid w:val="3FA509C1"/>
    <w:rsid w:val="402523E0"/>
    <w:rsid w:val="402762AE"/>
    <w:rsid w:val="41DD0DBC"/>
    <w:rsid w:val="43CE4162"/>
    <w:rsid w:val="46C70721"/>
    <w:rsid w:val="46CF3A9F"/>
    <w:rsid w:val="483D0C78"/>
    <w:rsid w:val="48642209"/>
    <w:rsid w:val="48F51FA6"/>
    <w:rsid w:val="4DD55AA2"/>
    <w:rsid w:val="4E90449E"/>
    <w:rsid w:val="4E9B55E9"/>
    <w:rsid w:val="50F87728"/>
    <w:rsid w:val="515F1851"/>
    <w:rsid w:val="5182351C"/>
    <w:rsid w:val="51D553BF"/>
    <w:rsid w:val="5295381F"/>
    <w:rsid w:val="546F2B51"/>
    <w:rsid w:val="559D1D3C"/>
    <w:rsid w:val="56787A05"/>
    <w:rsid w:val="57867E87"/>
    <w:rsid w:val="579A3A2F"/>
    <w:rsid w:val="59A57BCC"/>
    <w:rsid w:val="5A377CD9"/>
    <w:rsid w:val="5B7D24E0"/>
    <w:rsid w:val="5D01254E"/>
    <w:rsid w:val="5DED5D8A"/>
    <w:rsid w:val="5E6250FB"/>
    <w:rsid w:val="5EAC0833"/>
    <w:rsid w:val="5EFC6FEB"/>
    <w:rsid w:val="625155DD"/>
    <w:rsid w:val="65D86F51"/>
    <w:rsid w:val="661C579D"/>
    <w:rsid w:val="678E44EB"/>
    <w:rsid w:val="686F57E6"/>
    <w:rsid w:val="68E0641B"/>
    <w:rsid w:val="6A484933"/>
    <w:rsid w:val="6E731D44"/>
    <w:rsid w:val="74023212"/>
    <w:rsid w:val="74D53759"/>
    <w:rsid w:val="75AF5A89"/>
    <w:rsid w:val="779B3CE4"/>
    <w:rsid w:val="7ABB216B"/>
    <w:rsid w:val="7DEC732F"/>
    <w:rsid w:val="7FAD7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
    <w:pPr>
      <w:keepNext/>
      <w:keepLines/>
      <w:spacing w:line="240" w:lineRule="auto"/>
      <w:jc w:val="center"/>
      <w:outlineLvl w:val="0"/>
    </w:pPr>
    <w:rPr>
      <w:rFonts w:ascii="Times New Roman" w:hAnsi="Times New Roman" w:eastAsia="宋体"/>
      <w:b/>
      <w:bCs/>
      <w:kern w:val="44"/>
      <w:sz w:val="30"/>
      <w:szCs w:val="44"/>
    </w:rPr>
  </w:style>
  <w:style w:type="paragraph" w:styleId="4">
    <w:name w:val="heading 2"/>
    <w:basedOn w:val="1"/>
    <w:next w:val="1"/>
    <w:link w:val="43"/>
    <w:unhideWhenUsed/>
    <w:qFormat/>
    <w:uiPriority w:val="0"/>
    <w:pPr>
      <w:spacing w:before="0" w:beforeAutospacing="0" w:after="0" w:afterAutospacing="0"/>
      <w:jc w:val="left"/>
      <w:outlineLvl w:val="1"/>
    </w:pPr>
    <w:rPr>
      <w:rFonts w:hint="eastAsia" w:ascii="宋体" w:hAnsi="宋体" w:eastAsia="宋体" w:cs="宋体"/>
      <w:bCs/>
      <w:kern w:val="0"/>
      <w:sz w:val="24"/>
      <w:szCs w:val="36"/>
      <w:lang w:bidi="ar"/>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adjustRightInd w:val="0"/>
      <w:snapToGrid w:val="0"/>
      <w:ind w:firstLine="420"/>
      <w:jc w:val="left"/>
      <w:textAlignment w:val="baseline"/>
    </w:pPr>
    <w:rPr>
      <w:kern w:val="0"/>
      <w:szCs w:val="20"/>
    </w:rPr>
  </w:style>
  <w:style w:type="paragraph" w:styleId="6">
    <w:name w:val="annotation text"/>
    <w:basedOn w:val="1"/>
    <w:qFormat/>
    <w:uiPriority w:val="0"/>
    <w:pPr>
      <w:jc w:val="left"/>
    </w:p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customStyle="1" w:styleId="8">
    <w:name w:val="xl27"/>
    <w:basedOn w:val="1"/>
    <w:qFormat/>
    <w:uiPriority w:val="0"/>
    <w:pPr>
      <w:widowControl/>
      <w:spacing w:before="100" w:beforeAutospacing="1" w:after="100" w:afterAutospacing="1" w:line="240" w:lineRule="auto"/>
      <w:ind w:firstLine="0" w:firstLineChars="0"/>
      <w:jc w:val="center"/>
    </w:pPr>
    <w:rPr>
      <w:rFonts w:hint="eastAsia" w:ascii="楷体_GB2312" w:hAnsi="Arial Unicode MS" w:eastAsia="楷体_GB2312"/>
      <w:kern w:val="0"/>
      <w:szCs w:val="28"/>
    </w:rPr>
  </w:style>
  <w:style w:type="paragraph" w:styleId="9">
    <w:name w:val="Body Text Indent 2"/>
    <w:basedOn w:val="1"/>
    <w:qFormat/>
    <w:uiPriority w:val="0"/>
    <w:pPr>
      <w:spacing w:line="460" w:lineRule="exact"/>
      <w:ind w:firstLine="561"/>
    </w:pPr>
    <w:rPr>
      <w:rFonts w:ascii="宋体"/>
      <w:sz w:val="28"/>
    </w:rPr>
  </w:style>
  <w:style w:type="paragraph" w:styleId="10">
    <w:name w:val="footer"/>
    <w:basedOn w:val="1"/>
    <w:unhideWhenUsed/>
    <w:qFormat/>
    <w:uiPriority w:val="99"/>
    <w:pPr>
      <w:tabs>
        <w:tab w:val="center" w:pos="4153"/>
        <w:tab w:val="right" w:pos="8306"/>
      </w:tabs>
      <w:snapToGrid w:val="0"/>
      <w:jc w:val="left"/>
    </w:pPr>
    <w:rPr>
      <w:kern w:val="0"/>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uiPriority w:val="0"/>
  </w:style>
  <w:style w:type="paragraph" w:styleId="13">
    <w:name w:val="toc 2"/>
    <w:basedOn w:val="1"/>
    <w:next w:val="1"/>
    <w:unhideWhenUsed/>
    <w:qFormat/>
    <w:uiPriority w:val="0"/>
    <w:pPr>
      <w:spacing w:line="300" w:lineRule="auto"/>
      <w:ind w:firstLine="100" w:firstLineChars="100"/>
      <w:jc w:val="left"/>
    </w:pPr>
    <w:rPr>
      <w:smallCaps/>
      <w:sz w:val="21"/>
    </w:rPr>
  </w:style>
  <w:style w:type="paragraph" w:styleId="14">
    <w:name w:val="Body Text 2"/>
    <w:basedOn w:val="1"/>
    <w:unhideWhenUsed/>
    <w:qFormat/>
    <w:uiPriority w:val="99"/>
    <w:pPr>
      <w:spacing w:after="120" w:line="480" w:lineRule="auto"/>
    </w:p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qFormat/>
    <w:uiPriority w:val="99"/>
    <w:rPr>
      <w:color w:val="0000FF"/>
      <w:u w:val="single"/>
    </w:rPr>
  </w:style>
  <w:style w:type="paragraph" w:customStyle="1" w:styleId="21">
    <w:name w:val="Default"/>
    <w:basedOn w:val="22"/>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2">
    <w:name w:val="纯文本1"/>
    <w:basedOn w:val="1"/>
    <w:qFormat/>
    <w:uiPriority w:val="0"/>
    <w:rPr>
      <w:rFonts w:hint="eastAsia" w:ascii="宋体" w:hAnsi="Courier New"/>
      <w:szCs w:val="22"/>
    </w:rPr>
  </w:style>
  <w:style w:type="paragraph" w:customStyle="1" w:styleId="23">
    <w:name w:val="表格 32"/>
    <w:basedOn w:val="1"/>
    <w:qFormat/>
    <w:uiPriority w:val="0"/>
    <w:pPr>
      <w:autoSpaceDE w:val="0"/>
      <w:autoSpaceDN w:val="0"/>
      <w:adjustRightInd w:val="0"/>
      <w:spacing w:line="240" w:lineRule="atLeast"/>
      <w:jc w:val="center"/>
      <w:textAlignment w:val="baseline"/>
    </w:pPr>
    <w:rPr>
      <w:kern w:val="0"/>
      <w:sz w:val="24"/>
      <w:szCs w:val="20"/>
    </w:rPr>
  </w:style>
  <w:style w:type="paragraph" w:customStyle="1" w:styleId="24">
    <w:name w:val="样式 表格 32 + 首行缩进:  2 字符"/>
    <w:basedOn w:val="23"/>
    <w:qFormat/>
    <w:uiPriority w:val="0"/>
    <w:pPr>
      <w:spacing w:line="0" w:lineRule="atLeast"/>
      <w:textAlignment w:val="auto"/>
    </w:pPr>
    <w:rPr>
      <w:rFonts w:ascii="Times New Roman" w:hAnsi="Times New Roman"/>
      <w:sz w:val="20"/>
      <w:szCs w:val="21"/>
    </w:rPr>
  </w:style>
  <w:style w:type="character" w:customStyle="1" w:styleId="25">
    <w:name w:val="font81"/>
    <w:basedOn w:val="18"/>
    <w:qFormat/>
    <w:uiPriority w:val="0"/>
    <w:rPr>
      <w:rFonts w:hint="default" w:ascii="Times New Roman" w:hAnsi="Times New Roman" w:cs="Times New Roman"/>
      <w:color w:val="000000"/>
      <w:sz w:val="21"/>
      <w:szCs w:val="21"/>
      <w:u w:val="none"/>
    </w:rPr>
  </w:style>
  <w:style w:type="character" w:customStyle="1" w:styleId="26">
    <w:name w:val="font31"/>
    <w:basedOn w:val="18"/>
    <w:qFormat/>
    <w:uiPriority w:val="0"/>
    <w:rPr>
      <w:rFonts w:hint="eastAsia" w:ascii="宋体" w:hAnsi="宋体" w:eastAsia="宋体" w:cs="宋体"/>
      <w:color w:val="000000"/>
      <w:sz w:val="21"/>
      <w:szCs w:val="21"/>
      <w:u w:val="none"/>
    </w:rPr>
  </w:style>
  <w:style w:type="character" w:customStyle="1" w:styleId="27">
    <w:name w:val="font71"/>
    <w:basedOn w:val="18"/>
    <w:qFormat/>
    <w:uiPriority w:val="0"/>
    <w:rPr>
      <w:rFonts w:hint="default" w:ascii="Times New Roman" w:hAnsi="Times New Roman" w:cs="Times New Roman"/>
      <w:color w:val="000000"/>
      <w:sz w:val="21"/>
      <w:szCs w:val="21"/>
      <w:u w:val="none"/>
    </w:rPr>
  </w:style>
  <w:style w:type="character" w:customStyle="1" w:styleId="28">
    <w:name w:val="font41"/>
    <w:basedOn w:val="18"/>
    <w:qFormat/>
    <w:uiPriority w:val="0"/>
    <w:rPr>
      <w:rFonts w:hint="eastAsia" w:ascii="宋体" w:hAnsi="宋体" w:eastAsia="宋体" w:cs="宋体"/>
      <w:color w:val="000000"/>
      <w:sz w:val="21"/>
      <w:szCs w:val="21"/>
      <w:u w:val="none"/>
    </w:rPr>
  </w:style>
  <w:style w:type="character" w:customStyle="1" w:styleId="29">
    <w:name w:val="font51"/>
    <w:basedOn w:val="18"/>
    <w:qFormat/>
    <w:uiPriority w:val="0"/>
    <w:rPr>
      <w:rFonts w:hint="eastAsia" w:ascii="宋体" w:hAnsi="宋体" w:eastAsia="宋体" w:cs="宋体"/>
      <w:color w:val="0000FF"/>
      <w:sz w:val="21"/>
      <w:szCs w:val="21"/>
      <w:u w:val="single"/>
    </w:rPr>
  </w:style>
  <w:style w:type="character" w:customStyle="1" w:styleId="30">
    <w:name w:val="font61"/>
    <w:basedOn w:val="18"/>
    <w:qFormat/>
    <w:uiPriority w:val="0"/>
    <w:rPr>
      <w:rFonts w:hint="eastAsia" w:ascii="宋体" w:hAnsi="宋体" w:eastAsia="宋体" w:cs="宋体"/>
      <w:color w:val="FF0000"/>
      <w:sz w:val="21"/>
      <w:szCs w:val="21"/>
      <w:u w:val="single"/>
    </w:rPr>
  </w:style>
  <w:style w:type="character" w:customStyle="1" w:styleId="31">
    <w:name w:val="font11"/>
    <w:basedOn w:val="18"/>
    <w:qFormat/>
    <w:uiPriority w:val="0"/>
    <w:rPr>
      <w:rFonts w:hint="eastAsia" w:ascii="宋体" w:hAnsi="宋体" w:eastAsia="宋体" w:cs="宋体"/>
      <w:color w:val="142AD1"/>
      <w:sz w:val="21"/>
      <w:szCs w:val="21"/>
      <w:u w:val="single"/>
    </w:rPr>
  </w:style>
  <w:style w:type="character" w:customStyle="1" w:styleId="32">
    <w:name w:val="font01"/>
    <w:basedOn w:val="18"/>
    <w:qFormat/>
    <w:uiPriority w:val="0"/>
    <w:rPr>
      <w:rFonts w:hint="default" w:ascii="Times New Roman" w:hAnsi="Times New Roman" w:cs="Times New Roman"/>
      <w:color w:val="FF0000"/>
      <w:sz w:val="21"/>
      <w:szCs w:val="21"/>
      <w:u w:val="single"/>
    </w:rPr>
  </w:style>
  <w:style w:type="paragraph" w:customStyle="1" w:styleId="33">
    <w:name w:val="黄酒表格标题"/>
    <w:qFormat/>
    <w:uiPriority w:val="0"/>
    <w:pPr>
      <w:tabs>
        <w:tab w:val="left" w:pos="-2848"/>
      </w:tabs>
      <w:jc w:val="center"/>
    </w:pPr>
    <w:rPr>
      <w:rFonts w:ascii="Times New Roman" w:hAnsi="Times New Roman" w:eastAsia="宋体" w:cs="宋体"/>
      <w:b/>
      <w:sz w:val="21"/>
      <w:szCs w:val="21"/>
      <w:lang w:val="en-US" w:eastAsia="zh-CN" w:bidi="ar-SA"/>
    </w:rPr>
  </w:style>
  <w:style w:type="character" w:customStyle="1" w:styleId="34">
    <w:name w:val="样式 正文01 + Times New Roman Char"/>
    <w:link w:val="35"/>
    <w:qFormat/>
    <w:uiPriority w:val="0"/>
    <w:rPr>
      <w:color w:val="000000"/>
      <w:sz w:val="24"/>
      <w:szCs w:val="24"/>
    </w:rPr>
  </w:style>
  <w:style w:type="paragraph" w:customStyle="1" w:styleId="35">
    <w:name w:val="样式 正文01 + Times New Roman"/>
    <w:basedOn w:val="36"/>
    <w:link w:val="34"/>
    <w:qFormat/>
    <w:uiPriority w:val="0"/>
    <w:pPr>
      <w:adjustRightInd w:val="0"/>
      <w:spacing w:line="520" w:lineRule="exact"/>
      <w:ind w:firstLine="514" w:firstLineChars="214"/>
      <w:textAlignment w:val="baseline"/>
    </w:pPr>
    <w:rPr>
      <w:color w:val="000000"/>
      <w:sz w:val="24"/>
      <w:szCs w:val="24"/>
    </w:rPr>
  </w:style>
  <w:style w:type="paragraph" w:customStyle="1" w:styleId="36">
    <w:name w:val="正文01"/>
    <w:basedOn w:val="1"/>
    <w:qFormat/>
    <w:uiPriority w:val="0"/>
    <w:pPr>
      <w:spacing w:before="60" w:line="460" w:lineRule="exact"/>
      <w:ind w:firstLine="200"/>
      <w:jc w:val="both"/>
    </w:pPr>
    <w:rPr>
      <w:rFonts w:ascii="Calibri" w:hAnsi="Calibri"/>
      <w:szCs w:val="24"/>
    </w:rPr>
  </w:style>
  <w:style w:type="character" w:customStyle="1" w:styleId="37">
    <w:name w:val="font21"/>
    <w:basedOn w:val="18"/>
    <w:qFormat/>
    <w:uiPriority w:val="0"/>
    <w:rPr>
      <w:rFonts w:hint="eastAsia" w:ascii="宋体" w:hAnsi="宋体" w:eastAsia="宋体" w:cs="宋体"/>
      <w:color w:val="000000"/>
      <w:sz w:val="21"/>
      <w:szCs w:val="21"/>
      <w:u w:val="none"/>
    </w:rPr>
  </w:style>
  <w:style w:type="paragraph" w:customStyle="1" w:styleId="38">
    <w:name w:val="Table Paragraph"/>
    <w:basedOn w:val="1"/>
    <w:qFormat/>
    <w:uiPriority w:val="1"/>
    <w:pPr>
      <w:jc w:val="center"/>
    </w:pPr>
    <w:rPr>
      <w:rFonts w:ascii="宋体" w:hAnsi="宋体" w:eastAsia="宋体" w:cs="宋体"/>
      <w:lang w:val="zh-CN" w:eastAsia="zh-CN" w:bidi="zh-CN"/>
    </w:rPr>
  </w:style>
  <w:style w:type="character" w:customStyle="1" w:styleId="39">
    <w:name w:val="fontstyle01"/>
    <w:qFormat/>
    <w:uiPriority w:val="0"/>
    <w:rPr>
      <w:rFonts w:ascii="宋体" w:hAnsi="宋体" w:eastAsia="宋体" w:cs="宋体"/>
      <w:color w:val="000000"/>
      <w:sz w:val="22"/>
      <w:szCs w:val="22"/>
    </w:rPr>
  </w:style>
  <w:style w:type="paragraph" w:customStyle="1" w:styleId="40">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41">
    <w:name w:val="fontstyle21"/>
    <w:qFormat/>
    <w:uiPriority w:val="0"/>
    <w:rPr>
      <w:rFonts w:ascii="TimesNewRomanPSMT" w:hAnsi="TimesNewRomanPSMT" w:eastAsia="TimesNewRomanPSMT" w:cs="TimesNewRomanPSMT"/>
      <w:color w:val="000000"/>
      <w:sz w:val="22"/>
      <w:szCs w:val="22"/>
    </w:rPr>
  </w:style>
  <w:style w:type="paragraph" w:customStyle="1" w:styleId="42">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43">
    <w:name w:val="标题 2 Char"/>
    <w:link w:val="4"/>
    <w:qFormat/>
    <w:uiPriority w:val="0"/>
    <w:rPr>
      <w:rFonts w:hint="eastAsia" w:ascii="宋体" w:hAnsi="宋体" w:eastAsia="宋体" w:cs="宋体"/>
      <w:bCs/>
      <w:kern w:val="0"/>
      <w:sz w:val="24"/>
      <w:szCs w:val="36"/>
      <w:lang w:val="en-US" w:eastAsia="zh-CN" w:bidi="ar"/>
    </w:rPr>
  </w:style>
  <w:style w:type="table" w:customStyle="1" w:styleId="4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wmf"/><Relationship Id="rId26" Type="http://schemas.openxmlformats.org/officeDocument/2006/relationships/oleObject" Target="embeddings/oleObject2.bin"/><Relationship Id="rId25" Type="http://schemas.openxmlformats.org/officeDocument/2006/relationships/image" Target="media/image18.wmf"/><Relationship Id="rId24" Type="http://schemas.openxmlformats.org/officeDocument/2006/relationships/oleObject" Target="embeddings/oleObject1.bin"/><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1027"/>
  </customShpExts>
  <extobjs>
    <extobj name="ECB019B1-382A-4266-B25C-5B523AA43C14-3">
      <extobjdata type="ECB019B1-382A-4266-B25C-5B523AA43C14" data="ewoJIkZpbGVJZCIgOiAiMTczNzg2Nzg0MTEwIiwKCSJHcm91cElkIiA6ICI3NzYwODQzODgiLAoJIkltYWdlIiA6ICJpVkJPUncwS0dnb0FBQUFOU1VoRVVnQUFCRVlBQUFLdUNBWUFBQUNzZnhuQUFBQUFDWEJJV1hNQUFBc1RBQUFMRXdFQW1wd1lBQUFnQUVsRVFWUjRuT3pkZVp5TjlmLy84ZWM1c3pDR0NWbnFrMG9yMWFkUG5MRzJDUldLaE5DVXRUNlV3bWZzcFd6NTJsc29hMXFFc2lXRXhrN1pXb3doRk1vU3NveGhoakdIT1RQbnZIOS9USFA5NXBqRkRHUE9tSG5jYnplMzI3bmUxL2E2NW4yZHl6bXY4MTR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"/>
    </extobj>
    <extobj name="ECB019B1-382A-4266-B25C-5B523AA43C14-4">
      <extobjdata type="ECB019B1-382A-4266-B25C-5B523AA43C14" data="ewoJIkZpbGVJZCIgOiAiMTc0NDAyMjI0MzA2IiwKCSJHcm91cElkIiA6ICI3NzYwODQzODgiLAoJIkltYWdlIiA6ICJpVkJPUncwS0dnb0FBQUFOU1VoRVVnQUFBb0VBQUFGWENBWUFBQURkM0pRWEFBQUFDWEJJV1hNQUFBc1RBQUFMRXdFQW1wd1lBQUFnQUVsRVFWUjRuT3pkZVhoVFZmNC84UGROMDZSSjAzUXZYZFBTbHJaUVNwc29LT2l3cVl3b2dvcnJUNFRCWmNaZFoxUVljVlJFblJuR1lWeEdGTVd2NGk2SU9nb0tLaUtvakFMU2xwWmlXVnE2NzN1YnRVbnU3NDgybWJSTm9hVjBvWG0vbm9mSDNIUFB2ZmR6YTAvenlibm5uQ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"/>
    </extobj>
    <extobj name="ECB019B1-382A-4266-B25C-5B523AA43C14-5">
      <extobjdata type="ECB019B1-382A-4266-B25C-5B523AA43C14" data="ewoJIkZpbGVJZCIgOiAiMTU5NzI5MjA0NDk5IiwKCSJHcm91cElkIiA6ICI3NzYwODQzODgiLAoJIkltYWdlIiA6ICJpVkJPUncwS0dnb0FBQUFOU1VoRVVnQUFBZTRBQUFFdkNBWUFBQUNEb3lKSEFBQUFDWEJJV1hNQUFBc1RBQUFMRXdFQW1wd1lBQUFnQUVsRVFWUjRuTzNkZVhoVFZmNC84UGROMnFSTjAzMUxOOXJTeGRJMkxZa0t5cUNvSUlvREtxSXpLSUxDcUNnemZFZHhGRVZ4VU1mUkdVZkhud3ZpaUFPQ0lvc2JBMWhId1JFWFhHbVJOcXpkRjdyU3ZXbjIrL3VqVFV4TFcwRGFKbW5mcitmeGFlNjU1OTc3dVRIaGszUHV1ZWND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"/>
    </extobj>
    <extobj name="ECB019B1-382A-4266-B25C-5B523AA43C14-6">
      <extobjdata type="ECB019B1-382A-4266-B25C-5B523AA43C14" data="ewoJIkZpbGVJZCIgOiAiMTU5NzQyMTQwODk1IiwKCSJHcm91cElkIiA6ICI3NzYwODQzODgiLAoJIkltYWdlIiA6ICJpVkJPUncwS0dnb0FBQUFOU1VoRVVnQUFBMkFBQUFIb0NBWUFBQUF2N293NEFBQUFDWEJJV1hNQUFBc1RBQUFMRXdFQW1wd1lBQUFnQUVsRVFWUjRuT3pkZVhoVFZmNC84UGROMnlSTjB6Wko5NFcyUUlGaWFXa0NxRGdnaUtLQ2dDS2pEb3VLQys2akRvcmdndUF5NERhSTIxZGNSZ1oxZm93VlVFWUVGeFlkY1dHVXR0Qlc5dEtXRnVpYWtxWkpreWE1dno5b01tbWJsZ0p0MHFidjEvUHdtSHZ1dVNlZjJ6bVRtMC9PdWVjQ1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I4ZXY4ZmV6SzN0cGsvbC84QUFBQUFTVVZPUks1Q1lJST0iLAoJIlRoZW1lIiA6ICIiLAoJIlR5cGUiIDogImZsb3ciLAoJIlZlcnNpb24iIDogIiIKfQo="/>
    </extobj>
    <extobj name="ECB019B1-382A-4266-B25C-5B523AA43C14-7">
      <extobjdata type="ECB019B1-382A-4266-B25C-5B523AA43C14" data="ewoJIkZpbGVJZCIgOiAiMTY0OTg1MzEwNjc3IiwKCSJHcm91cElkIiA6ICI3NzYwODQzODgiLAoJIkltYWdlIiA6ICJpVkJPUncwS0dnb0FBQUFOU1VoRVVnQUFBcTRBQUFFMkNBWUFBQUNnSWhDMUFBQUFDWEJJV1hNQUFBc1RBQUFMRXdFQW1wd1lBQUFnQUVsRVFWUjRuTzNkZVh4VTFmMy84ZmVkN1B2R2twQkFJRUFFUW9RTXRjaTNJbFcraUxpaFdMVldFYlNLMXFWVzFLSUlwWXFLMW8zMksrQ0dhRVZVTnJXaVdISEJyeUsyZmlIQ09KWkFDQVFTTUFHeVFQYVp6UDM5QVRPL21TeVFLQ1NaNVBWOFBIaVllKzY1ZDg0ZFQyNCs5OXh6UDFj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"/>
    </extobj>
    <extobj name="ECB019B1-382A-4266-B25C-5B523AA43C14-8">
      <extobjdata type="ECB019B1-382A-4266-B25C-5B523AA43C14" data="ewoJIkZpbGVJZCIgOiAiMTc0Mzk3MzE0MjEwIiwKCSJHcm91cElkIiA6ICI3NzYwODQzODgiLAoJIkltYWdlIiA6ICJpVkJPUncwS0dnb0FBQUFOU1VoRVVnQUFBYlFBQUFDOUNBWUFBQURiVElnNkFBQUFDWEJJV1hNQUFBc1RBQUFMRXdFQW1wd1lBQUFnQUVsRVFWUjRuTzNkZVh4VTFkMC84TStkbWN4TVpzOWszMWVTZ1NFSnViVFdhdEUrV2lyNktPcFBzYUtnYUgyc0ZWUjR1ZEc2b2Y1NExFVmNTcXV0QzRpUHUxYUxvRmdmYmJVdUtFSUNoSUZzWkU5SVlwWmhNdnRrNWo1L2tLR1RrSkJFd0pEd2ViOWVlVEgzM0hQUCtkNmJ5WHpubkRsekF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"/>
    </extobj>
    <extobj name="ECB019B1-382A-4266-B25C-5B523AA43C14-9">
      <extobjdata type="ECB019B1-382A-4266-B25C-5B523AA43C14" data="ewoJIkZpbGVJZCIgOiAiMTYzNjk3OTc5NjgwIiwKCSJHcm91cElkIiA6ICI3NzYwODQzODgiLAoJIkltYWdlIiA6ICJpVkJPUncwS0dnb0FBQUFOU1VoRVVnQUFBMDRBQUFGZ0NBWUFBQUNNbVNudUFBQUFDWEJJV1hNQUFBc1RBQUFMRXdFQW1wd1lBQUFnQUVsRVFWUjRuT3pkZVh4VTFmMy84ZmVkTE1OTWRpQWhoSVFBQ1JDSlFHWVF0NklvVmd0b1hkc3FWYjlWYS9XbnJWdlZXclYxclZWcnJYVnIxVmErYU91R2lndUlWdnk2NzBvU2pFSEFFTEpCRnJMdmsyVG0vUDdJMGlRa1RGaGtBbms5SHc4ZnpqMzNuSE0vRSs5eDVuUHZ1V2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"/>
    </extobj>
    <extobj name="ECB019B1-382A-4266-B25C-5B523AA43C14-10">
      <extobjdata type="ECB019B1-382A-4266-B25C-5B523AA43C14" data="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"/>
    </extobj>
    <extobj name="ECB019B1-382A-4266-B25C-5B523AA43C14-11">
      <extobjdata type="ECB019B1-382A-4266-B25C-5B523AA43C14" data="ewoJIkZpbGVJZCIgOiAiMTYyOTk0NzA3MjY2IiwKCSJHcm91cElkIiA6ICI3NzYwODQzODgiLAoJIkltYWdlIiA6ICJpVkJPUncwS0dnb0FBQUFOU1VoRVVnQUFBa3dBQUFSUUNBWUFBQUFmb0E0WkFBQUFDWEJJV1hNQUFBc1RBQUFMRXdFQW1wd1lBQUFnQUVsRVFWUjRuT3pkZVhnVVJkNEg4Ry8zWEpuY21ZUWtFRWlBQklnaEFXWlk4RUJoUFZCUUZMendBRkVVVjlGRjhVTEZGMFRVRlhVOTF0VmRGVmU4RDFSV0pZSW53aXFpYURKQU1wRWpoTnpINUNUWDNGUHZIOG1NazNNU0NJVGorM2tlbittdXJ1cXVIdHIwYjZxcXF3R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"/>
    </extobj>
    <extobj name="ECB019B1-382A-4266-B25C-5B523AA43C14-14">
      <extobjdata type="ECB019B1-382A-4266-B25C-5B523AA43C14" data="ewoJIkZpbGVJZCIgOiAiMTczNzQzMzczMzk0IiwKCSJHcm91cElkIiA6ICI3NzYwODQzODgiLAoJIkltYWdlIiA6ICJpVkJPUncwS0dnb0FBQUFOU1VoRVVnQUFBN1lBQUFGNENBWUFBQUJnaDJWMUFBQUFDWEJJV1hNQUFBc1RBQUFMRXdFQW1wd1lBQUFnQUVsRVFWUjRuT3pkZVh4VFZkNC84TSs1YVpNbTZkN1NGZHJTaFFJRjJxUVBLc0tEdU9BMkNLTzRqWU9NanZpYnhSbG44RkZVbEFGMUJIR2R3UTJVVVZCeEZEZEExQkZrQkVVUnRVMFhXcFl1bEc1MjM3ZWtTYzd2anpZMVhZQ1d0b1RDNS8xNjVVWHZPZWVlKzcxcGdYNXp6ajB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UVTAveC9tTUxpZkdqUUJGa0FBQUFBU1VWT1JLNUNZSUk9IiwKCSJUaGVtZSIgOiAiIiwKCSJUeXBlIiA6ICJmbG93IiwKCSJWZXJzaW9uIiA6ICIiCn0K"/>
    </extobj>
    <extobj name="ECB019B1-382A-4266-B25C-5B523AA43C14-15">
      <extobjdata type="ECB019B1-382A-4266-B25C-5B523AA43C14" data="ewoJIkZpbGVJZCIgOiAiMTY0NzA3MTYyNzUwIiwKCSJHcm91cElkIiA6ICI3NzYwODQzODgiLAoJIkltYWdlIiA6ICJpVkJPUncwS0dnb0FBQUFOU1VoRVVnQUFBNzhBQUFGSUNBWUFBQUNZNkVrU0FBQUFDWEJJV1hNQUFBc1RBQUFMRXdFQW1wd1lBQUFnQUVsRVFWUjRuT3pkZDN4YjFmMC8vdGU1a2lWTGxtVjU3MjNIaVIwUFhSTkc0QU9oaEZWR1dsYkxoNlNsbEVKcEtSUitsTTBIU3I4UU5wUVNTSUNXWFJwbTJMTTBGRm9JTk41T25NUjc3eUVQV2JLazgvdkRscXM0VHVMRURrNlUxL1B4OENPNjU1eDc3dnNxaWUyM3pybm5B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FUK0IvNGhuMHFqNUtvU0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45381</Words>
  <Characters>55900</Characters>
  <Lines>0</Lines>
  <Paragraphs>0</Paragraphs>
  <TotalTime>156</TotalTime>
  <ScaleCrop>false</ScaleCrop>
  <LinksUpToDate>false</LinksUpToDate>
  <CharactersWithSpaces>56492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2022-01-10T02:42:00Z</dcterms:created>
  <dc:creator>Administrator</dc:creator>
  <cp:lastModifiedBy>Superego</cp:lastModifiedBy>
  <dcterms:modified xsi:type="dcterms:W3CDTF">2022-06-20T09:37:44Z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EB6F5155C1D040F6824208B4F66BFB74</vt:lpwstr>
  </property>
  <property fmtid="{D5CDD505-2E9C-101B-9397-08002B2CF9AE}" pid="4" name="commondata">
    <vt:lpwstr>eyJoZGlkIjoiNzE5ZDVlZjM3MmE2ZmM2ZmE5ODcwYjA2YjFjZDgyYmEifQ==</vt:lpwstr>
  </property>
</Properties>
</file>